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5503_232238742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55505_232238742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55507_2322387425">
            <w:r>
              <w:rPr>
                <w:webHidden/>
                <w:rStyle w:val="IndexLink"/>
                <w:rtl w:val="true"/>
              </w:rPr>
              <w:t>أصحاب التعلیقات لهذا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2055509_2322387425">
            <w:r>
              <w:rPr>
                <w:webHidden/>
                <w:rStyle w:val="IndexLink"/>
                <w:rtl w:val="true"/>
              </w:rPr>
              <w:t>کتاب الحج</w:t>
            </w:r>
            <w:r>
              <w:rPr>
                <w:rStyle w:val="IndexLink"/>
                <w:rtl w:val="true"/>
              </w:rPr>
              <w:tab/>
            </w:r>
            <w:r>
              <w:rPr>
                <w:rStyle w:val="IndexLink"/>
              </w:rPr>
              <w:t>16</w:t>
            </w:r>
          </w:hyperlink>
        </w:p>
        <w:p>
          <w:pPr>
            <w:pStyle w:val="Contents3"/>
            <w:tabs>
              <w:tab w:val="clear" w:pos="8459"/>
              <w:tab w:val="right" w:pos="9026" w:leader="dot"/>
            </w:tabs>
            <w:rPr/>
          </w:pPr>
          <w:hyperlink w:anchor="__RefHeading___Toc2055511_232238742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055513_2322387425">
            <w:r>
              <w:rPr>
                <w:webHidden/>
                <w:rStyle w:val="IndexLink"/>
                <w:rtl w:val="true"/>
              </w:rPr>
              <w:t>فصل</w:t>
            </w:r>
            <w:r>
              <w:rPr>
                <w:rStyle w:val="IndexLink"/>
                <w:rtl w:val="true"/>
              </w:rPr>
              <w:t xml:space="preserve">: </w:t>
            </w:r>
            <w:r>
              <w:rPr>
                <w:rStyle w:val="IndexLink"/>
                <w:rtl w:val="true"/>
              </w:rPr>
              <w:t>فی الحجّ الواجب بالنذر والعهد والیمین</w:t>
            </w:r>
            <w:r>
              <w:rPr>
                <w:rStyle w:val="IndexLink"/>
                <w:rtl w:val="true"/>
              </w:rPr>
              <w:tab/>
            </w:r>
            <w:r>
              <w:rPr>
                <w:rStyle w:val="IndexLink"/>
              </w:rPr>
              <w:t>17</w:t>
            </w:r>
          </w:hyperlink>
        </w:p>
        <w:p>
          <w:pPr>
            <w:pStyle w:val="Contents4"/>
            <w:tabs>
              <w:tab w:val="clear" w:pos="8176"/>
              <w:tab w:val="right" w:pos="9026" w:leader="dot"/>
            </w:tabs>
            <w:rPr/>
          </w:pPr>
          <w:hyperlink w:anchor="__RefHeading___Toc2055515_2322387425">
            <w:r>
              <w:rPr>
                <w:webHidden/>
                <w:rStyle w:val="IndexLink"/>
                <w:rtl w:val="true"/>
              </w:rPr>
              <w:t>شرائط انعقاد نذر الحجّ</w:t>
            </w:r>
            <w:r>
              <w:rPr>
                <w:rStyle w:val="IndexLink"/>
                <w:rtl w:val="true"/>
              </w:rPr>
              <w:tab/>
            </w:r>
            <w:r>
              <w:rPr>
                <w:rStyle w:val="IndexLink"/>
              </w:rPr>
              <w:t>17</w:t>
            </w:r>
          </w:hyperlink>
        </w:p>
        <w:p>
          <w:pPr>
            <w:pStyle w:val="Contents4"/>
            <w:tabs>
              <w:tab w:val="clear" w:pos="8176"/>
              <w:tab w:val="right" w:pos="9026" w:leader="dot"/>
            </w:tabs>
            <w:rPr/>
          </w:pPr>
          <w:hyperlink w:anchor="__RefHeading___Toc2055517_2322387425">
            <w:r>
              <w:rPr>
                <w:webHidden/>
                <w:rStyle w:val="IndexLink"/>
                <w:rtl w:val="true"/>
              </w:rPr>
              <w:t>حکم الکافر فی المقام </w:t>
            </w:r>
            <w:r>
              <w:rPr>
                <w:rStyle w:val="IndexLink"/>
                <w:rtl w:val="true"/>
              </w:rPr>
              <w:tab/>
            </w:r>
            <w:r>
              <w:rPr>
                <w:rStyle w:val="IndexLink"/>
              </w:rPr>
              <w:t>18</w:t>
            </w:r>
          </w:hyperlink>
        </w:p>
        <w:p>
          <w:pPr>
            <w:pStyle w:val="Contents4"/>
            <w:tabs>
              <w:tab w:val="clear" w:pos="8176"/>
              <w:tab w:val="right" w:pos="9026" w:leader="dot"/>
            </w:tabs>
            <w:rPr/>
          </w:pPr>
          <w:hyperlink w:anchor="__RefHeading___Toc2055519_2322387425">
            <w:r>
              <w:rPr>
                <w:webHidden/>
                <w:rStyle w:val="IndexLink"/>
                <w:rtl w:val="true"/>
              </w:rPr>
              <w:t>حکم یمین ونذر الزوجة والمملوک والولد</w:t>
            </w:r>
            <w:r>
              <w:rPr>
                <w:rStyle w:val="IndexLink"/>
                <w:rtl w:val="true"/>
              </w:rPr>
              <w:tab/>
            </w:r>
            <w:r>
              <w:rPr>
                <w:rStyle w:val="IndexLink"/>
              </w:rPr>
              <w:t>22</w:t>
            </w:r>
          </w:hyperlink>
        </w:p>
        <w:p>
          <w:pPr>
            <w:pStyle w:val="Contents4"/>
            <w:tabs>
              <w:tab w:val="clear" w:pos="8176"/>
              <w:tab w:val="right" w:pos="9026" w:leader="dot"/>
            </w:tabs>
            <w:rPr/>
          </w:pPr>
          <w:hyperlink w:anchor="__RefHeading___Toc2055521_2322387425">
            <w:r>
              <w:rPr>
                <w:webHidden/>
                <w:rStyle w:val="IndexLink"/>
                <w:rtl w:val="true"/>
              </w:rPr>
              <w:t>حکم الزوجة المنقطعة وولد الولد</w:t>
            </w:r>
            <w:r>
              <w:rPr>
                <w:rStyle w:val="IndexLink"/>
                <w:rtl w:val="true"/>
              </w:rPr>
              <w:tab/>
            </w:r>
            <w:r>
              <w:rPr>
                <w:rStyle w:val="IndexLink"/>
              </w:rPr>
              <w:t>30</w:t>
            </w:r>
          </w:hyperlink>
        </w:p>
        <w:p>
          <w:pPr>
            <w:pStyle w:val="Contents4"/>
            <w:tabs>
              <w:tab w:val="clear" w:pos="8176"/>
              <w:tab w:val="right" w:pos="9026" w:leader="dot"/>
            </w:tabs>
            <w:rPr/>
          </w:pPr>
          <w:hyperlink w:anchor="__RefHeading___Toc2055523_2322387425">
            <w:r>
              <w:rPr>
                <w:webHidden/>
                <w:rStyle w:val="IndexLink"/>
                <w:rtl w:val="true"/>
              </w:rPr>
              <w:t>فروع فی شمول الحکم لجملة من الموارد</w:t>
            </w:r>
            <w:r>
              <w:rPr>
                <w:rStyle w:val="IndexLink"/>
                <w:rtl w:val="true"/>
              </w:rPr>
              <w:tab/>
            </w:r>
            <w:r>
              <w:rPr>
                <w:rStyle w:val="IndexLink"/>
              </w:rPr>
              <w:t>34</w:t>
            </w:r>
          </w:hyperlink>
        </w:p>
        <w:p>
          <w:pPr>
            <w:pStyle w:val="Contents4"/>
            <w:tabs>
              <w:tab w:val="clear" w:pos="8176"/>
              <w:tab w:val="right" w:pos="9026" w:leader="dot"/>
            </w:tabs>
            <w:rPr/>
          </w:pPr>
          <w:hyperlink w:anchor="__RefHeading___Toc2055525_2322387425">
            <w:r>
              <w:rPr>
                <w:webHidden/>
                <w:rStyle w:val="IndexLink"/>
                <w:rtl w:val="true"/>
              </w:rPr>
              <w:t>نذر الحجّ من مکانٍ معیّن والخلف فیه</w:t>
            </w:r>
            <w:r>
              <w:rPr>
                <w:rStyle w:val="IndexLink"/>
                <w:rtl w:val="true"/>
              </w:rPr>
              <w:tab/>
            </w:r>
            <w:r>
              <w:rPr>
                <w:rStyle w:val="IndexLink"/>
              </w:rPr>
              <w:t>40</w:t>
            </w:r>
          </w:hyperlink>
        </w:p>
        <w:p>
          <w:pPr>
            <w:pStyle w:val="Contents4"/>
            <w:tabs>
              <w:tab w:val="clear" w:pos="8176"/>
              <w:tab w:val="right" w:pos="9026" w:leader="dot"/>
            </w:tabs>
            <w:rPr/>
          </w:pPr>
          <w:hyperlink w:anchor="__RefHeading___Toc2055527_2322387425">
            <w:r>
              <w:rPr>
                <w:webHidden/>
                <w:rStyle w:val="IndexLink"/>
                <w:rtl w:val="true"/>
              </w:rPr>
              <w:t>تأخیر الحجّ المنذور</w:t>
            </w:r>
            <w:r>
              <w:rPr>
                <w:rStyle w:val="IndexLink"/>
                <w:rtl w:val="true"/>
              </w:rPr>
              <w:tab/>
            </w:r>
            <w:r>
              <w:rPr>
                <w:rStyle w:val="IndexLink"/>
              </w:rPr>
              <w:t>42</w:t>
            </w:r>
          </w:hyperlink>
        </w:p>
        <w:p>
          <w:pPr>
            <w:pStyle w:val="Contents4"/>
            <w:tabs>
              <w:tab w:val="clear" w:pos="8176"/>
              <w:tab w:val="right" w:pos="9026" w:leader="dot"/>
            </w:tabs>
            <w:rPr/>
          </w:pPr>
          <w:hyperlink w:anchor="__RefHeading___Toc2055529_2322387425">
            <w:r>
              <w:rPr>
                <w:webHidden/>
                <w:rStyle w:val="IndexLink"/>
                <w:rtl w:val="true"/>
              </w:rPr>
              <w:t>أحکام قضاء ما فوّت من الحجّ المنذور</w:t>
            </w:r>
            <w:r>
              <w:rPr>
                <w:rStyle w:val="IndexLink"/>
                <w:rtl w:val="true"/>
              </w:rPr>
              <w:tab/>
            </w:r>
            <w:r>
              <w:rPr>
                <w:rStyle w:val="IndexLink"/>
              </w:rPr>
              <w:t>43</w:t>
            </w:r>
          </w:hyperlink>
        </w:p>
        <w:p>
          <w:pPr>
            <w:pStyle w:val="Contents4"/>
            <w:tabs>
              <w:tab w:val="clear" w:pos="8176"/>
              <w:tab w:val="right" w:pos="9026" w:leader="dot"/>
            </w:tabs>
            <w:rPr/>
          </w:pPr>
          <w:hyperlink w:anchor="__RefHeading___Toc2055531_2322387425">
            <w:r>
              <w:rPr>
                <w:webHidden/>
                <w:rStyle w:val="IndexLink"/>
                <w:rtl w:val="true"/>
              </w:rPr>
              <w:t>عدم التمکّن من إتیان الحجّ المنذور</w:t>
            </w:r>
            <w:r>
              <w:rPr>
                <w:rStyle w:val="IndexLink"/>
                <w:rtl w:val="true"/>
              </w:rPr>
              <w:tab/>
            </w:r>
            <w:r>
              <w:rPr>
                <w:rStyle w:val="IndexLink"/>
              </w:rPr>
              <w:t>53</w:t>
            </w:r>
          </w:hyperlink>
        </w:p>
        <w:p>
          <w:pPr>
            <w:pStyle w:val="Contents4"/>
            <w:tabs>
              <w:tab w:val="clear" w:pos="8176"/>
              <w:tab w:val="right" w:pos="9026" w:leader="dot"/>
            </w:tabs>
            <w:rPr/>
          </w:pPr>
          <w:hyperlink w:anchor="__RefHeading___Toc2055533_2322387425">
            <w:r>
              <w:rPr>
                <w:webHidden/>
                <w:rStyle w:val="IndexLink"/>
                <w:rtl w:val="true"/>
              </w:rPr>
              <w:t>هل یجب القضاء فی النذر المعلّق علی شیء عن الناذر المتوفّی؟</w:t>
            </w:r>
            <w:r>
              <w:rPr>
                <w:rStyle w:val="IndexLink"/>
                <w:rtl w:val="true"/>
              </w:rPr>
              <w:tab/>
            </w:r>
            <w:r>
              <w:rPr>
                <w:rStyle w:val="IndexLink"/>
              </w:rPr>
              <w:t>53</w:t>
            </w:r>
          </w:hyperlink>
        </w:p>
        <w:p>
          <w:pPr>
            <w:pStyle w:val="Contents4"/>
            <w:tabs>
              <w:tab w:val="clear" w:pos="8176"/>
              <w:tab w:val="right" w:pos="9026" w:leader="dot"/>
            </w:tabs>
            <w:rPr/>
          </w:pPr>
          <w:hyperlink w:anchor="__RefHeading___Toc2055535_2322387425">
            <w:r>
              <w:rPr>
                <w:webHidden/>
                <w:rStyle w:val="IndexLink"/>
                <w:rtl w:val="true"/>
              </w:rPr>
              <w:t>زوال القدرة عن الحجّ النذریّ</w:t>
            </w:r>
            <w:r>
              <w:rPr>
                <w:rStyle w:val="IndexLink"/>
                <w:rtl w:val="true"/>
              </w:rPr>
              <w:tab/>
            </w:r>
            <w:r>
              <w:rPr>
                <w:rStyle w:val="IndexLink"/>
              </w:rPr>
              <w:t>55</w:t>
            </w:r>
          </w:hyperlink>
        </w:p>
        <w:p>
          <w:pPr>
            <w:pStyle w:val="Contents4"/>
            <w:tabs>
              <w:tab w:val="clear" w:pos="8176"/>
              <w:tab w:val="right" w:pos="9026" w:leader="dot"/>
            </w:tabs>
            <w:rPr/>
          </w:pPr>
          <w:hyperlink w:anchor="__RefHeading___Toc2055537_2322387425">
            <w:r>
              <w:rPr>
                <w:webHidden/>
                <w:rStyle w:val="IndexLink"/>
                <w:rtl w:val="true"/>
              </w:rPr>
              <w:t>نذر إحجاج الغیر</w:t>
            </w:r>
            <w:r>
              <w:rPr>
                <w:rStyle w:val="IndexLink"/>
                <w:rtl w:val="true"/>
              </w:rPr>
              <w:tab/>
            </w:r>
            <w:r>
              <w:rPr>
                <w:rStyle w:val="IndexLink"/>
              </w:rPr>
              <w:t>58</w:t>
            </w:r>
          </w:hyperlink>
        </w:p>
        <w:p>
          <w:pPr>
            <w:pStyle w:val="Contents4"/>
            <w:tabs>
              <w:tab w:val="clear" w:pos="8176"/>
              <w:tab w:val="right" w:pos="9026" w:leader="dot"/>
            </w:tabs>
            <w:rPr/>
          </w:pPr>
          <w:hyperlink w:anchor="__RefHeading___Toc2055539_2322387425">
            <w:r>
              <w:rPr>
                <w:webHidden/>
                <w:rStyle w:val="IndexLink"/>
                <w:rtl w:val="true"/>
              </w:rPr>
              <w:t>نذر الإحجاج معلّقاً علی شرط </w:t>
            </w:r>
            <w:r>
              <w:rPr>
                <w:rStyle w:val="IndexLink"/>
                <w:rtl w:val="true"/>
              </w:rPr>
              <w:tab/>
            </w:r>
            <w:r>
              <w:rPr>
                <w:rStyle w:val="IndexLink"/>
              </w:rPr>
              <w:t>62</w:t>
            </w:r>
          </w:hyperlink>
        </w:p>
        <w:p>
          <w:pPr>
            <w:pStyle w:val="Contents4"/>
            <w:tabs>
              <w:tab w:val="clear" w:pos="8176"/>
              <w:tab w:val="right" w:pos="9026" w:leader="dot"/>
            </w:tabs>
            <w:rPr/>
          </w:pPr>
          <w:hyperlink w:anchor="__RefHeading___Toc2055541_2322387425">
            <w:r>
              <w:rPr>
                <w:webHidden/>
                <w:rStyle w:val="IndexLink"/>
                <w:rtl w:val="true"/>
              </w:rPr>
              <w:t>حکم المستطیع لو نذر الحجّ الواجب</w:t>
            </w:r>
            <w:r>
              <w:rPr>
                <w:rStyle w:val="IndexLink"/>
                <w:rtl w:val="true"/>
              </w:rPr>
              <w:tab/>
            </w:r>
            <w:r>
              <w:rPr>
                <w:rStyle w:val="IndexLink"/>
              </w:rPr>
              <w:t>65</w:t>
            </w:r>
          </w:hyperlink>
        </w:p>
        <w:p>
          <w:pPr>
            <w:pStyle w:val="Contents4"/>
            <w:tabs>
              <w:tab w:val="clear" w:pos="8176"/>
              <w:tab w:val="right" w:pos="9026" w:leader="dot"/>
            </w:tabs>
            <w:rPr/>
          </w:pPr>
          <w:hyperlink w:anchor="__RefHeading___Toc2055543_2322387425">
            <w:r>
              <w:rPr>
                <w:webHidden/>
                <w:rStyle w:val="IndexLink"/>
                <w:rtl w:val="true"/>
              </w:rPr>
              <w:t>الاستطاعة فی نذر الحجّ</w:t>
            </w:r>
            <w:r>
              <w:rPr>
                <w:rStyle w:val="IndexLink"/>
                <w:rtl w:val="true"/>
              </w:rPr>
              <w:tab/>
            </w:r>
            <w:r>
              <w:rPr>
                <w:rStyle w:val="IndexLink"/>
              </w:rPr>
              <w:t>65</w:t>
            </w:r>
          </w:hyperlink>
        </w:p>
        <w:p>
          <w:pPr>
            <w:pStyle w:val="Contents4"/>
            <w:tabs>
              <w:tab w:val="clear" w:pos="8176"/>
              <w:tab w:val="right" w:pos="9026" w:leader="dot"/>
            </w:tabs>
            <w:rPr/>
          </w:pPr>
          <w:hyperlink w:anchor="__RefHeading___Toc2055545_2322387425">
            <w:r>
              <w:rPr>
                <w:webHidden/>
                <w:rStyle w:val="IndexLink"/>
                <w:rtl w:val="true"/>
              </w:rPr>
              <w:t>نذر غیر حجّة الإسلام فی عام الاستطاعة</w:t>
            </w:r>
            <w:r>
              <w:rPr>
                <w:rStyle w:val="IndexLink"/>
                <w:rtl w:val="true"/>
              </w:rPr>
              <w:tab/>
            </w:r>
            <w:r>
              <w:rPr>
                <w:rStyle w:val="IndexLink"/>
              </w:rPr>
              <w:t>66</w:t>
            </w:r>
          </w:hyperlink>
        </w:p>
        <w:p>
          <w:pPr>
            <w:pStyle w:val="Contents4"/>
            <w:tabs>
              <w:tab w:val="clear" w:pos="8176"/>
              <w:tab w:val="right" w:pos="9026" w:leader="dot"/>
            </w:tabs>
            <w:rPr/>
          </w:pPr>
          <w:hyperlink w:anchor="__RefHeading___Toc2055547_2322387425">
            <w:r>
              <w:rPr>
                <w:webHidden/>
                <w:rStyle w:val="IndexLink"/>
                <w:rtl w:val="true"/>
              </w:rPr>
              <w:t>الاستطاعة بعد نذر الحجّ وصورها</w:t>
            </w:r>
            <w:r>
              <w:rPr>
                <w:rStyle w:val="IndexLink"/>
                <w:rtl w:val="true"/>
              </w:rPr>
              <w:tab/>
            </w:r>
            <w:r>
              <w:rPr>
                <w:rStyle w:val="IndexLink"/>
              </w:rPr>
              <w:t>70</w:t>
            </w:r>
          </w:hyperlink>
        </w:p>
        <w:p>
          <w:pPr>
            <w:pStyle w:val="Contents4"/>
            <w:tabs>
              <w:tab w:val="clear" w:pos="8176"/>
              <w:tab w:val="right" w:pos="9026" w:leader="dot"/>
            </w:tabs>
            <w:rPr/>
          </w:pPr>
          <w:hyperlink w:anchor="__RefHeading___Toc2055549_2322387425">
            <w:r>
              <w:rPr>
                <w:webHidden/>
                <w:rStyle w:val="IndexLink"/>
                <w:rtl w:val="true"/>
              </w:rPr>
              <w:t>إهمال النذر وحصول الاستطاعة لحجّة الإسلام</w:t>
            </w:r>
            <w:r>
              <w:rPr>
                <w:rStyle w:val="IndexLink"/>
                <w:rtl w:val="true"/>
              </w:rPr>
              <w:tab/>
            </w:r>
            <w:r>
              <w:rPr>
                <w:rStyle w:val="IndexLink"/>
              </w:rPr>
              <w:t>73</w:t>
            </w:r>
          </w:hyperlink>
        </w:p>
        <w:p>
          <w:pPr>
            <w:pStyle w:val="Contents4"/>
            <w:tabs>
              <w:tab w:val="clear" w:pos="8176"/>
              <w:tab w:val="right" w:pos="9026" w:leader="dot"/>
            </w:tabs>
            <w:rPr/>
          </w:pPr>
          <w:hyperlink w:anchor="__RefHeading___Toc2055551_2322387425">
            <w:r>
              <w:rPr>
                <w:webHidden/>
                <w:rStyle w:val="IndexLink"/>
                <w:rtl w:val="true"/>
              </w:rPr>
              <w:t>هل یتداخل الحجّ النذری غیر المقیّد مع حجّة الإسلام؟</w:t>
            </w:r>
            <w:r>
              <w:rPr>
                <w:rStyle w:val="IndexLink"/>
                <w:rtl w:val="true"/>
              </w:rPr>
              <w:tab/>
            </w:r>
            <w:r>
              <w:rPr>
                <w:rStyle w:val="IndexLink"/>
              </w:rPr>
              <w:t>77</w:t>
            </w:r>
          </w:hyperlink>
        </w:p>
        <w:p>
          <w:pPr>
            <w:pStyle w:val="Contents4"/>
            <w:tabs>
              <w:tab w:val="clear" w:pos="8176"/>
              <w:tab w:val="right" w:pos="9026" w:leader="dot"/>
            </w:tabs>
            <w:rPr/>
          </w:pPr>
          <w:hyperlink w:anchor="__RefHeading___Toc2055553_2322387425">
            <w:r>
              <w:rPr>
                <w:webHidden/>
                <w:rStyle w:val="IndexLink"/>
                <w:rtl w:val="true"/>
              </w:rPr>
              <w:t>حصول الاستطاعة قبل تحقّق متعلّق الحجّ المنذور</w:t>
            </w:r>
            <w:r>
              <w:rPr>
                <w:rStyle w:val="IndexLink"/>
                <w:rtl w:val="true"/>
              </w:rPr>
              <w:tab/>
            </w:r>
            <w:r>
              <w:rPr>
                <w:rStyle w:val="IndexLink"/>
              </w:rPr>
              <w:t>81</w:t>
            </w:r>
          </w:hyperlink>
        </w:p>
        <w:p>
          <w:pPr>
            <w:pStyle w:val="Contents4"/>
            <w:tabs>
              <w:tab w:val="clear" w:pos="8176"/>
              <w:tab w:val="right" w:pos="9026" w:leader="dot"/>
            </w:tabs>
            <w:rPr/>
          </w:pPr>
          <w:hyperlink w:anchor="__RefHeading___Toc2055555_2322387425">
            <w:r>
              <w:rPr>
                <w:webHidden/>
                <w:rStyle w:val="IndexLink"/>
                <w:rtl w:val="true"/>
              </w:rPr>
              <w:t>ماذا یقدم من استقرّ فی ذمّته حجّتان فی صورة التزاحم؟</w:t>
            </w:r>
            <w:r>
              <w:rPr>
                <w:rStyle w:val="IndexLink"/>
                <w:rtl w:val="true"/>
              </w:rPr>
              <w:tab/>
            </w:r>
            <w:r>
              <w:rPr>
                <w:rStyle w:val="IndexLink"/>
              </w:rPr>
              <w:t>83</w:t>
            </w:r>
          </w:hyperlink>
        </w:p>
        <w:p>
          <w:pPr>
            <w:pStyle w:val="Contents4"/>
            <w:tabs>
              <w:tab w:val="clear" w:pos="8176"/>
              <w:tab w:val="right" w:pos="9026" w:leader="dot"/>
            </w:tabs>
            <w:rPr/>
          </w:pPr>
          <w:hyperlink w:anchor="__RefHeading___Toc2055557_2322387425">
            <w:r>
              <w:rPr>
                <w:webHidden/>
                <w:rStyle w:val="IndexLink"/>
                <w:rtl w:val="true"/>
              </w:rPr>
              <w:t>الحجّ الواجب بالنذر الموسّع</w:t>
            </w:r>
            <w:r>
              <w:rPr>
                <w:rStyle w:val="IndexLink"/>
                <w:rtl w:val="true"/>
              </w:rPr>
              <w:tab/>
            </w:r>
            <w:r>
              <w:rPr>
                <w:rStyle w:val="IndexLink"/>
              </w:rPr>
              <w:t>85</w:t>
            </w:r>
          </w:hyperlink>
        </w:p>
        <w:p>
          <w:pPr>
            <w:pStyle w:val="Contents4"/>
            <w:tabs>
              <w:tab w:val="clear" w:pos="8176"/>
              <w:tab w:val="right" w:pos="9026" w:leader="dot"/>
            </w:tabs>
            <w:rPr/>
          </w:pPr>
          <w:hyperlink w:anchor="__RefHeading___Toc2055559_2322387425">
            <w:r>
              <w:rPr>
                <w:webHidden/>
                <w:rStyle w:val="IndexLink"/>
                <w:rtl w:val="true"/>
              </w:rPr>
              <w:t>نذر الحجّ أو الإحجاج</w:t>
            </w:r>
            <w:r>
              <w:rPr>
                <w:rStyle w:val="IndexLink"/>
                <w:rtl w:val="true"/>
              </w:rPr>
              <w:tab/>
            </w:r>
            <w:r>
              <w:rPr>
                <w:rStyle w:val="IndexLink"/>
              </w:rPr>
              <w:t>85</w:t>
            </w:r>
          </w:hyperlink>
        </w:p>
        <w:p>
          <w:pPr>
            <w:pStyle w:val="Contents4"/>
            <w:tabs>
              <w:tab w:val="clear" w:pos="8176"/>
              <w:tab w:val="right" w:pos="9026" w:leader="dot"/>
            </w:tabs>
            <w:rPr/>
          </w:pPr>
          <w:hyperlink w:anchor="__RefHeading___Toc2055561_2322387425">
            <w:r>
              <w:rPr>
                <w:webHidden/>
                <w:rStyle w:val="IndexLink"/>
                <w:rtl w:val="true"/>
              </w:rPr>
              <w:t>نذر الحجّ أو زیارة الحسین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055563_2322387425">
            <w:r>
              <w:rPr>
                <w:webHidden/>
                <w:rStyle w:val="IndexLink"/>
                <w:rtl w:val="true"/>
              </w:rPr>
              <w:t>من مات وعلیه حجّ لم یعلم أنّه حجّة الإسلام أو حجّ النذر</w:t>
            </w:r>
            <w:r>
              <w:rPr>
                <w:rStyle w:val="IndexLink"/>
                <w:rtl w:val="true"/>
              </w:rPr>
              <w:tab/>
            </w:r>
            <w:r>
              <w:rPr>
                <w:rStyle w:val="IndexLink"/>
              </w:rPr>
              <w:t>90</w:t>
            </w:r>
          </w:hyperlink>
        </w:p>
        <w:p>
          <w:pPr>
            <w:pStyle w:val="Contents4"/>
            <w:tabs>
              <w:tab w:val="clear" w:pos="8176"/>
              <w:tab w:val="right" w:pos="9026" w:leader="dot"/>
            </w:tabs>
            <w:rPr/>
          </w:pPr>
          <w:hyperlink w:anchor="__RefHeading___Toc2055565_2322387425">
            <w:r>
              <w:rPr>
                <w:webHidden/>
                <w:rStyle w:val="IndexLink"/>
                <w:rtl w:val="true"/>
              </w:rPr>
              <w:t>نذر الحجّ ماشیاً</w:t>
            </w:r>
            <w:r>
              <w:rPr>
                <w:rStyle w:val="IndexLink"/>
                <w:rtl w:val="true"/>
              </w:rPr>
              <w:tab/>
            </w:r>
            <w:r>
              <w:rPr>
                <w:rStyle w:val="IndexLink"/>
              </w:rPr>
              <w:t>92</w:t>
            </w:r>
          </w:hyperlink>
        </w:p>
        <w:p>
          <w:pPr>
            <w:pStyle w:val="Contents4"/>
            <w:tabs>
              <w:tab w:val="clear" w:pos="8176"/>
              <w:tab w:val="right" w:pos="9026" w:leader="dot"/>
            </w:tabs>
            <w:rPr/>
          </w:pPr>
          <w:hyperlink w:anchor="__RefHeading___Toc2055567_2322387425">
            <w:r>
              <w:rPr>
                <w:webHidden/>
                <w:rStyle w:val="IndexLink"/>
                <w:rtl w:val="true"/>
              </w:rPr>
              <w:t>نذر الحجّ راکباً أو حافیاً</w:t>
            </w:r>
            <w:r>
              <w:rPr>
                <w:rStyle w:val="IndexLink"/>
                <w:rtl w:val="true"/>
              </w:rPr>
              <w:tab/>
            </w:r>
            <w:r>
              <w:rPr>
                <w:rStyle w:val="IndexLink"/>
              </w:rPr>
              <w:t>94</w:t>
            </w:r>
          </w:hyperlink>
        </w:p>
        <w:p>
          <w:pPr>
            <w:pStyle w:val="Contents4"/>
            <w:tabs>
              <w:tab w:val="clear" w:pos="8176"/>
              <w:tab w:val="right" w:pos="9026" w:leader="dot"/>
            </w:tabs>
            <w:rPr/>
          </w:pPr>
          <w:hyperlink w:anchor="__RefHeading___Toc2055569_2322387425">
            <w:r>
              <w:rPr>
                <w:webHidden/>
                <w:rStyle w:val="IndexLink"/>
                <w:rtl w:val="true"/>
              </w:rPr>
              <w:t>شرائط نذر الحجّ ماشیاً أو حافیاً أو راکباً</w:t>
            </w:r>
            <w:r>
              <w:rPr>
                <w:rStyle w:val="IndexLink"/>
                <w:rtl w:val="true"/>
              </w:rPr>
              <w:tab/>
            </w:r>
            <w:r>
              <w:rPr>
                <w:rStyle w:val="IndexLink"/>
              </w:rPr>
              <w:t>96</w:t>
            </w:r>
          </w:hyperlink>
        </w:p>
        <w:p>
          <w:pPr>
            <w:pStyle w:val="Contents4"/>
            <w:tabs>
              <w:tab w:val="clear" w:pos="8176"/>
              <w:tab w:val="right" w:pos="9026" w:leader="dot"/>
            </w:tabs>
            <w:rPr/>
          </w:pPr>
          <w:hyperlink w:anchor="__RefHeading___Toc2055571_2322387425">
            <w:r>
              <w:rPr>
                <w:webHidden/>
                <w:rStyle w:val="IndexLink"/>
                <w:rtl w:val="true"/>
              </w:rPr>
              <w:t>مبدأ وجوب المشی أو الحفاء</w:t>
            </w:r>
            <w:r>
              <w:rPr>
                <w:rStyle w:val="IndexLink"/>
                <w:rtl w:val="true"/>
              </w:rPr>
              <w:tab/>
            </w:r>
            <w:r>
              <w:rPr>
                <w:rStyle w:val="IndexLink"/>
              </w:rPr>
              <w:t>101</w:t>
            </w:r>
          </w:hyperlink>
        </w:p>
        <w:p>
          <w:pPr>
            <w:pStyle w:val="Contents4"/>
            <w:tabs>
              <w:tab w:val="clear" w:pos="8176"/>
              <w:tab w:val="right" w:pos="9026" w:leader="dot"/>
            </w:tabs>
            <w:rPr/>
          </w:pPr>
          <w:hyperlink w:anchor="__RefHeading___Toc2055573_2322387425">
            <w:r>
              <w:rPr>
                <w:webHidden/>
                <w:rStyle w:val="IndexLink"/>
                <w:rtl w:val="true"/>
              </w:rPr>
              <w:t>لزوم عدم ارتکاب ما ینافی نذر المشی للحجّ</w:t>
            </w:r>
            <w:r>
              <w:rPr>
                <w:rStyle w:val="IndexLink"/>
                <w:rtl w:val="true"/>
              </w:rPr>
              <w:tab/>
            </w:r>
            <w:r>
              <w:rPr>
                <w:rStyle w:val="IndexLink"/>
              </w:rPr>
              <w:t>102</w:t>
            </w:r>
          </w:hyperlink>
        </w:p>
        <w:p>
          <w:pPr>
            <w:pStyle w:val="Contents4"/>
            <w:tabs>
              <w:tab w:val="clear" w:pos="8176"/>
              <w:tab w:val="right" w:pos="9026" w:leader="dot"/>
            </w:tabs>
            <w:rPr/>
          </w:pPr>
          <w:hyperlink w:anchor="__RefHeading___Toc2055575_2322387425">
            <w:r>
              <w:rPr>
                <w:webHidden/>
                <w:rStyle w:val="IndexLink"/>
                <w:rtl w:val="true"/>
              </w:rPr>
              <w:t>مخالفة نذر المشی للحجّ</w:t>
            </w:r>
            <w:r>
              <w:rPr>
                <w:rStyle w:val="IndexLink"/>
                <w:rtl w:val="true"/>
              </w:rPr>
              <w:tab/>
            </w:r>
            <w:r>
              <w:rPr>
                <w:rStyle w:val="IndexLink"/>
              </w:rPr>
              <w:t>105</w:t>
            </w:r>
          </w:hyperlink>
        </w:p>
        <w:p>
          <w:pPr>
            <w:pStyle w:val="Contents4"/>
            <w:tabs>
              <w:tab w:val="clear" w:pos="8176"/>
              <w:tab w:val="right" w:pos="9026" w:leader="dot"/>
            </w:tabs>
            <w:rPr/>
          </w:pPr>
          <w:hyperlink w:anchor="__RefHeading___Toc2055577_2322387425">
            <w:r>
              <w:rPr>
                <w:webHidden/>
                <w:rStyle w:val="IndexLink"/>
                <w:rtl w:val="true"/>
              </w:rPr>
              <w:t>تخلّل الرکوب أثناء المشی للحجّ المنذور مشیاً</w:t>
            </w:r>
            <w:r>
              <w:rPr>
                <w:rStyle w:val="IndexLink"/>
                <w:rtl w:val="true"/>
              </w:rPr>
              <w:tab/>
            </w:r>
            <w:r>
              <w:rPr>
                <w:rStyle w:val="IndexLink"/>
              </w:rPr>
              <w:t>109</w:t>
            </w:r>
          </w:hyperlink>
        </w:p>
        <w:p>
          <w:pPr>
            <w:pStyle w:val="Contents4"/>
            <w:tabs>
              <w:tab w:val="clear" w:pos="8176"/>
              <w:tab w:val="right" w:pos="9026" w:leader="dot"/>
            </w:tabs>
            <w:rPr/>
          </w:pPr>
          <w:hyperlink w:anchor="__RefHeading___Toc2055579_2322387425">
            <w:r>
              <w:rPr>
                <w:webHidden/>
                <w:rStyle w:val="IndexLink"/>
                <w:rtl w:val="true"/>
              </w:rPr>
              <w:t>العجز عن المشی بعد انعقاد النذر</w:t>
            </w:r>
            <w:r>
              <w:rPr>
                <w:rStyle w:val="IndexLink"/>
                <w:rtl w:val="true"/>
              </w:rPr>
              <w:tab/>
            </w:r>
            <w:r>
              <w:rPr>
                <w:rStyle w:val="IndexLink"/>
              </w:rPr>
              <w:t>109</w:t>
            </w:r>
          </w:hyperlink>
        </w:p>
        <w:p>
          <w:pPr>
            <w:pStyle w:val="Contents4"/>
            <w:tabs>
              <w:tab w:val="clear" w:pos="8176"/>
              <w:tab w:val="right" w:pos="9026" w:leader="dot"/>
            </w:tabs>
            <w:rPr/>
          </w:pPr>
          <w:hyperlink w:anchor="__RefHeading___Toc2055581_2322387425">
            <w:r>
              <w:rPr>
                <w:webHidden/>
                <w:rStyle w:val="IndexLink"/>
                <w:rtl w:val="true"/>
              </w:rPr>
              <w:t>امتناع المشی لعارضٍ غیر العجز</w:t>
            </w:r>
            <w:r>
              <w:rPr>
                <w:rStyle w:val="IndexLink"/>
                <w:rtl w:val="true"/>
              </w:rPr>
              <w:tab/>
            </w:r>
            <w:r>
              <w:rPr>
                <w:rStyle w:val="IndexLink"/>
              </w:rPr>
              <w:t>113</w:t>
            </w:r>
          </w:hyperlink>
        </w:p>
        <w:p>
          <w:pPr>
            <w:pStyle w:val="Contents3"/>
            <w:tabs>
              <w:tab w:val="clear" w:pos="8459"/>
              <w:tab w:val="right" w:pos="9026" w:leader="dot"/>
            </w:tabs>
            <w:rPr/>
          </w:pPr>
          <w:hyperlink w:anchor="__RefHeading___Toc2055583_2322387425">
            <w:r>
              <w:rPr>
                <w:webHidden/>
                <w:rStyle w:val="IndexLink"/>
                <w:rtl w:val="true"/>
              </w:rPr>
              <w:t>فصل</w:t>
            </w:r>
            <w:r>
              <w:rPr>
                <w:rStyle w:val="IndexLink"/>
                <w:rtl w:val="true"/>
              </w:rPr>
              <w:t xml:space="preserve">: </w:t>
            </w:r>
            <w:r>
              <w:rPr>
                <w:rStyle w:val="IndexLink"/>
                <w:rtl w:val="true"/>
              </w:rPr>
              <w:t>فی النیابة</w:t>
            </w:r>
            <w:r>
              <w:rPr>
                <w:rStyle w:val="IndexLink"/>
                <w:rtl w:val="true"/>
              </w:rPr>
              <w:tab/>
            </w:r>
            <w:r>
              <w:rPr>
                <w:rStyle w:val="IndexLink"/>
              </w:rPr>
              <w:t>115</w:t>
            </w:r>
          </w:hyperlink>
        </w:p>
        <w:p>
          <w:pPr>
            <w:pStyle w:val="Contents4"/>
            <w:tabs>
              <w:tab w:val="clear" w:pos="8176"/>
              <w:tab w:val="right" w:pos="9026" w:leader="dot"/>
            </w:tabs>
            <w:rPr/>
          </w:pPr>
          <w:hyperlink w:anchor="__RefHeading___Toc2055585_2322387425">
            <w:r>
              <w:rPr>
                <w:webHidden/>
                <w:rStyle w:val="IndexLink"/>
                <w:rtl w:val="true"/>
              </w:rPr>
              <w:t>مشروعیّة النیابة وشروط نائب الحجّ</w:t>
            </w:r>
            <w:r>
              <w:rPr>
                <w:rStyle w:val="IndexLink"/>
                <w:rtl w:val="true"/>
              </w:rPr>
              <w:tab/>
            </w:r>
            <w:r>
              <w:rPr>
                <w:rStyle w:val="IndexLink"/>
              </w:rPr>
              <w:t>115</w:t>
            </w:r>
          </w:hyperlink>
        </w:p>
        <w:p>
          <w:pPr>
            <w:pStyle w:val="Contents4"/>
            <w:tabs>
              <w:tab w:val="clear" w:pos="8176"/>
              <w:tab w:val="right" w:pos="9026" w:leader="dot"/>
            </w:tabs>
            <w:rPr/>
          </w:pPr>
          <w:hyperlink w:anchor="__RefHeading___Toc2055587_2322387425">
            <w:r>
              <w:rPr>
                <w:webHidden/>
                <w:rStyle w:val="IndexLink"/>
                <w:rtl w:val="true"/>
              </w:rPr>
              <w:t>الأوّل</w:t>
            </w:r>
            <w:r>
              <w:rPr>
                <w:rStyle w:val="IndexLink"/>
                <w:rtl w:val="true"/>
              </w:rPr>
              <w:t xml:space="preserve">: </w:t>
            </w:r>
            <w:r>
              <w:rPr>
                <w:rStyle w:val="IndexLink"/>
                <w:rtl w:val="true"/>
              </w:rPr>
              <w:t>البلوغ، نیابة الصبیّ الممیّز</w:t>
            </w:r>
            <w:r>
              <w:rPr>
                <w:rStyle w:val="IndexLink"/>
                <w:rtl w:val="true"/>
              </w:rPr>
              <w:tab/>
            </w:r>
            <w:r>
              <w:rPr>
                <w:rStyle w:val="IndexLink"/>
              </w:rPr>
              <w:t>115</w:t>
            </w:r>
          </w:hyperlink>
        </w:p>
        <w:p>
          <w:pPr>
            <w:pStyle w:val="Contents4"/>
            <w:tabs>
              <w:tab w:val="clear" w:pos="8176"/>
              <w:tab w:val="right" w:pos="9026" w:leader="dot"/>
            </w:tabs>
            <w:rPr/>
          </w:pPr>
          <w:hyperlink w:anchor="__RefHeading___Toc2055589_2322387425">
            <w:r>
              <w:rPr>
                <w:webHidden/>
                <w:rStyle w:val="IndexLink"/>
                <w:rtl w:val="true"/>
              </w:rPr>
              <w:t>الثانی</w:t>
            </w:r>
            <w:r>
              <w:rPr>
                <w:rStyle w:val="IndexLink"/>
                <w:rtl w:val="true"/>
              </w:rPr>
              <w:t xml:space="preserve">: </w:t>
            </w:r>
            <w:r>
              <w:rPr>
                <w:rStyle w:val="IndexLink"/>
                <w:rtl w:val="true"/>
              </w:rPr>
              <w:t>العقل، صحّة نیابة السفیه دون المجنون</w:t>
            </w:r>
            <w:r>
              <w:rPr>
                <w:rStyle w:val="IndexLink"/>
                <w:rtl w:val="true"/>
              </w:rPr>
              <w:tab/>
            </w:r>
            <w:r>
              <w:rPr>
                <w:rStyle w:val="IndexLink"/>
              </w:rPr>
              <w:t>117</w:t>
            </w:r>
          </w:hyperlink>
        </w:p>
        <w:p>
          <w:pPr>
            <w:pStyle w:val="Contents4"/>
            <w:tabs>
              <w:tab w:val="clear" w:pos="8176"/>
              <w:tab w:val="right" w:pos="9026" w:leader="dot"/>
            </w:tabs>
            <w:rPr/>
          </w:pPr>
          <w:hyperlink w:anchor="__RefHeading___Toc2055591_2322387425">
            <w:r>
              <w:rPr>
                <w:webHidden/>
                <w:rStyle w:val="IndexLink"/>
                <w:rtl w:val="true"/>
              </w:rPr>
              <w:t>الثالث</w:t>
            </w:r>
            <w:r>
              <w:rPr>
                <w:rStyle w:val="IndexLink"/>
                <w:rtl w:val="true"/>
              </w:rPr>
              <w:t xml:space="preserve">: </w:t>
            </w:r>
            <w:r>
              <w:rPr>
                <w:rStyle w:val="IndexLink"/>
                <w:rtl w:val="true"/>
              </w:rPr>
              <w:t>الإیمان وعدم صحّة نیابة المخالف</w:t>
            </w:r>
            <w:r>
              <w:rPr>
                <w:rStyle w:val="IndexLink"/>
                <w:rtl w:val="true"/>
              </w:rPr>
              <w:tab/>
            </w:r>
            <w:r>
              <w:rPr>
                <w:rStyle w:val="IndexLink"/>
              </w:rPr>
              <w:t>117</w:t>
            </w:r>
          </w:hyperlink>
        </w:p>
        <w:p>
          <w:pPr>
            <w:pStyle w:val="Contents4"/>
            <w:tabs>
              <w:tab w:val="clear" w:pos="8176"/>
              <w:tab w:val="right" w:pos="9026" w:leader="dot"/>
            </w:tabs>
            <w:rPr/>
          </w:pPr>
          <w:hyperlink w:anchor="__RefHeading___Toc2055593_2322387425">
            <w:r>
              <w:rPr>
                <w:webHidden/>
                <w:rStyle w:val="IndexLink"/>
                <w:rtl w:val="true"/>
              </w:rPr>
              <w:t>الرابع</w:t>
            </w:r>
            <w:r>
              <w:rPr>
                <w:rStyle w:val="IndexLink"/>
                <w:rtl w:val="true"/>
              </w:rPr>
              <w:t xml:space="preserve">: </w:t>
            </w:r>
            <w:r>
              <w:rPr>
                <w:rStyle w:val="IndexLink"/>
                <w:rtl w:val="true"/>
              </w:rPr>
              <w:t>العدالة</w:t>
            </w:r>
            <w:r>
              <w:rPr>
                <w:rStyle w:val="IndexLink"/>
                <w:rtl w:val="true"/>
              </w:rPr>
              <w:tab/>
            </w:r>
            <w:r>
              <w:rPr>
                <w:rStyle w:val="IndexLink"/>
              </w:rPr>
              <w:t>117</w:t>
            </w:r>
          </w:hyperlink>
        </w:p>
        <w:p>
          <w:pPr>
            <w:pStyle w:val="Contents4"/>
            <w:tabs>
              <w:tab w:val="clear" w:pos="8176"/>
              <w:tab w:val="right" w:pos="9026" w:leader="dot"/>
            </w:tabs>
            <w:rPr/>
          </w:pPr>
          <w:hyperlink w:anchor="__RefHeading___Toc2055595_2322387425">
            <w:r>
              <w:rPr>
                <w:webHidden/>
                <w:rStyle w:val="IndexLink"/>
                <w:rtl w:val="true"/>
              </w:rPr>
              <w:t>الخامس</w:t>
            </w:r>
            <w:r>
              <w:rPr>
                <w:rStyle w:val="IndexLink"/>
                <w:rtl w:val="true"/>
              </w:rPr>
              <w:t xml:space="preserve">: </w:t>
            </w:r>
            <w:r>
              <w:rPr>
                <w:rStyle w:val="IndexLink"/>
                <w:rtl w:val="true"/>
              </w:rPr>
              <w:t>معرفة أعمال الحجّ</w:t>
            </w:r>
            <w:r>
              <w:rPr>
                <w:rStyle w:val="IndexLink"/>
                <w:rtl w:val="true"/>
              </w:rPr>
              <w:tab/>
            </w:r>
            <w:r>
              <w:rPr>
                <w:rStyle w:val="IndexLink"/>
              </w:rPr>
              <w:t>118</w:t>
            </w:r>
          </w:hyperlink>
        </w:p>
        <w:p>
          <w:pPr>
            <w:pStyle w:val="Contents4"/>
            <w:tabs>
              <w:tab w:val="clear" w:pos="8176"/>
              <w:tab w:val="right" w:pos="9026" w:leader="dot"/>
            </w:tabs>
            <w:rPr/>
          </w:pPr>
          <w:hyperlink w:anchor="__RefHeading___Toc2055597_2322387425">
            <w:r>
              <w:rPr>
                <w:webHidden/>
                <w:rStyle w:val="IndexLink"/>
                <w:rtl w:val="true"/>
              </w:rPr>
              <w:t>السادس</w:t>
            </w:r>
            <w:r>
              <w:rPr>
                <w:rStyle w:val="IndexLink"/>
                <w:rtl w:val="true"/>
              </w:rPr>
              <w:t xml:space="preserve">: </w:t>
            </w:r>
            <w:r>
              <w:rPr>
                <w:rStyle w:val="IndexLink"/>
                <w:rtl w:val="true"/>
              </w:rPr>
              <w:t>عدم اشتغال ذمّة النائب بحجٍّ آخر</w:t>
            </w:r>
            <w:r>
              <w:rPr>
                <w:rStyle w:val="IndexLink"/>
                <w:rtl w:val="true"/>
              </w:rPr>
              <w:tab/>
            </w:r>
            <w:r>
              <w:rPr>
                <w:rStyle w:val="IndexLink"/>
              </w:rPr>
              <w:t>118</w:t>
            </w:r>
          </w:hyperlink>
        </w:p>
        <w:p>
          <w:pPr>
            <w:pStyle w:val="Contents4"/>
            <w:tabs>
              <w:tab w:val="clear" w:pos="8176"/>
              <w:tab w:val="right" w:pos="9026" w:leader="dot"/>
            </w:tabs>
            <w:rPr/>
          </w:pPr>
          <w:hyperlink w:anchor="__RefHeading___Toc2055599_2322387425">
            <w:r>
              <w:rPr>
                <w:webHidden/>
                <w:rStyle w:val="IndexLink"/>
                <w:rtl w:val="true"/>
              </w:rPr>
              <w:t>صحّة نیابة المملوک بإذن مولاه</w:t>
            </w:r>
            <w:r>
              <w:rPr>
                <w:rStyle w:val="IndexLink"/>
                <w:rtl w:val="true"/>
              </w:rPr>
              <w:tab/>
            </w:r>
            <w:r>
              <w:rPr>
                <w:rStyle w:val="IndexLink"/>
              </w:rPr>
              <w:t>121</w:t>
            </w:r>
          </w:hyperlink>
        </w:p>
        <w:p>
          <w:pPr>
            <w:pStyle w:val="Contents4"/>
            <w:tabs>
              <w:tab w:val="clear" w:pos="8176"/>
              <w:tab w:val="right" w:pos="9026" w:leader="dot"/>
            </w:tabs>
            <w:rPr/>
          </w:pPr>
          <w:hyperlink w:anchor="__RefHeading___Toc2055601_2322387425">
            <w:r>
              <w:rPr>
                <w:webHidden/>
                <w:rStyle w:val="IndexLink"/>
                <w:rtl w:val="true"/>
              </w:rPr>
              <w:t>اشتراط الإسلام فی المنوب عنه</w:t>
            </w:r>
            <w:r>
              <w:rPr>
                <w:rStyle w:val="IndexLink"/>
                <w:rtl w:val="true"/>
              </w:rPr>
              <w:tab/>
            </w:r>
            <w:r>
              <w:rPr>
                <w:rStyle w:val="IndexLink"/>
              </w:rPr>
              <w:t>121</w:t>
            </w:r>
          </w:hyperlink>
        </w:p>
        <w:p>
          <w:pPr>
            <w:pStyle w:val="Contents4"/>
            <w:tabs>
              <w:tab w:val="clear" w:pos="8176"/>
              <w:tab w:val="right" w:pos="9026" w:leader="dot"/>
            </w:tabs>
            <w:rPr/>
          </w:pPr>
          <w:hyperlink w:anchor="__RefHeading___Toc2055603_2322387425">
            <w:r>
              <w:rPr>
                <w:webHidden/>
                <w:rStyle w:val="IndexLink"/>
                <w:rtl w:val="true"/>
              </w:rPr>
              <w:t>حکم الحجّ عن الصبیّ الممیّز والمجنون</w:t>
            </w:r>
            <w:r>
              <w:rPr>
                <w:rStyle w:val="IndexLink"/>
                <w:rtl w:val="true"/>
              </w:rPr>
              <w:tab/>
            </w:r>
            <w:r>
              <w:rPr>
                <w:rStyle w:val="IndexLink"/>
              </w:rPr>
              <w:t>124</w:t>
            </w:r>
          </w:hyperlink>
        </w:p>
        <w:p>
          <w:pPr>
            <w:pStyle w:val="Contents4"/>
            <w:tabs>
              <w:tab w:val="clear" w:pos="8176"/>
              <w:tab w:val="right" w:pos="9026" w:leader="dot"/>
            </w:tabs>
            <w:rPr/>
          </w:pPr>
          <w:hyperlink w:anchor="__RefHeading___Toc2055605_2322387425">
            <w:r>
              <w:rPr>
                <w:webHidden/>
                <w:rStyle w:val="IndexLink"/>
                <w:rtl w:val="true"/>
              </w:rPr>
              <w:t>شرطیّة المماثلة بین النائب والمنوب عنه</w:t>
            </w:r>
            <w:r>
              <w:rPr>
                <w:rStyle w:val="IndexLink"/>
                <w:rtl w:val="true"/>
              </w:rPr>
              <w:tab/>
            </w:r>
            <w:r>
              <w:rPr>
                <w:rStyle w:val="IndexLink"/>
              </w:rPr>
              <w:t>124</w:t>
            </w:r>
          </w:hyperlink>
        </w:p>
        <w:p>
          <w:pPr>
            <w:pStyle w:val="Contents4"/>
            <w:tabs>
              <w:tab w:val="clear" w:pos="8176"/>
              <w:tab w:val="right" w:pos="9026" w:leader="dot"/>
            </w:tabs>
            <w:rPr/>
          </w:pPr>
          <w:hyperlink w:anchor="__RefHeading___Toc2055607_2322387425">
            <w:r>
              <w:rPr>
                <w:webHidden/>
                <w:rStyle w:val="IndexLink"/>
                <w:rtl w:val="true"/>
              </w:rPr>
              <w:t>حکم استنابة الصرورة</w:t>
            </w:r>
            <w:r>
              <w:rPr>
                <w:rStyle w:val="IndexLink"/>
                <w:rtl w:val="true"/>
              </w:rPr>
              <w:tab/>
            </w:r>
            <w:r>
              <w:rPr>
                <w:rStyle w:val="IndexLink"/>
              </w:rPr>
              <w:t>124</w:t>
            </w:r>
          </w:hyperlink>
        </w:p>
        <w:p>
          <w:pPr>
            <w:pStyle w:val="Contents4"/>
            <w:tabs>
              <w:tab w:val="clear" w:pos="8176"/>
              <w:tab w:val="right" w:pos="9026" w:leader="dot"/>
            </w:tabs>
            <w:rPr/>
          </w:pPr>
          <w:hyperlink w:anchor="__RefHeading___Toc2055609_2322387425">
            <w:r>
              <w:rPr>
                <w:webHidden/>
                <w:rStyle w:val="IndexLink"/>
                <w:rtl w:val="true"/>
              </w:rPr>
              <w:t>اعتبار قصد النیابة وتعیین المنوب عنه</w:t>
            </w:r>
            <w:r>
              <w:rPr>
                <w:rStyle w:val="IndexLink"/>
                <w:rtl w:val="true"/>
              </w:rPr>
              <w:tab/>
            </w:r>
            <w:r>
              <w:rPr>
                <w:rStyle w:val="IndexLink"/>
              </w:rPr>
              <w:t>126</w:t>
            </w:r>
          </w:hyperlink>
        </w:p>
        <w:p>
          <w:pPr>
            <w:pStyle w:val="Contents4"/>
            <w:tabs>
              <w:tab w:val="clear" w:pos="8176"/>
              <w:tab w:val="right" w:pos="9026" w:leader="dot"/>
            </w:tabs>
            <w:rPr/>
          </w:pPr>
          <w:hyperlink w:anchor="__RefHeading___Toc2055611_2322387425">
            <w:r>
              <w:rPr>
                <w:webHidden/>
                <w:rStyle w:val="IndexLink"/>
                <w:rtl w:val="true"/>
              </w:rPr>
              <w:t>حصول فراغ الذمّة باتیان الحجّ لا بمجرّد الإجارة</w:t>
            </w:r>
            <w:r>
              <w:rPr>
                <w:rStyle w:val="IndexLink"/>
                <w:rtl w:val="true"/>
              </w:rPr>
              <w:tab/>
            </w:r>
            <w:r>
              <w:rPr>
                <w:rStyle w:val="IndexLink"/>
              </w:rPr>
              <w:t>126</w:t>
            </w:r>
          </w:hyperlink>
        </w:p>
        <w:p>
          <w:pPr>
            <w:pStyle w:val="Contents4"/>
            <w:tabs>
              <w:tab w:val="clear" w:pos="8176"/>
              <w:tab w:val="right" w:pos="9026" w:leader="dot"/>
            </w:tabs>
            <w:rPr/>
          </w:pPr>
          <w:hyperlink w:anchor="__RefHeading___Toc2055613_2322387425">
            <w:r>
              <w:rPr>
                <w:webHidden/>
                <w:rStyle w:val="IndexLink"/>
                <w:rtl w:val="true"/>
              </w:rPr>
              <w:t>حکم استئجار المعذور فی ترک بعض الأعمال</w:t>
            </w:r>
            <w:r>
              <w:rPr>
                <w:rStyle w:val="IndexLink"/>
                <w:rtl w:val="true"/>
              </w:rPr>
              <w:tab/>
            </w:r>
            <w:r>
              <w:rPr>
                <w:rStyle w:val="IndexLink"/>
              </w:rPr>
              <w:t>127</w:t>
            </w:r>
          </w:hyperlink>
        </w:p>
        <w:p>
          <w:pPr>
            <w:pStyle w:val="Contents4"/>
            <w:tabs>
              <w:tab w:val="clear" w:pos="8176"/>
              <w:tab w:val="right" w:pos="9026" w:leader="dot"/>
            </w:tabs>
            <w:rPr/>
          </w:pPr>
          <w:hyperlink w:anchor="__RefHeading___Toc2055615_2322387425">
            <w:r>
              <w:rPr>
                <w:webHidden/>
                <w:rStyle w:val="IndexLink"/>
                <w:rtl w:val="true"/>
              </w:rPr>
              <w:t>صور موت النائب قبل الإتیان بالمناسک</w:t>
            </w:r>
            <w:r>
              <w:rPr>
                <w:rStyle w:val="IndexLink"/>
                <w:rtl w:val="true"/>
              </w:rPr>
              <w:tab/>
            </w:r>
            <w:r>
              <w:rPr>
                <w:rStyle w:val="IndexLink"/>
              </w:rPr>
              <w:t>127</w:t>
            </w:r>
          </w:hyperlink>
        </w:p>
        <w:p>
          <w:pPr>
            <w:pStyle w:val="Contents4"/>
            <w:tabs>
              <w:tab w:val="clear" w:pos="8176"/>
              <w:tab w:val="right" w:pos="9026" w:leader="dot"/>
            </w:tabs>
            <w:rPr/>
          </w:pPr>
          <w:hyperlink w:anchor="__RefHeading___Toc2055617_2322387425">
            <w:r>
              <w:rPr>
                <w:webHidden/>
                <w:rStyle w:val="IndexLink"/>
                <w:rtl w:val="true"/>
              </w:rPr>
              <w:t>التفصیل فی استحقاق اُجرة النائب المتوفی فی المناسک</w:t>
            </w:r>
            <w:r>
              <w:rPr>
                <w:rStyle w:val="IndexLink"/>
                <w:rtl w:val="true"/>
              </w:rPr>
              <w:tab/>
            </w:r>
            <w:r>
              <w:rPr>
                <w:rStyle w:val="IndexLink"/>
              </w:rPr>
              <w:t>129</w:t>
            </w:r>
          </w:hyperlink>
        </w:p>
        <w:p>
          <w:pPr>
            <w:pStyle w:val="Contents4"/>
            <w:tabs>
              <w:tab w:val="clear" w:pos="8176"/>
              <w:tab w:val="right" w:pos="9026" w:leader="dot"/>
            </w:tabs>
            <w:rPr/>
          </w:pPr>
          <w:hyperlink w:anchor="__RefHeading___Toc2055619_2322387425">
            <w:r>
              <w:rPr>
                <w:webHidden/>
                <w:rStyle w:val="IndexLink"/>
                <w:rtl w:val="true"/>
              </w:rPr>
              <w:t>تعیین نوع الحجّ المستأجر علیه</w:t>
            </w:r>
            <w:r>
              <w:rPr>
                <w:rStyle w:val="IndexLink"/>
                <w:rtl w:val="true"/>
              </w:rPr>
              <w:tab/>
            </w:r>
            <w:r>
              <w:rPr>
                <w:rStyle w:val="IndexLink"/>
              </w:rPr>
              <w:t>140</w:t>
            </w:r>
          </w:hyperlink>
        </w:p>
        <w:p>
          <w:pPr>
            <w:pStyle w:val="Contents4"/>
            <w:tabs>
              <w:tab w:val="clear" w:pos="8176"/>
              <w:tab w:val="right" w:pos="9026" w:leader="dot"/>
            </w:tabs>
            <w:rPr/>
          </w:pPr>
          <w:hyperlink w:anchor="__RefHeading___Toc2055621_2322387425">
            <w:r>
              <w:rPr>
                <w:webHidden/>
                <w:rStyle w:val="IndexLink"/>
                <w:rtl w:val="true"/>
              </w:rPr>
              <w:t>عدم اعتبار تعیین الطریق والحکم فی صورة التعیین</w:t>
            </w:r>
            <w:r>
              <w:rPr>
                <w:rStyle w:val="IndexLink"/>
                <w:rtl w:val="true"/>
              </w:rPr>
              <w:tab/>
            </w:r>
            <w:r>
              <w:rPr>
                <w:rStyle w:val="IndexLink"/>
              </w:rPr>
              <w:t>144</w:t>
            </w:r>
          </w:hyperlink>
        </w:p>
        <w:p>
          <w:pPr>
            <w:pStyle w:val="Contents4"/>
            <w:tabs>
              <w:tab w:val="clear" w:pos="8176"/>
              <w:tab w:val="right" w:pos="9026" w:leader="dot"/>
            </w:tabs>
            <w:rPr/>
          </w:pPr>
          <w:hyperlink w:anchor="__RefHeading___Toc2055623_2322387425">
            <w:r>
              <w:rPr>
                <w:webHidden/>
                <w:rStyle w:val="IndexLink"/>
                <w:rtl w:val="true"/>
              </w:rPr>
              <w:t>الإجارة للحجّ مرّتین فی سنة</w:t>
            </w:r>
            <w:r>
              <w:rPr>
                <w:rStyle w:val="IndexLink"/>
                <w:rtl w:val="true"/>
              </w:rPr>
              <w:tab/>
            </w:r>
            <w:r>
              <w:rPr>
                <w:rStyle w:val="IndexLink"/>
              </w:rPr>
              <w:t>149</w:t>
            </w:r>
          </w:hyperlink>
        </w:p>
        <w:p>
          <w:pPr>
            <w:pStyle w:val="Contents4"/>
            <w:tabs>
              <w:tab w:val="clear" w:pos="8176"/>
              <w:tab w:val="right" w:pos="9026" w:leader="dot"/>
            </w:tabs>
            <w:rPr/>
          </w:pPr>
          <w:hyperlink w:anchor="__RefHeading___Toc2055625_2322387425">
            <w:r>
              <w:rPr>
                <w:webHidden/>
                <w:rStyle w:val="IndexLink"/>
                <w:rtl w:val="true"/>
              </w:rPr>
              <w:t>اقتران الإجارتین للحجّ</w:t>
            </w:r>
            <w:r>
              <w:rPr>
                <w:rStyle w:val="IndexLink"/>
                <w:rtl w:val="true"/>
              </w:rPr>
              <w:tab/>
            </w:r>
            <w:r>
              <w:rPr>
                <w:rStyle w:val="IndexLink"/>
              </w:rPr>
              <w:t>151</w:t>
            </w:r>
          </w:hyperlink>
        </w:p>
        <w:p>
          <w:pPr>
            <w:pStyle w:val="Contents4"/>
            <w:tabs>
              <w:tab w:val="clear" w:pos="8176"/>
              <w:tab w:val="right" w:pos="9026" w:leader="dot"/>
            </w:tabs>
            <w:rPr/>
          </w:pPr>
          <w:hyperlink w:anchor="__RefHeading___Toc2055627_2322387425">
            <w:r>
              <w:rPr>
                <w:webHidden/>
                <w:rStyle w:val="IndexLink"/>
                <w:rtl w:val="true"/>
              </w:rPr>
              <w:t>تأخیر حجّ الإجارة أو تقدیمه</w:t>
            </w:r>
            <w:r>
              <w:rPr>
                <w:rStyle w:val="IndexLink"/>
                <w:rtl w:val="true"/>
              </w:rPr>
              <w:tab/>
            </w:r>
            <w:r>
              <w:rPr>
                <w:rStyle w:val="IndexLink"/>
              </w:rPr>
              <w:t>152</w:t>
            </w:r>
          </w:hyperlink>
        </w:p>
        <w:p>
          <w:pPr>
            <w:pStyle w:val="Contents4"/>
            <w:tabs>
              <w:tab w:val="clear" w:pos="8176"/>
              <w:tab w:val="right" w:pos="9026" w:leader="dot"/>
            </w:tabs>
            <w:rPr/>
          </w:pPr>
          <w:hyperlink w:anchor="__RefHeading___Toc2055629_2322387425">
            <w:r>
              <w:rPr>
                <w:webHidden/>
                <w:rStyle w:val="IndexLink"/>
                <w:rtl w:val="true"/>
              </w:rPr>
              <w:t>تصحیح الإجارة الثانیة ببعض الوجوه</w:t>
            </w:r>
            <w:r>
              <w:rPr>
                <w:rStyle w:val="IndexLink"/>
                <w:rtl w:val="true"/>
              </w:rPr>
              <w:tab/>
            </w:r>
            <w:r>
              <w:rPr>
                <w:rStyle w:val="IndexLink"/>
              </w:rPr>
              <w:t>155</w:t>
            </w:r>
          </w:hyperlink>
        </w:p>
        <w:p>
          <w:pPr>
            <w:pStyle w:val="Contents4"/>
            <w:tabs>
              <w:tab w:val="clear" w:pos="8176"/>
              <w:tab w:val="right" w:pos="9026" w:leader="dot"/>
            </w:tabs>
            <w:rPr/>
          </w:pPr>
          <w:hyperlink w:anchor="__RefHeading___Toc2055631_2322387425">
            <w:r>
              <w:rPr>
                <w:webHidden/>
                <w:rStyle w:val="IndexLink"/>
                <w:rtl w:val="true"/>
              </w:rPr>
              <w:t>صدّ الأجیر أو إحصاره</w:t>
            </w:r>
            <w:r>
              <w:rPr>
                <w:rStyle w:val="IndexLink"/>
                <w:rtl w:val="true"/>
              </w:rPr>
              <w:tab/>
            </w:r>
            <w:r>
              <w:rPr>
                <w:rStyle w:val="IndexLink"/>
              </w:rPr>
              <w:t>160</w:t>
            </w:r>
          </w:hyperlink>
        </w:p>
        <w:p>
          <w:pPr>
            <w:pStyle w:val="Contents4"/>
            <w:tabs>
              <w:tab w:val="clear" w:pos="8176"/>
              <w:tab w:val="right" w:pos="9026" w:leader="dot"/>
            </w:tabs>
            <w:rPr/>
          </w:pPr>
          <w:hyperlink w:anchor="__RefHeading___Toc2055633_2322387425">
            <w:r>
              <w:rPr>
                <w:webHidden/>
                <w:rStyle w:val="IndexLink"/>
                <w:rtl w:val="true"/>
              </w:rPr>
              <w:t>هل یتحمّل النائب موجب الکفّارة؟</w:t>
            </w:r>
            <w:r>
              <w:rPr>
                <w:rStyle w:val="IndexLink"/>
                <w:rtl w:val="true"/>
              </w:rPr>
              <w:tab/>
            </w:r>
            <w:r>
              <w:rPr>
                <w:rStyle w:val="IndexLink"/>
              </w:rPr>
              <w:t>162</w:t>
            </w:r>
          </w:hyperlink>
        </w:p>
        <w:p>
          <w:pPr>
            <w:pStyle w:val="Contents4"/>
            <w:tabs>
              <w:tab w:val="clear" w:pos="8176"/>
              <w:tab w:val="right" w:pos="9026" w:leader="dot"/>
            </w:tabs>
            <w:rPr/>
          </w:pPr>
          <w:hyperlink w:anchor="__RefHeading___Toc2055635_2322387425">
            <w:r>
              <w:rPr>
                <w:webHidden/>
                <w:rStyle w:val="IndexLink"/>
                <w:rtl w:val="true"/>
              </w:rPr>
              <w:t>اقتضاء الإجارة التعجیل</w:t>
            </w:r>
            <w:r>
              <w:rPr>
                <w:rStyle w:val="IndexLink"/>
                <w:rtl w:val="true"/>
              </w:rPr>
              <w:tab/>
            </w:r>
            <w:r>
              <w:rPr>
                <w:rStyle w:val="IndexLink"/>
              </w:rPr>
              <w:t>162</w:t>
            </w:r>
          </w:hyperlink>
        </w:p>
        <w:p>
          <w:pPr>
            <w:pStyle w:val="Contents4"/>
            <w:tabs>
              <w:tab w:val="clear" w:pos="8176"/>
              <w:tab w:val="right" w:pos="9026" w:leader="dot"/>
            </w:tabs>
            <w:rPr/>
          </w:pPr>
          <w:hyperlink w:anchor="__RefHeading___Toc2055637_2322387425">
            <w:r>
              <w:rPr>
                <w:webHidden/>
                <w:rStyle w:val="IndexLink"/>
                <w:rtl w:val="true"/>
              </w:rPr>
              <w:t>استحباب ردّ الأجیر الزائد من الاُجرة أو التتمیم</w:t>
            </w:r>
            <w:r>
              <w:rPr>
                <w:rStyle w:val="IndexLink"/>
                <w:rtl w:val="true"/>
              </w:rPr>
              <w:tab/>
            </w:r>
            <w:r>
              <w:rPr>
                <w:rStyle w:val="IndexLink"/>
              </w:rPr>
              <w:t>163</w:t>
            </w:r>
          </w:hyperlink>
        </w:p>
        <w:p>
          <w:pPr>
            <w:pStyle w:val="Contents4"/>
            <w:tabs>
              <w:tab w:val="clear" w:pos="8176"/>
              <w:tab w:val="right" w:pos="9026" w:leader="dot"/>
            </w:tabs>
            <w:rPr/>
          </w:pPr>
          <w:hyperlink w:anchor="__RefHeading___Toc2055639_2322387425">
            <w:r>
              <w:rPr>
                <w:webHidden/>
                <w:rStyle w:val="IndexLink"/>
                <w:rtl w:val="true"/>
              </w:rPr>
              <w:t>حکم إفساد الأجیر حجّه</w:t>
            </w:r>
            <w:r>
              <w:rPr>
                <w:rStyle w:val="IndexLink"/>
                <w:rtl w:val="true"/>
              </w:rPr>
              <w:tab/>
            </w:r>
            <w:r>
              <w:rPr>
                <w:rStyle w:val="IndexLink"/>
              </w:rPr>
              <w:t>164</w:t>
            </w:r>
          </w:hyperlink>
        </w:p>
        <w:p>
          <w:pPr>
            <w:pStyle w:val="Contents4"/>
            <w:tabs>
              <w:tab w:val="clear" w:pos="8176"/>
              <w:tab w:val="right" w:pos="9026" w:leader="dot"/>
            </w:tabs>
            <w:rPr/>
          </w:pPr>
          <w:hyperlink w:anchor="__RefHeading___Toc2055641_2322387425">
            <w:r>
              <w:rPr>
                <w:webHidden/>
                <w:rStyle w:val="IndexLink"/>
                <w:rtl w:val="true"/>
              </w:rPr>
              <w:t>زمان ملکیّة الأجیر الاُجرة</w:t>
            </w:r>
            <w:r>
              <w:rPr>
                <w:rStyle w:val="IndexLink"/>
                <w:rtl w:val="true"/>
              </w:rPr>
              <w:tab/>
            </w:r>
            <w:r>
              <w:rPr>
                <w:rStyle w:val="IndexLink"/>
              </w:rPr>
              <w:t>170</w:t>
            </w:r>
          </w:hyperlink>
        </w:p>
        <w:p>
          <w:pPr>
            <w:pStyle w:val="Contents4"/>
            <w:tabs>
              <w:tab w:val="clear" w:pos="8176"/>
              <w:tab w:val="right" w:pos="9026" w:leader="dot"/>
            </w:tabs>
            <w:rPr/>
          </w:pPr>
          <w:hyperlink w:anchor="__RefHeading___Toc2055643_2322387425">
            <w:r>
              <w:rPr>
                <w:webHidden/>
                <w:rStyle w:val="IndexLink"/>
                <w:rtl w:val="true"/>
              </w:rPr>
              <w:t>إقتضاء الإجارة المباشرة</w:t>
            </w:r>
            <w:r>
              <w:rPr>
                <w:rStyle w:val="IndexLink"/>
                <w:rtl w:val="true"/>
              </w:rPr>
              <w:tab/>
            </w:r>
            <w:r>
              <w:rPr>
                <w:rStyle w:val="IndexLink"/>
              </w:rPr>
              <w:t>174</w:t>
            </w:r>
          </w:hyperlink>
        </w:p>
        <w:p>
          <w:pPr>
            <w:pStyle w:val="Contents4"/>
            <w:tabs>
              <w:tab w:val="clear" w:pos="8176"/>
              <w:tab w:val="right" w:pos="9026" w:leader="dot"/>
            </w:tabs>
            <w:rPr/>
          </w:pPr>
          <w:hyperlink w:anchor="__RefHeading___Toc2055645_2322387425">
            <w:r>
              <w:rPr>
                <w:webHidden/>
                <w:rStyle w:val="IndexLink"/>
                <w:rtl w:val="true"/>
              </w:rPr>
              <w:t>استئجار من ضاق وقته عن إتمام حجّ التمتّع</w:t>
            </w:r>
            <w:r>
              <w:rPr>
                <w:rStyle w:val="IndexLink"/>
                <w:rtl w:val="true"/>
              </w:rPr>
              <w:tab/>
            </w:r>
            <w:r>
              <w:rPr>
                <w:rStyle w:val="IndexLink"/>
              </w:rPr>
              <w:t>175</w:t>
            </w:r>
          </w:hyperlink>
        </w:p>
        <w:p>
          <w:pPr>
            <w:pStyle w:val="Contents4"/>
            <w:tabs>
              <w:tab w:val="clear" w:pos="8176"/>
              <w:tab w:val="right" w:pos="9026" w:leader="dot"/>
            </w:tabs>
            <w:rPr/>
          </w:pPr>
          <w:hyperlink w:anchor="__RefHeading___Toc2055647_2322387425">
            <w:r>
              <w:rPr>
                <w:webHidden/>
                <w:rStyle w:val="IndexLink"/>
                <w:rtl w:val="true"/>
              </w:rPr>
              <w:t>التبرّع بالحجّ عن المیّت والحیّ</w:t>
            </w:r>
            <w:r>
              <w:rPr>
                <w:rStyle w:val="IndexLink"/>
                <w:rtl w:val="true"/>
              </w:rPr>
              <w:tab/>
            </w:r>
            <w:r>
              <w:rPr>
                <w:rStyle w:val="IndexLink"/>
              </w:rPr>
              <w:t>179</w:t>
            </w:r>
          </w:hyperlink>
        </w:p>
        <w:p>
          <w:pPr>
            <w:pStyle w:val="Contents4"/>
            <w:tabs>
              <w:tab w:val="clear" w:pos="8176"/>
              <w:tab w:val="right" w:pos="9026" w:leader="dot"/>
            </w:tabs>
            <w:rPr/>
          </w:pPr>
          <w:hyperlink w:anchor="__RefHeading___Toc2055649_2322387425">
            <w:r>
              <w:rPr>
                <w:webHidden/>
                <w:rStyle w:val="IndexLink"/>
                <w:rtl w:val="true"/>
              </w:rPr>
              <w:t>نیابة شخص عن اثنین أو أزید فی عام واحد</w:t>
            </w:r>
            <w:r>
              <w:rPr>
                <w:rStyle w:val="IndexLink"/>
                <w:rtl w:val="true"/>
              </w:rPr>
              <w:tab/>
            </w:r>
            <w:r>
              <w:rPr>
                <w:rStyle w:val="IndexLink"/>
              </w:rPr>
              <w:t>182</w:t>
            </w:r>
          </w:hyperlink>
        </w:p>
        <w:p>
          <w:pPr>
            <w:pStyle w:val="Contents4"/>
            <w:tabs>
              <w:tab w:val="clear" w:pos="8176"/>
              <w:tab w:val="right" w:pos="9026" w:leader="dot"/>
            </w:tabs>
            <w:rPr/>
          </w:pPr>
          <w:hyperlink w:anchor="__RefHeading___Toc2055651_2322387425">
            <w:r>
              <w:rPr>
                <w:webHidden/>
                <w:rStyle w:val="IndexLink"/>
                <w:rtl w:val="true"/>
              </w:rPr>
              <w:t>نیابة جماعة عن المیّت أو الحیّ فی عامٍ واحد</w:t>
            </w:r>
            <w:r>
              <w:rPr>
                <w:rStyle w:val="IndexLink"/>
                <w:rtl w:val="true"/>
              </w:rPr>
              <w:tab/>
            </w:r>
            <w:r>
              <w:rPr>
                <w:rStyle w:val="IndexLink"/>
              </w:rPr>
              <w:t>184</w:t>
            </w:r>
          </w:hyperlink>
        </w:p>
        <w:p>
          <w:pPr>
            <w:pStyle w:val="Contents3"/>
            <w:tabs>
              <w:tab w:val="clear" w:pos="8459"/>
              <w:tab w:val="right" w:pos="9026" w:leader="dot"/>
            </w:tabs>
            <w:rPr/>
          </w:pPr>
          <w:hyperlink w:anchor="__RefHeading___Toc2055653_2322387425">
            <w:r>
              <w:rPr>
                <w:webHidden/>
                <w:rStyle w:val="IndexLink"/>
                <w:rtl w:val="true"/>
              </w:rPr>
              <w:t>فصل</w:t>
            </w:r>
            <w:r>
              <w:rPr>
                <w:rStyle w:val="IndexLink"/>
                <w:rtl w:val="true"/>
              </w:rPr>
              <w:t xml:space="preserve">: </w:t>
            </w:r>
            <w:r>
              <w:rPr>
                <w:rStyle w:val="IndexLink"/>
                <w:rtl w:val="true"/>
              </w:rPr>
              <w:t>فی الوصیّة بالحجّ</w:t>
            </w:r>
            <w:r>
              <w:rPr>
                <w:rStyle w:val="IndexLink"/>
                <w:rtl w:val="true"/>
              </w:rPr>
              <w:tab/>
            </w:r>
            <w:r>
              <w:rPr>
                <w:rStyle w:val="IndexLink"/>
              </w:rPr>
              <w:t>186</w:t>
            </w:r>
          </w:hyperlink>
        </w:p>
        <w:p>
          <w:pPr>
            <w:pStyle w:val="Contents4"/>
            <w:tabs>
              <w:tab w:val="clear" w:pos="8176"/>
              <w:tab w:val="right" w:pos="9026" w:leader="dot"/>
            </w:tabs>
            <w:rPr/>
          </w:pPr>
          <w:hyperlink w:anchor="__RefHeading___Toc2055655_2322387425">
            <w:r>
              <w:rPr>
                <w:webHidden/>
                <w:rStyle w:val="IndexLink"/>
                <w:rtl w:val="true"/>
              </w:rPr>
              <w:t>إخراج الحجّ الموصی به من الأصل أو الثلث</w:t>
            </w:r>
            <w:r>
              <w:rPr>
                <w:rStyle w:val="IndexLink"/>
                <w:rtl w:val="true"/>
              </w:rPr>
              <w:tab/>
            </w:r>
            <w:r>
              <w:rPr>
                <w:rStyle w:val="IndexLink"/>
              </w:rPr>
              <w:t>186</w:t>
            </w:r>
          </w:hyperlink>
        </w:p>
        <w:p>
          <w:pPr>
            <w:pStyle w:val="Contents4"/>
            <w:tabs>
              <w:tab w:val="clear" w:pos="8176"/>
              <w:tab w:val="right" w:pos="9026" w:leader="dot"/>
            </w:tabs>
            <w:rPr/>
          </w:pPr>
          <w:hyperlink w:anchor="__RefHeading___Toc2055657_2322387425">
            <w:r>
              <w:rPr>
                <w:webHidden/>
                <w:rStyle w:val="IndexLink"/>
                <w:rtl w:val="true"/>
              </w:rPr>
              <w:t>الشکّ فی الموصی به</w:t>
            </w:r>
            <w:r>
              <w:rPr>
                <w:rStyle w:val="IndexLink"/>
                <w:rtl w:val="true"/>
              </w:rPr>
              <w:tab/>
            </w:r>
            <w:r>
              <w:rPr>
                <w:rStyle w:val="IndexLink"/>
              </w:rPr>
              <w:t>188</w:t>
            </w:r>
          </w:hyperlink>
        </w:p>
        <w:p>
          <w:pPr>
            <w:pStyle w:val="Contents4"/>
            <w:tabs>
              <w:tab w:val="clear" w:pos="8176"/>
              <w:tab w:val="right" w:pos="9026" w:leader="dot"/>
            </w:tabs>
            <w:rPr/>
          </w:pPr>
          <w:hyperlink w:anchor="__RefHeading___Toc2055659_2322387425">
            <w:r>
              <w:rPr>
                <w:webHidden/>
                <w:rStyle w:val="IndexLink"/>
                <w:rtl w:val="true"/>
              </w:rPr>
              <w:t>العلم بالوجوب والشکّ فی الأداء</w:t>
            </w:r>
            <w:r>
              <w:rPr>
                <w:rStyle w:val="IndexLink"/>
                <w:rtl w:val="true"/>
              </w:rPr>
              <w:tab/>
            </w:r>
            <w:r>
              <w:rPr>
                <w:rStyle w:val="IndexLink"/>
              </w:rPr>
              <w:t>191</w:t>
            </w:r>
          </w:hyperlink>
        </w:p>
        <w:p>
          <w:pPr>
            <w:pStyle w:val="Contents4"/>
            <w:tabs>
              <w:tab w:val="clear" w:pos="8176"/>
              <w:tab w:val="right" w:pos="9026" w:leader="dot"/>
            </w:tabs>
            <w:rPr/>
          </w:pPr>
          <w:hyperlink w:anchor="__RefHeading___Toc2055661_2322387425">
            <w:r>
              <w:rPr>
                <w:webHidden/>
                <w:rStyle w:val="IndexLink"/>
                <w:rtl w:val="true"/>
              </w:rPr>
              <w:t>کفایة المیقاتیّة مع إطلاق الوصیّة بالحجّ</w:t>
            </w:r>
            <w:r>
              <w:rPr>
                <w:rStyle w:val="IndexLink"/>
                <w:rtl w:val="true"/>
              </w:rPr>
              <w:tab/>
            </w:r>
            <w:r>
              <w:rPr>
                <w:rStyle w:val="IndexLink"/>
              </w:rPr>
              <w:t>193</w:t>
            </w:r>
          </w:hyperlink>
        </w:p>
        <w:p>
          <w:pPr>
            <w:pStyle w:val="Contents4"/>
            <w:tabs>
              <w:tab w:val="clear" w:pos="8176"/>
              <w:tab w:val="right" w:pos="9026" w:leader="dot"/>
            </w:tabs>
            <w:rPr/>
          </w:pPr>
          <w:hyperlink w:anchor="__RefHeading___Toc2055663_2322387425">
            <w:r>
              <w:rPr>
                <w:webHidden/>
                <w:rStyle w:val="IndexLink"/>
                <w:rtl w:val="true"/>
              </w:rPr>
              <w:t>تعیین اُجرة الحجّ الموصی به</w:t>
            </w:r>
            <w:r>
              <w:rPr>
                <w:rStyle w:val="IndexLink"/>
                <w:rtl w:val="true"/>
              </w:rPr>
              <w:tab/>
            </w:r>
            <w:r>
              <w:rPr>
                <w:rStyle w:val="IndexLink"/>
              </w:rPr>
              <w:t>194</w:t>
            </w:r>
          </w:hyperlink>
        </w:p>
        <w:p>
          <w:pPr>
            <w:pStyle w:val="Contents4"/>
            <w:tabs>
              <w:tab w:val="clear" w:pos="8176"/>
              <w:tab w:val="right" w:pos="9026" w:leader="dot"/>
            </w:tabs>
            <w:rPr/>
          </w:pPr>
          <w:hyperlink w:anchor="__RefHeading___Toc2055665_2322387425">
            <w:r>
              <w:rPr>
                <w:webHidden/>
                <w:rStyle w:val="IndexLink"/>
                <w:rtl w:val="true"/>
              </w:rPr>
              <w:t>ملاحظة شأن المیّت فی الاستئجار للحجّ</w:t>
            </w:r>
            <w:r>
              <w:rPr>
                <w:rStyle w:val="IndexLink"/>
                <w:rtl w:val="true"/>
              </w:rPr>
              <w:tab/>
            </w:r>
            <w:r>
              <w:rPr>
                <w:rStyle w:val="IndexLink"/>
              </w:rPr>
              <w:t>199</w:t>
            </w:r>
          </w:hyperlink>
        </w:p>
        <w:p>
          <w:pPr>
            <w:pStyle w:val="Contents4"/>
            <w:tabs>
              <w:tab w:val="clear" w:pos="8176"/>
              <w:tab w:val="right" w:pos="9026" w:leader="dot"/>
            </w:tabs>
            <w:rPr/>
          </w:pPr>
          <w:hyperlink w:anchor="__RefHeading___Toc2055667_2322387425">
            <w:r>
              <w:rPr>
                <w:webHidden/>
                <w:rStyle w:val="IndexLink"/>
                <w:rtl w:val="true"/>
              </w:rPr>
              <w:t>الوصیّة بالحجّ بعدد معیّن وبلا عدد</w:t>
            </w:r>
            <w:r>
              <w:rPr>
                <w:rStyle w:val="IndexLink"/>
                <w:rtl w:val="true"/>
              </w:rPr>
              <w:tab/>
            </w:r>
            <w:r>
              <w:rPr>
                <w:rStyle w:val="IndexLink"/>
              </w:rPr>
              <w:t>200</w:t>
            </w:r>
          </w:hyperlink>
        </w:p>
        <w:p>
          <w:pPr>
            <w:pStyle w:val="Contents4"/>
            <w:tabs>
              <w:tab w:val="clear" w:pos="8176"/>
              <w:tab w:val="right" w:pos="9026" w:leader="dot"/>
            </w:tabs>
            <w:rPr/>
          </w:pPr>
          <w:hyperlink w:anchor="__RefHeading___Toc2055669_2322387425">
            <w:r>
              <w:rPr>
                <w:webHidden/>
                <w:rStyle w:val="IndexLink"/>
                <w:rtl w:val="true"/>
              </w:rPr>
              <w:t>الوصیّة بالحجّ سنین متعدّدة مع عدم وفاء الاُجرة</w:t>
            </w:r>
            <w:r>
              <w:rPr>
                <w:rStyle w:val="IndexLink"/>
                <w:rtl w:val="true"/>
              </w:rPr>
              <w:tab/>
            </w:r>
            <w:r>
              <w:rPr>
                <w:rStyle w:val="IndexLink"/>
              </w:rPr>
              <w:t>202</w:t>
            </w:r>
          </w:hyperlink>
        </w:p>
        <w:p>
          <w:pPr>
            <w:pStyle w:val="Contents4"/>
            <w:tabs>
              <w:tab w:val="clear" w:pos="8176"/>
              <w:tab w:val="right" w:pos="9026" w:leader="dot"/>
            </w:tabs>
            <w:rPr/>
          </w:pPr>
          <w:hyperlink w:anchor="__RefHeading___Toc2055671_2322387425">
            <w:r>
              <w:rPr>
                <w:webHidden/>
                <w:rStyle w:val="IndexLink"/>
                <w:rtl w:val="true"/>
              </w:rPr>
              <w:t>الوصیّة بالحجّ بمقدار من الاُجرة</w:t>
            </w:r>
            <w:r>
              <w:rPr>
                <w:rStyle w:val="IndexLink"/>
                <w:rtl w:val="true"/>
              </w:rPr>
              <w:tab/>
            </w:r>
            <w:r>
              <w:rPr>
                <w:rStyle w:val="IndexLink"/>
              </w:rPr>
              <w:t>206</w:t>
            </w:r>
          </w:hyperlink>
        </w:p>
        <w:p>
          <w:pPr>
            <w:pStyle w:val="Contents4"/>
            <w:tabs>
              <w:tab w:val="clear" w:pos="8176"/>
              <w:tab w:val="right" w:pos="9026" w:leader="dot"/>
            </w:tabs>
            <w:rPr/>
          </w:pPr>
          <w:hyperlink w:anchor="__RefHeading___Toc2055673_2322387425">
            <w:r>
              <w:rPr>
                <w:webHidden/>
                <w:rStyle w:val="IndexLink"/>
                <w:rtl w:val="true"/>
              </w:rPr>
              <w:t>الوصیّة بالحجّ بتعیین أجیر معیّن</w:t>
            </w:r>
            <w:r>
              <w:rPr>
                <w:rStyle w:val="IndexLink"/>
                <w:rtl w:val="true"/>
              </w:rPr>
              <w:tab/>
            </w:r>
            <w:r>
              <w:rPr>
                <w:rStyle w:val="IndexLink"/>
              </w:rPr>
              <w:t>207</w:t>
            </w:r>
          </w:hyperlink>
        </w:p>
        <w:p>
          <w:pPr>
            <w:pStyle w:val="Contents4"/>
            <w:tabs>
              <w:tab w:val="clear" w:pos="8176"/>
              <w:tab w:val="right" w:pos="9026" w:leader="dot"/>
            </w:tabs>
            <w:rPr/>
          </w:pPr>
          <w:hyperlink w:anchor="__RefHeading___Toc2055675_2322387425">
            <w:r>
              <w:rPr>
                <w:webHidden/>
                <w:rStyle w:val="IndexLink"/>
                <w:rtl w:val="true"/>
              </w:rPr>
              <w:t>حکم تعیین اُجرة لا یرغب فیها راغب</w:t>
            </w:r>
            <w:r>
              <w:rPr>
                <w:rStyle w:val="IndexLink"/>
                <w:rtl w:val="true"/>
              </w:rPr>
              <w:tab/>
            </w:r>
            <w:r>
              <w:rPr>
                <w:rStyle w:val="IndexLink"/>
              </w:rPr>
              <w:t>208</w:t>
            </w:r>
          </w:hyperlink>
        </w:p>
        <w:p>
          <w:pPr>
            <w:pStyle w:val="Contents4"/>
            <w:tabs>
              <w:tab w:val="clear" w:pos="8176"/>
              <w:tab w:val="right" w:pos="9026" w:leader="dot"/>
            </w:tabs>
            <w:rPr/>
          </w:pPr>
          <w:hyperlink w:anchor="__RefHeading___Toc2055677_2322387425">
            <w:r>
              <w:rPr>
                <w:webHidden/>
                <w:rStyle w:val="IndexLink"/>
                <w:rtl w:val="true"/>
              </w:rPr>
              <w:t>حکم ما صالح علیه بشرط الحجّ عنه بعد موته</w:t>
            </w:r>
            <w:r>
              <w:rPr>
                <w:rStyle w:val="IndexLink"/>
                <w:rtl w:val="true"/>
              </w:rPr>
              <w:tab/>
            </w:r>
            <w:r>
              <w:rPr>
                <w:rStyle w:val="IndexLink"/>
              </w:rPr>
              <w:t>214</w:t>
            </w:r>
          </w:hyperlink>
        </w:p>
        <w:p>
          <w:pPr>
            <w:pStyle w:val="Contents4"/>
            <w:tabs>
              <w:tab w:val="clear" w:pos="8176"/>
              <w:tab w:val="right" w:pos="9026" w:leader="dot"/>
            </w:tabs>
            <w:rPr/>
          </w:pPr>
          <w:hyperlink w:anchor="__RefHeading___Toc2055679_2322387425">
            <w:r>
              <w:rPr>
                <w:webHidden/>
                <w:rStyle w:val="IndexLink"/>
                <w:rtl w:val="true"/>
              </w:rPr>
              <w:t>حکم الوصیّة بالحجّ عنه ماشیاً أو حافیاً </w:t>
            </w:r>
            <w:r>
              <w:rPr>
                <w:rStyle w:val="IndexLink"/>
                <w:rtl w:val="true"/>
              </w:rPr>
              <w:tab/>
            </w:r>
            <w:r>
              <w:rPr>
                <w:rStyle w:val="IndexLink"/>
              </w:rPr>
              <w:t>220</w:t>
            </w:r>
          </w:hyperlink>
        </w:p>
        <w:p>
          <w:pPr>
            <w:pStyle w:val="Contents4"/>
            <w:tabs>
              <w:tab w:val="clear" w:pos="8176"/>
              <w:tab w:val="right" w:pos="9026" w:leader="dot"/>
            </w:tabs>
            <w:rPr/>
          </w:pPr>
          <w:hyperlink w:anchor="__RefHeading___Toc2055681_2322387425">
            <w:r>
              <w:rPr>
                <w:webHidden/>
                <w:rStyle w:val="IndexLink"/>
                <w:rtl w:val="true"/>
              </w:rPr>
              <w:t>حکم الوصیّة بحجّتین أو أزید وأنّها واجبة علیه</w:t>
            </w:r>
            <w:r>
              <w:rPr>
                <w:rStyle w:val="IndexLink"/>
                <w:rtl w:val="true"/>
              </w:rPr>
              <w:tab/>
            </w:r>
            <w:r>
              <w:rPr>
                <w:rStyle w:val="IndexLink"/>
              </w:rPr>
              <w:t>222</w:t>
            </w:r>
          </w:hyperlink>
        </w:p>
        <w:p>
          <w:pPr>
            <w:pStyle w:val="Contents4"/>
            <w:tabs>
              <w:tab w:val="clear" w:pos="8176"/>
              <w:tab w:val="right" w:pos="9026" w:leader="dot"/>
            </w:tabs>
            <w:rPr/>
          </w:pPr>
          <w:hyperlink w:anchor="__RefHeading___Toc2055683_2322387425">
            <w:r>
              <w:rPr>
                <w:webHidden/>
                <w:rStyle w:val="IndexLink"/>
                <w:rtl w:val="true"/>
              </w:rPr>
              <w:t>الشکّ بعد موت الوصی فی تنفیذه الوصیّة</w:t>
            </w:r>
            <w:r>
              <w:rPr>
                <w:rStyle w:val="IndexLink"/>
                <w:rtl w:val="true"/>
              </w:rPr>
              <w:tab/>
            </w:r>
            <w:r>
              <w:rPr>
                <w:rStyle w:val="IndexLink"/>
              </w:rPr>
              <w:t>222</w:t>
            </w:r>
          </w:hyperlink>
        </w:p>
        <w:p>
          <w:pPr>
            <w:pStyle w:val="Contents4"/>
            <w:tabs>
              <w:tab w:val="clear" w:pos="8176"/>
              <w:tab w:val="right" w:pos="9026" w:leader="dot"/>
            </w:tabs>
            <w:rPr/>
          </w:pPr>
          <w:hyperlink w:anchor="__RefHeading___Toc2055685_2322387425">
            <w:r>
              <w:rPr>
                <w:webHidden/>
                <w:rStyle w:val="IndexLink"/>
                <w:rtl w:val="true"/>
              </w:rPr>
              <w:t>حکم تلف اُجرة الحجّ فی ید الوصیّ من دون تقصیر</w:t>
            </w:r>
            <w:r>
              <w:rPr>
                <w:rStyle w:val="IndexLink"/>
                <w:rtl w:val="true"/>
              </w:rPr>
              <w:tab/>
            </w:r>
            <w:r>
              <w:rPr>
                <w:rStyle w:val="IndexLink"/>
              </w:rPr>
              <w:t>225</w:t>
            </w:r>
          </w:hyperlink>
        </w:p>
        <w:p>
          <w:pPr>
            <w:pStyle w:val="Contents4"/>
            <w:tabs>
              <w:tab w:val="clear" w:pos="8176"/>
              <w:tab w:val="right" w:pos="9026" w:leader="dot"/>
            </w:tabs>
            <w:rPr/>
          </w:pPr>
          <w:hyperlink w:anchor="__RefHeading___Toc2055687_2322387425">
            <w:r>
              <w:rPr>
                <w:webHidden/>
                <w:rStyle w:val="IndexLink"/>
                <w:rtl w:val="true"/>
              </w:rPr>
              <w:t>الشکّ فی المال الموصی به للحجّ أنّه من الثلث أو لا؟</w:t>
            </w:r>
            <w:r>
              <w:rPr>
                <w:rStyle w:val="IndexLink"/>
                <w:rtl w:val="true"/>
              </w:rPr>
              <w:tab/>
            </w:r>
            <w:r>
              <w:rPr>
                <w:rStyle w:val="IndexLink"/>
              </w:rPr>
              <w:t>226</w:t>
            </w:r>
          </w:hyperlink>
        </w:p>
        <w:p>
          <w:pPr>
            <w:pStyle w:val="Contents4"/>
            <w:tabs>
              <w:tab w:val="clear" w:pos="8176"/>
              <w:tab w:val="right" w:pos="9026" w:leader="dot"/>
            </w:tabs>
            <w:rPr/>
          </w:pPr>
          <w:hyperlink w:anchor="__RefHeading___Toc2055689_2322387425">
            <w:r>
              <w:rPr>
                <w:webHidden/>
                <w:rStyle w:val="IndexLink"/>
                <w:rtl w:val="true"/>
              </w:rPr>
              <w:t>استحباب الطواف ومشروعیّته مستقلّاً</w:t>
            </w:r>
            <w:r>
              <w:rPr>
                <w:rStyle w:val="IndexLink"/>
                <w:rtl w:val="true"/>
              </w:rPr>
              <w:tab/>
            </w:r>
            <w:r>
              <w:rPr>
                <w:rStyle w:val="IndexLink"/>
              </w:rPr>
              <w:t>227</w:t>
            </w:r>
          </w:hyperlink>
        </w:p>
        <w:p>
          <w:pPr>
            <w:pStyle w:val="Contents4"/>
            <w:tabs>
              <w:tab w:val="clear" w:pos="8176"/>
              <w:tab w:val="right" w:pos="9026" w:leader="dot"/>
            </w:tabs>
            <w:rPr/>
          </w:pPr>
          <w:hyperlink w:anchor="__RefHeading___Toc2055691_2322387425">
            <w:r>
              <w:rPr>
                <w:webHidden/>
                <w:rStyle w:val="IndexLink"/>
                <w:rtl w:val="true"/>
              </w:rPr>
              <w:t>حکم الودیعة إذا مات صاحبها وعلیه حجّة الإسلام</w:t>
            </w:r>
            <w:r>
              <w:rPr>
                <w:rStyle w:val="IndexLink"/>
                <w:rtl w:val="true"/>
              </w:rPr>
              <w:tab/>
            </w:r>
            <w:r>
              <w:rPr>
                <w:rStyle w:val="IndexLink"/>
              </w:rPr>
              <w:t>227</w:t>
            </w:r>
          </w:hyperlink>
        </w:p>
        <w:p>
          <w:pPr>
            <w:pStyle w:val="Contents4"/>
            <w:tabs>
              <w:tab w:val="clear" w:pos="8176"/>
              <w:tab w:val="right" w:pos="9026" w:leader="dot"/>
            </w:tabs>
            <w:rPr/>
          </w:pPr>
          <w:hyperlink w:anchor="__RefHeading___Toc2055693_2322387425">
            <w:r>
              <w:rPr>
                <w:webHidden/>
                <w:rStyle w:val="IndexLink"/>
                <w:rtl w:val="true"/>
              </w:rPr>
              <w:t>جواز طواف النائب عن نفسه بعد الفراغ وعن غیره</w:t>
            </w:r>
            <w:r>
              <w:rPr>
                <w:rStyle w:val="IndexLink"/>
                <w:rtl w:val="true"/>
              </w:rPr>
              <w:tab/>
            </w:r>
            <w:r>
              <w:rPr>
                <w:rStyle w:val="IndexLink"/>
              </w:rPr>
              <w:t>232</w:t>
            </w:r>
          </w:hyperlink>
        </w:p>
        <w:p>
          <w:pPr>
            <w:pStyle w:val="Contents4"/>
            <w:tabs>
              <w:tab w:val="clear" w:pos="8176"/>
              <w:tab w:val="right" w:pos="9026" w:leader="dot"/>
            </w:tabs>
            <w:rPr/>
          </w:pPr>
          <w:hyperlink w:anchor="__RefHeading___Toc2055695_2322387425">
            <w:r>
              <w:rPr>
                <w:webHidden/>
                <w:rStyle w:val="IndexLink"/>
                <w:rtl w:val="true"/>
              </w:rPr>
              <w:t>جواز مباشرة الحجّ من قِبَل الآخذ للمال بنفسه</w:t>
            </w:r>
            <w:r>
              <w:rPr>
                <w:rStyle w:val="IndexLink"/>
                <w:rtl w:val="true"/>
              </w:rPr>
              <w:tab/>
            </w:r>
            <w:r>
              <w:rPr>
                <w:rStyle w:val="IndexLink"/>
              </w:rPr>
              <w:t>233</w:t>
            </w:r>
          </w:hyperlink>
        </w:p>
        <w:p>
          <w:pPr>
            <w:pStyle w:val="Contents3"/>
            <w:tabs>
              <w:tab w:val="clear" w:pos="8459"/>
              <w:tab w:val="right" w:pos="9026" w:leader="dot"/>
            </w:tabs>
            <w:rPr/>
          </w:pPr>
          <w:hyperlink w:anchor="__RefHeading___Toc2055697_2322387425">
            <w:r>
              <w:rPr>
                <w:webHidden/>
                <w:rStyle w:val="IndexLink"/>
                <w:rtl w:val="true"/>
              </w:rPr>
              <w:t>فصل</w:t>
            </w:r>
            <w:r>
              <w:rPr>
                <w:rStyle w:val="IndexLink"/>
                <w:rtl w:val="true"/>
              </w:rPr>
              <w:t xml:space="preserve">: </w:t>
            </w:r>
            <w:r>
              <w:rPr>
                <w:rStyle w:val="IndexLink"/>
                <w:rtl w:val="true"/>
              </w:rPr>
              <w:t>فی الحجّ المندوب</w:t>
            </w:r>
            <w:r>
              <w:rPr>
                <w:rStyle w:val="IndexLink"/>
                <w:rtl w:val="true"/>
              </w:rPr>
              <w:tab/>
            </w:r>
            <w:r>
              <w:rPr>
                <w:rStyle w:val="IndexLink"/>
              </w:rPr>
              <w:t>234</w:t>
            </w:r>
          </w:hyperlink>
        </w:p>
        <w:p>
          <w:pPr>
            <w:pStyle w:val="Contents4"/>
            <w:tabs>
              <w:tab w:val="clear" w:pos="8176"/>
              <w:tab w:val="right" w:pos="9026" w:leader="dot"/>
            </w:tabs>
            <w:rPr/>
          </w:pPr>
          <w:hyperlink w:anchor="__RefHeading___Toc2055699_2322387425">
            <w:r>
              <w:rPr>
                <w:webHidden/>
                <w:rStyle w:val="IndexLink"/>
                <w:rtl w:val="true"/>
              </w:rPr>
              <w:t>استحباب الحجّ من فاقد الشرائط وکراهة الترک</w:t>
            </w:r>
            <w:r>
              <w:rPr>
                <w:rStyle w:val="IndexLink"/>
                <w:rtl w:val="true"/>
              </w:rPr>
              <w:tab/>
            </w:r>
            <w:r>
              <w:rPr>
                <w:rStyle w:val="IndexLink"/>
              </w:rPr>
              <w:t>234</w:t>
            </w:r>
          </w:hyperlink>
        </w:p>
        <w:p>
          <w:pPr>
            <w:pStyle w:val="Contents4"/>
            <w:tabs>
              <w:tab w:val="clear" w:pos="8176"/>
              <w:tab w:val="right" w:pos="9026" w:leader="dot"/>
            </w:tabs>
            <w:rPr/>
          </w:pPr>
          <w:hyperlink w:anchor="__RefHeading___Toc2055701_2322387425">
            <w:r>
              <w:rPr>
                <w:webHidden/>
                <w:rStyle w:val="IndexLink"/>
                <w:rtl w:val="true"/>
              </w:rPr>
              <w:t>استحباب نیّة العود عند الخروج من مکّة</w:t>
            </w:r>
            <w:r>
              <w:rPr>
                <w:rStyle w:val="IndexLink"/>
                <w:rtl w:val="true"/>
              </w:rPr>
              <w:tab/>
            </w:r>
            <w:r>
              <w:rPr>
                <w:rStyle w:val="IndexLink"/>
              </w:rPr>
              <w:t>234</w:t>
            </w:r>
          </w:hyperlink>
        </w:p>
        <w:p>
          <w:pPr>
            <w:pStyle w:val="Contents4"/>
            <w:tabs>
              <w:tab w:val="clear" w:pos="8176"/>
              <w:tab w:val="right" w:pos="9026" w:leader="dot"/>
            </w:tabs>
            <w:rPr/>
          </w:pPr>
          <w:hyperlink w:anchor="__RefHeading___Toc2055703_2322387425">
            <w:r>
              <w:rPr>
                <w:webHidden/>
                <w:rStyle w:val="IndexLink"/>
                <w:rtl w:val="true"/>
              </w:rPr>
              <w:t>استحباب التبرّع بالحجّ عن الغیر</w:t>
            </w:r>
            <w:r>
              <w:rPr>
                <w:rStyle w:val="IndexLink"/>
                <w:rtl w:val="true"/>
              </w:rPr>
              <w:tab/>
            </w:r>
            <w:r>
              <w:rPr>
                <w:rStyle w:val="IndexLink"/>
              </w:rPr>
              <w:t>235</w:t>
            </w:r>
          </w:hyperlink>
        </w:p>
        <w:p>
          <w:pPr>
            <w:pStyle w:val="Contents4"/>
            <w:tabs>
              <w:tab w:val="clear" w:pos="8176"/>
              <w:tab w:val="right" w:pos="9026" w:leader="dot"/>
            </w:tabs>
            <w:rPr/>
          </w:pPr>
          <w:hyperlink w:anchor="__RefHeading___Toc2055705_2322387425">
            <w:r>
              <w:rPr>
                <w:webHidden/>
                <w:rStyle w:val="IndexLink"/>
                <w:rtl w:val="true"/>
              </w:rPr>
              <w:t>استحباب الاستقراض للحجّ مع الوثوق بالوفاء</w:t>
            </w:r>
            <w:r>
              <w:rPr>
                <w:rStyle w:val="IndexLink"/>
                <w:rtl w:val="true"/>
              </w:rPr>
              <w:tab/>
            </w:r>
            <w:r>
              <w:rPr>
                <w:rStyle w:val="IndexLink"/>
              </w:rPr>
              <w:t>235</w:t>
            </w:r>
          </w:hyperlink>
        </w:p>
        <w:p>
          <w:pPr>
            <w:pStyle w:val="Contents4"/>
            <w:tabs>
              <w:tab w:val="clear" w:pos="8176"/>
              <w:tab w:val="right" w:pos="9026" w:leader="dot"/>
            </w:tabs>
            <w:rPr/>
          </w:pPr>
          <w:hyperlink w:anchor="__RefHeading___Toc2055707_2322387425">
            <w:r>
              <w:rPr>
                <w:webHidden/>
                <w:rStyle w:val="IndexLink"/>
                <w:rtl w:val="true"/>
              </w:rPr>
              <w:t>استحباب إحجاج غیر المستطیع</w:t>
            </w:r>
            <w:r>
              <w:rPr>
                <w:rStyle w:val="IndexLink"/>
                <w:rtl w:val="true"/>
              </w:rPr>
              <w:tab/>
            </w:r>
            <w:r>
              <w:rPr>
                <w:rStyle w:val="IndexLink"/>
              </w:rPr>
              <w:t>235</w:t>
            </w:r>
          </w:hyperlink>
        </w:p>
        <w:p>
          <w:pPr>
            <w:pStyle w:val="Contents4"/>
            <w:tabs>
              <w:tab w:val="clear" w:pos="8176"/>
              <w:tab w:val="right" w:pos="9026" w:leader="dot"/>
            </w:tabs>
            <w:rPr/>
          </w:pPr>
          <w:hyperlink w:anchor="__RefHeading___Toc2055709_2322387425">
            <w:r>
              <w:rPr>
                <w:webHidden/>
                <w:rStyle w:val="IndexLink"/>
                <w:rtl w:val="true"/>
              </w:rPr>
              <w:t>جواز إعطاء الزکاة من لا یستطیع الحجّ</w:t>
            </w:r>
            <w:r>
              <w:rPr>
                <w:rStyle w:val="IndexLink"/>
                <w:rtl w:val="true"/>
              </w:rPr>
              <w:tab/>
            </w:r>
            <w:r>
              <w:rPr>
                <w:rStyle w:val="IndexLink"/>
              </w:rPr>
              <w:t>235</w:t>
            </w:r>
          </w:hyperlink>
        </w:p>
        <w:p>
          <w:pPr>
            <w:pStyle w:val="Contents4"/>
            <w:tabs>
              <w:tab w:val="clear" w:pos="8176"/>
              <w:tab w:val="right" w:pos="9026" w:leader="dot"/>
            </w:tabs>
            <w:rPr/>
          </w:pPr>
          <w:hyperlink w:anchor="__RefHeading___Toc2055711_2322387425">
            <w:r>
              <w:rPr>
                <w:webHidden/>
                <w:rStyle w:val="IndexLink"/>
                <w:rtl w:val="true"/>
              </w:rPr>
              <w:t>أفضلیّة الحجّ من الصدقة بنفقته</w:t>
            </w:r>
            <w:r>
              <w:rPr>
                <w:rStyle w:val="IndexLink"/>
                <w:rtl w:val="true"/>
              </w:rPr>
              <w:tab/>
            </w:r>
            <w:r>
              <w:rPr>
                <w:rStyle w:val="IndexLink"/>
              </w:rPr>
              <w:t>235</w:t>
            </w:r>
          </w:hyperlink>
        </w:p>
        <w:p>
          <w:pPr>
            <w:pStyle w:val="Contents4"/>
            <w:tabs>
              <w:tab w:val="clear" w:pos="8176"/>
              <w:tab w:val="right" w:pos="9026" w:leader="dot"/>
            </w:tabs>
            <w:rPr/>
          </w:pPr>
          <w:hyperlink w:anchor="__RefHeading___Toc2055713_2322387425">
            <w:r>
              <w:rPr>
                <w:webHidden/>
                <w:rStyle w:val="IndexLink"/>
                <w:rtl w:val="true"/>
              </w:rPr>
              <w:t>استحباب کثرة الانفاق فی الحجّ</w:t>
            </w:r>
            <w:r>
              <w:rPr>
                <w:rStyle w:val="IndexLink"/>
                <w:rtl w:val="true"/>
              </w:rPr>
              <w:tab/>
            </w:r>
            <w:r>
              <w:rPr>
                <w:rStyle w:val="IndexLink"/>
              </w:rPr>
              <w:t>236</w:t>
            </w:r>
          </w:hyperlink>
        </w:p>
        <w:p>
          <w:pPr>
            <w:pStyle w:val="Contents4"/>
            <w:tabs>
              <w:tab w:val="clear" w:pos="8176"/>
              <w:tab w:val="right" w:pos="9026" w:leader="dot"/>
            </w:tabs>
            <w:rPr/>
          </w:pPr>
          <w:hyperlink w:anchor="__RefHeading___Toc2055715_2322387425">
            <w:r>
              <w:rPr>
                <w:webHidden/>
                <w:rStyle w:val="IndexLink"/>
                <w:rtl w:val="true"/>
              </w:rPr>
              <w:t>حکم الحجّ بالمال المشتبة والمال الحرام</w:t>
            </w:r>
            <w:r>
              <w:rPr>
                <w:rStyle w:val="IndexLink"/>
                <w:rtl w:val="true"/>
              </w:rPr>
              <w:tab/>
            </w:r>
            <w:r>
              <w:rPr>
                <w:rStyle w:val="IndexLink"/>
              </w:rPr>
              <w:t>236</w:t>
            </w:r>
          </w:hyperlink>
        </w:p>
        <w:p>
          <w:pPr>
            <w:pStyle w:val="Contents4"/>
            <w:tabs>
              <w:tab w:val="clear" w:pos="8176"/>
              <w:tab w:val="right" w:pos="9026" w:leader="dot"/>
            </w:tabs>
            <w:rPr/>
          </w:pPr>
          <w:hyperlink w:anchor="__RefHeading___Toc2055717_2322387425">
            <w:r>
              <w:rPr>
                <w:webHidden/>
                <w:rStyle w:val="IndexLink"/>
                <w:rtl w:val="true"/>
              </w:rPr>
              <w:t>فی بعض شرائط الحجّ الندبی</w:t>
            </w:r>
            <w:r>
              <w:rPr>
                <w:rStyle w:val="IndexLink"/>
                <w:rtl w:val="true"/>
              </w:rPr>
              <w:tab/>
            </w:r>
            <w:r>
              <w:rPr>
                <w:rStyle w:val="IndexLink"/>
              </w:rPr>
              <w:t>237</w:t>
            </w:r>
          </w:hyperlink>
        </w:p>
        <w:p>
          <w:pPr>
            <w:pStyle w:val="Contents4"/>
            <w:tabs>
              <w:tab w:val="clear" w:pos="8176"/>
              <w:tab w:val="right" w:pos="9026" w:leader="dot"/>
            </w:tabs>
            <w:rPr/>
          </w:pPr>
          <w:hyperlink w:anchor="__RefHeading___Toc2055719_2322387425">
            <w:r>
              <w:rPr>
                <w:webHidden/>
                <w:rStyle w:val="IndexLink"/>
                <w:rtl w:val="true"/>
              </w:rPr>
              <w:t>إهداء ثواب الحجّ</w:t>
            </w:r>
            <w:r>
              <w:rPr>
                <w:rStyle w:val="IndexLink"/>
                <w:rtl w:val="true"/>
              </w:rPr>
              <w:tab/>
            </w:r>
            <w:r>
              <w:rPr>
                <w:rStyle w:val="IndexLink"/>
              </w:rPr>
              <w:t>238</w:t>
            </w:r>
          </w:hyperlink>
        </w:p>
        <w:p>
          <w:pPr>
            <w:pStyle w:val="Contents4"/>
            <w:tabs>
              <w:tab w:val="clear" w:pos="8176"/>
              <w:tab w:val="right" w:pos="9026" w:leader="dot"/>
            </w:tabs>
            <w:rPr/>
          </w:pPr>
          <w:hyperlink w:anchor="__RefHeading___Toc2055721_2322387425">
            <w:r>
              <w:rPr>
                <w:webHidden/>
                <w:rStyle w:val="IndexLink"/>
                <w:rtl w:val="true"/>
              </w:rPr>
              <w:t>ما یستحبّ لمن لا مال له</w:t>
            </w:r>
            <w:r>
              <w:rPr>
                <w:rStyle w:val="IndexLink"/>
                <w:rtl w:val="true"/>
              </w:rPr>
              <w:tab/>
            </w:r>
            <w:r>
              <w:rPr>
                <w:rStyle w:val="IndexLink"/>
              </w:rPr>
              <w:t>238</w:t>
            </w:r>
          </w:hyperlink>
        </w:p>
        <w:p>
          <w:pPr>
            <w:pStyle w:val="Contents3"/>
            <w:tabs>
              <w:tab w:val="clear" w:pos="8459"/>
              <w:tab w:val="right" w:pos="9026" w:leader="dot"/>
            </w:tabs>
            <w:rPr/>
          </w:pPr>
          <w:hyperlink w:anchor="__RefHeading___Toc2055723_2322387425">
            <w:r>
              <w:rPr>
                <w:webHidden/>
                <w:rStyle w:val="IndexLink"/>
                <w:rtl w:val="true"/>
              </w:rPr>
              <w:t>فصل</w:t>
            </w:r>
            <w:r>
              <w:rPr>
                <w:rStyle w:val="IndexLink"/>
                <w:rtl w:val="true"/>
              </w:rPr>
              <w:t xml:space="preserve">: </w:t>
            </w:r>
            <w:r>
              <w:rPr>
                <w:rStyle w:val="IndexLink"/>
                <w:rtl w:val="true"/>
              </w:rPr>
              <w:t>فی أقسام العمرة</w:t>
            </w:r>
            <w:r>
              <w:rPr>
                <w:rStyle w:val="IndexLink"/>
                <w:rtl w:val="true"/>
              </w:rPr>
              <w:tab/>
            </w:r>
            <w:r>
              <w:rPr>
                <w:rStyle w:val="IndexLink"/>
              </w:rPr>
              <w:t>239</w:t>
            </w:r>
          </w:hyperlink>
        </w:p>
        <w:p>
          <w:pPr>
            <w:pStyle w:val="Contents4"/>
            <w:tabs>
              <w:tab w:val="clear" w:pos="8176"/>
              <w:tab w:val="right" w:pos="9026" w:leader="dot"/>
            </w:tabs>
            <w:rPr/>
          </w:pPr>
          <w:hyperlink w:anchor="__RefHeading___Toc2055725_2322387425">
            <w:r>
              <w:rPr>
                <w:webHidden/>
                <w:rStyle w:val="IndexLink"/>
                <w:rtl w:val="true"/>
              </w:rPr>
              <w:t>وجوب العمرة بشرائط الحجّ</w:t>
            </w:r>
            <w:r>
              <w:rPr>
                <w:rStyle w:val="IndexLink"/>
                <w:rtl w:val="true"/>
              </w:rPr>
              <w:tab/>
            </w:r>
            <w:r>
              <w:rPr>
                <w:rStyle w:val="IndexLink"/>
              </w:rPr>
              <w:t>239</w:t>
            </w:r>
          </w:hyperlink>
        </w:p>
        <w:p>
          <w:pPr>
            <w:pStyle w:val="Contents4"/>
            <w:tabs>
              <w:tab w:val="clear" w:pos="8176"/>
              <w:tab w:val="right" w:pos="9026" w:leader="dot"/>
            </w:tabs>
            <w:rPr/>
          </w:pPr>
          <w:hyperlink w:anchor="__RefHeading___Toc2055727_2322387425">
            <w:r>
              <w:rPr>
                <w:webHidden/>
                <w:rStyle w:val="IndexLink"/>
                <w:rtl w:val="true"/>
              </w:rPr>
              <w:t>إجزاء عمرة التمتّع عن العمرة المفردة</w:t>
            </w:r>
            <w:r>
              <w:rPr>
                <w:rStyle w:val="IndexLink"/>
                <w:rtl w:val="true"/>
              </w:rPr>
              <w:tab/>
            </w:r>
            <w:r>
              <w:rPr>
                <w:rStyle w:val="IndexLink"/>
              </w:rPr>
              <w:t>241</w:t>
            </w:r>
          </w:hyperlink>
        </w:p>
        <w:p>
          <w:pPr>
            <w:pStyle w:val="Contents4"/>
            <w:tabs>
              <w:tab w:val="clear" w:pos="8176"/>
              <w:tab w:val="right" w:pos="9026" w:leader="dot"/>
            </w:tabs>
            <w:rPr/>
          </w:pPr>
          <w:hyperlink w:anchor="__RefHeading___Toc2055729_2322387425">
            <w:r>
              <w:rPr>
                <w:webHidden/>
                <w:rStyle w:val="IndexLink"/>
                <w:rtl w:val="true"/>
              </w:rPr>
              <w:t>موارد من العمرة الواجبة</w:t>
            </w:r>
            <w:r>
              <w:rPr>
                <w:rStyle w:val="IndexLink"/>
                <w:rtl w:val="true"/>
              </w:rPr>
              <w:tab/>
            </w:r>
            <w:r>
              <w:rPr>
                <w:rStyle w:val="IndexLink"/>
              </w:rPr>
              <w:t>242</w:t>
            </w:r>
          </w:hyperlink>
        </w:p>
        <w:p>
          <w:pPr>
            <w:pStyle w:val="Contents3"/>
            <w:tabs>
              <w:tab w:val="clear" w:pos="8459"/>
              <w:tab w:val="right" w:pos="9026" w:leader="dot"/>
            </w:tabs>
            <w:rPr/>
          </w:pPr>
          <w:hyperlink w:anchor="__RefHeading___Toc2055731_2322387425">
            <w:r>
              <w:rPr>
                <w:webHidden/>
                <w:rStyle w:val="IndexLink"/>
                <w:rtl w:val="true"/>
              </w:rPr>
              <w:t>فصل</w:t>
            </w:r>
            <w:r>
              <w:rPr>
                <w:rStyle w:val="IndexLink"/>
                <w:rtl w:val="true"/>
              </w:rPr>
              <w:t xml:space="preserve">: </w:t>
            </w:r>
            <w:r>
              <w:rPr>
                <w:rStyle w:val="IndexLink"/>
                <w:rtl w:val="true"/>
              </w:rPr>
              <w:t>فی أقسام الحجّ</w:t>
            </w:r>
            <w:r>
              <w:rPr>
                <w:rStyle w:val="IndexLink"/>
                <w:rtl w:val="true"/>
              </w:rPr>
              <w:tab/>
            </w:r>
            <w:r>
              <w:rPr>
                <w:rStyle w:val="IndexLink"/>
              </w:rPr>
              <w:t>244</w:t>
            </w:r>
          </w:hyperlink>
        </w:p>
        <w:p>
          <w:pPr>
            <w:pStyle w:val="Contents4"/>
            <w:tabs>
              <w:tab w:val="clear" w:pos="8176"/>
              <w:tab w:val="right" w:pos="9026" w:leader="dot"/>
            </w:tabs>
            <w:rPr/>
          </w:pPr>
          <w:hyperlink w:anchor="__RefHeading___Toc2055733_2322387425">
            <w:r>
              <w:rPr>
                <w:webHidden/>
                <w:rStyle w:val="IndexLink"/>
                <w:rtl w:val="true"/>
              </w:rPr>
              <w:t>إختصاص النائی بالتمتّع والحاضر بالقِران والإفراد</w:t>
            </w:r>
            <w:r>
              <w:rPr>
                <w:rStyle w:val="IndexLink"/>
                <w:rtl w:val="true"/>
              </w:rPr>
              <w:tab/>
            </w:r>
            <w:r>
              <w:rPr>
                <w:rStyle w:val="IndexLink"/>
              </w:rPr>
              <w:t>244</w:t>
            </w:r>
          </w:hyperlink>
        </w:p>
        <w:p>
          <w:pPr>
            <w:pStyle w:val="Contents4"/>
            <w:tabs>
              <w:tab w:val="clear" w:pos="8176"/>
              <w:tab w:val="right" w:pos="9026" w:leader="dot"/>
            </w:tabs>
            <w:rPr/>
          </w:pPr>
          <w:hyperlink w:anchor="__RefHeading___Toc2055735_2322387425">
            <w:r>
              <w:rPr>
                <w:webHidden/>
                <w:rStyle w:val="IndexLink"/>
                <w:rtl w:val="true"/>
              </w:rPr>
              <w:t>حدّ البعد الموجب للتمتّع</w:t>
            </w:r>
            <w:r>
              <w:rPr>
                <w:rStyle w:val="IndexLink"/>
                <w:rtl w:val="true"/>
              </w:rPr>
              <w:tab/>
            </w:r>
            <w:r>
              <w:rPr>
                <w:rStyle w:val="IndexLink"/>
              </w:rPr>
              <w:t>244</w:t>
            </w:r>
          </w:hyperlink>
        </w:p>
        <w:p>
          <w:pPr>
            <w:pStyle w:val="Contents4"/>
            <w:tabs>
              <w:tab w:val="clear" w:pos="8176"/>
              <w:tab w:val="right" w:pos="9026" w:leader="dot"/>
            </w:tabs>
            <w:rPr/>
          </w:pPr>
          <w:hyperlink w:anchor="__RefHeading___Toc2055737_2322387425">
            <w:r>
              <w:rPr>
                <w:webHidden/>
                <w:rStyle w:val="IndexLink"/>
                <w:rtl w:val="true"/>
              </w:rPr>
              <w:t>وظیفة من منزله علی نفس الحدّ ومن شکّ فی منزله</w:t>
            </w:r>
            <w:r>
              <w:rPr>
                <w:rStyle w:val="IndexLink"/>
                <w:rtl w:val="true"/>
              </w:rPr>
              <w:tab/>
            </w:r>
            <w:r>
              <w:rPr>
                <w:rStyle w:val="IndexLink"/>
              </w:rPr>
              <w:t>246</w:t>
            </w:r>
          </w:hyperlink>
        </w:p>
        <w:p>
          <w:pPr>
            <w:pStyle w:val="Contents4"/>
            <w:tabs>
              <w:tab w:val="clear" w:pos="8176"/>
              <w:tab w:val="right" w:pos="9026" w:leader="dot"/>
            </w:tabs>
            <w:rPr/>
          </w:pPr>
          <w:hyperlink w:anchor="__RefHeading___Toc2055739_2322387425">
            <w:r>
              <w:rPr>
                <w:webHidden/>
                <w:rStyle w:val="IndexLink"/>
                <w:rtl w:val="true"/>
              </w:rPr>
              <w:t>إجزاء الأقسام الثلاثة فی الحجّ الندبی</w:t>
            </w:r>
            <w:r>
              <w:rPr>
                <w:rStyle w:val="IndexLink"/>
                <w:rtl w:val="true"/>
              </w:rPr>
              <w:tab/>
            </w:r>
            <w:r>
              <w:rPr>
                <w:rStyle w:val="IndexLink"/>
              </w:rPr>
              <w:t>249</w:t>
            </w:r>
          </w:hyperlink>
        </w:p>
        <w:p>
          <w:pPr>
            <w:pStyle w:val="Contents4"/>
            <w:tabs>
              <w:tab w:val="clear" w:pos="8176"/>
              <w:tab w:val="right" w:pos="9026" w:leader="dot"/>
            </w:tabs>
            <w:rPr/>
          </w:pPr>
          <w:hyperlink w:anchor="__RefHeading___Toc2055741_2322387425">
            <w:r>
              <w:rPr>
                <w:webHidden/>
                <w:rStyle w:val="IndexLink"/>
                <w:rtl w:val="true"/>
              </w:rPr>
              <w:t>حکم من کان له وطنان</w:t>
            </w:r>
            <w:r>
              <w:rPr>
                <w:rStyle w:val="IndexLink"/>
                <w:rtl w:val="true"/>
              </w:rPr>
              <w:tab/>
            </w:r>
            <w:r>
              <w:rPr>
                <w:rStyle w:val="IndexLink"/>
              </w:rPr>
              <w:t>249</w:t>
            </w:r>
          </w:hyperlink>
        </w:p>
        <w:p>
          <w:pPr>
            <w:pStyle w:val="Contents4"/>
            <w:tabs>
              <w:tab w:val="clear" w:pos="8176"/>
              <w:tab w:val="right" w:pos="9026" w:leader="dot"/>
            </w:tabs>
            <w:rPr/>
          </w:pPr>
          <w:hyperlink w:anchor="__RefHeading___Toc2055743_2322387425">
            <w:r>
              <w:rPr>
                <w:webHidden/>
                <w:rStyle w:val="IndexLink"/>
                <w:rtl w:val="true"/>
              </w:rPr>
              <w:t>وظیفة المکّی الخارج إلی بعض الأمصار</w:t>
            </w:r>
            <w:r>
              <w:rPr>
                <w:rStyle w:val="IndexLink"/>
                <w:rtl w:val="true"/>
              </w:rPr>
              <w:tab/>
            </w:r>
            <w:r>
              <w:rPr>
                <w:rStyle w:val="IndexLink"/>
              </w:rPr>
              <w:t>250</w:t>
            </w:r>
          </w:hyperlink>
        </w:p>
        <w:p>
          <w:pPr>
            <w:pStyle w:val="Contents4"/>
            <w:tabs>
              <w:tab w:val="clear" w:pos="8176"/>
              <w:tab w:val="right" w:pos="9026" w:leader="dot"/>
            </w:tabs>
            <w:rPr/>
          </w:pPr>
          <w:hyperlink w:anchor="__RefHeading___Toc2055745_2322387425">
            <w:r>
              <w:rPr>
                <w:webHidden/>
                <w:rStyle w:val="IndexLink"/>
                <w:rtl w:val="true"/>
              </w:rPr>
              <w:t>حکم المقیم بمکّة من أهل الآفاق</w:t>
            </w:r>
            <w:r>
              <w:rPr>
                <w:rStyle w:val="IndexLink"/>
                <w:rtl w:val="true"/>
              </w:rPr>
              <w:tab/>
            </w:r>
            <w:r>
              <w:rPr>
                <w:rStyle w:val="IndexLink"/>
              </w:rPr>
              <w:t>252</w:t>
            </w:r>
          </w:hyperlink>
        </w:p>
        <w:p>
          <w:pPr>
            <w:pStyle w:val="Contents4"/>
            <w:tabs>
              <w:tab w:val="clear" w:pos="8176"/>
              <w:tab w:val="right" w:pos="9026" w:leader="dot"/>
            </w:tabs>
            <w:rPr/>
          </w:pPr>
          <w:hyperlink w:anchor="__RefHeading___Toc2055747_2322387425">
            <w:r>
              <w:rPr>
                <w:webHidden/>
                <w:rStyle w:val="IndexLink"/>
                <w:rtl w:val="true"/>
              </w:rPr>
              <w:t>الحدّ الموجب للانقلاب</w:t>
            </w:r>
            <w:r>
              <w:rPr>
                <w:rStyle w:val="IndexLink"/>
                <w:rtl w:val="true"/>
              </w:rPr>
              <w:tab/>
            </w:r>
            <w:r>
              <w:rPr>
                <w:rStyle w:val="IndexLink"/>
              </w:rPr>
              <w:t>253</w:t>
            </w:r>
          </w:hyperlink>
        </w:p>
        <w:p>
          <w:pPr>
            <w:pStyle w:val="Contents4"/>
            <w:tabs>
              <w:tab w:val="clear" w:pos="8176"/>
              <w:tab w:val="right" w:pos="9026" w:leader="dot"/>
            </w:tabs>
            <w:rPr/>
          </w:pPr>
          <w:hyperlink w:anchor="__RefHeading___Toc2055749_2322387425">
            <w:r>
              <w:rPr>
                <w:webHidden/>
                <w:rStyle w:val="IndexLink"/>
                <w:rtl w:val="true"/>
              </w:rPr>
              <w:t>حکم المکّی المقیم فی بلد آخر</w:t>
            </w:r>
            <w:r>
              <w:rPr>
                <w:rStyle w:val="IndexLink"/>
                <w:rtl w:val="true"/>
              </w:rPr>
              <w:tab/>
            </w:r>
            <w:r>
              <w:rPr>
                <w:rStyle w:val="IndexLink"/>
              </w:rPr>
              <w:t>254</w:t>
            </w:r>
          </w:hyperlink>
        </w:p>
        <w:p>
          <w:pPr>
            <w:pStyle w:val="Contents4"/>
            <w:tabs>
              <w:tab w:val="clear" w:pos="8176"/>
              <w:tab w:val="right" w:pos="9026" w:leader="dot"/>
            </w:tabs>
            <w:rPr/>
          </w:pPr>
          <w:hyperlink w:anchor="__RefHeading___Toc2055751_2322387425">
            <w:r>
              <w:rPr>
                <w:webHidden/>
                <w:rStyle w:val="IndexLink"/>
                <w:rtl w:val="true"/>
              </w:rPr>
              <w:t>میقات المقیم فی مکّة إذا تمتّع</w:t>
            </w:r>
            <w:r>
              <w:rPr>
                <w:rStyle w:val="IndexLink"/>
                <w:rtl w:val="true"/>
              </w:rPr>
              <w:tab/>
            </w:r>
            <w:r>
              <w:rPr>
                <w:rStyle w:val="IndexLink"/>
              </w:rPr>
              <w:t>257</w:t>
            </w:r>
          </w:hyperlink>
        </w:p>
        <w:p>
          <w:pPr>
            <w:pStyle w:val="Contents4"/>
            <w:tabs>
              <w:tab w:val="clear" w:pos="8176"/>
              <w:tab w:val="right" w:pos="9026" w:leader="dot"/>
            </w:tabs>
            <w:rPr/>
          </w:pPr>
          <w:hyperlink w:anchor="__RefHeading___Toc2055753_2322387425">
            <w:r>
              <w:rPr>
                <w:webHidden/>
                <w:rStyle w:val="IndexLink"/>
                <w:rtl w:val="true"/>
              </w:rPr>
              <w:t>حکم من لم یتمکّن من الإحرام من أحد المواقیت </w:t>
            </w:r>
            <w:r>
              <w:rPr>
                <w:rStyle w:val="IndexLink"/>
                <w:rtl w:val="true"/>
              </w:rPr>
              <w:tab/>
            </w:r>
            <w:r>
              <w:rPr>
                <w:rStyle w:val="IndexLink"/>
              </w:rPr>
              <w:t>259</w:t>
            </w:r>
          </w:hyperlink>
        </w:p>
        <w:p>
          <w:pPr>
            <w:pStyle w:val="Contents3"/>
            <w:tabs>
              <w:tab w:val="clear" w:pos="8459"/>
              <w:tab w:val="right" w:pos="9026" w:leader="dot"/>
            </w:tabs>
            <w:rPr/>
          </w:pPr>
          <w:hyperlink w:anchor="__RefHeading___Toc2055755_2322387425">
            <w:r>
              <w:rPr>
                <w:webHidden/>
                <w:rStyle w:val="IndexLink"/>
                <w:rtl w:val="true"/>
              </w:rPr>
              <w:t>فصل</w:t>
            </w:r>
            <w:r>
              <w:rPr>
                <w:rStyle w:val="IndexLink"/>
                <w:rtl w:val="true"/>
              </w:rPr>
              <w:t xml:space="preserve">: </w:t>
            </w:r>
            <w:r>
              <w:rPr>
                <w:rStyle w:val="IndexLink"/>
                <w:rtl w:val="true"/>
              </w:rPr>
              <w:t>فی صورة حجّ التمتّع</w:t>
            </w:r>
            <w:r>
              <w:rPr>
                <w:rStyle w:val="IndexLink"/>
                <w:rtl w:val="true"/>
              </w:rPr>
              <w:tab/>
            </w:r>
            <w:r>
              <w:rPr>
                <w:rStyle w:val="IndexLink"/>
              </w:rPr>
              <w:t>261</w:t>
            </w:r>
          </w:hyperlink>
        </w:p>
        <w:p>
          <w:pPr>
            <w:pStyle w:val="Contents4"/>
            <w:tabs>
              <w:tab w:val="clear" w:pos="8176"/>
              <w:tab w:val="right" w:pos="9026" w:leader="dot"/>
            </w:tabs>
            <w:rPr/>
          </w:pPr>
          <w:hyperlink w:anchor="__RefHeading___Toc2055757_2322387425">
            <w:r>
              <w:rPr>
                <w:webHidden/>
                <w:rStyle w:val="IndexLink"/>
                <w:rtl w:val="true"/>
              </w:rPr>
              <w:t>صورة حجّ التمتّع وشرائطه</w:t>
            </w:r>
            <w:r>
              <w:rPr>
                <w:rStyle w:val="IndexLink"/>
                <w:rtl w:val="true"/>
              </w:rPr>
              <w:tab/>
            </w:r>
            <w:r>
              <w:rPr>
                <w:rStyle w:val="IndexLink"/>
              </w:rPr>
              <w:t>261</w:t>
            </w:r>
          </w:hyperlink>
        </w:p>
        <w:p>
          <w:pPr>
            <w:pStyle w:val="Contents4"/>
            <w:tabs>
              <w:tab w:val="clear" w:pos="8176"/>
              <w:tab w:val="right" w:pos="9026" w:leader="dot"/>
            </w:tabs>
            <w:rPr/>
          </w:pPr>
          <w:hyperlink w:anchor="__RefHeading___Toc2055759_2322387425">
            <w:r>
              <w:rPr>
                <w:webHidden/>
                <w:rStyle w:val="IndexLink"/>
                <w:rtl w:val="true"/>
              </w:rPr>
              <w:t>شروط حجّ التمتّع</w:t>
            </w:r>
            <w:r>
              <w:rPr>
                <w:rStyle w:val="IndexLink"/>
                <w:rtl w:val="true"/>
              </w:rPr>
              <w:tab/>
            </w:r>
            <w:r>
              <w:rPr>
                <w:rStyle w:val="IndexLink"/>
              </w:rPr>
              <w:t>264</w:t>
            </w:r>
          </w:hyperlink>
        </w:p>
        <w:p>
          <w:pPr>
            <w:pStyle w:val="Contents4"/>
            <w:tabs>
              <w:tab w:val="clear" w:pos="8176"/>
              <w:tab w:val="right" w:pos="9026" w:leader="dot"/>
            </w:tabs>
            <w:rPr/>
          </w:pPr>
          <w:hyperlink w:anchor="__RefHeading___Toc2055761_2322387425">
            <w:r>
              <w:rPr>
                <w:webHidden/>
                <w:rStyle w:val="IndexLink"/>
                <w:rtl w:val="true"/>
              </w:rPr>
              <w:t>الأوّل</w:t>
            </w:r>
            <w:r>
              <w:rPr>
                <w:rStyle w:val="IndexLink"/>
                <w:rtl w:val="true"/>
              </w:rPr>
              <w:t xml:space="preserve">: </w:t>
            </w:r>
            <w:r>
              <w:rPr>
                <w:rStyle w:val="IndexLink"/>
                <w:rtl w:val="true"/>
              </w:rPr>
              <w:t>النیّة، أی قصد نوع الحجّ</w:t>
            </w:r>
            <w:r>
              <w:rPr>
                <w:rStyle w:val="IndexLink"/>
                <w:rtl w:val="true"/>
              </w:rPr>
              <w:tab/>
            </w:r>
            <w:r>
              <w:rPr>
                <w:rStyle w:val="IndexLink"/>
              </w:rPr>
              <w:t>264</w:t>
            </w:r>
          </w:hyperlink>
        </w:p>
        <w:p>
          <w:pPr>
            <w:pStyle w:val="Contents4"/>
            <w:tabs>
              <w:tab w:val="clear" w:pos="8176"/>
              <w:tab w:val="right" w:pos="9026" w:leader="dot"/>
            </w:tabs>
            <w:rPr/>
          </w:pPr>
          <w:hyperlink w:anchor="__RefHeading___Toc2055763_2322387425">
            <w:r>
              <w:rPr>
                <w:webHidden/>
                <w:rStyle w:val="IndexLink"/>
                <w:rtl w:val="true"/>
              </w:rPr>
              <w:t>الثانی</w:t>
            </w:r>
            <w:r>
              <w:rPr>
                <w:rStyle w:val="IndexLink"/>
                <w:rtl w:val="true"/>
              </w:rPr>
              <w:t xml:space="preserve">: </w:t>
            </w:r>
            <w:r>
              <w:rPr>
                <w:rStyle w:val="IndexLink"/>
                <w:rtl w:val="true"/>
              </w:rPr>
              <w:t>وقوع مجموع عمرته وحجّه فی أشهر الحجّ</w:t>
            </w:r>
            <w:r>
              <w:rPr>
                <w:rStyle w:val="IndexLink"/>
                <w:rtl w:val="true"/>
              </w:rPr>
              <w:tab/>
            </w:r>
            <w:r>
              <w:rPr>
                <w:rStyle w:val="IndexLink"/>
              </w:rPr>
              <w:t>267</w:t>
            </w:r>
          </w:hyperlink>
        </w:p>
        <w:p>
          <w:pPr>
            <w:pStyle w:val="Contents4"/>
            <w:tabs>
              <w:tab w:val="clear" w:pos="8176"/>
              <w:tab w:val="right" w:pos="9026" w:leader="dot"/>
            </w:tabs>
            <w:rPr/>
          </w:pPr>
          <w:hyperlink w:anchor="__RefHeading___Toc2055765_2322387425">
            <w:r>
              <w:rPr>
                <w:webHidden/>
                <w:rStyle w:val="IndexLink"/>
                <w:rtl w:val="true"/>
              </w:rPr>
              <w:t>حکم الإتیان بعمرة التمتّع قبل أشهر الحجّ</w:t>
            </w:r>
            <w:r>
              <w:rPr>
                <w:rStyle w:val="IndexLink"/>
                <w:rtl w:val="true"/>
              </w:rPr>
              <w:tab/>
            </w:r>
            <w:r>
              <w:rPr>
                <w:rStyle w:val="IndexLink"/>
              </w:rPr>
              <w:t>268</w:t>
            </w:r>
          </w:hyperlink>
        </w:p>
        <w:p>
          <w:pPr>
            <w:pStyle w:val="Contents4"/>
            <w:tabs>
              <w:tab w:val="clear" w:pos="8176"/>
              <w:tab w:val="right" w:pos="9026" w:leader="dot"/>
            </w:tabs>
            <w:rPr/>
          </w:pPr>
          <w:hyperlink w:anchor="__RefHeading___Toc2055767_2322387425">
            <w:r>
              <w:rPr>
                <w:webHidden/>
                <w:rStyle w:val="IndexLink"/>
                <w:rtl w:val="true"/>
              </w:rPr>
              <w:t>الثالث</w:t>
            </w:r>
            <w:r>
              <w:rPr>
                <w:rStyle w:val="IndexLink"/>
                <w:rtl w:val="true"/>
              </w:rPr>
              <w:t xml:space="preserve">: </w:t>
            </w:r>
            <w:r>
              <w:rPr>
                <w:rStyle w:val="IndexLink"/>
                <w:rtl w:val="true"/>
              </w:rPr>
              <w:t>وقوع الحجّ وعمرة التمتّع فی سنة واحدة</w:t>
            </w:r>
            <w:r>
              <w:rPr>
                <w:rStyle w:val="IndexLink"/>
                <w:rtl w:val="true"/>
              </w:rPr>
              <w:tab/>
            </w:r>
            <w:r>
              <w:rPr>
                <w:rStyle w:val="IndexLink"/>
              </w:rPr>
              <w:t>270</w:t>
            </w:r>
          </w:hyperlink>
        </w:p>
        <w:p>
          <w:pPr>
            <w:pStyle w:val="Contents4"/>
            <w:tabs>
              <w:tab w:val="clear" w:pos="8176"/>
              <w:tab w:val="right" w:pos="9026" w:leader="dot"/>
            </w:tabs>
            <w:rPr/>
          </w:pPr>
          <w:hyperlink w:anchor="__RefHeading___Toc2055769_2322387425">
            <w:r>
              <w:rPr>
                <w:webHidden/>
                <w:rStyle w:val="IndexLink"/>
                <w:rtl w:val="true"/>
              </w:rPr>
              <w:t>الرابع</w:t>
            </w:r>
            <w:r>
              <w:rPr>
                <w:rStyle w:val="IndexLink"/>
                <w:rtl w:val="true"/>
              </w:rPr>
              <w:t xml:space="preserve">: </w:t>
            </w:r>
            <w:r>
              <w:rPr>
                <w:rStyle w:val="IndexLink"/>
                <w:rtl w:val="true"/>
              </w:rPr>
              <w:t>الإحرام من بطن مکّة</w:t>
            </w:r>
            <w:r>
              <w:rPr>
                <w:rStyle w:val="IndexLink"/>
                <w:rtl w:val="true"/>
              </w:rPr>
              <w:tab/>
            </w:r>
            <w:r>
              <w:rPr>
                <w:rStyle w:val="IndexLink"/>
              </w:rPr>
              <w:t>272</w:t>
            </w:r>
          </w:hyperlink>
        </w:p>
        <w:p>
          <w:pPr>
            <w:pStyle w:val="Contents4"/>
            <w:tabs>
              <w:tab w:val="clear" w:pos="8176"/>
              <w:tab w:val="right" w:pos="9026" w:leader="dot"/>
            </w:tabs>
            <w:rPr/>
          </w:pPr>
          <w:hyperlink w:anchor="__RefHeading___Toc2055771_2322387425">
            <w:r>
              <w:rPr>
                <w:webHidden/>
                <w:rStyle w:val="IndexLink"/>
                <w:rtl w:val="true"/>
              </w:rPr>
              <w:t>الخامس</w:t>
            </w:r>
            <w:r>
              <w:rPr>
                <w:rStyle w:val="IndexLink"/>
                <w:rtl w:val="true"/>
              </w:rPr>
              <w:t xml:space="preserve">: </w:t>
            </w:r>
            <w:r>
              <w:rPr>
                <w:rStyle w:val="IndexLink"/>
                <w:rtl w:val="true"/>
              </w:rPr>
              <w:t>أن یکون مجموع عمرته وحجّه من واحد وعن واحد</w:t>
            </w:r>
            <w:r>
              <w:rPr>
                <w:rStyle w:val="IndexLink"/>
                <w:rtl w:val="true"/>
              </w:rPr>
              <w:tab/>
            </w:r>
            <w:r>
              <w:rPr>
                <w:rStyle w:val="IndexLink"/>
              </w:rPr>
              <w:t>273</w:t>
            </w:r>
          </w:hyperlink>
        </w:p>
        <w:p>
          <w:pPr>
            <w:pStyle w:val="Contents4"/>
            <w:tabs>
              <w:tab w:val="clear" w:pos="8176"/>
              <w:tab w:val="right" w:pos="9026" w:leader="dot"/>
            </w:tabs>
            <w:rPr/>
          </w:pPr>
          <w:hyperlink w:anchor="__RefHeading___Toc2055773_2322387425">
            <w:r>
              <w:rPr>
                <w:webHidden/>
                <w:rStyle w:val="IndexLink"/>
                <w:rtl w:val="true"/>
              </w:rPr>
              <w:t>حکم خروج المعتمر من مکّة</w:t>
            </w:r>
            <w:r>
              <w:rPr>
                <w:rStyle w:val="IndexLink"/>
                <w:rtl w:val="true"/>
              </w:rPr>
              <w:tab/>
            </w:r>
            <w:r>
              <w:rPr>
                <w:rStyle w:val="IndexLink"/>
              </w:rPr>
              <w:t>275</w:t>
            </w:r>
          </w:hyperlink>
        </w:p>
        <w:p>
          <w:pPr>
            <w:pStyle w:val="Contents4"/>
            <w:tabs>
              <w:tab w:val="clear" w:pos="8176"/>
              <w:tab w:val="right" w:pos="9026" w:leader="dot"/>
            </w:tabs>
            <w:rPr/>
          </w:pPr>
          <w:hyperlink w:anchor="__RefHeading___Toc2055775_2322387425">
            <w:r>
              <w:rPr>
                <w:webHidden/>
                <w:rStyle w:val="IndexLink"/>
                <w:rtl w:val="true"/>
              </w:rPr>
              <w:t>العدول من حجّ التمتّع إلی القِران أو الإفراد</w:t>
            </w:r>
            <w:r>
              <w:rPr>
                <w:rStyle w:val="IndexLink"/>
                <w:rtl w:val="true"/>
              </w:rPr>
              <w:tab/>
            </w:r>
            <w:r>
              <w:rPr>
                <w:rStyle w:val="IndexLink"/>
              </w:rPr>
              <w:t>286</w:t>
            </w:r>
          </w:hyperlink>
        </w:p>
        <w:p>
          <w:pPr>
            <w:pStyle w:val="Contents4"/>
            <w:tabs>
              <w:tab w:val="clear" w:pos="8176"/>
              <w:tab w:val="right" w:pos="9026" w:leader="dot"/>
            </w:tabs>
            <w:rPr/>
          </w:pPr>
          <w:hyperlink w:anchor="__RefHeading___Toc2055777_2322387425">
            <w:r>
              <w:rPr>
                <w:webHidden/>
                <w:rStyle w:val="IndexLink"/>
                <w:rtl w:val="true"/>
              </w:rPr>
              <w:t>الأقوال فی الحائض والنفساء لو ضاق وقتهما عن إتمام العمرة وإدراک الحجّ</w:t>
            </w:r>
            <w:r>
              <w:rPr>
                <w:rStyle w:val="IndexLink"/>
                <w:rtl w:val="true"/>
              </w:rPr>
              <w:tab/>
            </w:r>
            <w:r>
              <w:rPr>
                <w:rStyle w:val="IndexLink"/>
              </w:rPr>
              <w:t>292</w:t>
            </w:r>
          </w:hyperlink>
        </w:p>
        <w:p>
          <w:pPr>
            <w:pStyle w:val="Contents4"/>
            <w:tabs>
              <w:tab w:val="clear" w:pos="8176"/>
              <w:tab w:val="right" w:pos="9026" w:leader="dot"/>
            </w:tabs>
            <w:rPr/>
          </w:pPr>
          <w:hyperlink w:anchor="__RefHeading___Toc2055779_2322387425">
            <w:r>
              <w:rPr>
                <w:webHidden/>
                <w:rStyle w:val="IndexLink"/>
                <w:rtl w:val="true"/>
              </w:rPr>
              <w:t>الحکم إذا حدث الحیض أثناء طواف عمرة التمتّع</w:t>
            </w:r>
            <w:r>
              <w:rPr>
                <w:rStyle w:val="IndexLink"/>
                <w:rtl w:val="true"/>
              </w:rPr>
              <w:tab/>
            </w:r>
            <w:r>
              <w:rPr>
                <w:rStyle w:val="IndexLink"/>
              </w:rPr>
              <w:t>296</w:t>
            </w:r>
          </w:hyperlink>
        </w:p>
        <w:p>
          <w:pPr>
            <w:pStyle w:val="Contents3"/>
            <w:tabs>
              <w:tab w:val="clear" w:pos="8459"/>
              <w:tab w:val="right" w:pos="9026" w:leader="dot"/>
            </w:tabs>
            <w:rPr/>
          </w:pPr>
          <w:hyperlink w:anchor="__RefHeading___Toc2055781_2322387425">
            <w:r>
              <w:rPr>
                <w:webHidden/>
                <w:rStyle w:val="IndexLink"/>
                <w:rtl w:val="true"/>
              </w:rPr>
              <w:t>فصل</w:t>
            </w:r>
            <w:r>
              <w:rPr>
                <w:rStyle w:val="IndexLink"/>
                <w:rtl w:val="true"/>
              </w:rPr>
              <w:t xml:space="preserve">: </w:t>
            </w:r>
            <w:r>
              <w:rPr>
                <w:rStyle w:val="IndexLink"/>
                <w:rtl w:val="true"/>
              </w:rPr>
              <w:t>فی المواقیت</w:t>
            </w:r>
            <w:r>
              <w:rPr>
                <w:rStyle w:val="IndexLink"/>
                <w:rtl w:val="true"/>
              </w:rPr>
              <w:tab/>
            </w:r>
            <w:r>
              <w:rPr>
                <w:rStyle w:val="IndexLink"/>
              </w:rPr>
              <w:t>297</w:t>
            </w:r>
          </w:hyperlink>
        </w:p>
        <w:p>
          <w:pPr>
            <w:pStyle w:val="Contents4"/>
            <w:tabs>
              <w:tab w:val="clear" w:pos="8176"/>
              <w:tab w:val="right" w:pos="9026" w:leader="dot"/>
            </w:tabs>
            <w:rPr/>
          </w:pPr>
          <w:hyperlink w:anchor="__RefHeading___Toc2055783_2322387425">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2055785_2322387425">
            <w:r>
              <w:rPr>
                <w:webHidden/>
                <w:rStyle w:val="IndexLink"/>
                <w:rtl w:val="true"/>
              </w:rPr>
              <w:t>الأوّل</w:t>
            </w:r>
            <w:r>
              <w:rPr>
                <w:rStyle w:val="IndexLink"/>
                <w:rtl w:val="true"/>
              </w:rPr>
              <w:t xml:space="preserve">: </w:t>
            </w:r>
            <w:r>
              <w:rPr>
                <w:rStyle w:val="IndexLink"/>
                <w:rtl w:val="true"/>
              </w:rPr>
              <w:t>ذوالحلیفة وهو میقات أهل المدینة ومن یمرّ علیهم</w:t>
            </w:r>
            <w:r>
              <w:rPr>
                <w:rStyle w:val="IndexLink"/>
                <w:rtl w:val="true"/>
              </w:rPr>
              <w:tab/>
            </w:r>
            <w:r>
              <w:rPr>
                <w:rStyle w:val="IndexLink"/>
              </w:rPr>
              <w:t>297</w:t>
            </w:r>
          </w:hyperlink>
        </w:p>
        <w:p>
          <w:pPr>
            <w:pStyle w:val="Contents4"/>
            <w:tabs>
              <w:tab w:val="clear" w:pos="8176"/>
              <w:tab w:val="right" w:pos="9026" w:leader="dot"/>
            </w:tabs>
            <w:rPr/>
          </w:pPr>
          <w:hyperlink w:anchor="__RefHeading___Toc2055787_2322387425">
            <w:r>
              <w:rPr>
                <w:webHidden/>
                <w:rStyle w:val="IndexLink"/>
                <w:rtl w:val="true"/>
              </w:rPr>
              <w:t>حکم تأخیر الإحرام إلی الجحفة</w:t>
            </w:r>
            <w:r>
              <w:rPr>
                <w:rStyle w:val="IndexLink"/>
                <w:rtl w:val="true"/>
              </w:rPr>
              <w:tab/>
            </w:r>
            <w:r>
              <w:rPr>
                <w:rStyle w:val="IndexLink"/>
              </w:rPr>
              <w:t>299</w:t>
            </w:r>
          </w:hyperlink>
        </w:p>
        <w:p>
          <w:pPr>
            <w:pStyle w:val="Contents4"/>
            <w:tabs>
              <w:tab w:val="clear" w:pos="8176"/>
              <w:tab w:val="right" w:pos="9026" w:leader="dot"/>
            </w:tabs>
            <w:rPr/>
          </w:pPr>
          <w:hyperlink w:anchor="__RefHeading___Toc2055789_2322387425">
            <w:r>
              <w:rPr>
                <w:webHidden/>
                <w:rStyle w:val="IndexLink"/>
                <w:rtl w:val="true"/>
              </w:rPr>
              <w:t>عدول أهل المدینة إلی میقاتٍ آخر</w:t>
            </w:r>
            <w:r>
              <w:rPr>
                <w:rStyle w:val="IndexLink"/>
                <w:rtl w:val="true"/>
              </w:rPr>
              <w:tab/>
            </w:r>
            <w:r>
              <w:rPr>
                <w:rStyle w:val="IndexLink"/>
              </w:rPr>
              <w:t>300</w:t>
            </w:r>
          </w:hyperlink>
        </w:p>
        <w:p>
          <w:pPr>
            <w:pStyle w:val="Contents4"/>
            <w:tabs>
              <w:tab w:val="clear" w:pos="8176"/>
              <w:tab w:val="right" w:pos="9026" w:leader="dot"/>
            </w:tabs>
            <w:rPr/>
          </w:pPr>
          <w:hyperlink w:anchor="__RefHeading___Toc2055791_2322387425">
            <w:r>
              <w:rPr>
                <w:webHidden/>
                <w:rStyle w:val="IndexLink"/>
                <w:rtl w:val="true"/>
              </w:rPr>
              <w:t>إحرام الحائض خارج المسجد</w:t>
            </w:r>
            <w:r>
              <w:rPr>
                <w:rStyle w:val="IndexLink"/>
                <w:rtl w:val="true"/>
              </w:rPr>
              <w:tab/>
            </w:r>
            <w:r>
              <w:rPr>
                <w:rStyle w:val="IndexLink"/>
              </w:rPr>
              <w:t>301</w:t>
            </w:r>
          </w:hyperlink>
        </w:p>
        <w:p>
          <w:pPr>
            <w:pStyle w:val="Contents4"/>
            <w:tabs>
              <w:tab w:val="clear" w:pos="8176"/>
              <w:tab w:val="right" w:pos="9026" w:leader="dot"/>
            </w:tabs>
            <w:rPr/>
          </w:pPr>
          <w:hyperlink w:anchor="__RefHeading___Toc2055793_2322387425">
            <w:r>
              <w:rPr>
                <w:webHidden/>
                <w:rStyle w:val="IndexLink"/>
                <w:rtl w:val="true"/>
              </w:rPr>
              <w:t>إحرام الجنب من خارج المسجد</w:t>
            </w:r>
            <w:r>
              <w:rPr>
                <w:rStyle w:val="IndexLink"/>
                <w:rtl w:val="true"/>
              </w:rPr>
              <w:tab/>
            </w:r>
            <w:r>
              <w:rPr>
                <w:rStyle w:val="IndexLink"/>
              </w:rPr>
              <w:t>302</w:t>
            </w:r>
          </w:hyperlink>
        </w:p>
        <w:p>
          <w:pPr>
            <w:pStyle w:val="Contents4"/>
            <w:tabs>
              <w:tab w:val="clear" w:pos="8176"/>
              <w:tab w:val="right" w:pos="9026" w:leader="dot"/>
            </w:tabs>
            <w:rPr/>
          </w:pPr>
          <w:hyperlink w:anchor="__RefHeading___Toc2055795_2322387425">
            <w:r>
              <w:rPr>
                <w:webHidden/>
                <w:rStyle w:val="IndexLink"/>
                <w:rtl w:val="true"/>
              </w:rPr>
              <w:t>الثانی</w:t>
            </w:r>
            <w:r>
              <w:rPr>
                <w:rStyle w:val="IndexLink"/>
                <w:rtl w:val="true"/>
              </w:rPr>
              <w:t xml:space="preserve">: </w:t>
            </w:r>
            <w:r>
              <w:rPr>
                <w:rStyle w:val="IndexLink"/>
                <w:rtl w:val="true"/>
              </w:rPr>
              <w:t>العقیق، وهو میقات أهل نجد والعراق ومن یمرّ علیهم</w:t>
            </w:r>
            <w:r>
              <w:rPr>
                <w:rStyle w:val="IndexLink"/>
                <w:rtl w:val="true"/>
              </w:rPr>
              <w:tab/>
            </w:r>
            <w:r>
              <w:rPr>
                <w:rStyle w:val="IndexLink"/>
              </w:rPr>
              <w:t>303</w:t>
            </w:r>
          </w:hyperlink>
        </w:p>
        <w:p>
          <w:pPr>
            <w:pStyle w:val="Contents4"/>
            <w:tabs>
              <w:tab w:val="clear" w:pos="8176"/>
              <w:tab w:val="right" w:pos="9026" w:leader="dot"/>
            </w:tabs>
            <w:rPr/>
          </w:pPr>
          <w:hyperlink w:anchor="__RefHeading___Toc2055797_2322387425">
            <w:r>
              <w:rPr>
                <w:webHidden/>
                <w:rStyle w:val="IndexLink"/>
                <w:rtl w:val="true"/>
              </w:rPr>
              <w:t>الثالث</w:t>
            </w:r>
            <w:r>
              <w:rPr>
                <w:rStyle w:val="IndexLink"/>
                <w:rtl w:val="true"/>
              </w:rPr>
              <w:t xml:space="preserve">: </w:t>
            </w:r>
            <w:r>
              <w:rPr>
                <w:rStyle w:val="IndexLink"/>
                <w:rtl w:val="true"/>
              </w:rPr>
              <w:t>الجحفة، وهو میقات أهل الشام ومصر والمغرب</w:t>
            </w:r>
            <w:r>
              <w:rPr>
                <w:rStyle w:val="IndexLink"/>
                <w:rtl w:val="true"/>
              </w:rPr>
              <w:tab/>
            </w:r>
            <w:r>
              <w:rPr>
                <w:rStyle w:val="IndexLink"/>
              </w:rPr>
              <w:t>305</w:t>
            </w:r>
          </w:hyperlink>
        </w:p>
        <w:p>
          <w:pPr>
            <w:pStyle w:val="Contents4"/>
            <w:tabs>
              <w:tab w:val="clear" w:pos="8176"/>
              <w:tab w:val="right" w:pos="9026" w:leader="dot"/>
            </w:tabs>
            <w:rPr/>
          </w:pPr>
          <w:hyperlink w:anchor="__RefHeading___Toc2055799_2322387425">
            <w:r>
              <w:rPr>
                <w:webHidden/>
                <w:rStyle w:val="IndexLink"/>
                <w:rtl w:val="true"/>
              </w:rPr>
              <w:t>الرابع</w:t>
            </w:r>
            <w:r>
              <w:rPr>
                <w:rStyle w:val="IndexLink"/>
                <w:rtl w:val="true"/>
              </w:rPr>
              <w:t xml:space="preserve">: </w:t>
            </w:r>
            <w:r>
              <w:rPr>
                <w:rStyle w:val="IndexLink"/>
                <w:rtl w:val="true"/>
              </w:rPr>
              <w:t>یلملم، وهو میقات لأهل الیمن</w:t>
            </w:r>
            <w:r>
              <w:rPr>
                <w:rStyle w:val="IndexLink"/>
                <w:rtl w:val="true"/>
              </w:rPr>
              <w:tab/>
            </w:r>
            <w:r>
              <w:rPr>
                <w:rStyle w:val="IndexLink"/>
              </w:rPr>
              <w:t>305</w:t>
            </w:r>
          </w:hyperlink>
        </w:p>
        <w:p>
          <w:pPr>
            <w:pStyle w:val="Contents4"/>
            <w:tabs>
              <w:tab w:val="clear" w:pos="8176"/>
              <w:tab w:val="right" w:pos="9026" w:leader="dot"/>
            </w:tabs>
            <w:rPr/>
          </w:pPr>
          <w:hyperlink w:anchor="__RefHeading___Toc2055801_2322387425">
            <w:r>
              <w:rPr>
                <w:webHidden/>
                <w:rStyle w:val="IndexLink"/>
                <w:rtl w:val="true"/>
              </w:rPr>
              <w:t>الخامس</w:t>
            </w:r>
            <w:r>
              <w:rPr>
                <w:rStyle w:val="IndexLink"/>
                <w:rtl w:val="true"/>
              </w:rPr>
              <w:t xml:space="preserve">: </w:t>
            </w:r>
            <w:r>
              <w:rPr>
                <w:rStyle w:val="IndexLink"/>
                <w:rtl w:val="true"/>
              </w:rPr>
              <w:t>قرن المنازل، وهو میقات لأهل الطائف</w:t>
            </w:r>
            <w:r>
              <w:rPr>
                <w:rStyle w:val="IndexLink"/>
                <w:rtl w:val="true"/>
              </w:rPr>
              <w:tab/>
            </w:r>
            <w:r>
              <w:rPr>
                <w:rStyle w:val="IndexLink"/>
              </w:rPr>
              <w:t>305</w:t>
            </w:r>
          </w:hyperlink>
        </w:p>
        <w:p>
          <w:pPr>
            <w:pStyle w:val="Contents4"/>
            <w:tabs>
              <w:tab w:val="clear" w:pos="8176"/>
              <w:tab w:val="right" w:pos="9026" w:leader="dot"/>
            </w:tabs>
            <w:rPr/>
          </w:pPr>
          <w:hyperlink w:anchor="__RefHeading___Toc2055803_2322387425">
            <w:r>
              <w:rPr>
                <w:webHidden/>
                <w:rStyle w:val="IndexLink"/>
                <w:rtl w:val="true"/>
              </w:rPr>
              <w:t>السادس</w:t>
            </w:r>
            <w:r>
              <w:rPr>
                <w:rStyle w:val="IndexLink"/>
                <w:rtl w:val="true"/>
              </w:rPr>
              <w:t xml:space="preserve">: </w:t>
            </w:r>
            <w:r>
              <w:rPr>
                <w:rStyle w:val="IndexLink"/>
                <w:rtl w:val="true"/>
              </w:rPr>
              <w:t>مکّة، وهی لحجّ التمتّع</w:t>
            </w:r>
            <w:r>
              <w:rPr>
                <w:rStyle w:val="IndexLink"/>
                <w:rtl w:val="true"/>
              </w:rPr>
              <w:tab/>
            </w:r>
            <w:r>
              <w:rPr>
                <w:rStyle w:val="IndexLink"/>
              </w:rPr>
              <w:t>305</w:t>
            </w:r>
          </w:hyperlink>
        </w:p>
        <w:p>
          <w:pPr>
            <w:pStyle w:val="Contents4"/>
            <w:tabs>
              <w:tab w:val="clear" w:pos="8176"/>
              <w:tab w:val="right" w:pos="9026" w:leader="dot"/>
            </w:tabs>
            <w:rPr/>
          </w:pPr>
          <w:hyperlink w:anchor="__RefHeading___Toc2055805_2322387425">
            <w:r>
              <w:rPr>
                <w:webHidden/>
                <w:rStyle w:val="IndexLink"/>
                <w:rtl w:val="true"/>
              </w:rPr>
              <w:t>السابع</w:t>
            </w:r>
            <w:r>
              <w:rPr>
                <w:rStyle w:val="IndexLink"/>
                <w:rtl w:val="true"/>
              </w:rPr>
              <w:t xml:space="preserve">: </w:t>
            </w:r>
            <w:r>
              <w:rPr>
                <w:rStyle w:val="IndexLink"/>
                <w:rtl w:val="true"/>
              </w:rPr>
              <w:t>دُوَیرة الأهل، میقات من کان منزله دون المیقات إلی مکّة</w:t>
            </w:r>
            <w:r>
              <w:rPr>
                <w:rStyle w:val="IndexLink"/>
                <w:rtl w:val="true"/>
              </w:rPr>
              <w:tab/>
            </w:r>
            <w:r>
              <w:rPr>
                <w:rStyle w:val="IndexLink"/>
              </w:rPr>
              <w:t>305</w:t>
            </w:r>
          </w:hyperlink>
        </w:p>
        <w:p>
          <w:pPr>
            <w:pStyle w:val="Contents4"/>
            <w:tabs>
              <w:tab w:val="clear" w:pos="8176"/>
              <w:tab w:val="right" w:pos="9026" w:leader="dot"/>
            </w:tabs>
            <w:rPr/>
          </w:pPr>
          <w:hyperlink w:anchor="__RefHeading___Toc2055807_2322387425">
            <w:r>
              <w:rPr>
                <w:webHidden/>
                <w:rStyle w:val="IndexLink"/>
                <w:rtl w:val="true"/>
              </w:rPr>
              <w:t>الثامن</w:t>
            </w:r>
            <w:r>
              <w:rPr>
                <w:rStyle w:val="IndexLink"/>
                <w:rtl w:val="true"/>
              </w:rPr>
              <w:t xml:space="preserve">: </w:t>
            </w:r>
            <w:r>
              <w:rPr>
                <w:rStyle w:val="IndexLink"/>
                <w:rtl w:val="true"/>
              </w:rPr>
              <w:t>فخّ، وهو میقات الصبیان</w:t>
            </w:r>
            <w:r>
              <w:rPr>
                <w:rStyle w:val="IndexLink"/>
                <w:rtl w:val="true"/>
              </w:rPr>
              <w:tab/>
            </w:r>
            <w:r>
              <w:rPr>
                <w:rStyle w:val="IndexLink"/>
              </w:rPr>
              <w:t>307</w:t>
            </w:r>
          </w:hyperlink>
        </w:p>
        <w:p>
          <w:pPr>
            <w:pStyle w:val="Contents4"/>
            <w:tabs>
              <w:tab w:val="clear" w:pos="8176"/>
              <w:tab w:val="right" w:pos="9026" w:leader="dot"/>
            </w:tabs>
            <w:rPr/>
          </w:pPr>
          <w:hyperlink w:anchor="__RefHeading___Toc2055809_2322387425">
            <w:r>
              <w:rPr>
                <w:webHidden/>
                <w:rStyle w:val="IndexLink"/>
                <w:rtl w:val="true"/>
              </w:rPr>
              <w:t>التاسع</w:t>
            </w:r>
            <w:r>
              <w:rPr>
                <w:rStyle w:val="IndexLink"/>
                <w:rtl w:val="true"/>
              </w:rPr>
              <w:t xml:space="preserve">: </w:t>
            </w:r>
            <w:r>
              <w:rPr>
                <w:rStyle w:val="IndexLink"/>
                <w:rtl w:val="true"/>
              </w:rPr>
              <w:t>محاذاة أحد المواقیت الخمسة</w:t>
            </w:r>
            <w:r>
              <w:rPr>
                <w:rStyle w:val="IndexLink"/>
                <w:rtl w:val="true"/>
              </w:rPr>
              <w:tab/>
            </w:r>
            <w:r>
              <w:rPr>
                <w:rStyle w:val="IndexLink"/>
              </w:rPr>
              <w:t>308</w:t>
            </w:r>
          </w:hyperlink>
        </w:p>
        <w:p>
          <w:pPr>
            <w:pStyle w:val="Contents4"/>
            <w:tabs>
              <w:tab w:val="clear" w:pos="8176"/>
              <w:tab w:val="right" w:pos="9026" w:leader="dot"/>
            </w:tabs>
            <w:rPr/>
          </w:pPr>
          <w:hyperlink w:anchor="__RefHeading___Toc2055811_2322387425">
            <w:r>
              <w:rPr>
                <w:webHidden/>
                <w:rStyle w:val="IndexLink"/>
                <w:rtl w:val="true"/>
              </w:rPr>
              <w:t>ما تتحقّق به المحاذاة</w:t>
            </w:r>
            <w:r>
              <w:rPr>
                <w:rStyle w:val="IndexLink"/>
                <w:rtl w:val="true"/>
              </w:rPr>
              <w:tab/>
            </w:r>
            <w:r>
              <w:rPr>
                <w:rStyle w:val="IndexLink"/>
              </w:rPr>
              <w:t>309</w:t>
            </w:r>
          </w:hyperlink>
        </w:p>
        <w:p>
          <w:pPr>
            <w:pStyle w:val="Contents4"/>
            <w:tabs>
              <w:tab w:val="clear" w:pos="8176"/>
              <w:tab w:val="right" w:pos="9026" w:leader="dot"/>
            </w:tabs>
            <w:rPr/>
          </w:pPr>
          <w:hyperlink w:anchor="__RefHeading___Toc2055813_2322387425">
            <w:r>
              <w:rPr>
                <w:webHidden/>
                <w:rStyle w:val="IndexLink"/>
                <w:rtl w:val="true"/>
              </w:rPr>
              <w:t>طرق ثبوت المحاذاة</w:t>
            </w:r>
            <w:r>
              <w:rPr>
                <w:rStyle w:val="IndexLink"/>
                <w:rtl w:val="true"/>
              </w:rPr>
              <w:tab/>
            </w:r>
            <w:r>
              <w:rPr>
                <w:rStyle w:val="IndexLink"/>
              </w:rPr>
              <w:t>314</w:t>
            </w:r>
          </w:hyperlink>
        </w:p>
        <w:p>
          <w:pPr>
            <w:pStyle w:val="Contents4"/>
            <w:tabs>
              <w:tab w:val="clear" w:pos="8176"/>
              <w:tab w:val="right" w:pos="9026" w:leader="dot"/>
            </w:tabs>
            <w:rPr/>
          </w:pPr>
          <w:hyperlink w:anchor="__RefHeading___Toc2055815_2322387425">
            <w:r>
              <w:rPr>
                <w:webHidden/>
                <w:rStyle w:val="IndexLink"/>
                <w:rtl w:val="true"/>
              </w:rPr>
              <w:t>تبیّن الخلاف فی الإحرام من موضع المحاذاة</w:t>
            </w:r>
            <w:r>
              <w:rPr>
                <w:rStyle w:val="IndexLink"/>
                <w:rtl w:val="true"/>
              </w:rPr>
              <w:tab/>
            </w:r>
            <w:r>
              <w:rPr>
                <w:rStyle w:val="IndexLink"/>
              </w:rPr>
              <w:t>316</w:t>
            </w:r>
          </w:hyperlink>
        </w:p>
        <w:p>
          <w:pPr>
            <w:pStyle w:val="Contents4"/>
            <w:tabs>
              <w:tab w:val="clear" w:pos="8176"/>
              <w:tab w:val="right" w:pos="9026" w:leader="dot"/>
            </w:tabs>
            <w:rPr/>
          </w:pPr>
          <w:hyperlink w:anchor="__RefHeading___Toc2055817_2322387425">
            <w:r>
              <w:rPr>
                <w:webHidden/>
                <w:rStyle w:val="IndexLink"/>
                <w:rtl w:val="true"/>
              </w:rPr>
              <w:t>العاشر</w:t>
            </w:r>
            <w:r>
              <w:rPr>
                <w:rStyle w:val="IndexLink"/>
                <w:rtl w:val="true"/>
              </w:rPr>
              <w:t xml:space="preserve">: </w:t>
            </w:r>
            <w:r>
              <w:rPr>
                <w:rStyle w:val="IndexLink"/>
                <w:rtl w:val="true"/>
              </w:rPr>
              <w:t>أدنی الحلّ، وهو میقات العمرة المفردة </w:t>
            </w:r>
            <w:r>
              <w:rPr>
                <w:rStyle w:val="IndexLink"/>
                <w:rtl w:val="true"/>
              </w:rPr>
              <w:tab/>
            </w:r>
            <w:r>
              <w:rPr>
                <w:rStyle w:val="IndexLink"/>
              </w:rPr>
              <w:t>320</w:t>
            </w:r>
          </w:hyperlink>
        </w:p>
        <w:p>
          <w:pPr>
            <w:pStyle w:val="Contents4"/>
            <w:tabs>
              <w:tab w:val="clear" w:pos="8176"/>
              <w:tab w:val="right" w:pos="9026" w:leader="dot"/>
            </w:tabs>
            <w:rPr/>
          </w:pPr>
          <w:hyperlink w:anchor="__RefHeading___Toc2055819_2322387425">
            <w:r>
              <w:rPr>
                <w:webHidden/>
                <w:rStyle w:val="IndexLink"/>
                <w:rtl w:val="true"/>
              </w:rPr>
              <w:t>میقات من یمرّ علی المواقیت</w:t>
            </w:r>
            <w:r>
              <w:rPr>
                <w:rStyle w:val="IndexLink"/>
                <w:rtl w:val="true"/>
              </w:rPr>
              <w:tab/>
            </w:r>
            <w:r>
              <w:rPr>
                <w:rStyle w:val="IndexLink"/>
              </w:rPr>
              <w:t>322</w:t>
            </w:r>
          </w:hyperlink>
        </w:p>
        <w:p>
          <w:pPr>
            <w:pStyle w:val="Contents4"/>
            <w:tabs>
              <w:tab w:val="clear" w:pos="8176"/>
              <w:tab w:val="right" w:pos="9026" w:leader="dot"/>
            </w:tabs>
            <w:rPr/>
          </w:pPr>
          <w:hyperlink w:anchor="__RefHeading___Toc2055821_2322387425">
            <w:r>
              <w:rPr>
                <w:webHidden/>
                <w:rStyle w:val="IndexLink"/>
                <w:rtl w:val="true"/>
              </w:rPr>
              <w:t>المحصّلة فی الإحرام من المواقیت</w:t>
            </w:r>
            <w:r>
              <w:rPr>
                <w:rStyle w:val="IndexLink"/>
                <w:rtl w:val="true"/>
              </w:rPr>
              <w:tab/>
            </w:r>
            <w:r>
              <w:rPr>
                <w:rStyle w:val="IndexLink"/>
              </w:rPr>
              <w:t>322</w:t>
            </w:r>
          </w:hyperlink>
        </w:p>
        <w:p>
          <w:pPr>
            <w:pStyle w:val="Contents3"/>
            <w:tabs>
              <w:tab w:val="clear" w:pos="8459"/>
              <w:tab w:val="right" w:pos="9026" w:leader="dot"/>
            </w:tabs>
            <w:rPr/>
          </w:pPr>
          <w:hyperlink w:anchor="__RefHeading___Toc2055823_2322387425">
            <w:r>
              <w:rPr>
                <w:webHidden/>
                <w:rStyle w:val="IndexLink"/>
                <w:rtl w:val="true"/>
              </w:rPr>
              <w:t>فصل</w:t>
            </w:r>
            <w:r>
              <w:rPr>
                <w:rStyle w:val="IndexLink"/>
                <w:rtl w:val="true"/>
              </w:rPr>
              <w:t xml:space="preserve">: </w:t>
            </w:r>
            <w:r>
              <w:rPr>
                <w:rStyle w:val="IndexLink"/>
                <w:rtl w:val="true"/>
              </w:rPr>
              <w:t>فی أحکام المواقیت</w:t>
            </w:r>
            <w:r>
              <w:rPr>
                <w:rStyle w:val="IndexLink"/>
                <w:rtl w:val="true"/>
              </w:rPr>
              <w:tab/>
            </w:r>
            <w:r>
              <w:rPr>
                <w:rStyle w:val="IndexLink"/>
              </w:rPr>
              <w:t>326</w:t>
            </w:r>
          </w:hyperlink>
        </w:p>
        <w:p>
          <w:pPr>
            <w:pStyle w:val="Contents4"/>
            <w:tabs>
              <w:tab w:val="clear" w:pos="8176"/>
              <w:tab w:val="right" w:pos="9026" w:leader="dot"/>
            </w:tabs>
            <w:rPr/>
          </w:pPr>
          <w:hyperlink w:anchor="__RefHeading___Toc2055825_2322387425">
            <w:r>
              <w:rPr>
                <w:webHidden/>
                <w:rStyle w:val="IndexLink"/>
                <w:rtl w:val="true"/>
              </w:rPr>
              <w:t xml:space="preserve">عدم جواز الإحرام قبل المیقات إلّا فی موردین </w:t>
            </w:r>
            <w:r>
              <w:rPr>
                <w:rStyle w:val="IndexLink"/>
                <w:rtl w:val="true"/>
              </w:rPr>
              <w:t>:</w:t>
              <w:tab/>
            </w:r>
            <w:r>
              <w:rPr>
                <w:rStyle w:val="IndexLink"/>
              </w:rPr>
              <w:t>326</w:t>
            </w:r>
          </w:hyperlink>
        </w:p>
        <w:p>
          <w:pPr>
            <w:pStyle w:val="Contents4"/>
            <w:tabs>
              <w:tab w:val="clear" w:pos="8176"/>
              <w:tab w:val="right" w:pos="9026" w:leader="dot"/>
            </w:tabs>
            <w:rPr/>
          </w:pPr>
          <w:hyperlink w:anchor="__RefHeading___Toc2055827_2322387425">
            <w:r>
              <w:rPr>
                <w:webHidden/>
                <w:rStyle w:val="IndexLink"/>
                <w:rtl w:val="true"/>
              </w:rPr>
              <w:t>الأوّل</w:t>
            </w:r>
            <w:r>
              <w:rPr>
                <w:rStyle w:val="IndexLink"/>
                <w:rtl w:val="true"/>
              </w:rPr>
              <w:t xml:space="preserve">: </w:t>
            </w:r>
            <w:r>
              <w:rPr>
                <w:rStyle w:val="IndexLink"/>
                <w:rtl w:val="true"/>
              </w:rPr>
              <w:t>نذر الإحرام قبل المیقات</w:t>
            </w:r>
            <w:r>
              <w:rPr>
                <w:rStyle w:val="IndexLink"/>
                <w:rtl w:val="true"/>
              </w:rPr>
              <w:tab/>
            </w:r>
            <w:r>
              <w:rPr>
                <w:rStyle w:val="IndexLink"/>
              </w:rPr>
              <w:t>326</w:t>
            </w:r>
          </w:hyperlink>
        </w:p>
        <w:p>
          <w:pPr>
            <w:pStyle w:val="Contents4"/>
            <w:tabs>
              <w:tab w:val="clear" w:pos="8176"/>
              <w:tab w:val="right" w:pos="9026" w:leader="dot"/>
            </w:tabs>
            <w:rPr/>
          </w:pPr>
          <w:hyperlink w:anchor="__RefHeading___Toc2055829_2322387425">
            <w:r>
              <w:rPr>
                <w:webHidden/>
                <w:rStyle w:val="IndexLink"/>
                <w:rtl w:val="true"/>
              </w:rPr>
              <w:t>إلحاق العهد والیمین بالنذر</w:t>
            </w:r>
            <w:r>
              <w:rPr>
                <w:rStyle w:val="IndexLink"/>
                <w:rtl w:val="true"/>
              </w:rPr>
              <w:tab/>
            </w:r>
            <w:r>
              <w:rPr>
                <w:rStyle w:val="IndexLink"/>
              </w:rPr>
              <w:t>328</w:t>
            </w:r>
          </w:hyperlink>
        </w:p>
        <w:p>
          <w:pPr>
            <w:pStyle w:val="Contents4"/>
            <w:tabs>
              <w:tab w:val="clear" w:pos="8176"/>
              <w:tab w:val="right" w:pos="9026" w:leader="dot"/>
            </w:tabs>
            <w:rPr/>
          </w:pPr>
          <w:hyperlink w:anchor="__RefHeading___Toc2055831_2322387425">
            <w:r>
              <w:rPr>
                <w:webHidden/>
                <w:rStyle w:val="IndexLink"/>
                <w:rtl w:val="true"/>
              </w:rPr>
              <w:t>اعتبار تعیین المکان المنذور منه الإحرام</w:t>
            </w:r>
            <w:r>
              <w:rPr>
                <w:rStyle w:val="IndexLink"/>
                <w:rtl w:val="true"/>
              </w:rPr>
              <w:tab/>
            </w:r>
            <w:r>
              <w:rPr>
                <w:rStyle w:val="IndexLink"/>
              </w:rPr>
              <w:t>329</w:t>
            </w:r>
          </w:hyperlink>
        </w:p>
        <w:p>
          <w:pPr>
            <w:pStyle w:val="Contents4"/>
            <w:tabs>
              <w:tab w:val="clear" w:pos="8176"/>
              <w:tab w:val="right" w:pos="9026" w:leader="dot"/>
            </w:tabs>
            <w:rPr/>
          </w:pPr>
          <w:hyperlink w:anchor="__RefHeading___Toc2055833_2322387425">
            <w:r>
              <w:rPr>
                <w:webHidden/>
                <w:rStyle w:val="IndexLink"/>
                <w:rtl w:val="true"/>
              </w:rPr>
              <w:t>الثانی</w:t>
            </w:r>
            <w:r>
              <w:rPr>
                <w:rStyle w:val="IndexLink"/>
                <w:rtl w:val="true"/>
              </w:rPr>
              <w:t xml:space="preserve">: </w:t>
            </w:r>
            <w:r>
              <w:rPr>
                <w:rStyle w:val="IndexLink"/>
                <w:rtl w:val="true"/>
              </w:rPr>
              <w:t>تقدیم الإحرام لمن خاف فوت العمرة</w:t>
            </w:r>
            <w:r>
              <w:rPr>
                <w:rStyle w:val="IndexLink"/>
                <w:rtl w:val="true"/>
              </w:rPr>
              <w:tab/>
            </w:r>
            <w:r>
              <w:rPr>
                <w:rStyle w:val="IndexLink"/>
              </w:rPr>
              <w:t>330</w:t>
            </w:r>
          </w:hyperlink>
        </w:p>
        <w:p>
          <w:pPr>
            <w:pStyle w:val="Contents4"/>
            <w:tabs>
              <w:tab w:val="clear" w:pos="8176"/>
              <w:tab w:val="right" w:pos="9026" w:leader="dot"/>
            </w:tabs>
            <w:rPr/>
          </w:pPr>
          <w:hyperlink w:anchor="__RefHeading___Toc2055835_2322387425">
            <w:r>
              <w:rPr>
                <w:webHidden/>
                <w:rStyle w:val="IndexLink"/>
                <w:rtl w:val="true"/>
              </w:rPr>
              <w:t>المنع عن تأخیر الإحرام عن المیقات</w:t>
            </w:r>
            <w:r>
              <w:rPr>
                <w:rStyle w:val="IndexLink"/>
                <w:rtl w:val="true"/>
              </w:rPr>
              <w:tab/>
            </w:r>
            <w:r>
              <w:rPr>
                <w:rStyle w:val="IndexLink"/>
              </w:rPr>
              <w:t>332</w:t>
            </w:r>
          </w:hyperlink>
        </w:p>
        <w:p>
          <w:pPr>
            <w:pStyle w:val="Contents4"/>
            <w:tabs>
              <w:tab w:val="clear" w:pos="8176"/>
              <w:tab w:val="right" w:pos="9026" w:leader="dot"/>
            </w:tabs>
            <w:rPr/>
          </w:pPr>
          <w:hyperlink w:anchor="__RefHeading___Toc2055837_2322387425">
            <w:r>
              <w:rPr>
                <w:webHidden/>
                <w:rStyle w:val="IndexLink"/>
                <w:rtl w:val="true"/>
              </w:rPr>
              <w:t>ترک الإحرام من المیقات</w:t>
            </w:r>
            <w:r>
              <w:rPr>
                <w:rStyle w:val="IndexLink"/>
                <w:rtl w:val="true"/>
              </w:rPr>
              <w:tab/>
            </w:r>
            <w:r>
              <w:rPr>
                <w:rStyle w:val="IndexLink"/>
              </w:rPr>
              <w:t>334</w:t>
            </w:r>
          </w:hyperlink>
        </w:p>
        <w:p>
          <w:pPr>
            <w:pStyle w:val="Contents4"/>
            <w:tabs>
              <w:tab w:val="clear" w:pos="8176"/>
              <w:tab w:val="right" w:pos="9026" w:leader="dot"/>
            </w:tabs>
            <w:rPr/>
          </w:pPr>
          <w:hyperlink w:anchor="__RefHeading___Toc2055839_2322387425">
            <w:r>
              <w:rPr>
                <w:webHidden/>
                <w:rStyle w:val="IndexLink"/>
                <w:rtl w:val="true"/>
              </w:rPr>
              <w:t>ترک الإحرام للعمرة المفردة عن المیقات</w:t>
            </w:r>
            <w:r>
              <w:rPr>
                <w:rStyle w:val="IndexLink"/>
                <w:rtl w:val="true"/>
              </w:rPr>
              <w:tab/>
            </w:r>
            <w:r>
              <w:rPr>
                <w:rStyle w:val="IndexLink"/>
              </w:rPr>
              <w:t>337</w:t>
            </w:r>
          </w:hyperlink>
        </w:p>
        <w:p>
          <w:pPr>
            <w:pStyle w:val="Contents4"/>
            <w:tabs>
              <w:tab w:val="clear" w:pos="8176"/>
              <w:tab w:val="right" w:pos="9026" w:leader="dot"/>
            </w:tabs>
            <w:rPr/>
          </w:pPr>
          <w:hyperlink w:anchor="__RefHeading___Toc2055841_2322387425">
            <w:r>
              <w:rPr>
                <w:webHidden/>
                <w:rStyle w:val="IndexLink"/>
                <w:rtl w:val="true"/>
              </w:rPr>
              <w:t>حکم من کان مریضاً لا یتمکّن من النزع ولبس الثوبین والمعذور عن إنشاء الإحرام</w:t>
            </w:r>
            <w:r>
              <w:rPr>
                <w:rStyle w:val="IndexLink"/>
                <w:rtl w:val="true"/>
              </w:rPr>
              <w:tab/>
            </w:r>
            <w:r>
              <w:rPr>
                <w:rStyle w:val="IndexLink"/>
              </w:rPr>
              <w:t>337</w:t>
            </w:r>
          </w:hyperlink>
        </w:p>
        <w:p>
          <w:pPr>
            <w:pStyle w:val="Contents4"/>
            <w:tabs>
              <w:tab w:val="clear" w:pos="8176"/>
              <w:tab w:val="right" w:pos="9026" w:leader="dot"/>
            </w:tabs>
            <w:rPr/>
          </w:pPr>
          <w:hyperlink w:anchor="__RefHeading___Toc2055843_2322387425">
            <w:r>
              <w:rPr>
                <w:webHidden/>
                <w:rStyle w:val="IndexLink"/>
                <w:rtl w:val="true"/>
              </w:rPr>
              <w:t>ترک الإحرام من المیقات ناسیاً أو جاهلاً</w:t>
            </w:r>
            <w:r>
              <w:rPr>
                <w:rStyle w:val="IndexLink"/>
                <w:rtl w:val="true"/>
              </w:rPr>
              <w:tab/>
            </w:r>
            <w:r>
              <w:rPr>
                <w:rStyle w:val="IndexLink"/>
              </w:rPr>
              <w:t>339</w:t>
            </w:r>
          </w:hyperlink>
        </w:p>
        <w:p>
          <w:pPr>
            <w:pStyle w:val="Contents4"/>
            <w:tabs>
              <w:tab w:val="clear" w:pos="8176"/>
              <w:tab w:val="right" w:pos="9026" w:leader="dot"/>
            </w:tabs>
            <w:rPr/>
          </w:pPr>
          <w:hyperlink w:anchor="__RefHeading___Toc2055845_2322387425">
            <w:r>
              <w:rPr>
                <w:webHidden/>
                <w:rStyle w:val="IndexLink"/>
                <w:rtl w:val="true"/>
              </w:rPr>
              <w:t>حکم المقیم بمکّة لو أراد حجّ التمتّع</w:t>
            </w:r>
            <w:r>
              <w:rPr>
                <w:rStyle w:val="IndexLink"/>
                <w:rtl w:val="true"/>
              </w:rPr>
              <w:tab/>
            </w:r>
            <w:r>
              <w:rPr>
                <w:rStyle w:val="IndexLink"/>
              </w:rPr>
              <w:t>340</w:t>
            </w:r>
          </w:hyperlink>
        </w:p>
        <w:p>
          <w:pPr>
            <w:pStyle w:val="Contents4"/>
            <w:tabs>
              <w:tab w:val="clear" w:pos="8176"/>
              <w:tab w:val="right" w:pos="9026" w:leader="dot"/>
            </w:tabs>
            <w:rPr/>
          </w:pPr>
          <w:hyperlink w:anchor="__RefHeading___Toc2055847_2322387425">
            <w:r>
              <w:rPr>
                <w:webHidden/>
                <w:rStyle w:val="IndexLink"/>
                <w:rtl w:val="true"/>
              </w:rPr>
              <w:t>نسیان المتمتّع الإحرام للحجّ من مکّة</w:t>
            </w:r>
            <w:r>
              <w:rPr>
                <w:rStyle w:val="IndexLink"/>
                <w:rtl w:val="true"/>
              </w:rPr>
              <w:tab/>
            </w:r>
            <w:r>
              <w:rPr>
                <w:rStyle w:val="IndexLink"/>
              </w:rPr>
              <w:t>341</w:t>
            </w:r>
          </w:hyperlink>
        </w:p>
        <w:p>
          <w:pPr>
            <w:pStyle w:val="Contents4"/>
            <w:tabs>
              <w:tab w:val="clear" w:pos="8176"/>
              <w:tab w:val="right" w:pos="9026" w:leader="dot"/>
            </w:tabs>
            <w:rPr/>
          </w:pPr>
          <w:hyperlink w:anchor="__RefHeading___Toc2055849_2322387425">
            <w:r>
              <w:rPr>
                <w:webHidden/>
                <w:rStyle w:val="IndexLink"/>
                <w:rtl w:val="true"/>
              </w:rPr>
              <w:t>من ترک الإحرام نسیاناً أو جهلاً وتذکّر بعد الفراغ من المناسک</w:t>
            </w:r>
            <w:r>
              <w:rPr>
                <w:rStyle w:val="IndexLink"/>
                <w:rtl w:val="true"/>
              </w:rPr>
              <w:tab/>
            </w:r>
            <w:r>
              <w:rPr>
                <w:rStyle w:val="IndexLink"/>
              </w:rPr>
              <w:t>341</w:t>
            </w:r>
          </w:hyperlink>
        </w:p>
        <w:p>
          <w:pPr>
            <w:pStyle w:val="Contents3"/>
            <w:tabs>
              <w:tab w:val="clear" w:pos="8459"/>
              <w:tab w:val="right" w:pos="9026" w:leader="dot"/>
            </w:tabs>
            <w:rPr/>
          </w:pPr>
          <w:hyperlink w:anchor="__RefHeading___Toc2055851_2322387425">
            <w:r>
              <w:rPr>
                <w:webHidden/>
                <w:rStyle w:val="IndexLink"/>
                <w:rtl w:val="true"/>
              </w:rPr>
              <w:t>فصل</w:t>
            </w:r>
            <w:r>
              <w:rPr>
                <w:rStyle w:val="IndexLink"/>
                <w:rtl w:val="true"/>
              </w:rPr>
              <w:t xml:space="preserve">: </w:t>
            </w:r>
            <w:r>
              <w:rPr>
                <w:rStyle w:val="IndexLink"/>
                <w:rtl w:val="true"/>
              </w:rPr>
              <w:t>فی مقدّمات الإحرام</w:t>
            </w:r>
            <w:r>
              <w:rPr>
                <w:rStyle w:val="IndexLink"/>
                <w:rtl w:val="true"/>
              </w:rPr>
              <w:tab/>
            </w:r>
            <w:r>
              <w:rPr>
                <w:rStyle w:val="IndexLink"/>
              </w:rPr>
              <w:t>343</w:t>
            </w:r>
          </w:hyperlink>
        </w:p>
        <w:p>
          <w:pPr>
            <w:pStyle w:val="Contents4"/>
            <w:tabs>
              <w:tab w:val="clear" w:pos="8176"/>
              <w:tab w:val="right" w:pos="9026" w:leader="dot"/>
            </w:tabs>
            <w:rPr/>
          </w:pPr>
          <w:hyperlink w:anchor="__RefHeading___Toc2055853_2322387425">
            <w:r>
              <w:rPr>
                <w:webHidden/>
                <w:rStyle w:val="IndexLink"/>
                <w:rtl w:val="true"/>
              </w:rPr>
              <w:t>مستحبّات الشروع فی الأعمال</w:t>
            </w:r>
            <w:r>
              <w:rPr>
                <w:rStyle w:val="IndexLink"/>
                <w:rtl w:val="true"/>
              </w:rPr>
              <w:tab/>
            </w:r>
            <w:r>
              <w:rPr>
                <w:rStyle w:val="IndexLink"/>
              </w:rPr>
              <w:t>343</w:t>
            </w:r>
          </w:hyperlink>
        </w:p>
        <w:p>
          <w:pPr>
            <w:pStyle w:val="Contents4"/>
            <w:tabs>
              <w:tab w:val="clear" w:pos="8176"/>
              <w:tab w:val="right" w:pos="9026" w:leader="dot"/>
            </w:tabs>
            <w:rPr/>
          </w:pPr>
          <w:hyperlink w:anchor="__RefHeading___Toc2055855_2322387425">
            <w:r>
              <w:rPr>
                <w:webHidden/>
                <w:rStyle w:val="IndexLink"/>
                <w:rtl w:val="true"/>
              </w:rPr>
              <w:t>الأوّل</w:t>
            </w:r>
            <w:r>
              <w:rPr>
                <w:rStyle w:val="IndexLink"/>
                <w:rtl w:val="true"/>
              </w:rPr>
              <w:t xml:space="preserve">: </w:t>
            </w:r>
            <w:r>
              <w:rPr>
                <w:rStyle w:val="IndexLink"/>
                <w:rtl w:val="true"/>
              </w:rPr>
              <w:t>توفیر الشعر</w:t>
            </w:r>
            <w:r>
              <w:rPr>
                <w:rStyle w:val="IndexLink"/>
                <w:rtl w:val="true"/>
              </w:rPr>
              <w:tab/>
            </w:r>
            <w:r>
              <w:rPr>
                <w:rStyle w:val="IndexLink"/>
              </w:rPr>
              <w:t>343</w:t>
            </w:r>
          </w:hyperlink>
        </w:p>
        <w:p>
          <w:pPr>
            <w:pStyle w:val="Contents4"/>
            <w:tabs>
              <w:tab w:val="clear" w:pos="8176"/>
              <w:tab w:val="right" w:pos="9026" w:leader="dot"/>
            </w:tabs>
            <w:rPr/>
          </w:pPr>
          <w:hyperlink w:anchor="__RefHeading___Toc2055857_2322387425">
            <w:r>
              <w:rPr>
                <w:webHidden/>
                <w:rStyle w:val="IndexLink"/>
                <w:rtl w:val="true"/>
              </w:rPr>
              <w:t>الثانی</w:t>
            </w:r>
            <w:r>
              <w:rPr>
                <w:rStyle w:val="IndexLink"/>
                <w:rtl w:val="true"/>
              </w:rPr>
              <w:t xml:space="preserve">: </w:t>
            </w:r>
            <w:r>
              <w:rPr>
                <w:rStyle w:val="IndexLink"/>
                <w:rtl w:val="true"/>
              </w:rPr>
              <w:t>قصّ الأظفار والأخذ من الشارب ونحو ذلک</w:t>
            </w:r>
            <w:r>
              <w:rPr>
                <w:rStyle w:val="IndexLink"/>
                <w:rtl w:val="true"/>
              </w:rPr>
              <w:tab/>
            </w:r>
            <w:r>
              <w:rPr>
                <w:rStyle w:val="IndexLink"/>
              </w:rPr>
              <w:t>344</w:t>
            </w:r>
          </w:hyperlink>
        </w:p>
        <w:p>
          <w:pPr>
            <w:pStyle w:val="Contents4"/>
            <w:tabs>
              <w:tab w:val="clear" w:pos="8176"/>
              <w:tab w:val="right" w:pos="9026" w:leader="dot"/>
            </w:tabs>
            <w:rPr/>
          </w:pPr>
          <w:hyperlink w:anchor="__RefHeading___Toc2055859_2322387425">
            <w:r>
              <w:rPr>
                <w:webHidden/>
                <w:rStyle w:val="IndexLink"/>
                <w:rtl w:val="true"/>
              </w:rPr>
              <w:t>الثالث</w:t>
            </w:r>
            <w:r>
              <w:rPr>
                <w:rStyle w:val="IndexLink"/>
                <w:rtl w:val="true"/>
              </w:rPr>
              <w:t xml:space="preserve">: </w:t>
            </w:r>
            <w:r>
              <w:rPr>
                <w:rStyle w:val="IndexLink"/>
                <w:rtl w:val="true"/>
              </w:rPr>
              <w:t>الغسل أو بدله للإحرام فی المیقات وحکم تقدیمه علیه</w:t>
            </w:r>
            <w:r>
              <w:rPr>
                <w:rStyle w:val="IndexLink"/>
                <w:rtl w:val="true"/>
              </w:rPr>
              <w:tab/>
            </w:r>
            <w:r>
              <w:rPr>
                <w:rStyle w:val="IndexLink"/>
              </w:rPr>
              <w:t>344</w:t>
            </w:r>
          </w:hyperlink>
        </w:p>
        <w:p>
          <w:pPr>
            <w:pStyle w:val="Contents4"/>
            <w:tabs>
              <w:tab w:val="clear" w:pos="8176"/>
              <w:tab w:val="right" w:pos="9026" w:leader="dot"/>
            </w:tabs>
            <w:rPr/>
          </w:pPr>
          <w:hyperlink w:anchor="__RefHeading___Toc2055861_2322387425">
            <w:r>
              <w:rPr>
                <w:webHidden/>
                <w:rStyle w:val="IndexLink"/>
                <w:rtl w:val="true"/>
              </w:rPr>
              <w:t>من أحرم بغیر غسل</w:t>
            </w:r>
            <w:r>
              <w:rPr>
                <w:rStyle w:val="IndexLink"/>
                <w:rtl w:val="true"/>
              </w:rPr>
              <w:tab/>
            </w:r>
            <w:r>
              <w:rPr>
                <w:rStyle w:val="IndexLink"/>
              </w:rPr>
              <w:t>346</w:t>
            </w:r>
          </w:hyperlink>
        </w:p>
        <w:p>
          <w:pPr>
            <w:pStyle w:val="Contents4"/>
            <w:tabs>
              <w:tab w:val="clear" w:pos="8176"/>
              <w:tab w:val="right" w:pos="9026" w:leader="dot"/>
            </w:tabs>
            <w:rPr/>
          </w:pPr>
          <w:hyperlink w:anchor="__RefHeading___Toc2055863_2322387425">
            <w:r>
              <w:rPr>
                <w:webHidden/>
                <w:rStyle w:val="IndexLink"/>
                <w:rtl w:val="true"/>
              </w:rPr>
              <w:t>الدعاء بالمأثور عند الغسل</w:t>
            </w:r>
            <w:r>
              <w:rPr>
                <w:rStyle w:val="IndexLink"/>
                <w:rtl w:val="true"/>
              </w:rPr>
              <w:tab/>
            </w:r>
            <w:r>
              <w:rPr>
                <w:rStyle w:val="IndexLink"/>
              </w:rPr>
              <w:t>346</w:t>
            </w:r>
          </w:hyperlink>
        </w:p>
        <w:p>
          <w:pPr>
            <w:pStyle w:val="Contents4"/>
            <w:tabs>
              <w:tab w:val="clear" w:pos="8176"/>
              <w:tab w:val="right" w:pos="9026" w:leader="dot"/>
            </w:tabs>
            <w:rPr/>
          </w:pPr>
          <w:hyperlink w:anchor="__RefHeading___Toc2055865_2322387425">
            <w:r>
              <w:rPr>
                <w:webHidden/>
                <w:rStyle w:val="IndexLink"/>
                <w:rtl w:val="true"/>
              </w:rPr>
              <w:t>الرابع</w:t>
            </w:r>
            <w:r>
              <w:rPr>
                <w:rStyle w:val="IndexLink"/>
                <w:rtl w:val="true"/>
              </w:rPr>
              <w:t xml:space="preserve">: </w:t>
            </w:r>
            <w:r>
              <w:rPr>
                <w:rStyle w:val="IndexLink"/>
                <w:rtl w:val="true"/>
              </w:rPr>
              <w:t>أن یکون الإحرام عقیب صلاة</w:t>
            </w:r>
            <w:r>
              <w:rPr>
                <w:rStyle w:val="IndexLink"/>
                <w:rtl w:val="true"/>
              </w:rPr>
              <w:tab/>
            </w:r>
            <w:r>
              <w:rPr>
                <w:rStyle w:val="IndexLink"/>
              </w:rPr>
              <w:t>347</w:t>
            </w:r>
          </w:hyperlink>
        </w:p>
        <w:p>
          <w:pPr>
            <w:pStyle w:val="Contents4"/>
            <w:tabs>
              <w:tab w:val="clear" w:pos="8176"/>
              <w:tab w:val="right" w:pos="9026" w:leader="dot"/>
            </w:tabs>
            <w:rPr/>
          </w:pPr>
          <w:hyperlink w:anchor="__RefHeading___Toc2055867_2322387425">
            <w:r>
              <w:rPr>
                <w:webHidden/>
                <w:rStyle w:val="IndexLink"/>
                <w:rtl w:val="true"/>
              </w:rPr>
              <w:t>الخامس</w:t>
            </w:r>
            <w:r>
              <w:rPr>
                <w:rStyle w:val="IndexLink"/>
                <w:rtl w:val="true"/>
              </w:rPr>
              <w:t xml:space="preserve">: </w:t>
            </w:r>
            <w:r>
              <w:rPr>
                <w:rStyle w:val="IndexLink"/>
                <w:rtl w:val="true"/>
              </w:rPr>
              <w:t>صلاة ستّ رکعات أو أربع أو رکعتین للإحرام</w:t>
            </w:r>
            <w:r>
              <w:rPr>
                <w:rStyle w:val="IndexLink"/>
                <w:rtl w:val="true"/>
              </w:rPr>
              <w:tab/>
            </w:r>
            <w:r>
              <w:rPr>
                <w:rStyle w:val="IndexLink"/>
              </w:rPr>
              <w:t>347</w:t>
            </w:r>
          </w:hyperlink>
        </w:p>
        <w:p>
          <w:pPr>
            <w:pStyle w:val="Contents4"/>
            <w:tabs>
              <w:tab w:val="clear" w:pos="8176"/>
              <w:tab w:val="right" w:pos="9026" w:leader="dot"/>
            </w:tabs>
            <w:rPr/>
          </w:pPr>
          <w:hyperlink w:anchor="__RefHeading___Toc2055869_2322387425">
            <w:r>
              <w:rPr>
                <w:webHidden/>
                <w:rStyle w:val="IndexLink"/>
                <w:rtl w:val="true"/>
              </w:rPr>
              <w:t>کراهة استعمال الحنّاء قبل الإحرام</w:t>
            </w:r>
            <w:r>
              <w:rPr>
                <w:rStyle w:val="IndexLink"/>
                <w:rtl w:val="true"/>
              </w:rPr>
              <w:tab/>
            </w:r>
            <w:r>
              <w:rPr>
                <w:rStyle w:val="IndexLink"/>
              </w:rPr>
              <w:t>348</w:t>
            </w:r>
          </w:hyperlink>
        </w:p>
        <w:p>
          <w:pPr>
            <w:pStyle w:val="Contents3"/>
            <w:tabs>
              <w:tab w:val="clear" w:pos="8459"/>
              <w:tab w:val="right" w:pos="9026" w:leader="dot"/>
            </w:tabs>
            <w:rPr/>
          </w:pPr>
          <w:hyperlink w:anchor="__RefHeading___Toc2055871_2322387425">
            <w:r>
              <w:rPr>
                <w:webHidden/>
                <w:rStyle w:val="IndexLink"/>
                <w:rtl w:val="true"/>
              </w:rPr>
              <w:t>فصل</w:t>
            </w:r>
            <w:r>
              <w:rPr>
                <w:rStyle w:val="IndexLink"/>
                <w:rtl w:val="true"/>
              </w:rPr>
              <w:t xml:space="preserve">: </w:t>
            </w:r>
            <w:r>
              <w:rPr>
                <w:rStyle w:val="IndexLink"/>
                <w:rtl w:val="true"/>
              </w:rPr>
              <w:t>فی کیفیّة الإحرام</w:t>
            </w:r>
            <w:r>
              <w:rPr>
                <w:rStyle w:val="IndexLink"/>
                <w:rtl w:val="true"/>
              </w:rPr>
              <w:tab/>
            </w:r>
            <w:r>
              <w:rPr>
                <w:rStyle w:val="IndexLink"/>
              </w:rPr>
              <w:t>350</w:t>
            </w:r>
          </w:hyperlink>
        </w:p>
        <w:p>
          <w:pPr>
            <w:pStyle w:val="Contents4"/>
            <w:tabs>
              <w:tab w:val="clear" w:pos="8176"/>
              <w:tab w:val="right" w:pos="9026" w:leader="dot"/>
            </w:tabs>
            <w:rPr/>
          </w:pPr>
          <w:hyperlink w:anchor="__RefHeading___Toc2055873_2322387425">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2055875_2322387425">
            <w:r>
              <w:rPr>
                <w:webHidden/>
                <w:rStyle w:val="IndexLink"/>
                <w:rtl w:val="true"/>
              </w:rPr>
              <w:t>واجبات الإحرام</w:t>
            </w:r>
            <w:r>
              <w:rPr>
                <w:rStyle w:val="IndexLink"/>
                <w:rtl w:val="true"/>
              </w:rPr>
              <w:tab/>
            </w:r>
            <w:r>
              <w:rPr>
                <w:rStyle w:val="IndexLink"/>
              </w:rPr>
              <w:t>350</w:t>
            </w:r>
          </w:hyperlink>
        </w:p>
        <w:p>
          <w:pPr>
            <w:pStyle w:val="Contents4"/>
            <w:tabs>
              <w:tab w:val="clear" w:pos="8176"/>
              <w:tab w:val="right" w:pos="9026" w:leader="dot"/>
            </w:tabs>
            <w:rPr/>
          </w:pPr>
          <w:hyperlink w:anchor="__RefHeading___Toc2055877_2322387425">
            <w:r>
              <w:rPr>
                <w:webHidden/>
                <w:rStyle w:val="IndexLink"/>
                <w:rtl w:val="true"/>
              </w:rPr>
              <w:t>الأوّل</w:t>
            </w:r>
            <w:r>
              <w:rPr>
                <w:rStyle w:val="IndexLink"/>
                <w:rtl w:val="true"/>
              </w:rPr>
              <w:t xml:space="preserve">: </w:t>
            </w:r>
            <w:r>
              <w:rPr>
                <w:rStyle w:val="IndexLink"/>
                <w:rtl w:val="true"/>
              </w:rPr>
              <w:t>النیّة وبیان مؤادّها</w:t>
            </w:r>
            <w:r>
              <w:rPr>
                <w:rStyle w:val="IndexLink"/>
                <w:rtl w:val="true"/>
              </w:rPr>
              <w:tab/>
            </w:r>
            <w:r>
              <w:rPr>
                <w:rStyle w:val="IndexLink"/>
              </w:rPr>
              <w:t>350</w:t>
            </w:r>
          </w:hyperlink>
        </w:p>
        <w:p>
          <w:pPr>
            <w:pStyle w:val="Contents4"/>
            <w:tabs>
              <w:tab w:val="clear" w:pos="8176"/>
              <w:tab w:val="right" w:pos="9026" w:leader="dot"/>
            </w:tabs>
            <w:rPr/>
          </w:pPr>
          <w:hyperlink w:anchor="__RefHeading___Toc2055879_2322387425">
            <w:r>
              <w:rPr>
                <w:webHidden/>
                <w:rStyle w:val="IndexLink"/>
                <w:rtl w:val="true"/>
              </w:rPr>
              <w:t>ما یعتبر فی نیّة الإحرام</w:t>
            </w:r>
            <w:r>
              <w:rPr>
                <w:rStyle w:val="IndexLink"/>
                <w:rtl w:val="true"/>
              </w:rPr>
              <w:tab/>
            </w:r>
            <w:r>
              <w:rPr>
                <w:rStyle w:val="IndexLink"/>
              </w:rPr>
              <w:t>351</w:t>
            </w:r>
          </w:hyperlink>
        </w:p>
        <w:p>
          <w:pPr>
            <w:pStyle w:val="Contents4"/>
            <w:tabs>
              <w:tab w:val="clear" w:pos="8176"/>
              <w:tab w:val="right" w:pos="9026" w:leader="dot"/>
            </w:tabs>
            <w:rPr/>
          </w:pPr>
          <w:hyperlink w:anchor="__RefHeading___Toc2055881_2322387425">
            <w:r>
              <w:rPr>
                <w:webHidden/>
                <w:rStyle w:val="IndexLink"/>
                <w:rtl w:val="true"/>
              </w:rPr>
              <w:t>تعیین خصوصیّات الإحرام فی النیّة</w:t>
            </w:r>
            <w:r>
              <w:rPr>
                <w:rStyle w:val="IndexLink"/>
                <w:rtl w:val="true"/>
              </w:rPr>
              <w:tab/>
            </w:r>
            <w:r>
              <w:rPr>
                <w:rStyle w:val="IndexLink"/>
              </w:rPr>
              <w:t>353</w:t>
            </w:r>
          </w:hyperlink>
        </w:p>
        <w:p>
          <w:pPr>
            <w:pStyle w:val="Contents4"/>
            <w:tabs>
              <w:tab w:val="clear" w:pos="8176"/>
              <w:tab w:val="right" w:pos="9026" w:leader="dot"/>
            </w:tabs>
            <w:rPr/>
          </w:pPr>
          <w:hyperlink w:anchor="__RefHeading___Toc2055883_2322387425">
            <w:r>
              <w:rPr>
                <w:webHidden/>
                <w:rStyle w:val="IndexLink"/>
                <w:rtl w:val="true"/>
              </w:rPr>
              <w:t>ما لا یعتبر فی نیّة الإحرام</w:t>
            </w:r>
            <w:r>
              <w:rPr>
                <w:rStyle w:val="IndexLink"/>
                <w:rtl w:val="true"/>
              </w:rPr>
              <w:tab/>
            </w:r>
            <w:r>
              <w:rPr>
                <w:rStyle w:val="IndexLink"/>
              </w:rPr>
              <w:t>355</w:t>
            </w:r>
          </w:hyperlink>
        </w:p>
        <w:p>
          <w:pPr>
            <w:pStyle w:val="Contents4"/>
            <w:tabs>
              <w:tab w:val="clear" w:pos="8176"/>
              <w:tab w:val="right" w:pos="9026" w:leader="dot"/>
            </w:tabs>
            <w:rPr/>
          </w:pPr>
          <w:hyperlink w:anchor="__RefHeading___Toc2055885_2322387425">
            <w:r>
              <w:rPr>
                <w:webHidden/>
                <w:rStyle w:val="IndexLink"/>
                <w:rtl w:val="true"/>
              </w:rPr>
              <w:t>إذا نسی أن إحرامه کان للعمرة أو للحجّ</w:t>
            </w:r>
            <w:r>
              <w:rPr>
                <w:rStyle w:val="IndexLink"/>
                <w:rtl w:val="true"/>
              </w:rPr>
              <w:tab/>
            </w:r>
            <w:r>
              <w:rPr>
                <w:rStyle w:val="IndexLink"/>
              </w:rPr>
              <w:t>356</w:t>
            </w:r>
          </w:hyperlink>
        </w:p>
        <w:p>
          <w:pPr>
            <w:pStyle w:val="Contents4"/>
            <w:tabs>
              <w:tab w:val="clear" w:pos="8176"/>
              <w:tab w:val="right" w:pos="9026" w:leader="dot"/>
            </w:tabs>
            <w:rPr/>
          </w:pPr>
          <w:hyperlink w:anchor="__RefHeading___Toc2055887_2322387425">
            <w:r>
              <w:rPr>
                <w:webHidden/>
                <w:rStyle w:val="IndexLink"/>
                <w:rtl w:val="true"/>
              </w:rPr>
              <w:t>لو نوی للحجّ والعمرة بنیّة واحدة</w:t>
            </w:r>
            <w:r>
              <w:rPr>
                <w:rStyle w:val="IndexLink"/>
                <w:rtl w:val="true"/>
              </w:rPr>
              <w:tab/>
            </w:r>
            <w:r>
              <w:rPr>
                <w:rStyle w:val="IndexLink"/>
              </w:rPr>
              <w:t>359</w:t>
            </w:r>
          </w:hyperlink>
        </w:p>
        <w:p>
          <w:pPr>
            <w:pStyle w:val="Contents4"/>
            <w:tabs>
              <w:tab w:val="clear" w:pos="8176"/>
              <w:tab w:val="right" w:pos="9026" w:leader="dot"/>
            </w:tabs>
            <w:rPr/>
          </w:pPr>
          <w:hyperlink w:anchor="__RefHeading___Toc2055889_2322387425">
            <w:r>
              <w:rPr>
                <w:webHidden/>
                <w:rStyle w:val="IndexLink"/>
                <w:rtl w:val="true"/>
              </w:rPr>
              <w:t>لو نوی الإحرام کإحرام فلان</w:t>
            </w:r>
            <w:r>
              <w:rPr>
                <w:rStyle w:val="IndexLink"/>
                <w:rtl w:val="true"/>
              </w:rPr>
              <w:tab/>
            </w:r>
            <w:r>
              <w:rPr>
                <w:rStyle w:val="IndexLink"/>
              </w:rPr>
              <w:t>359</w:t>
            </w:r>
          </w:hyperlink>
        </w:p>
        <w:p>
          <w:pPr>
            <w:pStyle w:val="Contents4"/>
            <w:tabs>
              <w:tab w:val="clear" w:pos="8176"/>
              <w:tab w:val="right" w:pos="9026" w:leader="dot"/>
            </w:tabs>
            <w:rPr/>
          </w:pPr>
          <w:hyperlink w:anchor="__RefHeading___Toc2055891_2322387425">
            <w:r>
              <w:rPr>
                <w:webHidden/>
                <w:rStyle w:val="IndexLink"/>
                <w:rtl w:val="true"/>
              </w:rPr>
              <w:t>لو نوی غیر ما وجب علیه أو نطق به أو شکّ</w:t>
            </w:r>
            <w:r>
              <w:rPr>
                <w:rStyle w:val="IndexLink"/>
                <w:rtl w:val="true"/>
              </w:rPr>
              <w:tab/>
            </w:r>
            <w:r>
              <w:rPr>
                <w:rStyle w:val="IndexLink"/>
              </w:rPr>
              <w:t>361</w:t>
            </w:r>
          </w:hyperlink>
        </w:p>
        <w:p>
          <w:pPr>
            <w:pStyle w:val="Contents4"/>
            <w:tabs>
              <w:tab w:val="clear" w:pos="8176"/>
              <w:tab w:val="right" w:pos="9026" w:leader="dot"/>
            </w:tabs>
            <w:rPr/>
          </w:pPr>
          <w:hyperlink w:anchor="__RefHeading___Toc2055893_2322387425">
            <w:r>
              <w:rPr>
                <w:webHidden/>
                <w:rStyle w:val="IndexLink"/>
                <w:rtl w:val="true"/>
              </w:rPr>
              <w:t>ما یستحبّ فی نیّة الإحرام</w:t>
            </w:r>
            <w:r>
              <w:rPr>
                <w:rStyle w:val="IndexLink"/>
                <w:rtl w:val="true"/>
              </w:rPr>
              <w:tab/>
            </w:r>
            <w:r>
              <w:rPr>
                <w:rStyle w:val="IndexLink"/>
              </w:rPr>
              <w:t>362</w:t>
            </w:r>
          </w:hyperlink>
        </w:p>
        <w:p>
          <w:pPr>
            <w:pStyle w:val="Contents4"/>
            <w:tabs>
              <w:tab w:val="clear" w:pos="8176"/>
              <w:tab w:val="right" w:pos="9026" w:leader="dot"/>
            </w:tabs>
            <w:rPr/>
          </w:pPr>
          <w:hyperlink w:anchor="__RefHeading___Toc2055895_2322387425">
            <w:r>
              <w:rPr>
                <w:webHidden/>
                <w:rStyle w:val="IndexLink"/>
                <w:rtl w:val="true"/>
              </w:rPr>
              <w:t>الثانی</w:t>
            </w:r>
            <w:r>
              <w:rPr>
                <w:rStyle w:val="IndexLink"/>
                <w:rtl w:val="true"/>
              </w:rPr>
              <w:t xml:space="preserve">: </w:t>
            </w:r>
            <w:r>
              <w:rPr>
                <w:rStyle w:val="IndexLink"/>
                <w:rtl w:val="true"/>
              </w:rPr>
              <w:t>التلبیة وکیفیّتها</w:t>
            </w:r>
            <w:r>
              <w:rPr>
                <w:rStyle w:val="IndexLink"/>
                <w:rtl w:val="true"/>
              </w:rPr>
              <w:tab/>
            </w:r>
            <w:r>
              <w:rPr>
                <w:rStyle w:val="IndexLink"/>
              </w:rPr>
              <w:t>364</w:t>
            </w:r>
          </w:hyperlink>
        </w:p>
        <w:p>
          <w:pPr>
            <w:pStyle w:val="Contents4"/>
            <w:tabs>
              <w:tab w:val="clear" w:pos="8176"/>
              <w:tab w:val="right" w:pos="9026" w:leader="dot"/>
            </w:tabs>
            <w:rPr/>
          </w:pPr>
          <w:hyperlink w:anchor="__RefHeading___Toc2055897_2322387425">
            <w:r>
              <w:rPr>
                <w:webHidden/>
                <w:rStyle w:val="IndexLink"/>
                <w:rtl w:val="true"/>
              </w:rPr>
              <w:t>ما یلزم مراعاته فی التلبیة</w:t>
            </w:r>
            <w:r>
              <w:rPr>
                <w:rStyle w:val="IndexLink"/>
                <w:rtl w:val="true"/>
              </w:rPr>
              <w:tab/>
            </w:r>
            <w:r>
              <w:rPr>
                <w:rStyle w:val="IndexLink"/>
              </w:rPr>
              <w:t>366</w:t>
            </w:r>
          </w:hyperlink>
        </w:p>
        <w:p>
          <w:pPr>
            <w:pStyle w:val="Contents4"/>
            <w:tabs>
              <w:tab w:val="clear" w:pos="8176"/>
              <w:tab w:val="right" w:pos="9026" w:leader="dot"/>
            </w:tabs>
            <w:rPr/>
          </w:pPr>
          <w:hyperlink w:anchor="__RefHeading___Toc2055899_2322387425">
            <w:r>
              <w:rPr>
                <w:webHidden/>
                <w:rStyle w:val="IndexLink"/>
                <w:rtl w:val="true"/>
              </w:rPr>
              <w:t>مواطن انعقاد الإحرام بالتلبیة وبالإشعار والتقلید</w:t>
            </w:r>
            <w:r>
              <w:rPr>
                <w:rStyle w:val="IndexLink"/>
                <w:rtl w:val="true"/>
              </w:rPr>
              <w:tab/>
            </w:r>
            <w:r>
              <w:rPr>
                <w:rStyle w:val="IndexLink"/>
              </w:rPr>
              <w:t>368</w:t>
            </w:r>
          </w:hyperlink>
        </w:p>
        <w:p>
          <w:pPr>
            <w:pStyle w:val="Contents4"/>
            <w:tabs>
              <w:tab w:val="clear" w:pos="8176"/>
              <w:tab w:val="right" w:pos="9026" w:leader="dot"/>
            </w:tabs>
            <w:rPr/>
          </w:pPr>
          <w:hyperlink w:anchor="__RefHeading___Toc2055901_2322387425">
            <w:r>
              <w:rPr>
                <w:webHidden/>
                <w:rStyle w:val="IndexLink"/>
                <w:rtl w:val="true"/>
              </w:rPr>
              <w:t>تأخیر التلبیة عن النیّة ولبس الثوبین</w:t>
            </w:r>
            <w:r>
              <w:rPr>
                <w:rStyle w:val="IndexLink"/>
                <w:rtl w:val="true"/>
              </w:rPr>
              <w:tab/>
            </w:r>
            <w:r>
              <w:rPr>
                <w:rStyle w:val="IndexLink"/>
              </w:rPr>
              <w:t>370</w:t>
            </w:r>
          </w:hyperlink>
        </w:p>
        <w:p>
          <w:pPr>
            <w:pStyle w:val="Contents4"/>
            <w:tabs>
              <w:tab w:val="clear" w:pos="8176"/>
              <w:tab w:val="right" w:pos="9026" w:leader="dot"/>
            </w:tabs>
            <w:rPr/>
          </w:pPr>
          <w:hyperlink w:anchor="__RefHeading___Toc2055903_2322387425">
            <w:r>
              <w:rPr>
                <w:webHidden/>
                <w:rStyle w:val="IndexLink"/>
                <w:rtl w:val="true"/>
              </w:rPr>
              <w:t>جواز إتیان محرّمات الإحرام قبل التلبیة</w:t>
            </w:r>
            <w:r>
              <w:rPr>
                <w:rStyle w:val="IndexLink"/>
                <w:rtl w:val="true"/>
              </w:rPr>
              <w:tab/>
            </w:r>
            <w:r>
              <w:rPr>
                <w:rStyle w:val="IndexLink"/>
              </w:rPr>
              <w:t>371</w:t>
            </w:r>
          </w:hyperlink>
        </w:p>
        <w:p>
          <w:pPr>
            <w:pStyle w:val="Contents4"/>
            <w:tabs>
              <w:tab w:val="clear" w:pos="8176"/>
              <w:tab w:val="right" w:pos="9026" w:leader="dot"/>
            </w:tabs>
            <w:rPr/>
          </w:pPr>
          <w:hyperlink w:anchor="__RefHeading___Toc2055905_2322387425">
            <w:r>
              <w:rPr>
                <w:webHidden/>
                <w:rStyle w:val="IndexLink"/>
                <w:rtl w:val="true"/>
              </w:rPr>
              <w:t>حکم نسیان التلبیة</w:t>
            </w:r>
            <w:r>
              <w:rPr>
                <w:rStyle w:val="IndexLink"/>
                <w:rtl w:val="true"/>
              </w:rPr>
              <w:tab/>
            </w:r>
            <w:r>
              <w:rPr>
                <w:rStyle w:val="IndexLink"/>
              </w:rPr>
              <w:t>371</w:t>
            </w:r>
          </w:hyperlink>
        </w:p>
        <w:p>
          <w:pPr>
            <w:pStyle w:val="Contents4"/>
            <w:tabs>
              <w:tab w:val="clear" w:pos="8176"/>
              <w:tab w:val="right" w:pos="9026" w:leader="dot"/>
            </w:tabs>
            <w:rPr/>
          </w:pPr>
          <w:hyperlink w:anchor="__RefHeading___Toc2055907_2322387425">
            <w:r>
              <w:rPr>
                <w:webHidden/>
                <w:rStyle w:val="IndexLink"/>
                <w:rtl w:val="true"/>
              </w:rPr>
              <w:t>استحباب إکثار التلبیة والجهر بها</w:t>
            </w:r>
            <w:r>
              <w:rPr>
                <w:rStyle w:val="IndexLink"/>
                <w:rtl w:val="true"/>
              </w:rPr>
              <w:tab/>
            </w:r>
            <w:r>
              <w:rPr>
                <w:rStyle w:val="IndexLink"/>
              </w:rPr>
              <w:t>372</w:t>
            </w:r>
          </w:hyperlink>
        </w:p>
        <w:p>
          <w:pPr>
            <w:pStyle w:val="Contents4"/>
            <w:tabs>
              <w:tab w:val="clear" w:pos="8176"/>
              <w:tab w:val="right" w:pos="9026" w:leader="dot"/>
            </w:tabs>
            <w:rPr/>
          </w:pPr>
          <w:hyperlink w:anchor="__RefHeading___Toc2055909_2322387425">
            <w:r>
              <w:rPr>
                <w:webHidden/>
                <w:rStyle w:val="IndexLink"/>
                <w:rtl w:val="true"/>
              </w:rPr>
              <w:t>أفضلیّة تأخیر التلبیة إلی المواضع الخاصّة</w:t>
            </w:r>
            <w:r>
              <w:rPr>
                <w:rStyle w:val="IndexLink"/>
                <w:rtl w:val="true"/>
              </w:rPr>
              <w:tab/>
            </w:r>
            <w:r>
              <w:rPr>
                <w:rStyle w:val="IndexLink"/>
              </w:rPr>
              <w:t>373</w:t>
            </w:r>
          </w:hyperlink>
        </w:p>
        <w:p>
          <w:pPr>
            <w:pStyle w:val="Contents4"/>
            <w:tabs>
              <w:tab w:val="clear" w:pos="8176"/>
              <w:tab w:val="right" w:pos="9026" w:leader="dot"/>
            </w:tabs>
            <w:rPr/>
          </w:pPr>
          <w:hyperlink w:anchor="__RefHeading___Toc2055911_2322387425">
            <w:r>
              <w:rPr>
                <w:webHidden/>
                <w:rStyle w:val="IndexLink"/>
                <w:rtl w:val="true"/>
              </w:rPr>
              <w:t>موضع قطع التلبیة للمعتمر والحاجّ</w:t>
            </w:r>
            <w:r>
              <w:rPr>
                <w:rStyle w:val="IndexLink"/>
                <w:rtl w:val="true"/>
              </w:rPr>
              <w:tab/>
            </w:r>
            <w:r>
              <w:rPr>
                <w:rStyle w:val="IndexLink"/>
              </w:rPr>
              <w:t>375</w:t>
            </w:r>
          </w:hyperlink>
        </w:p>
        <w:p>
          <w:pPr>
            <w:pStyle w:val="Contents4"/>
            <w:tabs>
              <w:tab w:val="clear" w:pos="8176"/>
              <w:tab w:val="right" w:pos="9026" w:leader="dot"/>
            </w:tabs>
            <w:rPr/>
          </w:pPr>
          <w:hyperlink w:anchor="__RefHeading___Toc2055913_2322387425">
            <w:r>
              <w:rPr>
                <w:webHidden/>
                <w:rStyle w:val="IndexLink"/>
                <w:rtl w:val="true"/>
              </w:rPr>
              <w:t>عدم لزوم صورة خاصّة فی تکرار التلبیة</w:t>
            </w:r>
            <w:r>
              <w:rPr>
                <w:rStyle w:val="IndexLink"/>
                <w:rtl w:val="true"/>
              </w:rPr>
              <w:tab/>
            </w:r>
            <w:r>
              <w:rPr>
                <w:rStyle w:val="IndexLink"/>
              </w:rPr>
              <w:t>375</w:t>
            </w:r>
          </w:hyperlink>
        </w:p>
        <w:p>
          <w:pPr>
            <w:pStyle w:val="Contents4"/>
            <w:tabs>
              <w:tab w:val="clear" w:pos="8176"/>
              <w:tab w:val="right" w:pos="9026" w:leader="dot"/>
            </w:tabs>
            <w:rPr/>
          </w:pPr>
          <w:hyperlink w:anchor="__RefHeading___Toc2055915_2322387425">
            <w:r>
              <w:rPr>
                <w:webHidden/>
                <w:rStyle w:val="IndexLink"/>
                <w:rtl w:val="true"/>
              </w:rPr>
              <w:t>الشکّ فی صحّة التلبیة</w:t>
            </w:r>
            <w:r>
              <w:rPr>
                <w:rStyle w:val="IndexLink"/>
                <w:rtl w:val="true"/>
              </w:rPr>
              <w:tab/>
            </w:r>
            <w:r>
              <w:rPr>
                <w:rStyle w:val="IndexLink"/>
              </w:rPr>
              <w:t>376</w:t>
            </w:r>
          </w:hyperlink>
        </w:p>
        <w:p>
          <w:pPr>
            <w:pStyle w:val="Contents4"/>
            <w:tabs>
              <w:tab w:val="clear" w:pos="8176"/>
              <w:tab w:val="right" w:pos="9026" w:leader="dot"/>
            </w:tabs>
            <w:rPr/>
          </w:pPr>
          <w:hyperlink w:anchor="__RefHeading___Toc2055917_2322387425">
            <w:r>
              <w:rPr>
                <w:webHidden/>
                <w:rStyle w:val="IndexLink"/>
                <w:rtl w:val="true"/>
              </w:rPr>
              <w:t>صور الشکّ فی التلبیة</w:t>
            </w:r>
            <w:r>
              <w:rPr>
                <w:rStyle w:val="IndexLink"/>
                <w:rtl w:val="true"/>
              </w:rPr>
              <w:tab/>
            </w:r>
            <w:r>
              <w:rPr>
                <w:rStyle w:val="IndexLink"/>
              </w:rPr>
              <w:t>376</w:t>
            </w:r>
          </w:hyperlink>
        </w:p>
        <w:p>
          <w:pPr>
            <w:pStyle w:val="Contents4"/>
            <w:tabs>
              <w:tab w:val="clear" w:pos="8176"/>
              <w:tab w:val="right" w:pos="9026" w:leader="dot"/>
            </w:tabs>
            <w:rPr/>
          </w:pPr>
          <w:hyperlink w:anchor="__RefHeading___Toc2055919_2322387425">
            <w:r>
              <w:rPr>
                <w:webHidden/>
                <w:rStyle w:val="IndexLink"/>
                <w:rtl w:val="true"/>
              </w:rPr>
              <w:t>الثالث</w:t>
            </w:r>
            <w:r>
              <w:rPr>
                <w:rStyle w:val="IndexLink"/>
                <w:rtl w:val="true"/>
              </w:rPr>
              <w:t xml:space="preserve">: </w:t>
            </w:r>
            <w:r>
              <w:rPr>
                <w:rStyle w:val="IndexLink"/>
                <w:rtl w:val="true"/>
              </w:rPr>
              <w:t>لبس الثوبین بلا کیفیّة مخصوصة فیهما</w:t>
            </w:r>
            <w:r>
              <w:rPr>
                <w:rStyle w:val="IndexLink"/>
                <w:rtl w:val="true"/>
              </w:rPr>
              <w:tab/>
            </w:r>
            <w:r>
              <w:rPr>
                <w:rStyle w:val="IndexLink"/>
              </w:rPr>
              <w:t>377</w:t>
            </w:r>
          </w:hyperlink>
        </w:p>
        <w:p>
          <w:pPr>
            <w:pStyle w:val="Contents4"/>
            <w:tabs>
              <w:tab w:val="clear" w:pos="8176"/>
              <w:tab w:val="right" w:pos="9026" w:leader="dot"/>
            </w:tabs>
            <w:rPr/>
          </w:pPr>
          <w:hyperlink w:anchor="__RefHeading___Toc2055921_2322387425">
            <w:r>
              <w:rPr>
                <w:webHidden/>
                <w:rStyle w:val="IndexLink"/>
                <w:rtl w:val="true"/>
              </w:rPr>
              <w:t>حکم من أحرم فی قمیصه عالماً عامداً</w:t>
            </w:r>
            <w:r>
              <w:rPr>
                <w:rStyle w:val="IndexLink"/>
                <w:rtl w:val="true"/>
              </w:rPr>
              <w:tab/>
            </w:r>
            <w:r>
              <w:rPr>
                <w:rStyle w:val="IndexLink"/>
              </w:rPr>
              <w:t>379</w:t>
            </w:r>
          </w:hyperlink>
        </w:p>
        <w:p>
          <w:pPr>
            <w:pStyle w:val="Contents4"/>
            <w:tabs>
              <w:tab w:val="clear" w:pos="8176"/>
              <w:tab w:val="right" w:pos="9026" w:leader="dot"/>
            </w:tabs>
            <w:rPr/>
          </w:pPr>
          <w:hyperlink w:anchor="__RefHeading___Toc2055923_2322387425">
            <w:r>
              <w:rPr>
                <w:webHidden/>
                <w:rStyle w:val="IndexLink"/>
                <w:rtl w:val="true"/>
              </w:rPr>
              <w:t>نزع المحرم ثوبی الإحرام أو تبدیلهما حیناً مّا</w:t>
            </w:r>
            <w:r>
              <w:rPr>
                <w:rStyle w:val="IndexLink"/>
                <w:rtl w:val="true"/>
              </w:rPr>
              <w:tab/>
            </w:r>
            <w:r>
              <w:rPr>
                <w:rStyle w:val="IndexLink"/>
              </w:rPr>
              <w:t>380</w:t>
            </w:r>
          </w:hyperlink>
        </w:p>
        <w:p>
          <w:pPr>
            <w:pStyle w:val="Contents4"/>
            <w:tabs>
              <w:tab w:val="clear" w:pos="8176"/>
              <w:tab w:val="right" w:pos="9026" w:leader="dot"/>
            </w:tabs>
            <w:rPr/>
          </w:pPr>
          <w:hyperlink w:anchor="__RefHeading___Toc2055925_2322387425">
            <w:r>
              <w:rPr>
                <w:webHidden/>
                <w:rStyle w:val="IndexLink"/>
                <w:rtl w:val="true"/>
              </w:rPr>
              <w:t>لبس ما زاد علی الثوبین فی ابتداء الإحرام</w:t>
            </w:r>
            <w:r>
              <w:rPr>
                <w:rStyle w:val="IndexLink"/>
                <w:rtl w:val="true"/>
              </w:rPr>
              <w:tab/>
            </w:r>
            <w:r>
              <w:rPr>
                <w:rStyle w:val="IndexLink"/>
              </w:rPr>
              <w:t>381</w:t>
            </w:r>
          </w:hyperlink>
        </w:p>
        <w:p>
          <w:pPr>
            <w:pStyle w:val="Contents2"/>
            <w:tabs>
              <w:tab w:val="clear" w:pos="8743"/>
              <w:tab w:val="right" w:pos="9026" w:leader="dot"/>
            </w:tabs>
            <w:rPr/>
          </w:pPr>
          <w:hyperlink w:anchor="__RefHeading___Toc2055927_2322387425">
            <w:r>
              <w:rPr>
                <w:webHidden/>
                <w:rStyle w:val="IndexLink"/>
                <w:rtl w:val="true"/>
              </w:rPr>
              <w:t>کتاب الإجارة</w:t>
            </w:r>
            <w:r>
              <w:rPr>
                <w:rStyle w:val="IndexLink"/>
                <w:rtl w:val="true"/>
              </w:rPr>
              <w:tab/>
            </w:r>
            <w:r>
              <w:rPr>
                <w:rStyle w:val="IndexLink"/>
              </w:rPr>
              <w:t>383</w:t>
            </w:r>
          </w:hyperlink>
        </w:p>
        <w:p>
          <w:pPr>
            <w:pStyle w:val="Contents3"/>
            <w:tabs>
              <w:tab w:val="clear" w:pos="8459"/>
              <w:tab w:val="right" w:pos="9026" w:leader="dot"/>
            </w:tabs>
            <w:rPr/>
          </w:pPr>
          <w:hyperlink w:anchor="__RefHeading___Toc2055929_2322387425">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2055931_2322387425">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2055933_2322387425">
            <w:r>
              <w:rPr>
                <w:webHidden/>
                <w:rStyle w:val="IndexLink"/>
                <w:rtl w:val="true"/>
              </w:rPr>
              <w:t>ماهیّة الإجارة </w:t>
            </w:r>
            <w:r>
              <w:rPr>
                <w:rStyle w:val="IndexLink"/>
                <w:rtl w:val="true"/>
              </w:rPr>
              <w:tab/>
            </w:r>
            <w:r>
              <w:rPr>
                <w:rStyle w:val="IndexLink"/>
              </w:rPr>
              <w:t>385</w:t>
            </w:r>
          </w:hyperlink>
        </w:p>
        <w:p>
          <w:pPr>
            <w:pStyle w:val="Contents3"/>
            <w:tabs>
              <w:tab w:val="clear" w:pos="8459"/>
              <w:tab w:val="right" w:pos="9026" w:leader="dot"/>
            </w:tabs>
            <w:rPr/>
          </w:pPr>
          <w:hyperlink w:anchor="__RefHeading___Toc2055935_2322387425">
            <w:r>
              <w:rPr>
                <w:webHidden/>
                <w:rStyle w:val="IndexLink"/>
                <w:rtl w:val="true"/>
              </w:rPr>
              <w:t>فصل</w:t>
            </w:r>
            <w:r>
              <w:rPr>
                <w:rStyle w:val="IndexLink"/>
                <w:rtl w:val="true"/>
              </w:rPr>
              <w:t xml:space="preserve">: </w:t>
            </w:r>
            <w:r>
              <w:rPr>
                <w:rStyle w:val="IndexLink"/>
                <w:rtl w:val="true"/>
              </w:rPr>
              <w:t>فی  أرکانها</w:t>
            </w:r>
            <w:r>
              <w:rPr>
                <w:rStyle w:val="IndexLink"/>
                <w:rtl w:val="true"/>
              </w:rPr>
              <w:tab/>
            </w:r>
            <w:r>
              <w:rPr>
                <w:rStyle w:val="IndexLink"/>
              </w:rPr>
              <w:t>388</w:t>
            </w:r>
          </w:hyperlink>
        </w:p>
        <w:p>
          <w:pPr>
            <w:pStyle w:val="Contents4"/>
            <w:tabs>
              <w:tab w:val="clear" w:pos="8176"/>
              <w:tab w:val="right" w:pos="9026" w:leader="dot"/>
            </w:tabs>
            <w:rPr/>
          </w:pPr>
          <w:hyperlink w:anchor="__RefHeading___Toc2055937_2322387425">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2055939_2322387425">
            <w:r>
              <w:rPr>
                <w:webHidden/>
                <w:rStyle w:val="IndexLink"/>
                <w:rtl w:val="true"/>
              </w:rPr>
              <w:t>الأوّل</w:t>
            </w:r>
            <w:r>
              <w:rPr>
                <w:rStyle w:val="IndexLink"/>
                <w:rtl w:val="true"/>
              </w:rPr>
              <w:t xml:space="preserve">: </w:t>
            </w:r>
            <w:r>
              <w:rPr>
                <w:rStyle w:val="IndexLink"/>
                <w:rtl w:val="true"/>
              </w:rPr>
              <w:t>الإیجاب والقبول</w:t>
            </w:r>
            <w:r>
              <w:rPr>
                <w:rStyle w:val="IndexLink"/>
                <w:rtl w:val="true"/>
              </w:rPr>
              <w:tab/>
            </w:r>
            <w:r>
              <w:rPr>
                <w:rStyle w:val="IndexLink"/>
              </w:rPr>
              <w:t>388</w:t>
            </w:r>
          </w:hyperlink>
        </w:p>
        <w:p>
          <w:pPr>
            <w:pStyle w:val="Contents4"/>
            <w:tabs>
              <w:tab w:val="clear" w:pos="8176"/>
              <w:tab w:val="right" w:pos="9026" w:leader="dot"/>
            </w:tabs>
            <w:rPr/>
          </w:pPr>
          <w:hyperlink w:anchor="__RefHeading___Toc2055941_2322387425">
            <w:r>
              <w:rPr>
                <w:webHidden/>
                <w:rStyle w:val="IndexLink"/>
                <w:rtl w:val="true"/>
              </w:rPr>
              <w:t>الثانی</w:t>
            </w:r>
            <w:r>
              <w:rPr>
                <w:rStyle w:val="IndexLink"/>
                <w:rtl w:val="true"/>
              </w:rPr>
              <w:t xml:space="preserve">: </w:t>
            </w:r>
            <w:r>
              <w:rPr>
                <w:rStyle w:val="IndexLink"/>
                <w:rtl w:val="true"/>
              </w:rPr>
              <w:t>المتعاقدان وما یشترط فیهما</w:t>
            </w:r>
            <w:r>
              <w:rPr>
                <w:rStyle w:val="IndexLink"/>
                <w:rtl w:val="true"/>
              </w:rPr>
              <w:tab/>
            </w:r>
            <w:r>
              <w:rPr>
                <w:rStyle w:val="IndexLink"/>
              </w:rPr>
              <w:t>391</w:t>
            </w:r>
          </w:hyperlink>
        </w:p>
        <w:p>
          <w:pPr>
            <w:pStyle w:val="Contents4"/>
            <w:tabs>
              <w:tab w:val="clear" w:pos="8176"/>
              <w:tab w:val="right" w:pos="9026" w:leader="dot"/>
            </w:tabs>
            <w:rPr/>
          </w:pPr>
          <w:hyperlink w:anchor="__RefHeading___Toc2055943_2322387425">
            <w:r>
              <w:rPr>
                <w:webHidden/>
                <w:rStyle w:val="IndexLink"/>
                <w:rtl w:val="true"/>
              </w:rPr>
              <w:t>الثالث</w:t>
            </w:r>
            <w:r>
              <w:rPr>
                <w:rStyle w:val="IndexLink"/>
                <w:rtl w:val="true"/>
              </w:rPr>
              <w:t xml:space="preserve">: </w:t>
            </w:r>
            <w:r>
              <w:rPr>
                <w:rStyle w:val="IndexLink"/>
                <w:rtl w:val="true"/>
              </w:rPr>
              <w:t>العوضان وما یشترط فیهما</w:t>
            </w:r>
            <w:r>
              <w:rPr>
                <w:rStyle w:val="IndexLink"/>
                <w:rtl w:val="true"/>
              </w:rPr>
              <w:tab/>
            </w:r>
            <w:r>
              <w:rPr>
                <w:rStyle w:val="IndexLink"/>
              </w:rPr>
              <w:t>392</w:t>
            </w:r>
          </w:hyperlink>
        </w:p>
        <w:p>
          <w:pPr>
            <w:pStyle w:val="Contents4"/>
            <w:tabs>
              <w:tab w:val="clear" w:pos="8176"/>
              <w:tab w:val="right" w:pos="9026" w:leader="dot"/>
            </w:tabs>
            <w:rPr/>
          </w:pPr>
          <w:hyperlink w:anchor="__RefHeading___Toc2055945_2322387425">
            <w:r>
              <w:rPr>
                <w:webHidden/>
                <w:rStyle w:val="IndexLink"/>
                <w:rtl w:val="true"/>
              </w:rPr>
              <w:t>إعتبار الاختیار وعدم الإکراه</w:t>
            </w:r>
            <w:r>
              <w:rPr>
                <w:rStyle w:val="IndexLink"/>
                <w:rtl w:val="true"/>
              </w:rPr>
              <w:tab/>
            </w:r>
            <w:r>
              <w:rPr>
                <w:rStyle w:val="IndexLink"/>
              </w:rPr>
              <w:t>396</w:t>
            </w:r>
          </w:hyperlink>
        </w:p>
        <w:p>
          <w:pPr>
            <w:pStyle w:val="Contents4"/>
            <w:tabs>
              <w:tab w:val="clear" w:pos="8176"/>
              <w:tab w:val="right" w:pos="9026" w:leader="dot"/>
            </w:tabs>
            <w:rPr/>
          </w:pPr>
          <w:hyperlink w:anchor="__RefHeading___Toc2055947_2322387425">
            <w:r>
              <w:rPr>
                <w:webHidden/>
                <w:rStyle w:val="IndexLink"/>
                <w:rtl w:val="true"/>
              </w:rPr>
              <w:t>إجارة المفلَّس والسفیه</w:t>
            </w:r>
            <w:r>
              <w:rPr>
                <w:rStyle w:val="IndexLink"/>
                <w:rtl w:val="true"/>
              </w:rPr>
              <w:tab/>
            </w:r>
            <w:r>
              <w:rPr>
                <w:rStyle w:val="IndexLink"/>
              </w:rPr>
              <w:t>397</w:t>
            </w:r>
          </w:hyperlink>
        </w:p>
        <w:p>
          <w:pPr>
            <w:pStyle w:val="Contents4"/>
            <w:tabs>
              <w:tab w:val="clear" w:pos="8176"/>
              <w:tab w:val="right" w:pos="9026" w:leader="dot"/>
            </w:tabs>
            <w:rPr/>
          </w:pPr>
          <w:hyperlink w:anchor="__RefHeading___Toc2055949_2322387425">
            <w:r>
              <w:rPr>
                <w:webHidden/>
                <w:rStyle w:val="IndexLink"/>
                <w:rtl w:val="true"/>
              </w:rPr>
              <w:t>إعتبار الحریّة وتعیین العین والمنفعة ومعلومیّتها</w:t>
            </w:r>
            <w:r>
              <w:rPr>
                <w:rStyle w:val="IndexLink"/>
                <w:rtl w:val="true"/>
              </w:rPr>
              <w:tab/>
            </w:r>
            <w:r>
              <w:rPr>
                <w:rStyle w:val="IndexLink"/>
              </w:rPr>
              <w:t>402</w:t>
            </w:r>
          </w:hyperlink>
        </w:p>
        <w:p>
          <w:pPr>
            <w:pStyle w:val="Contents4"/>
            <w:tabs>
              <w:tab w:val="clear" w:pos="8176"/>
              <w:tab w:val="right" w:pos="9026" w:leader="dot"/>
            </w:tabs>
            <w:rPr/>
          </w:pPr>
          <w:hyperlink w:anchor="__RefHeading___Toc2055951_2322387425">
            <w:r>
              <w:rPr>
                <w:webHidden/>
                <w:rStyle w:val="IndexLink"/>
                <w:rtl w:val="true"/>
              </w:rPr>
              <w:t>اُمور لابدّ من تعیینها</w:t>
            </w:r>
            <w:r>
              <w:rPr>
                <w:rStyle w:val="IndexLink"/>
                <w:rtl w:val="true"/>
              </w:rPr>
              <w:tab/>
            </w:r>
            <w:r>
              <w:rPr>
                <w:rStyle w:val="IndexLink"/>
              </w:rPr>
              <w:t>408</w:t>
            </w:r>
          </w:hyperlink>
        </w:p>
        <w:p>
          <w:pPr>
            <w:pStyle w:val="Contents4"/>
            <w:tabs>
              <w:tab w:val="clear" w:pos="8176"/>
              <w:tab w:val="right" w:pos="9026" w:leader="dot"/>
            </w:tabs>
            <w:rPr/>
          </w:pPr>
          <w:hyperlink w:anchor="__RefHeading___Toc2055953_2322387425">
            <w:r>
              <w:rPr>
                <w:webHidden/>
                <w:rStyle w:val="IndexLink"/>
                <w:rtl w:val="true"/>
              </w:rPr>
              <w:t>الإجارة بنحو التردید بین وجهین وأجرین</w:t>
            </w:r>
            <w:r>
              <w:rPr>
                <w:rStyle w:val="IndexLink"/>
                <w:rtl w:val="true"/>
              </w:rPr>
              <w:tab/>
            </w:r>
            <w:r>
              <w:rPr>
                <w:rStyle w:val="IndexLink"/>
              </w:rPr>
              <w:t>415</w:t>
            </w:r>
          </w:hyperlink>
        </w:p>
        <w:p>
          <w:pPr>
            <w:pStyle w:val="Contents4"/>
            <w:tabs>
              <w:tab w:val="clear" w:pos="8176"/>
              <w:tab w:val="right" w:pos="9026" w:leader="dot"/>
            </w:tabs>
            <w:rPr/>
          </w:pPr>
          <w:hyperlink w:anchor="__RefHeading___Toc2055955_2322387425">
            <w:r>
              <w:rPr>
                <w:webHidden/>
                <w:rStyle w:val="IndexLink"/>
                <w:rtl w:val="true"/>
              </w:rPr>
              <w:t>اشتراط وقت معیّن فی الإجارة وحکم تخلّف الشرط</w:t>
            </w:r>
            <w:r>
              <w:rPr>
                <w:rStyle w:val="IndexLink"/>
                <w:rtl w:val="true"/>
              </w:rPr>
              <w:tab/>
            </w:r>
            <w:r>
              <w:rPr>
                <w:rStyle w:val="IndexLink"/>
              </w:rPr>
              <w:t>418</w:t>
            </w:r>
          </w:hyperlink>
        </w:p>
        <w:p>
          <w:pPr>
            <w:pStyle w:val="Contents4"/>
            <w:tabs>
              <w:tab w:val="clear" w:pos="8176"/>
              <w:tab w:val="right" w:pos="9026" w:leader="dot"/>
            </w:tabs>
            <w:rPr/>
          </w:pPr>
          <w:hyperlink w:anchor="__RefHeading___Toc2055957_2322387425">
            <w:r>
              <w:rPr>
                <w:webHidden/>
                <w:rStyle w:val="IndexLink"/>
                <w:rtl w:val="true"/>
              </w:rPr>
              <w:t>عدم الخیار مع عدم تقیید الإجارة</w:t>
            </w:r>
            <w:r>
              <w:rPr>
                <w:rStyle w:val="IndexLink"/>
                <w:rtl w:val="true"/>
              </w:rPr>
              <w:tab/>
            </w:r>
            <w:r>
              <w:rPr>
                <w:rStyle w:val="IndexLink"/>
              </w:rPr>
              <w:t>428</w:t>
            </w:r>
          </w:hyperlink>
        </w:p>
        <w:p>
          <w:pPr>
            <w:pStyle w:val="Contents3"/>
            <w:tabs>
              <w:tab w:val="clear" w:pos="8459"/>
              <w:tab w:val="right" w:pos="9026" w:leader="dot"/>
            </w:tabs>
            <w:rPr/>
          </w:pPr>
          <w:hyperlink w:anchor="__RefHeading___Toc2055959_2322387425">
            <w:r>
              <w:rPr>
                <w:webHidden/>
                <w:rStyle w:val="IndexLink"/>
                <w:rtl w:val="true"/>
              </w:rPr>
              <w:t>فصل</w:t>
            </w:r>
            <w:r>
              <w:rPr>
                <w:rStyle w:val="IndexLink"/>
                <w:rtl w:val="true"/>
              </w:rPr>
              <w:t xml:space="preserve">: </w:t>
            </w:r>
            <w:r>
              <w:rPr>
                <w:rStyle w:val="IndexLink"/>
                <w:rtl w:val="true"/>
              </w:rPr>
              <w:t>الإجارة  من العقود اللازمة</w:t>
            </w:r>
            <w:r>
              <w:rPr>
                <w:rStyle w:val="IndexLink"/>
                <w:rtl w:val="true"/>
              </w:rPr>
              <w:tab/>
            </w:r>
            <w:r>
              <w:rPr>
                <w:rStyle w:val="IndexLink"/>
              </w:rPr>
              <w:t>430</w:t>
            </w:r>
          </w:hyperlink>
        </w:p>
        <w:p>
          <w:pPr>
            <w:pStyle w:val="Contents4"/>
            <w:tabs>
              <w:tab w:val="clear" w:pos="8176"/>
              <w:tab w:val="right" w:pos="9026" w:leader="dot"/>
            </w:tabs>
            <w:rPr/>
          </w:pPr>
          <w:hyperlink w:anchor="__RefHeading___Toc2055961_2322387425">
            <w:r>
              <w:rPr>
                <w:webHidden/>
                <w:rStyle w:val="IndexLink"/>
                <w:rtl w:val="true"/>
              </w:rPr>
              <w:t>کلام فی المعاطاة</w:t>
            </w:r>
            <w:r>
              <w:rPr>
                <w:rStyle w:val="IndexLink"/>
                <w:rtl w:val="true"/>
              </w:rPr>
              <w:tab/>
            </w:r>
            <w:r>
              <w:rPr>
                <w:rStyle w:val="IndexLink"/>
              </w:rPr>
              <w:t>430</w:t>
            </w:r>
          </w:hyperlink>
        </w:p>
        <w:p>
          <w:pPr>
            <w:pStyle w:val="Contents4"/>
            <w:tabs>
              <w:tab w:val="clear" w:pos="8176"/>
              <w:tab w:val="right" w:pos="9026" w:leader="dot"/>
            </w:tabs>
            <w:rPr/>
          </w:pPr>
          <w:hyperlink w:anchor="__RefHeading___Toc2055963_2322387425">
            <w:r>
              <w:rPr>
                <w:webHidden/>
                <w:rStyle w:val="IndexLink"/>
                <w:rtl w:val="true"/>
              </w:rPr>
              <w:t>بیع العین المستأجرة</w:t>
            </w:r>
            <w:r>
              <w:rPr>
                <w:rStyle w:val="IndexLink"/>
                <w:rtl w:val="true"/>
              </w:rPr>
              <w:tab/>
            </w:r>
            <w:r>
              <w:rPr>
                <w:rStyle w:val="IndexLink"/>
              </w:rPr>
              <w:t>431</w:t>
            </w:r>
          </w:hyperlink>
        </w:p>
        <w:p>
          <w:pPr>
            <w:pStyle w:val="Contents4"/>
            <w:tabs>
              <w:tab w:val="clear" w:pos="8176"/>
              <w:tab w:val="right" w:pos="9026" w:leader="dot"/>
            </w:tabs>
            <w:rPr/>
          </w:pPr>
          <w:hyperlink w:anchor="__RefHeading___Toc2055965_2322387425">
            <w:r>
              <w:rPr>
                <w:webHidden/>
                <w:rStyle w:val="IndexLink"/>
                <w:rtl w:val="true"/>
              </w:rPr>
              <w:t>وقوع البیع والإجارة فی زمانٍ واحد</w:t>
            </w:r>
            <w:r>
              <w:rPr>
                <w:rStyle w:val="IndexLink"/>
                <w:rtl w:val="true"/>
              </w:rPr>
              <w:tab/>
            </w:r>
            <w:r>
              <w:rPr>
                <w:rStyle w:val="IndexLink"/>
              </w:rPr>
              <w:t>438</w:t>
            </w:r>
          </w:hyperlink>
        </w:p>
        <w:p>
          <w:pPr>
            <w:pStyle w:val="Contents4"/>
            <w:tabs>
              <w:tab w:val="clear" w:pos="8176"/>
              <w:tab w:val="right" w:pos="9026" w:leader="dot"/>
            </w:tabs>
            <w:rPr/>
          </w:pPr>
          <w:hyperlink w:anchor="__RefHeading___Toc2055967_2322387425">
            <w:r>
              <w:rPr>
                <w:webHidden/>
                <w:rStyle w:val="IndexLink"/>
                <w:rtl w:val="true"/>
              </w:rPr>
              <w:t>هل تبطل الإجارة بموت المؤجر أو المستأجر؟</w:t>
            </w:r>
            <w:r>
              <w:rPr>
                <w:rStyle w:val="IndexLink"/>
                <w:rtl w:val="true"/>
              </w:rPr>
              <w:tab/>
            </w:r>
            <w:r>
              <w:rPr>
                <w:rStyle w:val="IndexLink"/>
              </w:rPr>
              <w:t>440</w:t>
            </w:r>
          </w:hyperlink>
        </w:p>
        <w:p>
          <w:pPr>
            <w:pStyle w:val="Contents4"/>
            <w:tabs>
              <w:tab w:val="clear" w:pos="8176"/>
              <w:tab w:val="right" w:pos="9026" w:leader="dot"/>
            </w:tabs>
            <w:rPr/>
          </w:pPr>
          <w:hyperlink w:anchor="__RefHeading___Toc2055969_2322387425">
            <w:r>
              <w:rPr>
                <w:webHidden/>
                <w:rStyle w:val="IndexLink"/>
                <w:rtl w:val="true"/>
              </w:rPr>
              <w:t>حدود الولایة علی الصبی فی المقام </w:t>
            </w:r>
            <w:r>
              <w:rPr>
                <w:rStyle w:val="IndexLink"/>
                <w:rtl w:val="true"/>
              </w:rPr>
              <w:tab/>
            </w:r>
            <w:r>
              <w:rPr>
                <w:rStyle w:val="IndexLink"/>
              </w:rPr>
              <w:t>443</w:t>
            </w:r>
          </w:hyperlink>
        </w:p>
        <w:p>
          <w:pPr>
            <w:pStyle w:val="Contents4"/>
            <w:tabs>
              <w:tab w:val="clear" w:pos="8176"/>
              <w:tab w:val="right" w:pos="9026" w:leader="dot"/>
            </w:tabs>
            <w:rPr/>
          </w:pPr>
          <w:hyperlink w:anchor="__RefHeading___Toc2055971_2322387425">
            <w:r>
              <w:rPr>
                <w:webHidden/>
                <w:rStyle w:val="IndexLink"/>
                <w:rtl w:val="true"/>
              </w:rPr>
              <w:t>إجارة المرأة نفسها مدّة ثمّ أقدمت علی الزواج فی أثنائها</w:t>
            </w:r>
            <w:r>
              <w:rPr>
                <w:rStyle w:val="IndexLink"/>
                <w:rtl w:val="true"/>
              </w:rPr>
              <w:tab/>
            </w:r>
            <w:r>
              <w:rPr>
                <w:rStyle w:val="IndexLink"/>
              </w:rPr>
              <w:t>445</w:t>
            </w:r>
          </w:hyperlink>
        </w:p>
        <w:p>
          <w:pPr>
            <w:pStyle w:val="Contents4"/>
            <w:tabs>
              <w:tab w:val="clear" w:pos="8176"/>
              <w:tab w:val="right" w:pos="9026" w:leader="dot"/>
            </w:tabs>
            <w:rPr/>
          </w:pPr>
          <w:hyperlink w:anchor="__RefHeading___Toc2055973_2322387425">
            <w:r>
              <w:rPr>
                <w:webHidden/>
                <w:rStyle w:val="IndexLink"/>
                <w:rtl w:val="true"/>
              </w:rPr>
              <w:t>أحکام تابعیّة المملوک المستخدم بعد عتقه من مولاه</w:t>
            </w:r>
            <w:r>
              <w:rPr>
                <w:rStyle w:val="IndexLink"/>
                <w:rtl w:val="true"/>
              </w:rPr>
              <w:tab/>
            </w:r>
            <w:r>
              <w:rPr>
                <w:rStyle w:val="IndexLink"/>
              </w:rPr>
              <w:t>446</w:t>
            </w:r>
          </w:hyperlink>
        </w:p>
        <w:p>
          <w:pPr>
            <w:pStyle w:val="Contents4"/>
            <w:tabs>
              <w:tab w:val="clear" w:pos="8176"/>
              <w:tab w:val="right" w:pos="9026" w:leader="dot"/>
            </w:tabs>
            <w:rPr/>
          </w:pPr>
          <w:hyperlink w:anchor="__RefHeading___Toc2055975_2322387425">
            <w:r>
              <w:rPr>
                <w:webHidden/>
                <w:rStyle w:val="IndexLink"/>
                <w:rtl w:val="true"/>
              </w:rPr>
              <w:t>تبیّن العیب فی العین المستأجرة</w:t>
            </w:r>
            <w:r>
              <w:rPr>
                <w:rStyle w:val="IndexLink"/>
                <w:rtl w:val="true"/>
              </w:rPr>
              <w:tab/>
            </w:r>
            <w:r>
              <w:rPr>
                <w:rStyle w:val="IndexLink"/>
              </w:rPr>
              <w:t>449</w:t>
            </w:r>
          </w:hyperlink>
        </w:p>
        <w:p>
          <w:pPr>
            <w:pStyle w:val="Contents4"/>
            <w:tabs>
              <w:tab w:val="clear" w:pos="8176"/>
              <w:tab w:val="right" w:pos="9026" w:leader="dot"/>
            </w:tabs>
            <w:rPr/>
          </w:pPr>
          <w:hyperlink w:anchor="__RefHeading___Toc2055977_2322387425">
            <w:r>
              <w:rPr>
                <w:webHidden/>
                <w:rStyle w:val="IndexLink"/>
                <w:rtl w:val="true"/>
              </w:rPr>
              <w:t>تبیّن العیب فی الاُجرة</w:t>
            </w:r>
            <w:r>
              <w:rPr>
                <w:rStyle w:val="IndexLink"/>
                <w:rtl w:val="true"/>
              </w:rPr>
              <w:tab/>
            </w:r>
            <w:r>
              <w:rPr>
                <w:rStyle w:val="IndexLink"/>
              </w:rPr>
              <w:t>454</w:t>
            </w:r>
          </w:hyperlink>
        </w:p>
        <w:p>
          <w:pPr>
            <w:pStyle w:val="Contents4"/>
            <w:tabs>
              <w:tab w:val="clear" w:pos="8176"/>
              <w:tab w:val="right" w:pos="9026" w:leader="dot"/>
            </w:tabs>
            <w:rPr/>
          </w:pPr>
          <w:hyperlink w:anchor="__RefHeading___Toc2055979_2322387425">
            <w:r>
              <w:rPr>
                <w:webHidden/>
                <w:rStyle w:val="IndexLink"/>
                <w:rtl w:val="true"/>
              </w:rPr>
              <w:t>إفلاس المستأجر</w:t>
            </w:r>
            <w:r>
              <w:rPr>
                <w:rStyle w:val="IndexLink"/>
                <w:rtl w:val="true"/>
              </w:rPr>
              <w:tab/>
            </w:r>
            <w:r>
              <w:rPr>
                <w:rStyle w:val="IndexLink"/>
              </w:rPr>
              <w:t>455</w:t>
            </w:r>
          </w:hyperlink>
        </w:p>
        <w:p>
          <w:pPr>
            <w:pStyle w:val="Contents4"/>
            <w:tabs>
              <w:tab w:val="clear" w:pos="8176"/>
              <w:tab w:val="right" w:pos="9026" w:leader="dot"/>
            </w:tabs>
            <w:rPr/>
          </w:pPr>
          <w:hyperlink w:anchor="__RefHeading___Toc2055981_2322387425">
            <w:r>
              <w:rPr>
                <w:webHidden/>
                <w:rStyle w:val="IndexLink"/>
                <w:rtl w:val="true"/>
              </w:rPr>
              <w:t>جریان خیار الغبن فی الإجارة</w:t>
            </w:r>
            <w:r>
              <w:rPr>
                <w:rStyle w:val="IndexLink"/>
                <w:rtl w:val="true"/>
              </w:rPr>
              <w:tab/>
            </w:r>
            <w:r>
              <w:rPr>
                <w:rStyle w:val="IndexLink"/>
              </w:rPr>
              <w:t>456</w:t>
            </w:r>
          </w:hyperlink>
        </w:p>
        <w:p>
          <w:pPr>
            <w:pStyle w:val="Contents4"/>
            <w:tabs>
              <w:tab w:val="clear" w:pos="8176"/>
              <w:tab w:val="right" w:pos="9026" w:leader="dot"/>
            </w:tabs>
            <w:rPr/>
          </w:pPr>
          <w:hyperlink w:anchor="__RefHeading___Toc2055983_2322387425">
            <w:r>
              <w:rPr>
                <w:webHidden/>
                <w:rStyle w:val="IndexLink"/>
                <w:rtl w:val="true"/>
              </w:rPr>
              <w:t>ما یجری وما لا یجری من الخیارات فی الإجارة</w:t>
            </w:r>
            <w:r>
              <w:rPr>
                <w:rStyle w:val="IndexLink"/>
                <w:rtl w:val="true"/>
              </w:rPr>
              <w:tab/>
            </w:r>
            <w:r>
              <w:rPr>
                <w:rStyle w:val="IndexLink"/>
              </w:rPr>
              <w:t>456</w:t>
            </w:r>
          </w:hyperlink>
        </w:p>
        <w:p>
          <w:pPr>
            <w:pStyle w:val="Contents4"/>
            <w:tabs>
              <w:tab w:val="clear" w:pos="8176"/>
              <w:tab w:val="right" w:pos="9026" w:leader="dot"/>
            </w:tabs>
            <w:rPr/>
          </w:pPr>
          <w:hyperlink w:anchor="__RefHeading___Toc2055985_2322387425">
            <w:r>
              <w:rPr>
                <w:webHidden/>
                <w:rStyle w:val="IndexLink"/>
                <w:rtl w:val="true"/>
              </w:rPr>
              <w:t>بیع العین المستأجرة علی المستأجر</w:t>
            </w:r>
            <w:r>
              <w:rPr>
                <w:rStyle w:val="IndexLink"/>
                <w:rtl w:val="true"/>
              </w:rPr>
              <w:tab/>
            </w:r>
            <w:r>
              <w:rPr>
                <w:rStyle w:val="IndexLink"/>
              </w:rPr>
              <w:t>457</w:t>
            </w:r>
          </w:hyperlink>
        </w:p>
        <w:p>
          <w:pPr>
            <w:pStyle w:val="Contents3"/>
            <w:tabs>
              <w:tab w:val="clear" w:pos="8459"/>
              <w:tab w:val="right" w:pos="9026" w:leader="dot"/>
            </w:tabs>
            <w:rPr/>
          </w:pPr>
          <w:hyperlink w:anchor="__RefHeading___Toc2055987_2322387425">
            <w:r>
              <w:rPr>
                <w:webHidden/>
                <w:rStyle w:val="IndexLink"/>
                <w:rtl w:val="true"/>
              </w:rPr>
              <w:t>فصل</w:t>
            </w:r>
            <w:r>
              <w:rPr>
                <w:rStyle w:val="IndexLink"/>
                <w:rtl w:val="true"/>
              </w:rPr>
              <w:t xml:space="preserve">: </w:t>
            </w:r>
            <w:r>
              <w:rPr>
                <w:rStyle w:val="IndexLink"/>
                <w:rtl w:val="true"/>
              </w:rPr>
              <w:t>یملک المستأجر المنفعة</w:t>
            </w:r>
            <w:r>
              <w:rPr>
                <w:rStyle w:val="IndexLink"/>
                <w:rtl w:val="true"/>
              </w:rPr>
              <w:tab/>
            </w:r>
            <w:r>
              <w:rPr>
                <w:rStyle w:val="IndexLink"/>
              </w:rPr>
              <w:t>458</w:t>
            </w:r>
          </w:hyperlink>
        </w:p>
        <w:p>
          <w:pPr>
            <w:pStyle w:val="Contents4"/>
            <w:tabs>
              <w:tab w:val="clear" w:pos="8176"/>
              <w:tab w:val="right" w:pos="9026" w:leader="dot"/>
            </w:tabs>
            <w:rPr/>
          </w:pPr>
          <w:hyperlink w:anchor="__RefHeading___Toc2055989_2322387425">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2055991_2322387425">
            <w:r>
              <w:rPr>
                <w:webHidden/>
                <w:rStyle w:val="IndexLink"/>
                <w:rtl w:val="true"/>
              </w:rPr>
              <w:t>استقرار الاُجرة مع تسلّم العین بلا توقّف علی الاستیفاء</w:t>
            </w:r>
            <w:r>
              <w:rPr>
                <w:rStyle w:val="IndexLink"/>
                <w:rtl w:val="true"/>
              </w:rPr>
              <w:tab/>
            </w:r>
            <w:r>
              <w:rPr>
                <w:rStyle w:val="IndexLink"/>
              </w:rPr>
              <w:t>460</w:t>
            </w:r>
          </w:hyperlink>
        </w:p>
        <w:p>
          <w:pPr>
            <w:pStyle w:val="Contents4"/>
            <w:tabs>
              <w:tab w:val="clear" w:pos="8176"/>
              <w:tab w:val="right" w:pos="9026" w:leader="dot"/>
            </w:tabs>
            <w:rPr/>
          </w:pPr>
          <w:hyperlink w:anchor="__RefHeading___Toc2055993_2322387425">
            <w:r>
              <w:rPr>
                <w:webHidden/>
                <w:rStyle w:val="IndexLink"/>
                <w:rtl w:val="true"/>
              </w:rPr>
              <w:t>حکم الاُجرة مع بذل العین وعدم تسلّمها</w:t>
            </w:r>
            <w:r>
              <w:rPr>
                <w:rStyle w:val="IndexLink"/>
                <w:rtl w:val="true"/>
              </w:rPr>
              <w:tab/>
            </w:r>
            <w:r>
              <w:rPr>
                <w:rStyle w:val="IndexLink"/>
              </w:rPr>
              <w:t>463</w:t>
            </w:r>
          </w:hyperlink>
        </w:p>
        <w:p>
          <w:pPr>
            <w:pStyle w:val="Contents4"/>
            <w:tabs>
              <w:tab w:val="clear" w:pos="8176"/>
              <w:tab w:val="right" w:pos="9026" w:leader="dot"/>
            </w:tabs>
            <w:rPr/>
          </w:pPr>
          <w:hyperlink w:anchor="__RefHeading___Toc2055995_2322387425">
            <w:r>
              <w:rPr>
                <w:webHidden/>
                <w:rStyle w:val="IndexLink"/>
                <w:rtl w:val="true"/>
              </w:rPr>
              <w:t>ما تستقرّ فیه الاُجرة من المنافع</w:t>
            </w:r>
            <w:r>
              <w:rPr>
                <w:rStyle w:val="IndexLink"/>
                <w:rtl w:val="true"/>
              </w:rPr>
              <w:tab/>
            </w:r>
            <w:r>
              <w:rPr>
                <w:rStyle w:val="IndexLink"/>
              </w:rPr>
              <w:t>464</w:t>
            </w:r>
          </w:hyperlink>
        </w:p>
        <w:p>
          <w:pPr>
            <w:pStyle w:val="Contents4"/>
            <w:tabs>
              <w:tab w:val="clear" w:pos="8176"/>
              <w:tab w:val="right" w:pos="9026" w:leader="dot"/>
            </w:tabs>
            <w:rPr/>
          </w:pPr>
          <w:hyperlink w:anchor="__RefHeading___Toc2055997_2322387425">
            <w:r>
              <w:rPr>
                <w:webHidden/>
                <w:rStyle w:val="IndexLink"/>
                <w:rtl w:val="true"/>
              </w:rPr>
              <w:t>تلف العین المستأجرة قبل الاستیفاء وتمام المدّة</w:t>
            </w:r>
            <w:r>
              <w:rPr>
                <w:rStyle w:val="IndexLink"/>
                <w:rtl w:val="true"/>
              </w:rPr>
              <w:tab/>
            </w:r>
            <w:r>
              <w:rPr>
                <w:rStyle w:val="IndexLink"/>
              </w:rPr>
              <w:t>467</w:t>
            </w:r>
          </w:hyperlink>
        </w:p>
        <w:p>
          <w:pPr>
            <w:pStyle w:val="Contents4"/>
            <w:tabs>
              <w:tab w:val="clear" w:pos="8176"/>
              <w:tab w:val="right" w:pos="9026" w:leader="dot"/>
            </w:tabs>
            <w:rPr/>
          </w:pPr>
          <w:hyperlink w:anchor="__RefHeading___Toc2055999_2322387425">
            <w:r>
              <w:rPr>
                <w:webHidden/>
                <w:rStyle w:val="IndexLink"/>
                <w:rtl w:val="true"/>
              </w:rPr>
              <w:t>فسخ الإجارة فی أثناء المدّة</w:t>
            </w:r>
            <w:r>
              <w:rPr>
                <w:rStyle w:val="IndexLink"/>
                <w:rtl w:val="true"/>
              </w:rPr>
              <w:tab/>
            </w:r>
            <w:r>
              <w:rPr>
                <w:rStyle w:val="IndexLink"/>
              </w:rPr>
              <w:t>468</w:t>
            </w:r>
          </w:hyperlink>
        </w:p>
        <w:p>
          <w:pPr>
            <w:pStyle w:val="Contents4"/>
            <w:tabs>
              <w:tab w:val="clear" w:pos="8176"/>
              <w:tab w:val="right" w:pos="9026" w:leader="dot"/>
            </w:tabs>
            <w:rPr/>
          </w:pPr>
          <w:hyperlink w:anchor="__RefHeading___Toc2056001_2322387425">
            <w:r>
              <w:rPr>
                <w:webHidden/>
                <w:rStyle w:val="IndexLink"/>
                <w:rtl w:val="true"/>
              </w:rPr>
              <w:t>تلف بعض العین المستأجرة</w:t>
            </w:r>
            <w:r>
              <w:rPr>
                <w:rStyle w:val="IndexLink"/>
                <w:rtl w:val="true"/>
              </w:rPr>
              <w:tab/>
            </w:r>
            <w:r>
              <w:rPr>
                <w:rStyle w:val="IndexLink"/>
              </w:rPr>
              <w:t>472</w:t>
            </w:r>
          </w:hyperlink>
        </w:p>
        <w:p>
          <w:pPr>
            <w:pStyle w:val="Contents4"/>
            <w:tabs>
              <w:tab w:val="clear" w:pos="8176"/>
              <w:tab w:val="right" w:pos="9026" w:leader="dot"/>
            </w:tabs>
            <w:rPr/>
          </w:pPr>
          <w:hyperlink w:anchor="__RefHeading___Toc2056003_2322387425">
            <w:r>
              <w:rPr>
                <w:webHidden/>
                <w:rStyle w:val="IndexLink"/>
                <w:rtl w:val="true"/>
              </w:rPr>
              <w:t>استظهار ملکیّة الاُجرة من حین العقد وتبعات ذلک</w:t>
            </w:r>
            <w:r>
              <w:rPr>
                <w:rStyle w:val="IndexLink"/>
                <w:rtl w:val="true"/>
              </w:rPr>
              <w:tab/>
            </w:r>
            <w:r>
              <w:rPr>
                <w:rStyle w:val="IndexLink"/>
              </w:rPr>
              <w:t>472</w:t>
            </w:r>
          </w:hyperlink>
        </w:p>
        <w:p>
          <w:pPr>
            <w:pStyle w:val="Contents4"/>
            <w:tabs>
              <w:tab w:val="clear" w:pos="8176"/>
              <w:tab w:val="right" w:pos="9026" w:leader="dot"/>
            </w:tabs>
            <w:rPr/>
          </w:pPr>
          <w:hyperlink w:anchor="__RefHeading___Toc2056005_2322387425">
            <w:r>
              <w:rPr>
                <w:webHidden/>
                <w:rStyle w:val="IndexLink"/>
                <w:rtl w:val="true"/>
              </w:rPr>
              <w:t>الإجارة علی الکلّی وتلف فرد منه</w:t>
            </w:r>
            <w:r>
              <w:rPr>
                <w:rStyle w:val="IndexLink"/>
                <w:rtl w:val="true"/>
              </w:rPr>
              <w:tab/>
            </w:r>
            <w:r>
              <w:rPr>
                <w:rStyle w:val="IndexLink"/>
              </w:rPr>
              <w:t>474</w:t>
            </w:r>
          </w:hyperlink>
        </w:p>
        <w:p>
          <w:pPr>
            <w:pStyle w:val="Contents4"/>
            <w:tabs>
              <w:tab w:val="clear" w:pos="8176"/>
              <w:tab w:val="right" w:pos="9026" w:leader="dot"/>
            </w:tabs>
            <w:rPr/>
          </w:pPr>
          <w:hyperlink w:anchor="__RefHeading___Toc2056007_2322387425">
            <w:r>
              <w:rPr>
                <w:webHidden/>
                <w:rStyle w:val="IndexLink"/>
                <w:rtl w:val="true"/>
              </w:rPr>
              <w:t>انهدام الدار المستأجرة</w:t>
            </w:r>
            <w:r>
              <w:rPr>
                <w:rStyle w:val="IndexLink"/>
                <w:rtl w:val="true"/>
              </w:rPr>
              <w:tab/>
            </w:r>
            <w:r>
              <w:rPr>
                <w:rStyle w:val="IndexLink"/>
              </w:rPr>
              <w:t>474</w:t>
            </w:r>
          </w:hyperlink>
        </w:p>
        <w:p>
          <w:pPr>
            <w:pStyle w:val="Contents4"/>
            <w:tabs>
              <w:tab w:val="clear" w:pos="8176"/>
              <w:tab w:val="right" w:pos="9026" w:leader="dot"/>
            </w:tabs>
            <w:rPr/>
          </w:pPr>
          <w:hyperlink w:anchor="__RefHeading___Toc2056009_2322387425">
            <w:r>
              <w:rPr>
                <w:webHidden/>
                <w:rStyle w:val="IndexLink"/>
                <w:rtl w:val="true"/>
              </w:rPr>
              <w:t>امتناع المؤجِر من التسلیم </w:t>
            </w:r>
            <w:r>
              <w:rPr>
                <w:rStyle w:val="IndexLink"/>
                <w:rtl w:val="true"/>
              </w:rPr>
              <w:tab/>
            </w:r>
            <w:r>
              <w:rPr>
                <w:rStyle w:val="IndexLink"/>
              </w:rPr>
              <w:t>479</w:t>
            </w:r>
          </w:hyperlink>
        </w:p>
        <w:p>
          <w:pPr>
            <w:pStyle w:val="Contents4"/>
            <w:tabs>
              <w:tab w:val="clear" w:pos="8176"/>
              <w:tab w:val="right" w:pos="9026" w:leader="dot"/>
            </w:tabs>
            <w:rPr/>
          </w:pPr>
          <w:hyperlink w:anchor="__RefHeading___Toc2056011_2322387425">
            <w:r>
              <w:rPr>
                <w:webHidden/>
                <w:rStyle w:val="IndexLink"/>
                <w:rtl w:val="true"/>
              </w:rPr>
              <w:t>الامتناع بمنع ظالم من الانتفاع بالعین</w:t>
            </w:r>
            <w:r>
              <w:rPr>
                <w:rStyle w:val="IndexLink"/>
                <w:rtl w:val="true"/>
              </w:rPr>
              <w:tab/>
            </w:r>
            <w:r>
              <w:rPr>
                <w:rStyle w:val="IndexLink"/>
              </w:rPr>
              <w:t>481</w:t>
            </w:r>
          </w:hyperlink>
        </w:p>
        <w:p>
          <w:pPr>
            <w:pStyle w:val="Contents4"/>
            <w:tabs>
              <w:tab w:val="clear" w:pos="8176"/>
              <w:tab w:val="right" w:pos="9026" w:leader="dot"/>
            </w:tabs>
            <w:rPr/>
          </w:pPr>
          <w:hyperlink w:anchor="__RefHeading___Toc2056013_2322387425">
            <w:r>
              <w:rPr>
                <w:webHidden/>
                <w:rStyle w:val="IndexLink"/>
                <w:rtl w:val="true"/>
              </w:rPr>
              <w:t>لو تعذّر علی المستأجر الاستیفاء</w:t>
            </w:r>
            <w:r>
              <w:rPr>
                <w:rStyle w:val="IndexLink"/>
                <w:rtl w:val="true"/>
              </w:rPr>
              <w:tab/>
            </w:r>
            <w:r>
              <w:rPr>
                <w:rStyle w:val="IndexLink"/>
              </w:rPr>
              <w:t>486</w:t>
            </w:r>
          </w:hyperlink>
        </w:p>
        <w:p>
          <w:pPr>
            <w:pStyle w:val="Contents4"/>
            <w:tabs>
              <w:tab w:val="clear" w:pos="8176"/>
              <w:tab w:val="right" w:pos="9026" w:leader="dot"/>
            </w:tabs>
            <w:rPr/>
          </w:pPr>
          <w:hyperlink w:anchor="__RefHeading___Toc2056015_2322387425">
            <w:r>
              <w:rPr>
                <w:webHidden/>
                <w:rStyle w:val="IndexLink"/>
                <w:rtl w:val="true"/>
              </w:rPr>
              <w:t>موجبات ما تلف بسبب سماوی أو بسبب مُتلِف</w:t>
            </w:r>
            <w:r>
              <w:rPr>
                <w:rStyle w:val="IndexLink"/>
                <w:rtl w:val="true"/>
              </w:rPr>
              <w:tab/>
            </w:r>
            <w:r>
              <w:rPr>
                <w:rStyle w:val="IndexLink"/>
              </w:rPr>
              <w:t>488</w:t>
            </w:r>
          </w:hyperlink>
        </w:p>
        <w:p>
          <w:pPr>
            <w:pStyle w:val="Contents4"/>
            <w:tabs>
              <w:tab w:val="clear" w:pos="8176"/>
              <w:tab w:val="right" w:pos="9026" w:leader="dot"/>
            </w:tabs>
            <w:rPr/>
          </w:pPr>
          <w:hyperlink w:anchor="__RefHeading___Toc2056017_2322387425">
            <w:r>
              <w:rPr>
                <w:webHidden/>
                <w:rStyle w:val="IndexLink"/>
                <w:rtl w:val="true"/>
              </w:rPr>
              <w:t>إجارة الزوجة نفسها بلا إذن من الزوج فیما ینافی حقّ الاستمتاع</w:t>
            </w:r>
            <w:r>
              <w:rPr>
                <w:rStyle w:val="IndexLink"/>
                <w:rtl w:val="true"/>
              </w:rPr>
              <w:tab/>
            </w:r>
            <w:r>
              <w:rPr>
                <w:rStyle w:val="IndexLink"/>
              </w:rPr>
              <w:t>493</w:t>
            </w:r>
          </w:hyperlink>
        </w:p>
        <w:p>
          <w:pPr>
            <w:pStyle w:val="Contents4"/>
            <w:tabs>
              <w:tab w:val="clear" w:pos="8176"/>
              <w:tab w:val="right" w:pos="9026" w:leader="dot"/>
            </w:tabs>
            <w:rPr/>
          </w:pPr>
          <w:hyperlink w:anchor="__RefHeading___Toc2056019_2322387425">
            <w:r>
              <w:rPr>
                <w:webHidden/>
                <w:rStyle w:val="IndexLink"/>
                <w:rtl w:val="true"/>
              </w:rPr>
              <w:t>شرطیّة التسلیم والتسلّم وتحقّقها باختلاف الموارد</w:t>
            </w:r>
            <w:r>
              <w:rPr>
                <w:rStyle w:val="IndexLink"/>
                <w:rtl w:val="true"/>
              </w:rPr>
              <w:tab/>
            </w:r>
            <w:r>
              <w:rPr>
                <w:rStyle w:val="IndexLink"/>
              </w:rPr>
              <w:t>495</w:t>
            </w:r>
          </w:hyperlink>
        </w:p>
        <w:p>
          <w:pPr>
            <w:pStyle w:val="Contents4"/>
            <w:tabs>
              <w:tab w:val="clear" w:pos="8176"/>
              <w:tab w:val="right" w:pos="9026" w:leader="dot"/>
            </w:tabs>
            <w:rPr/>
          </w:pPr>
          <w:hyperlink w:anchor="__RefHeading___Toc2056021_2322387425">
            <w:r>
              <w:rPr>
                <w:webHidden/>
                <w:rStyle w:val="IndexLink"/>
                <w:rtl w:val="true"/>
              </w:rPr>
              <w:t>تبیّن بطلان الإجارة فی المدّة أو بعدها</w:t>
            </w:r>
            <w:r>
              <w:rPr>
                <w:rStyle w:val="IndexLink"/>
                <w:rtl w:val="true"/>
              </w:rPr>
              <w:tab/>
            </w:r>
            <w:r>
              <w:rPr>
                <w:rStyle w:val="IndexLink"/>
              </w:rPr>
              <w:t>502</w:t>
            </w:r>
          </w:hyperlink>
        </w:p>
        <w:p>
          <w:pPr>
            <w:pStyle w:val="Contents4"/>
            <w:tabs>
              <w:tab w:val="clear" w:pos="8176"/>
              <w:tab w:val="right" w:pos="9026" w:leader="dot"/>
            </w:tabs>
            <w:rPr/>
          </w:pPr>
          <w:hyperlink w:anchor="__RefHeading___Toc2056023_2322387425">
            <w:r>
              <w:rPr>
                <w:webHidden/>
                <w:rStyle w:val="IndexLink"/>
                <w:rtl w:val="true"/>
              </w:rPr>
              <w:t>إجارة الملک المشاع بإذن من الشریک فی التسلیم </w:t>
            </w:r>
            <w:r>
              <w:rPr>
                <w:rStyle w:val="IndexLink"/>
                <w:rtl w:val="true"/>
              </w:rPr>
              <w:tab/>
            </w:r>
            <w:r>
              <w:rPr>
                <w:rStyle w:val="IndexLink"/>
              </w:rPr>
              <w:t>511</w:t>
            </w:r>
          </w:hyperlink>
        </w:p>
        <w:p>
          <w:pPr>
            <w:pStyle w:val="Contents4"/>
            <w:tabs>
              <w:tab w:val="clear" w:pos="8176"/>
              <w:tab w:val="right" w:pos="9026" w:leader="dot"/>
            </w:tabs>
            <w:rPr/>
          </w:pPr>
          <w:hyperlink w:anchor="__RefHeading___Toc2056025_2322387425">
            <w:r>
              <w:rPr>
                <w:webHidden/>
                <w:rStyle w:val="IndexLink"/>
                <w:rtl w:val="true"/>
              </w:rPr>
              <w:t>استئجار اثنین داراً علی الإشاعة أو بالتناوب</w:t>
            </w:r>
            <w:r>
              <w:rPr>
                <w:rStyle w:val="IndexLink"/>
                <w:rtl w:val="true"/>
              </w:rPr>
              <w:tab/>
            </w:r>
            <w:r>
              <w:rPr>
                <w:rStyle w:val="IndexLink"/>
              </w:rPr>
              <w:t>515</w:t>
            </w:r>
          </w:hyperlink>
        </w:p>
        <w:p>
          <w:pPr>
            <w:pStyle w:val="Contents4"/>
            <w:tabs>
              <w:tab w:val="clear" w:pos="8176"/>
              <w:tab w:val="right" w:pos="9026" w:leader="dot"/>
            </w:tabs>
            <w:rPr/>
          </w:pPr>
          <w:hyperlink w:anchor="__RefHeading___Toc2056027_2322387425">
            <w:r>
              <w:rPr>
                <w:webHidden/>
                <w:rStyle w:val="IndexLink"/>
                <w:rtl w:val="true"/>
              </w:rPr>
              <w:t>شرطیّة اتّصال مدّة الإجارة بالعقد</w:t>
            </w:r>
            <w:r>
              <w:rPr>
                <w:rStyle w:val="IndexLink"/>
                <w:rtl w:val="true"/>
              </w:rPr>
              <w:tab/>
            </w:r>
            <w:r>
              <w:rPr>
                <w:rStyle w:val="IndexLink"/>
              </w:rPr>
              <w:t>516</w:t>
            </w:r>
          </w:hyperlink>
        </w:p>
        <w:p>
          <w:pPr>
            <w:pStyle w:val="Contents3"/>
            <w:tabs>
              <w:tab w:val="clear" w:pos="8459"/>
              <w:tab w:val="right" w:pos="9026" w:leader="dot"/>
            </w:tabs>
            <w:rPr/>
          </w:pPr>
          <w:hyperlink w:anchor="__RefHeading___Toc2056029_2322387425">
            <w:r>
              <w:rPr>
                <w:webHidden/>
                <w:rStyle w:val="IndexLink"/>
                <w:rtl w:val="true"/>
              </w:rPr>
              <w:t>فصل</w:t>
            </w:r>
            <w:r>
              <w:rPr>
                <w:rStyle w:val="IndexLink"/>
                <w:rtl w:val="true"/>
              </w:rPr>
              <w:t xml:space="preserve">: </w:t>
            </w:r>
            <w:r>
              <w:rPr>
                <w:rStyle w:val="IndexLink"/>
                <w:rtl w:val="true"/>
              </w:rPr>
              <w:t>العین المستأجَرَة فی ید المستأجر أمانة</w:t>
            </w:r>
            <w:r>
              <w:rPr>
                <w:rStyle w:val="IndexLink"/>
                <w:rtl w:val="true"/>
              </w:rPr>
              <w:tab/>
            </w:r>
            <w:r>
              <w:rPr>
                <w:rStyle w:val="IndexLink"/>
              </w:rPr>
              <w:t>517</w:t>
            </w:r>
          </w:hyperlink>
        </w:p>
        <w:p>
          <w:pPr>
            <w:pStyle w:val="Contents4"/>
            <w:tabs>
              <w:tab w:val="clear" w:pos="8176"/>
              <w:tab w:val="right" w:pos="9026" w:leader="dot"/>
            </w:tabs>
            <w:rPr/>
          </w:pPr>
          <w:hyperlink w:anchor="__RefHeading___Toc2056031_2322387425">
            <w:r>
              <w:rPr>
                <w:webHidden/>
                <w:rStyle w:val="IndexLink"/>
                <w:rtl w:val="true"/>
              </w:rPr>
              <w:t>اشتراط الضمان علی المستأجر</w:t>
            </w:r>
            <w:r>
              <w:rPr>
                <w:rStyle w:val="IndexLink"/>
                <w:rtl w:val="true"/>
              </w:rPr>
              <w:tab/>
            </w:r>
            <w:r>
              <w:rPr>
                <w:rStyle w:val="IndexLink"/>
              </w:rPr>
              <w:t>517</w:t>
            </w:r>
          </w:hyperlink>
        </w:p>
        <w:p>
          <w:pPr>
            <w:pStyle w:val="Contents4"/>
            <w:tabs>
              <w:tab w:val="clear" w:pos="8176"/>
              <w:tab w:val="right" w:pos="9026" w:leader="dot"/>
            </w:tabs>
            <w:rPr/>
          </w:pPr>
          <w:hyperlink w:anchor="__RefHeading___Toc2056033_2322387425">
            <w:r>
              <w:rPr>
                <w:webHidden/>
                <w:rStyle w:val="IndexLink"/>
                <w:rtl w:val="true"/>
              </w:rPr>
              <w:t>الضمان فی الإجارة الباطلة</w:t>
            </w:r>
            <w:r>
              <w:rPr>
                <w:rStyle w:val="IndexLink"/>
                <w:rtl w:val="true"/>
              </w:rPr>
              <w:tab/>
            </w:r>
            <w:r>
              <w:rPr>
                <w:rStyle w:val="IndexLink"/>
              </w:rPr>
              <w:t>520</w:t>
            </w:r>
          </w:hyperlink>
        </w:p>
        <w:p>
          <w:pPr>
            <w:pStyle w:val="Contents4"/>
            <w:tabs>
              <w:tab w:val="clear" w:pos="8176"/>
              <w:tab w:val="right" w:pos="9026" w:leader="dot"/>
            </w:tabs>
            <w:rPr/>
          </w:pPr>
          <w:hyperlink w:anchor="__RefHeading___Toc2056035_2322387425">
            <w:r>
              <w:rPr>
                <w:webHidden/>
                <w:rStyle w:val="IndexLink"/>
                <w:rtl w:val="true"/>
              </w:rPr>
              <w:t>حکم الضمان لعین المستأجر التی بید المؤجر</w:t>
            </w:r>
            <w:r>
              <w:rPr>
                <w:rStyle w:val="IndexLink"/>
                <w:rtl w:val="true"/>
              </w:rPr>
              <w:tab/>
            </w:r>
            <w:r>
              <w:rPr>
                <w:rStyle w:val="IndexLink"/>
              </w:rPr>
              <w:t>521</w:t>
            </w:r>
          </w:hyperlink>
        </w:p>
        <w:p>
          <w:pPr>
            <w:pStyle w:val="Contents4"/>
            <w:tabs>
              <w:tab w:val="clear" w:pos="8176"/>
              <w:tab w:val="right" w:pos="9026" w:leader="dot"/>
            </w:tabs>
            <w:rPr/>
          </w:pPr>
          <w:hyperlink w:anchor="__RefHeading___Toc2056037_2322387425">
            <w:r>
              <w:rPr>
                <w:webHidden/>
                <w:rStyle w:val="IndexLink"/>
                <w:rtl w:val="true"/>
              </w:rPr>
              <w:t>المدار علی أیّ القیّم فی الضمان؟</w:t>
            </w:r>
            <w:r>
              <w:rPr>
                <w:rStyle w:val="IndexLink"/>
                <w:rtl w:val="true"/>
              </w:rPr>
              <w:tab/>
            </w:r>
            <w:r>
              <w:rPr>
                <w:rStyle w:val="IndexLink"/>
              </w:rPr>
              <w:t>525</w:t>
            </w:r>
          </w:hyperlink>
        </w:p>
        <w:p>
          <w:pPr>
            <w:pStyle w:val="Contents4"/>
            <w:tabs>
              <w:tab w:val="clear" w:pos="8176"/>
              <w:tab w:val="right" w:pos="9026" w:leader="dot"/>
            </w:tabs>
            <w:rPr/>
          </w:pPr>
          <w:hyperlink w:anchor="__RefHeading___Toc2056039_2322387425">
            <w:r>
              <w:rPr>
                <w:webHidden/>
                <w:rStyle w:val="IndexLink"/>
                <w:rtl w:val="true"/>
              </w:rPr>
              <w:t>ضمان الأجیر إتلاف العین فی صورةٍ استحقّ الاُجرة علیها</w:t>
            </w:r>
            <w:r>
              <w:rPr>
                <w:rStyle w:val="IndexLink"/>
                <w:rtl w:val="true"/>
              </w:rPr>
              <w:tab/>
            </w:r>
            <w:r>
              <w:rPr>
                <w:rStyle w:val="IndexLink"/>
              </w:rPr>
              <w:t>527</w:t>
            </w:r>
          </w:hyperlink>
        </w:p>
        <w:p>
          <w:pPr>
            <w:pStyle w:val="Contents4"/>
            <w:tabs>
              <w:tab w:val="clear" w:pos="8176"/>
              <w:tab w:val="right" w:pos="9026" w:leader="dot"/>
            </w:tabs>
            <w:rPr/>
          </w:pPr>
          <w:hyperlink w:anchor="__RefHeading___Toc2056041_2322387425">
            <w:r>
              <w:rPr>
                <w:webHidden/>
                <w:rStyle w:val="IndexLink"/>
                <w:rtl w:val="true"/>
              </w:rPr>
              <w:t>ضمان تلف العین بید من تجاوز الحدّ المأذون فیه</w:t>
            </w:r>
            <w:r>
              <w:rPr>
                <w:rStyle w:val="IndexLink"/>
                <w:rtl w:val="true"/>
              </w:rPr>
              <w:tab/>
            </w:r>
            <w:r>
              <w:rPr>
                <w:rStyle w:val="IndexLink"/>
              </w:rPr>
              <w:t>528</w:t>
            </w:r>
          </w:hyperlink>
        </w:p>
        <w:p>
          <w:pPr>
            <w:pStyle w:val="Contents4"/>
            <w:tabs>
              <w:tab w:val="clear" w:pos="8176"/>
              <w:tab w:val="right" w:pos="9026" w:leader="dot"/>
            </w:tabs>
            <w:rPr/>
          </w:pPr>
          <w:hyperlink w:anchor="__RefHeading___Toc2056043_2322387425">
            <w:r>
              <w:rPr>
                <w:webHidden/>
                <w:rStyle w:val="IndexLink"/>
                <w:rtl w:val="true"/>
              </w:rPr>
              <w:t>ارتکاب الطبیب ما یوجب الضمان</w:t>
            </w:r>
            <w:r>
              <w:rPr>
                <w:rStyle w:val="IndexLink"/>
                <w:rtl w:val="true"/>
              </w:rPr>
              <w:tab/>
            </w:r>
            <w:r>
              <w:rPr>
                <w:rStyle w:val="IndexLink"/>
              </w:rPr>
              <w:t>530</w:t>
            </w:r>
          </w:hyperlink>
        </w:p>
        <w:p>
          <w:pPr>
            <w:pStyle w:val="Contents4"/>
            <w:tabs>
              <w:tab w:val="clear" w:pos="8176"/>
              <w:tab w:val="right" w:pos="9026" w:leader="dot"/>
            </w:tabs>
            <w:rPr/>
          </w:pPr>
          <w:hyperlink w:anchor="__RefHeading___Toc2056045_2322387425">
            <w:r>
              <w:rPr>
                <w:webHidden/>
                <w:rStyle w:val="IndexLink"/>
                <w:rtl w:val="true"/>
              </w:rPr>
              <w:t>مسقطات الضمان عن الطبیب</w:t>
            </w:r>
            <w:r>
              <w:rPr>
                <w:rStyle w:val="IndexLink"/>
                <w:rtl w:val="true"/>
              </w:rPr>
              <w:tab/>
            </w:r>
            <w:r>
              <w:rPr>
                <w:rStyle w:val="IndexLink"/>
              </w:rPr>
              <w:t>532</w:t>
            </w:r>
          </w:hyperlink>
        </w:p>
        <w:p>
          <w:pPr>
            <w:pStyle w:val="Contents4"/>
            <w:tabs>
              <w:tab w:val="clear" w:pos="8176"/>
              <w:tab w:val="right" w:pos="9026" w:leader="dot"/>
            </w:tabs>
            <w:rPr/>
          </w:pPr>
          <w:hyperlink w:anchor="__RefHeading___Toc2056047_2322387425">
            <w:r>
              <w:rPr>
                <w:webHidden/>
                <w:rStyle w:val="IndexLink"/>
                <w:rtl w:val="true"/>
              </w:rPr>
              <w:t>ضمان الحمّال ما یُسقطه من المتاع</w:t>
            </w:r>
            <w:r>
              <w:rPr>
                <w:rStyle w:val="IndexLink"/>
                <w:rtl w:val="true"/>
              </w:rPr>
              <w:tab/>
            </w:r>
            <w:r>
              <w:rPr>
                <w:rStyle w:val="IndexLink"/>
              </w:rPr>
              <w:t>532</w:t>
            </w:r>
          </w:hyperlink>
        </w:p>
        <w:p>
          <w:pPr>
            <w:pStyle w:val="Contents4"/>
            <w:tabs>
              <w:tab w:val="clear" w:pos="8176"/>
              <w:tab w:val="right" w:pos="9026" w:leader="dot"/>
            </w:tabs>
            <w:rPr/>
          </w:pPr>
          <w:hyperlink w:anchor="__RefHeading___Toc2056049_2322387425">
            <w:r>
              <w:rPr>
                <w:webHidden/>
                <w:rStyle w:val="IndexLink"/>
                <w:rtl w:val="true"/>
              </w:rPr>
              <w:t>حکم الضمان بحسب الموارد والأشخاص فی جملة موارد</w:t>
            </w:r>
            <w:r>
              <w:rPr>
                <w:rStyle w:val="IndexLink"/>
                <w:rtl w:val="true"/>
              </w:rPr>
              <w:tab/>
            </w:r>
            <w:r>
              <w:rPr>
                <w:rStyle w:val="IndexLink"/>
              </w:rPr>
              <w:t>534</w:t>
            </w:r>
          </w:hyperlink>
        </w:p>
        <w:p>
          <w:pPr>
            <w:pStyle w:val="Contents4"/>
            <w:tabs>
              <w:tab w:val="clear" w:pos="8176"/>
              <w:tab w:val="right" w:pos="9026" w:leader="dot"/>
            </w:tabs>
            <w:rPr/>
          </w:pPr>
          <w:hyperlink w:anchor="__RefHeading___Toc2056051_2322387425">
            <w:r>
              <w:rPr>
                <w:webHidden/>
                <w:rStyle w:val="IndexLink"/>
                <w:rtl w:val="true"/>
              </w:rPr>
              <w:t>ما یوجب الضمان علی العبد</w:t>
            </w:r>
            <w:r>
              <w:rPr>
                <w:rStyle w:val="IndexLink"/>
                <w:rtl w:val="true"/>
              </w:rPr>
              <w:tab/>
            </w:r>
            <w:r>
              <w:rPr>
                <w:rStyle w:val="IndexLink"/>
              </w:rPr>
              <w:t>538</w:t>
            </w:r>
          </w:hyperlink>
        </w:p>
        <w:p>
          <w:pPr>
            <w:pStyle w:val="Contents4"/>
            <w:tabs>
              <w:tab w:val="clear" w:pos="8176"/>
              <w:tab w:val="right" w:pos="9026" w:leader="dot"/>
            </w:tabs>
            <w:rPr/>
          </w:pPr>
          <w:hyperlink w:anchor="__RefHeading___Toc2056053_2322387425">
            <w:r>
              <w:rPr>
                <w:webHidden/>
                <w:rStyle w:val="IndexLink"/>
                <w:rtl w:val="true"/>
              </w:rPr>
              <w:t>عدم ضمان صاحب الدابّة</w:t>
            </w:r>
            <w:r>
              <w:rPr>
                <w:rStyle w:val="IndexLink"/>
                <w:rtl w:val="true"/>
              </w:rPr>
              <w:tab/>
            </w:r>
            <w:r>
              <w:rPr>
                <w:rStyle w:val="IndexLink"/>
              </w:rPr>
              <w:t>540</w:t>
            </w:r>
          </w:hyperlink>
        </w:p>
        <w:p>
          <w:pPr>
            <w:pStyle w:val="Contents4"/>
            <w:tabs>
              <w:tab w:val="clear" w:pos="8176"/>
              <w:tab w:val="right" w:pos="9026" w:leader="dot"/>
            </w:tabs>
            <w:rPr/>
          </w:pPr>
          <w:hyperlink w:anchor="__RefHeading___Toc2056055_2322387425">
            <w:r>
              <w:rPr>
                <w:webHidden/>
                <w:rStyle w:val="IndexLink"/>
                <w:rtl w:val="true"/>
              </w:rPr>
              <w:t>عدم ضمان صاحب السفینة</w:t>
            </w:r>
            <w:r>
              <w:rPr>
                <w:rStyle w:val="IndexLink"/>
                <w:rtl w:val="true"/>
              </w:rPr>
              <w:tab/>
            </w:r>
            <w:r>
              <w:rPr>
                <w:rStyle w:val="IndexLink"/>
              </w:rPr>
              <w:t>540</w:t>
            </w:r>
          </w:hyperlink>
        </w:p>
        <w:p>
          <w:pPr>
            <w:pStyle w:val="Contents4"/>
            <w:tabs>
              <w:tab w:val="clear" w:pos="8176"/>
              <w:tab w:val="right" w:pos="9026" w:leader="dot"/>
            </w:tabs>
            <w:rPr/>
          </w:pPr>
          <w:hyperlink w:anchor="__RefHeading___Toc2056057_2322387425">
            <w:r>
              <w:rPr>
                <w:webHidden/>
                <w:rStyle w:val="IndexLink"/>
                <w:rtl w:val="true"/>
              </w:rPr>
              <w:t>ضمان المحمول زیادة علی المسمّی</w:t>
            </w:r>
            <w:r>
              <w:rPr>
                <w:rStyle w:val="IndexLink"/>
                <w:rtl w:val="true"/>
              </w:rPr>
              <w:tab/>
            </w:r>
            <w:r>
              <w:rPr>
                <w:rStyle w:val="IndexLink"/>
              </w:rPr>
              <w:t>541</w:t>
            </w:r>
          </w:hyperlink>
        </w:p>
        <w:p>
          <w:pPr>
            <w:pStyle w:val="Contents4"/>
            <w:tabs>
              <w:tab w:val="clear" w:pos="8176"/>
              <w:tab w:val="right" w:pos="9026" w:leader="dot"/>
            </w:tabs>
            <w:rPr/>
          </w:pPr>
          <w:hyperlink w:anchor="__RefHeading___Toc2056059_2322387425">
            <w:r>
              <w:rPr>
                <w:webHidden/>
                <w:rStyle w:val="IndexLink"/>
                <w:rtl w:val="true"/>
              </w:rPr>
              <w:t>ضمان الزیادة فی السیر عن المسمّی</w:t>
            </w:r>
            <w:r>
              <w:rPr>
                <w:rStyle w:val="IndexLink"/>
                <w:rtl w:val="true"/>
              </w:rPr>
              <w:tab/>
            </w:r>
            <w:r>
              <w:rPr>
                <w:rStyle w:val="IndexLink"/>
              </w:rPr>
              <w:t>545</w:t>
            </w:r>
          </w:hyperlink>
        </w:p>
        <w:p>
          <w:pPr>
            <w:pStyle w:val="Contents4"/>
            <w:tabs>
              <w:tab w:val="clear" w:pos="8176"/>
              <w:tab w:val="right" w:pos="9026" w:leader="dot"/>
            </w:tabs>
            <w:rPr/>
          </w:pPr>
          <w:hyperlink w:anchor="__RefHeading___Toc2056061_2322387425">
            <w:r>
              <w:rPr>
                <w:webHidden/>
                <w:rStyle w:val="IndexLink"/>
                <w:rtl w:val="true"/>
              </w:rPr>
              <w:t>سوق الدابّة ونحوها بالمتعارف علیه من الضرب ونحوه</w:t>
            </w:r>
            <w:r>
              <w:rPr>
                <w:rStyle w:val="IndexLink"/>
                <w:rtl w:val="true"/>
              </w:rPr>
              <w:tab/>
            </w:r>
            <w:r>
              <w:rPr>
                <w:rStyle w:val="IndexLink"/>
              </w:rPr>
              <w:t>546</w:t>
            </w:r>
          </w:hyperlink>
        </w:p>
        <w:p>
          <w:pPr>
            <w:pStyle w:val="Contents4"/>
            <w:tabs>
              <w:tab w:val="clear" w:pos="8176"/>
              <w:tab w:val="right" w:pos="9026" w:leader="dot"/>
            </w:tabs>
            <w:rPr/>
          </w:pPr>
          <w:hyperlink w:anchor="__RefHeading___Toc2056063_2322387425">
            <w:r>
              <w:rPr>
                <w:webHidden/>
                <w:rStyle w:val="IndexLink"/>
                <w:rtl w:val="true"/>
              </w:rPr>
              <w:t>عدم تمکّن الأجیر من حفظ ما استؤجر علیه</w:t>
            </w:r>
            <w:r>
              <w:rPr>
                <w:rStyle w:val="IndexLink"/>
                <w:rtl w:val="true"/>
              </w:rPr>
              <w:tab/>
            </w:r>
            <w:r>
              <w:rPr>
                <w:rStyle w:val="IndexLink"/>
              </w:rPr>
              <w:t>548</w:t>
            </w:r>
          </w:hyperlink>
        </w:p>
        <w:p>
          <w:pPr>
            <w:pStyle w:val="Contents4"/>
            <w:tabs>
              <w:tab w:val="clear" w:pos="8176"/>
              <w:tab w:val="right" w:pos="9026" w:leader="dot"/>
            </w:tabs>
            <w:rPr/>
          </w:pPr>
          <w:hyperlink w:anchor="__RefHeading___Toc2056065_2322387425">
            <w:r>
              <w:rPr>
                <w:webHidden/>
                <w:rStyle w:val="IndexLink"/>
                <w:rtl w:val="true"/>
              </w:rPr>
              <w:t>عدم ضمان صاحب الحمّام حفظ الثیاب</w:t>
            </w:r>
            <w:r>
              <w:rPr>
                <w:rStyle w:val="IndexLink"/>
                <w:rtl w:val="true"/>
              </w:rPr>
              <w:tab/>
            </w:r>
            <w:r>
              <w:rPr>
                <w:rStyle w:val="IndexLink"/>
              </w:rPr>
              <w:t>550</w:t>
            </w:r>
          </w:hyperlink>
        </w:p>
        <w:p>
          <w:pPr>
            <w:pStyle w:val="Contents3"/>
            <w:tabs>
              <w:tab w:val="clear" w:pos="8459"/>
              <w:tab w:val="right" w:pos="9026" w:leader="dot"/>
            </w:tabs>
            <w:rPr/>
          </w:pPr>
          <w:hyperlink w:anchor="__RefHeading___Toc2056067_2322387425">
            <w:r>
              <w:rPr>
                <w:webHidden/>
                <w:rStyle w:val="IndexLink"/>
                <w:rtl w:val="true"/>
              </w:rPr>
              <w:t>فصل</w:t>
            </w:r>
            <w:r>
              <w:rPr>
                <w:rStyle w:val="IndexLink"/>
                <w:rtl w:val="true"/>
              </w:rPr>
              <w:t xml:space="preserve">: </w:t>
            </w:r>
            <w:r>
              <w:rPr>
                <w:rStyle w:val="IndexLink"/>
                <w:rtl w:val="true"/>
              </w:rPr>
              <w:t>ما یکفی فی صحّة  الإجارة</w:t>
            </w:r>
            <w:r>
              <w:rPr>
                <w:rStyle w:val="IndexLink"/>
                <w:rtl w:val="true"/>
              </w:rPr>
              <w:tab/>
            </w:r>
            <w:r>
              <w:rPr>
                <w:rStyle w:val="IndexLink"/>
              </w:rPr>
              <w:t>552</w:t>
            </w:r>
          </w:hyperlink>
        </w:p>
        <w:p>
          <w:pPr>
            <w:pStyle w:val="Contents4"/>
            <w:tabs>
              <w:tab w:val="clear" w:pos="8176"/>
              <w:tab w:val="right" w:pos="9026" w:leader="dot"/>
            </w:tabs>
            <w:rPr/>
          </w:pPr>
          <w:hyperlink w:anchor="__RefHeading___Toc2056069_2322387425">
            <w:r>
              <w:rPr>
                <w:webHidden/>
                <w:rStyle w:val="IndexLink"/>
                <w:rtl w:val="true"/>
              </w:rPr>
              <w:t>کفایة مالکیّة المنفعة فی صحّة الإجارة</w:t>
            </w:r>
            <w:r>
              <w:rPr>
                <w:rStyle w:val="IndexLink"/>
                <w:rtl w:val="true"/>
              </w:rPr>
              <w:tab/>
            </w:r>
            <w:r>
              <w:rPr>
                <w:rStyle w:val="IndexLink"/>
              </w:rPr>
              <w:t>552</w:t>
            </w:r>
          </w:hyperlink>
        </w:p>
        <w:p>
          <w:pPr>
            <w:pStyle w:val="Contents4"/>
            <w:tabs>
              <w:tab w:val="clear" w:pos="8176"/>
              <w:tab w:val="right" w:pos="9026" w:leader="dot"/>
            </w:tabs>
            <w:rPr/>
          </w:pPr>
          <w:hyperlink w:anchor="__RefHeading___Toc2056071_2322387425">
            <w:r>
              <w:rPr>
                <w:webHidden/>
                <w:rStyle w:val="IndexLink"/>
                <w:rtl w:val="true"/>
              </w:rPr>
              <w:t>اعتبار مالکیّة المنفعة فی صحّة الإجارة وفروع ذلک</w:t>
            </w:r>
            <w:r>
              <w:rPr>
                <w:rStyle w:val="IndexLink"/>
                <w:rtl w:val="true"/>
              </w:rPr>
              <w:tab/>
            </w:r>
            <w:r>
              <w:rPr>
                <w:rStyle w:val="IndexLink"/>
              </w:rPr>
              <w:t>554</w:t>
            </w:r>
          </w:hyperlink>
        </w:p>
        <w:p>
          <w:pPr>
            <w:pStyle w:val="Contents4"/>
            <w:tabs>
              <w:tab w:val="clear" w:pos="8176"/>
              <w:tab w:val="right" w:pos="9026" w:leader="dot"/>
            </w:tabs>
            <w:rPr/>
          </w:pPr>
          <w:hyperlink w:anchor="__RefHeading___Toc2056073_2322387425">
            <w:r>
              <w:rPr>
                <w:webHidden/>
                <w:rStyle w:val="IndexLink"/>
                <w:rtl w:val="true"/>
              </w:rPr>
              <w:t>صحّة إجارة العین المستأجرة مع عدم اشتراط المباشرة</w:t>
            </w:r>
            <w:r>
              <w:rPr>
                <w:rStyle w:val="IndexLink"/>
                <w:rtl w:val="true"/>
              </w:rPr>
              <w:tab/>
            </w:r>
            <w:r>
              <w:rPr>
                <w:rStyle w:val="IndexLink"/>
              </w:rPr>
              <w:t>558</w:t>
            </w:r>
          </w:hyperlink>
        </w:p>
        <w:p>
          <w:pPr>
            <w:pStyle w:val="Contents4"/>
            <w:tabs>
              <w:tab w:val="clear" w:pos="8176"/>
              <w:tab w:val="right" w:pos="9026" w:leader="dot"/>
            </w:tabs>
            <w:rPr/>
          </w:pPr>
          <w:hyperlink w:anchor="__RefHeading___Toc2056075_2322387425">
            <w:r>
              <w:rPr>
                <w:webHidden/>
                <w:rStyle w:val="IndexLink"/>
                <w:rtl w:val="true"/>
              </w:rPr>
              <w:t>دفع متعلّق العمل غیر المشروط فیه المباشرة إلی الغیر</w:t>
            </w:r>
            <w:r>
              <w:rPr>
                <w:rStyle w:val="IndexLink"/>
                <w:rtl w:val="true"/>
              </w:rPr>
              <w:tab/>
            </w:r>
            <w:r>
              <w:rPr>
                <w:rStyle w:val="IndexLink"/>
              </w:rPr>
              <w:t>561</w:t>
            </w:r>
          </w:hyperlink>
        </w:p>
        <w:p>
          <w:pPr>
            <w:pStyle w:val="Contents4"/>
            <w:tabs>
              <w:tab w:val="clear" w:pos="8176"/>
              <w:tab w:val="right" w:pos="9026" w:leader="dot"/>
            </w:tabs>
            <w:rPr/>
          </w:pPr>
          <w:hyperlink w:anchor="__RefHeading___Toc2056077_2322387425">
            <w:r>
              <w:rPr>
                <w:webHidden/>
                <w:rStyle w:val="IndexLink"/>
                <w:rtl w:val="true"/>
              </w:rPr>
              <w:t>جواز تبرّع الغیر عن الأجیر غیر المشروط بالمباشرة</w:t>
            </w:r>
            <w:r>
              <w:rPr>
                <w:rStyle w:val="IndexLink"/>
                <w:rtl w:val="true"/>
              </w:rPr>
              <w:tab/>
            </w:r>
            <w:r>
              <w:rPr>
                <w:rStyle w:val="IndexLink"/>
              </w:rPr>
              <w:t>564</w:t>
            </w:r>
          </w:hyperlink>
        </w:p>
        <w:p>
          <w:pPr>
            <w:pStyle w:val="Contents4"/>
            <w:tabs>
              <w:tab w:val="clear" w:pos="8176"/>
              <w:tab w:val="right" w:pos="9026" w:leader="dot"/>
            </w:tabs>
            <w:rPr/>
          </w:pPr>
          <w:hyperlink w:anchor="__RefHeading___Toc2056079_2322387425">
            <w:r>
              <w:rPr>
                <w:webHidden/>
                <w:rStyle w:val="IndexLink"/>
                <w:rtl w:val="true"/>
              </w:rPr>
              <w:t>أحکام الأجیر الخاصّ</w:t>
            </w:r>
            <w:r>
              <w:rPr>
                <w:rStyle w:val="IndexLink"/>
                <w:rtl w:val="true"/>
              </w:rPr>
              <w:tab/>
            </w:r>
            <w:r>
              <w:rPr>
                <w:rStyle w:val="IndexLink"/>
              </w:rPr>
              <w:t>565</w:t>
            </w:r>
          </w:hyperlink>
        </w:p>
        <w:p>
          <w:pPr>
            <w:pStyle w:val="Contents4"/>
            <w:tabs>
              <w:tab w:val="clear" w:pos="8176"/>
              <w:tab w:val="right" w:pos="9026" w:leader="dot"/>
            </w:tabs>
            <w:rPr/>
          </w:pPr>
          <w:hyperlink w:anchor="__RefHeading___Toc2056081_2322387425">
            <w:r>
              <w:rPr>
                <w:webHidden/>
                <w:rStyle w:val="IndexLink"/>
                <w:rtl w:val="true"/>
              </w:rPr>
              <w:t>العمل لغیر المستأجر مع عدم تعیین المباشرة أو المدّة</w:t>
            </w:r>
            <w:r>
              <w:rPr>
                <w:rStyle w:val="IndexLink"/>
                <w:rtl w:val="true"/>
              </w:rPr>
              <w:tab/>
            </w:r>
            <w:r>
              <w:rPr>
                <w:rStyle w:val="IndexLink"/>
              </w:rPr>
              <w:t>580</w:t>
            </w:r>
          </w:hyperlink>
        </w:p>
        <w:p>
          <w:pPr>
            <w:pStyle w:val="Contents4"/>
            <w:tabs>
              <w:tab w:val="clear" w:pos="8176"/>
              <w:tab w:val="right" w:pos="9026" w:leader="dot"/>
            </w:tabs>
            <w:rPr/>
          </w:pPr>
          <w:hyperlink w:anchor="__RefHeading___Toc2056083_2322387425">
            <w:r>
              <w:rPr>
                <w:webHidden/>
                <w:rStyle w:val="IndexLink"/>
                <w:rtl w:val="true"/>
              </w:rPr>
              <w:t>صور ثبوت الاُجرة فی غیر مورد الإجارة وفروع ذلک</w:t>
            </w:r>
            <w:r>
              <w:rPr>
                <w:rStyle w:val="IndexLink"/>
                <w:rtl w:val="true"/>
              </w:rPr>
              <w:tab/>
            </w:r>
            <w:r>
              <w:rPr>
                <w:rStyle w:val="IndexLink"/>
              </w:rPr>
              <w:t>581</w:t>
            </w:r>
          </w:hyperlink>
        </w:p>
        <w:p>
          <w:pPr>
            <w:pStyle w:val="Contents4"/>
            <w:tabs>
              <w:tab w:val="clear" w:pos="8176"/>
              <w:tab w:val="right" w:pos="9026" w:leader="dot"/>
            </w:tabs>
            <w:rPr/>
          </w:pPr>
          <w:hyperlink w:anchor="__RefHeading___Toc2056085_2322387425">
            <w:r>
              <w:rPr>
                <w:webHidden/>
                <w:rStyle w:val="IndexLink"/>
                <w:rtl w:val="true"/>
              </w:rPr>
              <w:t>صور فی فوات المنفعة علی المستأجر أو تعذّرها</w:t>
            </w:r>
            <w:r>
              <w:rPr>
                <w:rStyle w:val="IndexLink"/>
                <w:rtl w:val="true"/>
              </w:rPr>
              <w:tab/>
            </w:r>
            <w:r>
              <w:rPr>
                <w:rStyle w:val="IndexLink"/>
              </w:rPr>
              <w:t>589</w:t>
            </w:r>
          </w:hyperlink>
        </w:p>
        <w:p>
          <w:pPr>
            <w:pStyle w:val="Contents4"/>
            <w:tabs>
              <w:tab w:val="clear" w:pos="8176"/>
              <w:tab w:val="right" w:pos="9026" w:leader="dot"/>
            </w:tabs>
            <w:rPr/>
          </w:pPr>
          <w:hyperlink w:anchor="__RefHeading___Toc2056087_2322387425">
            <w:r>
              <w:rPr>
                <w:webHidden/>
                <w:rStyle w:val="IndexLink"/>
                <w:rtl w:val="true"/>
              </w:rPr>
              <w:t>استیفاء المنفعة فی أغراض لم یرضها الشارع</w:t>
            </w:r>
            <w:r>
              <w:rPr>
                <w:rStyle w:val="IndexLink"/>
                <w:rtl w:val="true"/>
              </w:rPr>
              <w:tab/>
            </w:r>
            <w:r>
              <w:rPr>
                <w:rStyle w:val="IndexLink"/>
              </w:rPr>
              <w:t>592</w:t>
            </w:r>
          </w:hyperlink>
        </w:p>
        <w:p>
          <w:pPr>
            <w:pStyle w:val="Contents4"/>
            <w:tabs>
              <w:tab w:val="clear" w:pos="8176"/>
              <w:tab w:val="right" w:pos="9026" w:leader="dot"/>
            </w:tabs>
            <w:rPr/>
          </w:pPr>
          <w:hyperlink w:anchor="__RefHeading___Toc2056089_2322387425">
            <w:r>
              <w:rPr>
                <w:webHidden/>
                <w:rStyle w:val="IndexLink"/>
                <w:rtl w:val="true"/>
              </w:rPr>
              <w:t>الاشتباه فی استیفاء منفعة عین غیر المستأجرة</w:t>
            </w:r>
            <w:r>
              <w:rPr>
                <w:rStyle w:val="IndexLink"/>
                <w:rtl w:val="true"/>
              </w:rPr>
              <w:tab/>
            </w:r>
            <w:r>
              <w:rPr>
                <w:rStyle w:val="IndexLink"/>
              </w:rPr>
              <w:t>594</w:t>
            </w:r>
          </w:hyperlink>
        </w:p>
        <w:p>
          <w:pPr>
            <w:pStyle w:val="Contents4"/>
            <w:tabs>
              <w:tab w:val="clear" w:pos="8176"/>
              <w:tab w:val="right" w:pos="9026" w:leader="dot"/>
            </w:tabs>
            <w:rPr/>
          </w:pPr>
          <w:hyperlink w:anchor="__RefHeading___Toc2056091_2322387425">
            <w:r>
              <w:rPr>
                <w:webHidden/>
                <w:rStyle w:val="IndexLink"/>
                <w:rtl w:val="true"/>
              </w:rPr>
              <w:t>التزاحم فی متعلّق الإجارة</w:t>
            </w:r>
            <w:r>
              <w:rPr>
                <w:rStyle w:val="IndexLink"/>
                <w:rtl w:val="true"/>
              </w:rPr>
              <w:tab/>
            </w:r>
            <w:r>
              <w:rPr>
                <w:rStyle w:val="IndexLink"/>
              </w:rPr>
              <w:t>595</w:t>
            </w:r>
          </w:hyperlink>
        </w:p>
        <w:p>
          <w:pPr>
            <w:pStyle w:val="Contents2"/>
            <w:tabs>
              <w:tab w:val="clear" w:pos="8743"/>
              <w:tab w:val="right" w:pos="9026" w:leader="dot"/>
            </w:tabs>
            <w:rPr/>
          </w:pPr>
          <w:hyperlink w:anchor="__RefHeading___Toc2056093_2322387425">
            <w:r>
              <w:rPr>
                <w:webHidden/>
                <w:rStyle w:val="IndexLink"/>
                <w:rtl w:val="true"/>
              </w:rPr>
              <w:t>فهرست محتویات الجزء الثالث عشر من کتاب العروة الوثقی والتعلیقات علیها</w:t>
            </w:r>
            <w:r>
              <w:rPr>
                <w:rStyle w:val="IndexLink"/>
                <w:rtl w:val="true"/>
              </w:rPr>
              <w:tab/>
            </w:r>
            <w:r>
              <w:rPr>
                <w:rStyle w:val="IndexLink"/>
              </w:rPr>
              <w:t>599</w:t>
            </w:r>
          </w:hyperlink>
        </w:p>
        <w:p>
          <w:pPr>
            <w:pStyle w:val="Contents2"/>
            <w:tabs>
              <w:tab w:val="clear" w:pos="8743"/>
              <w:tab w:val="right" w:pos="9026" w:leader="dot"/>
            </w:tabs>
            <w:rPr/>
          </w:pPr>
          <w:hyperlink w:anchor="__RefHeading___Toc2056095_2322387425">
            <w:r>
              <w:rPr>
                <w:webHidden/>
                <w:rStyle w:val="IndexLink"/>
                <w:rtl w:val="true"/>
              </w:rPr>
              <w:t>الاصدارات العلمیة لمؤسسة السبطین علیهماالسلام العالمیة </w:t>
            </w:r>
            <w:r>
              <w:rPr>
                <w:rStyle w:val="IndexLink"/>
                <w:rtl w:val="true"/>
              </w:rPr>
              <w:tab/>
            </w:r>
            <w:r>
              <w:rPr>
                <w:rStyle w:val="IndexLink"/>
              </w:rPr>
              <w:t>616</w:t>
            </w:r>
          </w:hyperlink>
        </w:p>
        <w:p>
          <w:pPr>
            <w:pStyle w:val="Contents3"/>
            <w:tabs>
              <w:tab w:val="clear" w:pos="8459"/>
              <w:tab w:val="right" w:pos="9026" w:leader="dot"/>
            </w:tabs>
            <w:rPr/>
          </w:pPr>
          <w:hyperlink w:anchor="__RefHeading___Toc2056097_2322387425">
            <w:r>
              <w:rPr>
                <w:webHidden/>
                <w:rStyle w:val="IndexLink"/>
                <w:rtl w:val="true"/>
              </w:rPr>
              <w:t>باللغة العربیة</w:t>
            </w:r>
            <w:r>
              <w:rPr>
                <w:rStyle w:val="IndexLink"/>
                <w:rtl w:val="true"/>
              </w:rPr>
              <w:tab/>
            </w:r>
            <w:r>
              <w:rPr>
                <w:rStyle w:val="IndexLink"/>
              </w:rPr>
              <w:t>616</w:t>
            </w:r>
          </w:hyperlink>
        </w:p>
        <w:p>
          <w:pPr>
            <w:pStyle w:val="Contents3"/>
            <w:tabs>
              <w:tab w:val="clear" w:pos="8459"/>
              <w:tab w:val="right" w:pos="9026" w:leader="dot"/>
            </w:tabs>
            <w:rPr/>
          </w:pPr>
          <w:hyperlink w:anchor="__RefHeading___Toc2056099_2322387425">
            <w:r>
              <w:rPr>
                <w:webHidden/>
                <w:rStyle w:val="IndexLink"/>
                <w:rtl w:val="true"/>
              </w:rPr>
              <w:t>باللغة الفارسیة</w:t>
            </w:r>
            <w:r>
              <w:rPr>
                <w:rStyle w:val="IndexLink"/>
                <w:rtl w:val="true"/>
              </w:rPr>
              <w:tab/>
            </w:r>
            <w:r>
              <w:rPr>
                <w:rStyle w:val="IndexLink"/>
              </w:rPr>
              <w:t>619</w:t>
            </w:r>
          </w:hyperlink>
        </w:p>
        <w:p>
          <w:pPr>
            <w:pStyle w:val="Contents3"/>
            <w:tabs>
              <w:tab w:val="clear" w:pos="8459"/>
              <w:tab w:val="right" w:pos="9026" w:leader="dot"/>
            </w:tabs>
            <w:rPr/>
          </w:pPr>
          <w:hyperlink w:anchor="__RefHeading___Toc2056101_2322387425">
            <w:r>
              <w:rPr>
                <w:webHidden/>
                <w:rStyle w:val="IndexLink"/>
                <w:rtl w:val="true"/>
              </w:rPr>
              <w:t>باللغة الانجلیزیة</w:t>
            </w:r>
            <w:r>
              <w:rPr>
                <w:rStyle w:val="IndexLink"/>
                <w:rtl w:val="true"/>
              </w:rPr>
              <w:tab/>
            </w:r>
            <w:r>
              <w:rPr>
                <w:rStyle w:val="IndexLink"/>
              </w:rPr>
              <w:t>620</w:t>
            </w:r>
          </w:hyperlink>
        </w:p>
        <w:p>
          <w:pPr>
            <w:pStyle w:val="Contents3"/>
            <w:tabs>
              <w:tab w:val="clear" w:pos="8459"/>
              <w:tab w:val="right" w:pos="9026" w:leader="dot"/>
            </w:tabs>
            <w:rPr/>
          </w:pPr>
          <w:hyperlink w:anchor="__RefHeading___Toc2056103_2322387425">
            <w:r>
              <w:rPr>
                <w:webHidden/>
                <w:rStyle w:val="IndexLink"/>
                <w:rtl w:val="true"/>
              </w:rPr>
              <w:t>باللغة الاُردویة</w:t>
            </w:r>
            <w:r>
              <w:rPr>
                <w:rStyle w:val="IndexLink"/>
                <w:rtl w:val="true"/>
              </w:rPr>
              <w:tab/>
            </w:r>
            <w:r>
              <w:rPr>
                <w:rStyle w:val="IndexLink"/>
              </w:rPr>
              <w:t>620</w:t>
            </w:r>
          </w:hyperlink>
        </w:p>
        <w:p>
          <w:pPr>
            <w:pStyle w:val="Contents3"/>
            <w:tabs>
              <w:tab w:val="clear" w:pos="8459"/>
              <w:tab w:val="right" w:pos="9026" w:leader="dot"/>
            </w:tabs>
            <w:rPr/>
          </w:pPr>
          <w:hyperlink w:anchor="__RefHeading___Toc2056105_2322387425">
            <w:r>
              <w:rPr>
                <w:webHidden/>
                <w:rStyle w:val="IndexLink"/>
                <w:rtl w:val="true"/>
              </w:rPr>
              <w:t>باللغة الفرنسیة</w:t>
            </w:r>
            <w:r>
              <w:rPr>
                <w:rStyle w:val="IndexLink"/>
                <w:rtl w:val="true"/>
              </w:rPr>
              <w:tab/>
            </w:r>
            <w:r>
              <w:rPr>
                <w:rStyle w:val="IndexLink"/>
              </w:rPr>
              <w:t>620</w:t>
            </w:r>
          </w:hyperlink>
        </w:p>
        <w:p>
          <w:pPr>
            <w:pStyle w:val="Contents3"/>
            <w:tabs>
              <w:tab w:val="clear" w:pos="8459"/>
              <w:tab w:val="right" w:pos="9026" w:leader="dot"/>
            </w:tabs>
            <w:rPr/>
          </w:pPr>
          <w:hyperlink w:anchor="__RefHeading___Toc2056107_2322387425">
            <w:r>
              <w:rPr>
                <w:webHidden/>
                <w:rStyle w:val="IndexLink"/>
                <w:rtl w:val="true"/>
              </w:rPr>
              <w:t>قید التألیف ، التحقیق والترجمة</w:t>
            </w:r>
            <w:r>
              <w:rPr>
                <w:rStyle w:val="IndexLink"/>
                <w:rtl w:val="true"/>
              </w:rPr>
              <w:tab/>
            </w:r>
            <w:r>
              <w:rPr>
                <w:rStyle w:val="IndexLink"/>
              </w:rPr>
              <w:t>621</w:t>
            </w:r>
          </w:hyperlink>
        </w:p>
        <w:p>
          <w:pPr>
            <w:pStyle w:val="Contents3"/>
            <w:tabs>
              <w:tab w:val="clear" w:pos="8459"/>
              <w:tab w:val="right" w:pos="9026" w:leader="dot"/>
            </w:tabs>
            <w:rPr/>
          </w:pPr>
          <w:hyperlink w:anchor="__RefHeading___Toc2056109_2322387425">
            <w:r>
              <w:rPr>
                <w:webHidden/>
                <w:rStyle w:val="IndexLink"/>
                <w:rtl w:val="true"/>
              </w:rPr>
              <w:t>مرکز النشر و التوزیع لمؤسسة السبطین علیهماالسلام العالمیة</w:t>
            </w:r>
            <w:r>
              <w:rPr>
                <w:rStyle w:val="IndexLink"/>
                <w:rtl w:val="true"/>
              </w:rPr>
              <w:tab/>
            </w:r>
            <w:r>
              <w:rPr>
                <w:rStyle w:val="IndexLink"/>
              </w:rPr>
              <w:t>622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84_130436"/>
      <w:bookmarkStart w:id="1" w:name="pg13284_130436"/>
      <w:bookmarkEnd w:id="1"/>
    </w:p>
    <w:p>
      <w:pPr>
        <w:pStyle w:val="Heading2"/>
        <w:numPr>
          <w:ilvl w:val="1"/>
          <w:numId w:val="1"/>
        </w:numPr>
        <w:rPr/>
      </w:pPr>
      <w:bookmarkStart w:id="2" w:name="pg13284_130436"/>
      <w:bookmarkStart w:id="3" w:name="__RefHeading___Toc2055503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5505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کتاب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کیفیّة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 الإجارة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أرکانها ـ ما یکفی فی صحّة الإجارة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إعداد و تحقیق </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 تألیف آیة اللّه العظمی السید محمّد کاظم الطباطبائی 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السبطین علیهماالسلام العالمیة،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 xml:space="preserve">یزدی، محمّد کاظم بن عبدالعظیم،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ـ 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جعفری ـ 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دیوپی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1161459</w:t>
      </w:r>
    </w:p>
    <w:p>
      <w:pPr>
        <w:pStyle w:val="BookText"/>
        <w:rPr/>
      </w:pPr>
      <w:r>
        <w:rPr>
          <w:rFonts w:ascii="IRNazanin" w:hAnsi="IRNazanin" w:eastAsia="IRNazanin"/>
          <w:color w:val="111111"/>
          <w:sz w:val="28"/>
          <w:sz w:val="28"/>
          <w:szCs w:val="28"/>
          <w:rtl w:val="true"/>
          <w:lang w:bidi="fa-IR"/>
        </w:rPr>
        <w:t xml:space="preserve">ایـران ـ قم ـ شـارع انـقـلاب ـ 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7703330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عـنـوان الـمـوقـع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www.sibtayn.com</w:t>
      </w:r>
    </w:p>
    <w:p>
      <w:pPr>
        <w:pStyle w:val="BookText"/>
        <w:rPr/>
      </w:pPr>
      <w:r>
        <w:rPr>
          <w:rFonts w:ascii="IRNazanin" w:hAnsi="IRNazanin" w:eastAsia="IRNazanin"/>
          <w:color w:val="111111"/>
          <w:sz w:val="28"/>
          <w:sz w:val="28"/>
          <w:szCs w:val="28"/>
          <w:rtl w:val="true"/>
          <w:lang w:bidi="fa-IR"/>
        </w:rPr>
        <w:t>الـبـریـد الالکـترونی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sibtayn@sibtayn.com</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والتعلیقات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الأعظم السید محمّد کاظم الطباطبائی الیزدی قدس‌سره</w:t>
      </w:r>
    </w:p>
    <w:p>
      <w:pPr>
        <w:pStyle w:val="BookText"/>
        <w:rPr/>
      </w:pPr>
      <w:r>
        <w:rPr>
          <w:rFonts w:ascii="IRNazanin" w:hAnsi="IRNazanin" w:eastAsia="IRNazanin"/>
          <w:color w:val="111111"/>
          <w:sz w:val="28"/>
          <w:sz w:val="28"/>
          <w:szCs w:val="28"/>
          <w:rtl w:val="true"/>
          <w:lang w:bidi="fa-IR"/>
        </w:rPr>
        <w:t>إعداد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السبطین علیهماالسلام العالمیة</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کافة الحقوق المعنویّة والطبع محفوظة لمؤسسة السبطین علیهماالسلام العالمیة </w:t>
      </w:r>
      <w:bookmarkStart w:id="7" w:name="pg13284_130440"/>
    </w:p>
    <w:p>
      <w:pPr>
        <w:pStyle w:val="Heading2"/>
        <w:numPr>
          <w:ilvl w:val="1"/>
          <w:numId w:val="1"/>
        </w:numPr>
        <w:rPr/>
      </w:pPr>
      <w:bookmarkStart w:id="8" w:name="__RefHeading___Toc2055507_2322387425"/>
      <w:bookmarkStart w:id="9" w:name="_Toc3"/>
      <w:bookmarkEnd w:id="7"/>
      <w:bookmarkEnd w:id="8"/>
      <w:r>
        <w:rPr>
          <w:rtl w:val="true"/>
        </w:rPr>
        <w:t>أصحاب التعلیقات لهذا الکتاب</w:t>
      </w:r>
      <w:bookmarkEnd w:id="9"/>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مع الإشارة إلی مقدار تعلیقة کلّ منهم حسب النسخ المعتمدة،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 وله تعلیقات علی الإجارة والمضاربة والنکاح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أحکام العرضین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کاملة باستثناء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التعلیقةمقدار التعلیقة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المساقاة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الإجارة ـ الحوالة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المزارعة ـ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السیّدمحمّدصادق‌الحسینی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کتاب الاعتکاف</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کاملة باستثناء الحجّ</w:t>
      </w:r>
      <w:r>
        <w:rPr>
          <w:rFonts w:eastAsia="IRNazanin" w:cs="IRNazanin"/>
          <w:color w:val="111111"/>
          <w:sz w:val="28"/>
          <w:szCs w:val="28"/>
          <w:rtl w:val="true"/>
          <w:lang w:bidi="fa-IR"/>
        </w:rPr>
        <w:t xml:space="preserve">. </w:t>
      </w:r>
      <w:bookmarkStart w:id="10" w:name="pg13284_130442"/>
    </w:p>
    <w:p>
      <w:pPr>
        <w:pStyle w:val="Heading2"/>
        <w:numPr>
          <w:ilvl w:val="1"/>
          <w:numId w:val="1"/>
        </w:numPr>
        <w:rPr/>
      </w:pPr>
      <w:bookmarkStart w:id="11" w:name="__RefHeading___Toc2055509_2322387425"/>
      <w:bookmarkStart w:id="12" w:name="_Toc4"/>
      <w:bookmarkEnd w:id="10"/>
      <w:bookmarkEnd w:id="11"/>
      <w:r>
        <w:rPr>
          <w:rtl w:val="true"/>
        </w:rPr>
        <w:t>کتاب الحج</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055511_2322387425"/>
      <w:bookmarkStart w:id="14" w:name="_Toc5"/>
      <w:bookmarkEnd w:id="13"/>
      <w:r>
        <w:rPr>
          <w:rtl w:val="true"/>
        </w:rPr>
        <w:t>اشاره</w:t>
      </w:r>
      <w:bookmarkStart w:id="15" w:name="pg13284_130443"/>
      <w:bookmarkEnd w:id="14"/>
    </w:p>
    <w:p>
      <w:pPr>
        <w:pStyle w:val="Heading3"/>
        <w:numPr>
          <w:ilvl w:val="2"/>
          <w:numId w:val="1"/>
        </w:numPr>
        <w:rPr/>
      </w:pPr>
      <w:bookmarkStart w:id="16" w:name="__RefHeading___Toc2055513_2322387425"/>
      <w:bookmarkStart w:id="17" w:name="_Toc6"/>
      <w:bookmarkEnd w:id="15"/>
      <w:bookmarkEnd w:id="16"/>
      <w:r>
        <w:rPr>
          <w:rtl w:val="true"/>
        </w:rPr>
        <w:t>فصل</w:t>
      </w:r>
      <w:r>
        <w:rPr>
          <w:rtl w:val="true"/>
        </w:rPr>
        <w:t xml:space="preserve">: </w:t>
      </w:r>
      <w:r>
        <w:rPr>
          <w:rtl w:val="true"/>
        </w:rPr>
        <w:t>فی الحجّ الواجب بالنذر والعهد والیمین</w:t>
      </w:r>
      <w:bookmarkEnd w:id="17"/>
    </w:p>
    <w:p>
      <w:pPr>
        <w:pStyle w:val="Heading4"/>
        <w:numPr>
          <w:ilvl w:val="3"/>
          <w:numId w:val="1"/>
        </w:numPr>
        <w:rPr/>
      </w:pPr>
      <w:bookmarkStart w:id="18" w:name="__RefHeading___Toc2055515_2322387425"/>
      <w:bookmarkStart w:id="19" w:name="_Toc7"/>
      <w:bookmarkEnd w:id="18"/>
      <w:r>
        <w:rPr>
          <w:rtl w:val="true"/>
        </w:rPr>
        <w:t>شرائط انعقاد نذر الحجّ</w:t>
      </w:r>
      <w:bookmarkEnd w:id="19"/>
    </w:p>
    <w:p>
      <w:pPr>
        <w:pStyle w:val="BookText"/>
        <w:rPr/>
      </w:pPr>
      <w:r>
        <w:rPr>
          <w:rFonts w:ascii="IRNazanin" w:hAnsi="IRNazanin" w:eastAsia="IRNazanin"/>
          <w:color w:val="111111"/>
          <w:sz w:val="28"/>
          <w:sz w:val="28"/>
          <w:szCs w:val="28"/>
          <w:rtl w:val="true"/>
          <w:lang w:bidi="fa-IR"/>
        </w:rPr>
        <w:t>ویشترط فی انعقادها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والعقل والقصد والاختیار، فلا تنعقد من الصبیّ وإن بلغ عشراً وقلنا بصحّة عباداته وشرعیّتها؛ لرفع قلم الوجوب</w:t>
      </w:r>
      <w:r>
        <w:rPr>
          <w:rStyle w:val="FootnoteAnchor"/>
          <w:rtl w:val="true"/>
        </w:rPr>
        <w:footnoteReference w:id="2"/>
      </w:r>
      <w:r>
        <w:rPr>
          <w:rFonts w:ascii="IRNazanin" w:hAnsi="IRNazanin" w:eastAsia="IRNazanin"/>
          <w:color w:val="111111"/>
          <w:sz w:val="28"/>
          <w:sz w:val="28"/>
          <w:szCs w:val="28"/>
          <w:rtl w:val="true"/>
          <w:lang w:bidi="fa-IR"/>
        </w:rPr>
        <w:t>عنه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وقد یقال باستفادة عدم انعقاد نذره کسائر إیقاعاته، بل وعقوده وإن کانت وکالةً عن الغیر، بما یدلّ علی أنّ عمده وخطأه سواء أو واحد؛ بدعوی دلالة مثل هذا الکلام علی سلب الشارع عنوان العمد عن فعله وقوله، وهذا یؤول إلی عدم ترتّب أثر العمد علی أفعاله وأقواله، لکنّه فاسد؛ إذ تلک الأدلّة ناظرة إلی تنزیل عمده منزلة الخطأ من حیث ترتّب ما للخطأ من الأثر، وإن استلزم ذلک حین التطبیق علی موردٍ کان لخطئه أثر شرعی سَلَبَ أثر العمد، وتوهّم أنّ إطلاق هذا الکلام یشمل ما إذا لم یکن للخطأ أثر، إمّا بلحاظ ترتّب عدم الأثر علی عمده، وإمّا لکونه کنایة عن عدم ترتّب الأثر علی عمده، ولکنّه مدفوع بأنّ عدم الأثر لیس بأثر، وجعل الکلام ناظراً إلی جعل عدم ترتّب أثر العمد یستلزم کون الکلام حقیقیّاً تارةً، وکنائیّاً اُخری، فتدبّر، فإنّه دقیق، وکیف کان فالاحتیاط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الاستدلال نظر؛ فإنّ نفی الوجوب عنه لا یقتضی نفی سببیّة الأسباب إذا صدرت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لا تصحّ من المجنون والغافل والساهی والسکران والمُکرَه،</w:t>
      </w:r>
      <w:bookmarkStart w:id="20" w:name="pg13284_130444"/>
    </w:p>
    <w:p>
      <w:pPr>
        <w:pStyle w:val="Heading4"/>
        <w:numPr>
          <w:ilvl w:val="3"/>
          <w:numId w:val="1"/>
        </w:numPr>
        <w:rPr/>
      </w:pPr>
      <w:bookmarkStart w:id="21" w:name="__RefHeading___Toc2055517_2322387425"/>
      <w:bookmarkStart w:id="22" w:name="_Toc8"/>
      <w:bookmarkEnd w:id="20"/>
      <w:bookmarkEnd w:id="21"/>
      <w:r>
        <w:rPr>
          <w:rtl w:val="true"/>
        </w:rPr>
        <w:t>حکم الکافر فی المقام </w:t>
      </w:r>
      <w:bookmarkEnd w:id="22"/>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4"/>
      </w:r>
      <w:r>
        <w:rPr>
          <w:rFonts w:ascii="IRNazanin" w:hAnsi="IRNazanin" w:eastAsia="IRNazanin"/>
          <w:color w:val="111111"/>
          <w:sz w:val="28"/>
          <w:sz w:val="28"/>
          <w:szCs w:val="28"/>
          <w:rtl w:val="true"/>
          <w:lang w:bidi="fa-IR"/>
        </w:rPr>
        <w:t>صحّتها من الکافر</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غیر المنکِر للّه تعالی ، ولکن فی صحّة ما یعتبر فیه الرجحان أو القربة یعتبر أن لا یکون نظره إلی الواقع فی حال کفره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مبنیّ علی کون الکافر مکلَّفاً بالفروع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اعتقد بوجود الصانع ولم ینذر إتیان العبادة فی حال کفره، وفی انعقاده من الشاکّ أیضاً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المعتقد بوجود الباری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المنکر للصانع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معتقداً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وفاقاً للمشهور فی الیمین، خلافاً لبعض، وخلافاً للمشهور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النذر، وفاقاً لبعض، وذکروا فی وجه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القربة فی الیمین، واعتباره فی النذر، ولا تتحقّق القربة فی الکافر، وفیه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القربة لا تُعتبر فی 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المشهور اعتبارها فی إنشاء الالتزام بالنذر، وأدلّة الکراهة ضعیف دلالةً جدّاً، بل لا خلاف فیه، ویمکن دعوی الإجماع کما فی الروضة وغیرها علی اعتبار القربة، ووجه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القربة فی الالتزام والعبادة من الکافر باطلة؛ لاشتراط الإسلام فی نفس إنشاء النذر، والمصنّف تخیّل أنّ قربة الملتزم مانعة بنظرهم، ولا یخفی الفرق بینهما، ودفع الإشکال عن اعتبار القربة فی الملتزم لا یدفع الإشکال فی نفس إنشاء الإلتزام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هو مکروه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النهی الوارد فیه للإرشاد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الکراهة غیر معلومة، وإن ورد النهی عنه فی بعض الأخبار، حیث إنّه ظاهر فی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الشارع برأفته علی العباد یکره أن یجعلوا أنفسهم فی ضیق من حیث التکالیف الثانویة؛ ولذا أسند المعصوم علیه‌السلام الکراهة إلی نفسه، وهذا لا ینافی درک العقل ملاک هذه الکراهة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بالکراهة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النهی عنه فی بعض النصوص إنّما هو للإرشاد، فلا دلالة فیها علیالکراهة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وإنّما تُعتبر فی متعلّقه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الّذی یذکره، وهو کونه راجحاً فی نفسه، وإلاّ فلا یشترط قصد القربة فی إتیان المتعلّق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لابدّ من قصد الوفاء تحقیقاً للمنویِّ فی الخارج فی بعض الموارد، فلو نذر کَنسَ المسجد یوم الجمعة فکنسه من غیر أن یکون أجیراً للغیر کان ذلک وفاءً بالنذر وإن لم یقصد القربة أو عنوان الوفاء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المعتبر فیه إنّما هو الرجحان فی الجملة، وهو أعمّ من التقرّب، نعم، لابدّ وأن یکون الملتزم له هو اللّه تعالی، ولکنّه غیر التقرّب المعتبر فی العبادات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 القوم من اعتبار القربة فی النذر کون الداعی إلیه التسبّب به إلی إتیان متعلّقه قربةً إلی اللّه تعالی، وعلیه فکما أفاد لا مانع من صحّة نذر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اللازم</w:t>
      </w:r>
      <w:r>
        <w:rPr>
          <w:rStyle w:val="FootnoteAnchor"/>
          <w:rtl w:val="true"/>
        </w:rPr>
        <w:footnoteReference w:id="7"/>
      </w:r>
      <w:r>
        <w:rPr>
          <w:rFonts w:ascii="Amiri" w:hAnsi="Amiri" w:eastAsia="Amiri" w:cs="Amiri"/>
          <w:color w:val="111111"/>
          <w:sz w:val="28"/>
          <w:sz w:val="28"/>
          <w:szCs w:val="28"/>
          <w:rtl w:val="true"/>
          <w:lang w:bidi="ar-SA"/>
        </w:rPr>
        <w:t>کونه راجحاً</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الرجحان أعمّ من اعتبار القربة، بأ نّه عبارة عن دَین اللّه تعالی الّذی تحقّق من إضافة اللام إلیه تعالی، وهذا عین التقرّب إلیه تعالی، ویمکن کون نظر مَن یعتبر القربة فی النذر إلی هذا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الیمین أیضاً قد یکون من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یمکن قصد القربة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المعتقد بوجود الصانع،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ودعوی عدم إمکان إتیانه للعبادات لاشتراطها بالإسلام مدفوعة</w:t>
      </w:r>
      <w:r>
        <w:rPr>
          <w:rStyle w:val="FootnoteAnchor"/>
          <w:rtl w:val="true"/>
        </w:rPr>
        <w:footnoteReference w:id="9"/>
      </w:r>
      <w:r>
        <w:rPr>
          <w:rFonts w:ascii="IRNazanin" w:hAnsi="IRNazanin" w:eastAsia="IRNazanin"/>
          <w:color w:val="111111"/>
          <w:sz w:val="28"/>
          <w:sz w:val="28"/>
          <w:szCs w:val="28"/>
          <w:rtl w:val="true"/>
          <w:lang w:bidi="fa-IR"/>
        </w:rPr>
        <w:t>بإمکان إسلامه، ثمّ إتیانه</w:t>
      </w:r>
      <w:r>
        <w:rPr>
          <w:rStyle w:val="FootnoteAnchor"/>
          <w:rtl w:val="true"/>
        </w:rPr>
        <w:footnoteReference w:id="10"/>
      </w:r>
      <w:r>
        <w:rPr>
          <w:rFonts w:ascii="IRNazanin" w:hAnsi="IRNazanin" w:eastAsia="IRNazanin"/>
          <w:color w:val="111111"/>
          <w:sz w:val="28"/>
          <w:sz w:val="28"/>
          <w:szCs w:val="28"/>
          <w:rtl w:val="true"/>
          <w:lang w:bidi="fa-IR"/>
        </w:rPr>
        <w:t>، فهو مقدور لمقدوریّةِ مقدّمتهِ، فیجب علیه حال کفره کسائر الواجبات، ویُعاقب علی مخالفته، ویترتّب علیها وجوب الکفّارة فیُعاقب علی ترکها أیضاً، وإن أسلم صحّ إن أتی به، ویجب علیه الکفّارة لو خالف، ولا یجری فیه قاعدة</w:t>
      </w:r>
      <w:r>
        <w:rPr>
          <w:rStyle w:val="FootnoteAnchor"/>
          <w:rtl w:val="true"/>
        </w:rPr>
        <w:footnoteReference w:id="11"/>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القاعدة المأخوذة من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عمّا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جریانها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لانصرافها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کون المقام مورداً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bookmarkStart w:id="23" w:name="pg13284_130448"/>
    </w:p>
    <w:p>
      <w:pPr>
        <w:pStyle w:val="BookText"/>
        <w:rPr/>
      </w:pPr>
      <w:bookmarkEnd w:id="23"/>
      <w:r>
        <w:rPr>
          <w:rFonts w:ascii="IRNazanin" w:hAnsi="IRNazanin" w:eastAsia="IRNazanin"/>
          <w:color w:val="111111"/>
          <w:sz w:val="28"/>
          <w:sz w:val="28"/>
          <w:szCs w:val="28"/>
          <w:rtl w:val="true"/>
          <w:lang w:bidi="fa-IR"/>
        </w:rPr>
        <w:t>المقام</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لعدم شمولها للمقام؛ لکونها قاعدة تشریفیّة واردة مورد تشریف الإسلام، وأ نّه یجبّ ما یأتی قبله من قبله، أی الکبریات الأوّلیّة الإسلامیة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خالف وهو کافر وتعلّقت به الکفّارة فأسلم لا یبعد دعوی سقوطها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قیل</w:t>
      </w:r>
      <w:r>
        <w:rPr>
          <w:rFonts w:eastAsia="IRNazanin" w:cs="IRNazanin"/>
          <w:color w:val="111111"/>
          <w:sz w:val="28"/>
          <w:szCs w:val="28"/>
          <w:rtl w:val="true"/>
          <w:lang w:bidi="fa-IR"/>
        </w:rPr>
        <w:t>.</w:t>
      </w:r>
    </w:p>
    <w:p>
      <w:pPr>
        <w:pStyle w:val="Heading4"/>
        <w:numPr>
          <w:ilvl w:val="3"/>
          <w:numId w:val="1"/>
        </w:numPr>
        <w:rPr/>
      </w:pPr>
      <w:bookmarkStart w:id="24" w:name="__RefHeading___Toc2055519_2322387425"/>
      <w:bookmarkStart w:id="25" w:name="_Toc9"/>
      <w:bookmarkEnd w:id="24"/>
      <w:r>
        <w:rPr>
          <w:rtl w:val="true"/>
        </w:rPr>
        <w:t>حکم یمین ونذر الزوجة والمملوک والولد</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w:t>
      </w:r>
      <w:r>
        <w:rPr>
          <w:rStyle w:val="FootnoteAnchor"/>
          <w:rtl w:val="true"/>
        </w:rPr>
        <w:footnoteReference w:id="14"/>
      </w:r>
      <w:r>
        <w:rPr>
          <w:rFonts w:ascii="IRNazanin" w:hAnsi="IRNazanin" w:eastAsia="IRNazanin"/>
          <w:color w:val="111111"/>
          <w:sz w:val="28"/>
          <w:sz w:val="28"/>
          <w:szCs w:val="28"/>
          <w:rtl w:val="true"/>
          <w:lang w:bidi="fa-IR"/>
        </w:rPr>
        <w:t>إلی أ نّه یشترط فی انعقاد الیمین من المملوک إذن المولی</w:t>
      </w:r>
      <w:r>
        <w:rPr>
          <w:rStyle w:val="FootnoteAnchor"/>
          <w:rtl w:val="true"/>
        </w:rPr>
        <w:footnoteReference w:id="15"/>
      </w:r>
      <w:r>
        <w:rPr>
          <w:rFonts w:ascii="IRNazanin" w:hAnsi="IRNazanin" w:eastAsia="IRNazanin"/>
          <w:color w:val="111111"/>
          <w:sz w:val="28"/>
          <w:sz w:val="28"/>
          <w:szCs w:val="28"/>
          <w:rtl w:val="true"/>
          <w:lang w:bidi="fa-IR"/>
        </w:rPr>
        <w:t xml:space="preserve">، وفی انعقاده من الزوجة إذن الزوج، وفی انعقاده من الولد إذن الوالد؛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یمین لولدٍ مع والده، ولا للزوجة مع زوجها، ولا للمملوک مع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الأیمان،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حلف أحد هوءلاء بدون الإذن لم ینعقد، وظاهرهم</w:t>
      </w:r>
      <w:r>
        <w:rPr>
          <w:rStyle w:val="FootnoteAnchor"/>
          <w:rtl w:val="true"/>
        </w:rPr>
        <w:footnoteReference w:id="16"/>
      </w:r>
      <w:r>
        <w:rPr>
          <w:rFonts w:ascii="IRNazanin" w:hAnsi="IRNazanin" w:eastAsia="IRNazanin"/>
          <w:color w:val="111111"/>
          <w:sz w:val="28"/>
          <w:sz w:val="28"/>
          <w:szCs w:val="28"/>
          <w:rtl w:val="true"/>
          <w:lang w:bidi="fa-IR"/>
        </w:rPr>
        <w:t>اعتبار</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تکفی الإجازة بعده، مع أ نّه من الإیقاعات،</w:t>
      </w:r>
    </w:p>
    <w:p>
      <w:pPr>
        <w:pStyle w:val="BookText"/>
        <w:rPr/>
      </w:pPr>
      <w:r>
        <w:rPr>
          <w:rFonts w:ascii="IRNazanin" w:hAnsi="IRNazanin" w:eastAsia="IRNazanin"/>
          <w:color w:val="111111"/>
          <w:sz w:val="28"/>
          <w:sz w:val="28"/>
          <w:szCs w:val="28"/>
          <w:rtl w:val="true"/>
          <w:lang w:bidi="fa-IR"/>
        </w:rPr>
        <w:t>وادُّعی الاتّفاق علی عدم جریان الفضولیّة فیها، وإن کان یمکن دعوی أنّ القدر المتیقّن من الاتّفاق ما إذا وقع الإیقاع علی مال الغیر، مثل الطلاق والعتق ونحوهما، لا مثل المقام ممّا کان فی مال نفسه، غایة الأمر اعتبار رضا الغیر فیه، ولا فرق فیه بین الرضا السابق واللاحق، خصوصاً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الفضولیّ</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الفضولیّ فی المقام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جماعة إلی أ نّه لا یشترط الإذن فی الانعقاد، لکن للمذکورین حلّ یمین الجماعة</w:t>
      </w:r>
      <w:r>
        <w:rPr>
          <w:rStyle w:val="FootnoteAnchor"/>
          <w:rtl w:val="true"/>
        </w:rPr>
        <w:footnoteReference w:id="19"/>
      </w:r>
      <w:r>
        <w:rPr>
          <w:rFonts w:ascii="IRNazanin" w:hAnsi="IRNazanin" w:eastAsia="IRNazanin"/>
          <w:color w:val="111111"/>
          <w:sz w:val="28"/>
          <w:sz w:val="28"/>
          <w:szCs w:val="28"/>
          <w:rtl w:val="true"/>
          <w:lang w:bidi="fa-IR"/>
        </w:rPr>
        <w:t>إذا لم یکن مسبوقاً بنهی أو إذن، بدعوی أنّ المنساق من الخبر المذکور ونحوه أ نّه لیس للجماعة المذکورة یمین مع معارضة المولی أو الأب أو الزوج، ولازمه جواز حلّهم له، وعدم وجوب العمل به مع عدم رضاهم به، وعلی هذا فمع النهی السابق لا ینعقد، ومع الإذن یلزم، ومع عدمهما ینعقد ولهم حلّه، ولا یبعد</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قوّة ما علیه المشهور، وهو 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ما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هو الظاهر من النصّ، وتقدیر المنع خلاف الظاهر ؛ لأنّ تقدیر الوجود مساوق لعدم التقدیر، کما أنّ النفی للیمین أیضاً لحقیقته ووجوده ولو بلحاظ الآثار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قوّة القول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فی یمین الولد والزوجة، أمّا المملوک فقد تقدّم بیان ما هو المختار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أنّ</w:t>
      </w:r>
    </w:p>
    <w:p>
      <w:pPr>
        <w:pStyle w:val="BookText"/>
        <w:rPr/>
      </w:pPr>
      <w:r>
        <w:rPr>
          <w:rFonts w:ascii="Amiri" w:hAnsi="Amiri" w:eastAsia="Amiri" w:cs="Amiri"/>
          <w:color w:val="111111"/>
          <w:sz w:val="28"/>
          <w:sz w:val="28"/>
          <w:szCs w:val="28"/>
          <w:rtl w:val="true"/>
          <w:lang w:bidi="ar-SA"/>
        </w:rPr>
        <w:t>المقدّر</w:t>
      </w:r>
      <w:r>
        <w:rPr>
          <w:rStyle w:val="FootnoteAnchor"/>
          <w:rtl w:val="true"/>
        </w:rPr>
        <w:footnoteReference w:id="21"/>
      </w:r>
      <w:r>
        <w:rPr>
          <w:rFonts w:ascii="IRNazanin" w:hAnsi="IRNazanin" w:eastAsia="IRNazanin"/>
          <w:color w:val="111111"/>
          <w:sz w:val="28"/>
          <w:sz w:val="28"/>
          <w:szCs w:val="28"/>
          <w:rtl w:val="true"/>
          <w:lang w:bidi="fa-IR"/>
        </w:rPr>
        <w:t>کما یمکن أن یکون هوالوجود یمکن أن یکون هو المنع والمعارضة ، أی لا یمین مع منع المولی مثلاً، فمع عدم الظهور فی الثانی لا أقلّ من الإجمال، والقدر المتیقّن هو عدم الصحّة مع المعارضة والنهی بعد کون مقتضی العمومات الصحّة واللزوم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جواز الحلّ أو التوقّف علی الإذن لیس فی الیمین بما هو</w:t>
      </w:r>
      <w:r>
        <w:rPr>
          <w:rStyle w:val="FootnoteAnchor"/>
          <w:rtl w:val="true"/>
        </w:rPr>
        <w:footnoteReference w:id="22"/>
      </w:r>
      <w:r>
        <w:rPr>
          <w:rFonts w:ascii="Amiri" w:hAnsi="Amiri" w:eastAsia="Amiri" w:cs="Amiri"/>
          <w:color w:val="111111"/>
          <w:sz w:val="28"/>
          <w:sz w:val="28"/>
          <w:szCs w:val="28"/>
          <w:rtl w:val="true"/>
          <w:lang w:bidi="ar-SA"/>
        </w:rPr>
        <w:t>یمین مطلقاً</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نفی مشروعیّة الیمین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صحّة الیمین منه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هو 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کلماتهم</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أقوائیّته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النصّ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بل هو ظاهر النصّ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وهو ظاهر النصّ أیضاً، فاستثناء ما ذُکر من الأمثلة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فلا یصحّ الیمین بما هو یمین بلا إذنهم مطلقاً حتّی فی فعل واجب أو ترک محرّم، لکن لا یُترک الاحتیاط فیهما، فاستثناء ما ذُکر من الأمثلة فی غیر محلّه، حتّی حِلف الولد بأن یحجّ إذا استصحبه الوالد إلی مکّة، فإنّ الاستصحاب إلیها أو الإذن فی الحجّ غیر الإذن فی الیمین، ودعوی خروج مثله من منساق الأخبار غیر وجیهة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الخبر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الظاهر من النصّ، فلا یستثنی ما ذُکر من الأمثلة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ظاهر النصّ، فهو المتعیّن من غیر استثناء لشیء من الأمثلة الّتی ذکرها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ظاهر النصّ، فالاستثناء منه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لأ نّه ظاهر النصّ أیضاً، ولا ینافیه استثناء الحلف علی فعل الواجب وترک الحرام؛ فإنّ الظاهر من النصّ عدم انعقاد الیمین مع معارضة الجماعة فیما لهم المنع عن ما تعلّق به ومعارضته، ومن الواضح أ نّه لیس لهم النهی عن فعل الواجب وترک الحرام؛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للمغربی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إنّما هو فیما کان المتعلّق</w:t>
      </w:r>
    </w:p>
    <w:p>
      <w:pPr>
        <w:pStyle w:val="BookText"/>
        <w:rPr/>
      </w:pPr>
      <w:r>
        <w:rPr>
          <w:rFonts w:ascii="Amiri" w:hAnsi="Amiri" w:eastAsia="Amiri" w:cs="Amiri"/>
          <w:color w:val="111111"/>
          <w:sz w:val="28"/>
          <w:sz w:val="28"/>
          <w:szCs w:val="28"/>
          <w:rtl w:val="true"/>
          <w:lang w:bidi="ar-SA"/>
        </w:rPr>
        <w:t>منافیاً</w:t>
      </w:r>
      <w:r>
        <w:rPr>
          <w:rStyle w:val="FootnoteAnchor"/>
          <w:rtl w:val="true"/>
        </w:rPr>
        <w:footnoteReference w:id="25"/>
      </w:r>
      <w:r>
        <w:rPr>
          <w:rFonts w:ascii="IRNazanin" w:hAnsi="IRNazanin" w:eastAsia="IRNazanin"/>
          <w:color w:val="111111"/>
          <w:sz w:val="28"/>
          <w:sz w:val="28"/>
          <w:szCs w:val="28"/>
          <w:rtl w:val="true"/>
          <w:lang w:bidi="fa-IR"/>
        </w:rPr>
        <w:t>لحقّ المولی أو الزوج</w:t>
      </w:r>
      <w:r>
        <w:rPr>
          <w:rStyle w:val="FootnoteAnchor"/>
          <w:rtl w:val="true"/>
        </w:rPr>
        <w:footnoteReference w:id="26"/>
      </w:r>
      <w:r>
        <w:rPr>
          <w:rFonts w:ascii="IRNazanin" w:hAnsi="IRNazanin" w:eastAsia="IRNazanin"/>
          <w:color w:val="111111"/>
          <w:sz w:val="28"/>
          <w:sz w:val="28"/>
          <w:szCs w:val="28"/>
          <w:rtl w:val="true"/>
          <w:lang w:bidi="fa-IR"/>
        </w:rPr>
        <w:t>، وکان ممّا یجب فیه طاعة الوالد</w:t>
      </w:r>
      <w:r>
        <w:rPr>
          <w:rStyle w:val="FootnoteAnchor"/>
          <w:rtl w:val="true"/>
        </w:rPr>
        <w:footnoteReference w:id="27"/>
      </w:r>
      <w:r>
        <w:rPr>
          <w:rFonts w:ascii="IRNazanin" w:hAnsi="IRNazanin" w:eastAsia="IRNazanin"/>
          <w:color w:val="111111"/>
          <w:sz w:val="28"/>
          <w:sz w:val="28"/>
          <w:szCs w:val="28"/>
          <w:rtl w:val="true"/>
          <w:lang w:bidi="fa-IR"/>
        </w:rPr>
        <w:t>إذا أمر أو نهی، وأمّا ما لم یکن کذلک فلا، کما إذا حلف المملوک</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انصراف الأخبار عن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یحجّ إذا أعتقه المولی، أو حلفت الزوجة أن تحجّ إذا مات زوجها أو طلّقها، أو حَلَفا أن یصلِّیا صلاة اللیل، مع عدم کونها منافیة لحقّ المولی، أو حقّ الاستمتاع من الزوجة، أو حلف الولد أن یقرأ کلّ یومٍ جزءاً من القرآن، أو نحو ذلک ممّا لا یجب طاعتهم فیها للمذکورین فلا مانع من انعقاده، وهذا هو المنساق من</w:t>
      </w:r>
    </w:p>
    <w:p>
      <w:pPr>
        <w:pStyle w:val="BookText"/>
        <w:rPr/>
      </w:pPr>
      <w:r>
        <w:rPr>
          <w:rFonts w:ascii="IRNazanin" w:hAnsi="IRNazanin" w:eastAsia="IRNazanin"/>
          <w:color w:val="111111"/>
          <w:sz w:val="28"/>
          <w:sz w:val="28"/>
          <w:szCs w:val="28"/>
          <w:rtl w:val="true"/>
          <w:lang w:bidi="fa-IR"/>
        </w:rPr>
        <w:t>الأخبار، فلو حلف الولد أن یحجّ إذا</w:t>
      </w:r>
      <w:r>
        <w:rPr>
          <w:rStyle w:val="FootnoteAnchor"/>
          <w:rtl w:val="true"/>
        </w:rPr>
        <w:footnoteReference w:id="29"/>
      </w:r>
      <w:r>
        <w:rPr>
          <w:rFonts w:ascii="IRNazanin" w:hAnsi="IRNazanin" w:eastAsia="IRNazanin"/>
          <w:color w:val="111111"/>
          <w:sz w:val="28"/>
          <w:sz w:val="28"/>
          <w:szCs w:val="28"/>
          <w:rtl w:val="true"/>
          <w:lang w:bidi="fa-IR"/>
        </w:rPr>
        <w:t>استصحبه الوالد إلی مکّة مثلاً لا مانع من انعقاده، وهکذا بالنسبة إلی المملوک والزوجة، فالمراد من الأخبار أ نّه لیس لهم أن یوجبوا علی أنفسهم بالیمین ما یکون منافیاً لحقّ المذکورین؛ ولذا استثنی بعضهم</w:t>
      </w:r>
      <w:r>
        <w:rPr>
          <w:rStyle w:val="FootnoteAnchor"/>
          <w:rtl w:val="true"/>
        </w:rPr>
        <w:footnoteReference w:id="30"/>
      </w:r>
      <w:r>
        <w:rPr>
          <w:rFonts w:ascii="IRNazanin" w:hAnsi="IRNazanin" w:eastAsia="IRNazanin"/>
          <w:color w:val="111111"/>
          <w:sz w:val="28"/>
          <w:sz w:val="28"/>
          <w:szCs w:val="28"/>
          <w:rtl w:val="true"/>
          <w:lang w:bidi="fa-IR"/>
        </w:rPr>
        <w:t>الحلف علی فعل الواجب أو ترک القبیح، وحَکَمَ بالانعقاد فیهما، ولو کان المراد الیمین بما هو یمین لم یکن وجه لهذا الاستثناء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الیمین، وأمّا النذر فالمشهور بینهم أ نّه کالیمین فی المملوک والزوجة</w:t>
      </w:r>
      <w:r>
        <w:rPr>
          <w:rStyle w:val="FootnoteAnchor"/>
          <w:rtl w:val="true"/>
        </w:rPr>
        <w:footnoteReference w:id="31"/>
      </w:r>
      <w:r>
        <w:rPr>
          <w:rFonts w:ascii="IRNazanin" w:hAnsi="IRNazanin" w:eastAsia="IRNazanin"/>
          <w:color w:val="111111"/>
          <w:sz w:val="28"/>
          <w:sz w:val="28"/>
          <w:szCs w:val="28"/>
          <w:rtl w:val="true"/>
          <w:lang w:bidi="fa-IR"/>
        </w:rPr>
        <w:t>، وألحق بعضهم بهما الولد أیضاً، وهو مشکل؛ لعدم الدلیل علیه، خصوصاً فی الولد</w:t>
      </w:r>
      <w:r>
        <w:rPr>
          <w:rStyle w:val="FootnoteAnchor"/>
          <w:rtl w:val="true"/>
        </w:rPr>
        <w:footnoteReference w:id="32"/>
      </w:r>
      <w:r>
        <w:rPr>
          <w:rFonts w:ascii="IRNazanin" w:hAnsi="IRNazanin" w:eastAsia="IRNazanin"/>
          <w:color w:val="111111"/>
          <w:sz w:val="28"/>
          <w:sz w:val="28"/>
          <w:szCs w:val="28"/>
          <w:rtl w:val="true"/>
          <w:lang w:bidi="fa-IR"/>
        </w:rPr>
        <w:t xml:space="preserve">، إلاّ القیاس علی الیمین، بدعوی تنقیح المناط، وهو ممنوع، أو بدعوی أنّ المراد من الیمین فی الأخبار ما یشمل النذر لإطلاقه </w:t>
      </w:r>
    </w:p>
    <w:p>
      <w:pPr>
        <w:pStyle w:val="BookText"/>
        <w:rPr/>
      </w:pPr>
      <w:r>
        <w:rPr>
          <w:rFonts w:ascii="IRNazanin" w:hAnsi="IRNazanin" w:eastAsia="IRNazanin"/>
          <w:color w:val="111111"/>
          <w:sz w:val="28"/>
          <w:sz w:val="28"/>
          <w:szCs w:val="28"/>
          <w:rtl w:val="true"/>
          <w:lang w:bidi="fa-IR"/>
        </w:rPr>
        <w:t>علیه فی جملة من الأخبار، منها خبران</w:t>
      </w:r>
      <w:r>
        <w:rPr>
          <w:rStyle w:val="FootnoteAnchor"/>
          <w:rtl w:val="true"/>
        </w:rPr>
        <w:footnoteReference w:id="33"/>
      </w:r>
      <w:r>
        <w:rPr>
          <w:rFonts w:ascii="IRNazanin" w:hAnsi="IRNazanin" w:eastAsia="IRNazanin"/>
          <w:color w:val="111111"/>
          <w:sz w:val="28"/>
          <w:sz w:val="28"/>
          <w:szCs w:val="28"/>
          <w:rtl w:val="true"/>
          <w:lang w:bidi="fa-IR"/>
        </w:rPr>
        <w:t>فی کلام الإمام علیه‌السلام ، ومنها أخبار</w:t>
      </w:r>
      <w:r>
        <w:rPr>
          <w:rStyle w:val="FootnoteAnchor"/>
          <w:rtl w:val="true"/>
        </w:rPr>
        <w:footnoteReference w:id="34"/>
      </w:r>
      <w:r>
        <w:rPr>
          <w:rFonts w:ascii="IRNazanin" w:hAnsi="IRNazanin" w:eastAsia="IRNazanin"/>
          <w:color w:val="111111"/>
          <w:sz w:val="28"/>
          <w:sz w:val="28"/>
          <w:szCs w:val="28"/>
          <w:rtl w:val="true"/>
          <w:lang w:bidi="fa-IR"/>
        </w:rPr>
        <w:t>فی کلام الراوی وتقریر الإمام علیه‌السلام ،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النذر والعهد، ح</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أیضاً کما تری، فالأقوی</w:t>
      </w:r>
      <w:r>
        <w:rPr>
          <w:rStyle w:val="FootnoteAnchor"/>
          <w:rtl w:val="true"/>
        </w:rPr>
        <w:footnoteReference w:id="35"/>
      </w:r>
      <w:r>
        <w:rPr>
          <w:rFonts w:ascii="IRNazanin" w:hAnsi="IRNazanin" w:eastAsia="IRNazanin"/>
          <w:color w:val="111111"/>
          <w:sz w:val="28"/>
          <w:sz w:val="28"/>
          <w:szCs w:val="28"/>
          <w:rtl w:val="true"/>
          <w:lang w:bidi="fa-IR"/>
        </w:rPr>
        <w:t>فی الولد</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لا یبعد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إلحاق الولد عجیب علی مبناه، فإنّه استظهر أنّ عدم نفوذ الیمین من الثلاثة إنّما هو فیما کان منافیاً لحقّ السیّد والوالد والزوج، ولابدّ أن یکون نذر الثلاثة أیضاً مفروضاً فی مورد المنافاة، وعلیه فلا وجه لعدم إلحاق الولد؛ لکون الحکم علی القاعدة غیر محتاج إلی النصّ الخاصّ، بل لا وجه لتکلّف الاستدلال بخبر 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نذر المملوک، والاعتذار عن ضعف سنده بعمل المشهور، فإنّ المسألة علی مبناه أوضح من ذلک؛ إذ لا یجوز تضییع حقوق الناس بالیمین أو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الملاک منافاة مورد نذر هوءلاء لحقّ المولی والزوج والوالد فلا یحتاج الحکم فی الإلحاق إلی أمرٍ سوی القاعدة، وهی لزوم الرجحان فی متعلّق النذر، وإن کان الملاک إطلاق دلیل المنع فلا وجه للإلحاق فی غیر الولد أیضاً، کما لا وجه 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یقوی الإلحاق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بعد انعقاد النذر إن منعه أحد الوالدین عن العمل بالنذر فالظاهر انحلاله، کما أنّ منع أحدهما عن النذر قبله لم ینعقد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الإلحاق، ثمّ إنّ الظاهر فی الولد أنّ للوالد حَلّ نذره کما فی الیمین، وأمّا فی الزوجة والمملوک فالظاهر اعتبار إذن الزوج والمالک وعدم انعقاده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فی الزوجة والمملوک</w:t>
      </w:r>
    </w:p>
    <w:p>
      <w:pPr>
        <w:pStyle w:val="BookText"/>
        <w:rPr/>
      </w:pPr>
      <w:r>
        <w:rPr>
          <w:rFonts w:ascii="IRNazanin" w:hAnsi="IRNazanin" w:eastAsia="IRNazanin"/>
          <w:color w:val="111111"/>
          <w:sz w:val="28"/>
          <w:sz w:val="28"/>
          <w:szCs w:val="28"/>
          <w:rtl w:val="true"/>
          <w:lang w:bidi="fa-IR"/>
        </w:rPr>
        <w:t>لایبعد الإلحاق</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فی الزوجة إذا لم یکن منافیاً لحقّ الزوج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بالیمین؛ لخبر قرب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المرویّ عن الحسین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النذر،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جعفر،</w:t>
      </w:r>
      <w:bookmarkStart w:id="26" w:name="pg13284_130456"/>
    </w:p>
    <w:p>
      <w:pPr>
        <w:pStyle w:val="BookText"/>
        <w:rPr/>
      </w:pPr>
      <w:bookmarkEnd w:id="26"/>
      <w:r>
        <w:rPr>
          <w:rFonts w:ascii="IRNazanin" w:hAnsi="IRNazanin" w:eastAsia="IRNazanin"/>
          <w:color w:val="111111"/>
          <w:sz w:val="28"/>
          <w:sz w:val="28"/>
          <w:szCs w:val="28"/>
          <w:rtl w:val="true"/>
          <w:lang w:bidi="fa-IR"/>
        </w:rPr>
        <w:t>عن أبیه علیهماالسلام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المملوک نذر إلاّ بإذن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7" w:name="__RefHeading___Toc2055521_2322387425"/>
      <w:bookmarkStart w:id="28" w:name="_Toc10"/>
      <w:bookmarkEnd w:id="27"/>
      <w:r>
        <w:rPr>
          <w:rtl w:val="true"/>
        </w:rPr>
        <w:t>حکم الزوجة المنقطعة وولد الولد</w:t>
      </w:r>
      <w:bookmarkEnd w:id="28"/>
    </w:p>
    <w:p>
      <w:pPr>
        <w:pStyle w:val="BookText"/>
        <w:rPr/>
      </w:pPr>
      <w:r>
        <w:rPr>
          <w:rFonts w:ascii="IRNazanin" w:hAnsi="IRNazanin" w:eastAsia="IRNazanin"/>
          <w:color w:val="111111"/>
          <w:sz w:val="28"/>
          <w:sz w:val="28"/>
          <w:szCs w:val="28"/>
          <w:rtl w:val="true"/>
          <w:lang w:bidi="fa-IR"/>
        </w:rPr>
        <w:t>وصحیح ابن سنان</w:t>
      </w:r>
      <w:r>
        <w:rPr>
          <w:rStyle w:val="FootnoteAnchor"/>
          <w:rtl w:val="true"/>
        </w:rPr>
        <w:footnoteReference w:id="38"/>
      </w:r>
      <w:r>
        <w:rPr>
          <w:rFonts w:ascii="IRNazanin" w:hAnsi="IRNazanin" w:eastAsia="IRNazanin"/>
          <w:color w:val="111111"/>
          <w:sz w:val="28"/>
          <w:sz w:val="28"/>
          <w:szCs w:val="28"/>
          <w:rtl w:val="true"/>
          <w:lang w:bidi="fa-IR"/>
        </w:rPr>
        <w:t xml:space="preserve">،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للمرأة مع زوجها أمر فی عتقٍ ولا صدقةٍ ولا تدبیرٍ ولا هِبةٍ ولا نذرٍ فی مالها إلاّ بإذن زوجها، إلاّ فی حجٍّ، أو زکاةٍ، أو بِرِّ والدیها، أو صلةِ قرابتها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النفقات،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 الأوّل</w:t>
      </w:r>
      <w:r>
        <w:rPr>
          <w:rStyle w:val="FootnoteAnchor"/>
          <w:rtl w:val="true"/>
        </w:rPr>
        <w:footnoteReference w:id="39"/>
      </w:r>
      <w:r>
        <w:rPr>
          <w:rFonts w:ascii="IRNazanin" w:hAnsi="IRNazanin" w:eastAsia="IRNazanin"/>
          <w:color w:val="111111"/>
          <w:sz w:val="28"/>
          <w:sz w:val="28"/>
          <w:szCs w:val="28"/>
          <w:rtl w:val="true"/>
          <w:lang w:bidi="fa-IR"/>
        </w:rPr>
        <w:t>منجبر بالشهرة، واشتمال الثانی علی ما لا نقول به لا یضرّ، ثمّ هل الزوجة تشمل المنقطعة</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الشمول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علیه؛ لِعدِّ لزوم تسبیبه وإذنه لتحصیل شرط الوجوب، خصوصاً لو قلنا بأنّ القدرة فی ظرف العمل بالنذر وأمثاله فی الشرائط الشرعیّة،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فیه وفی تالیه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الأوّل، خصوصاً مع طول المدّة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 وکذا فی ولد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انصراف الزوجة عن المنقطعة ولو هی زوجة 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عدم الشمول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الشمول لها دون تالیها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الشمول، وکذا الحکم فی 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الشمول؛ لصدق الزوجة علیها بلا إشکال، سیّما فی المنقطعة الطویلة المدّة، ودعوی الانصراف إلی الدائمة بعد کونه بدویاً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وهل الولد</w:t>
      </w:r>
    </w:p>
    <w:p>
      <w:pPr>
        <w:pStyle w:val="BookText"/>
        <w:rPr/>
      </w:pPr>
      <w:r>
        <w:rPr>
          <w:rFonts w:ascii="IRNazanin" w:hAnsi="IRNazanin" w:eastAsia="IRNazanin"/>
          <w:color w:val="111111"/>
          <w:sz w:val="28"/>
          <w:sz w:val="28"/>
          <w:szCs w:val="28"/>
          <w:rtl w:val="true"/>
          <w:lang w:bidi="fa-IR"/>
        </w:rPr>
        <w:t>یشمل ولد الولد</w:t>
      </w:r>
      <w:r>
        <w:rPr>
          <w:rStyle w:val="FootnoteAnchor"/>
          <w:rtl w:val="true"/>
        </w:rPr>
        <w:footnoteReference w:id="41"/>
      </w:r>
      <w:r>
        <w:rPr>
          <w:rFonts w:ascii="Amiri" w:hAnsi="Amiri" w:eastAsia="Amiri" w:cs="Amiri"/>
          <w:color w:val="111111"/>
          <w:sz w:val="28"/>
          <w:sz w:val="28"/>
          <w:szCs w:val="28"/>
          <w:rtl w:val="true"/>
          <w:lang w:bidi="ar-SA"/>
        </w:rPr>
        <w:t>، أوْ لا؟</w:t>
      </w:r>
      <w:r>
        <w:rPr>
          <w:rStyle w:val="FootnoteAnchor"/>
          <w:rtl w:val="true"/>
        </w:rPr>
        <w:footnoteReference w:id="42"/>
      </w:r>
      <w:r>
        <w:rPr>
          <w:rFonts w:ascii="IRNazanin" w:hAnsi="IRNazanin" w:eastAsia="IRNazanin"/>
          <w:color w:val="111111"/>
          <w:sz w:val="28"/>
          <w:sz w:val="28"/>
          <w:szCs w:val="28"/>
          <w:rtl w:val="true"/>
          <w:lang w:bidi="fa-IR"/>
        </w:rPr>
        <w:t>، کذلک وجهان</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الاستئذان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الشمول أقرب، ودعوی الانصراف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الشمول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والأمة المزوَّجة علیها الاستئذان من الزوج والمولی بناءً علی اعتبار </w:t>
      </w:r>
    </w:p>
    <w:p>
      <w:pPr>
        <w:pStyle w:val="BookText"/>
        <w:rPr/>
      </w:pPr>
      <w:r>
        <w:rPr>
          <w:rFonts w:ascii="IRNazanin" w:hAnsi="IRNazanin" w:eastAsia="IRNazanin"/>
          <w:color w:val="111111"/>
          <w:sz w:val="28"/>
          <w:sz w:val="28"/>
          <w:szCs w:val="28"/>
          <w:rtl w:val="true"/>
          <w:lang w:bidi="fa-IR"/>
        </w:rPr>
        <w:t>الإذن، وإذا أذن المولی للمملوک أن یحلف أو ینذر الحجّ لا یجب علیه إعطاء ما زاد عن نفقته الواجبة علیه من مصارف الحجّ، وهل علیه تخلیة سبیله</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عدم لزوم التخلیة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ذلک؛ فإنّه بعد الإذن وانعقاد النذر یجب علیه تحصیل النفقة مقدِّمةً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طاعة لمخلوقٍ فی معصیة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 للقاضی المغربی</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لتحصیلها،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الأوّل لا یخلو عن 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علی القول بأنّ لهم الحِلّ هل یجوز مع</w:t>
      </w:r>
      <w:r>
        <w:rPr>
          <w:rStyle w:val="FootnoteAnchor"/>
          <w:rtl w:val="true"/>
        </w:rPr>
        <w:footnoteReference w:id="45"/>
      </w:r>
      <w:r>
        <w:rPr>
          <w:rFonts w:ascii="Amiri" w:hAnsi="Amiri" w:eastAsia="Amiri" w:cs="Amiri"/>
          <w:color w:val="111111"/>
          <w:sz w:val="28"/>
          <w:sz w:val="28"/>
          <w:szCs w:val="28"/>
          <w:rtl w:val="true"/>
          <w:lang w:bidi="ar-SA"/>
        </w:rPr>
        <w:t>حلف الجماعة</w:t>
      </w:r>
      <w:r>
        <w:rPr>
          <w:rStyle w:val="FootnoteAnchor"/>
          <w:rtl w:val="true"/>
        </w:rPr>
        <w:footnoteReference w:id="46"/>
      </w:r>
      <w:r>
        <w:rPr>
          <w:rFonts w:ascii="IRNazanin" w:hAnsi="IRNazanin" w:eastAsia="IRNazanin"/>
          <w:color w:val="111111"/>
          <w:sz w:val="28"/>
          <w:sz w:val="28"/>
          <w:szCs w:val="28"/>
          <w:rtl w:val="true"/>
          <w:lang w:bidi="fa-IR"/>
        </w:rPr>
        <w:t>التماس المذکورین فی حِلّ حلفهم، أوْ لا؟ وجهان</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 الجواز؛ لأ نّه من قبیل السعی فی تفویت شرائط الوجوب، ولا ضیر فیه، کتحصیل السلامة؛ لئلاّ یجب علیه شرب المُسهِل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الخوئی،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الجواز علی هذا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أقربهما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3284_130459"/>
    </w:p>
    <w:p>
      <w:pPr>
        <w:pStyle w:val="Heading4"/>
        <w:numPr>
          <w:ilvl w:val="3"/>
          <w:numId w:val="1"/>
        </w:numPr>
        <w:rPr/>
      </w:pPr>
      <w:bookmarkStart w:id="30" w:name="__RefHeading___Toc2055523_2322387425"/>
      <w:bookmarkStart w:id="31" w:name="_Toc11"/>
      <w:bookmarkEnd w:id="29"/>
      <w:bookmarkEnd w:id="30"/>
      <w:r>
        <w:rPr>
          <w:rtl w:val="true"/>
        </w:rPr>
        <w:t>فروع فی شمول الحکم لجملة من الموارد</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الوالد کافراً ففی شمول الحکم له وجهان، أوجههما العدم</w:t>
      </w:r>
      <w:r>
        <w:rPr>
          <w:rStyle w:val="FootnoteAnchor"/>
          <w:rtl w:val="true"/>
        </w:rPr>
        <w:footnoteReference w:id="48"/>
      </w:r>
      <w:r>
        <w:rPr>
          <w:rFonts w:ascii="IRNazanin" w:hAnsi="IRNazanin" w:eastAsia="IRNazanin"/>
          <w:color w:val="111111"/>
          <w:sz w:val="28"/>
          <w:sz w:val="28"/>
          <w:szCs w:val="28"/>
          <w:rtl w:val="true"/>
          <w:lang w:bidi="fa-IR"/>
        </w:rPr>
        <w:t>للانصراف</w:t>
      </w:r>
      <w:r>
        <w:rPr>
          <w:rStyle w:val="FootnoteAnchor"/>
          <w:rtl w:val="true"/>
        </w:rPr>
        <w:footnoteReference w:id="49"/>
      </w:r>
      <w:r>
        <w:rPr>
          <w:rFonts w:ascii="IRNazanin" w:hAnsi="IRNazanin" w:eastAsia="IRNazanin"/>
          <w:color w:val="111111"/>
          <w:sz w:val="28"/>
          <w:sz w:val="28"/>
          <w:szCs w:val="28"/>
          <w:rtl w:val="true"/>
          <w:lang w:bidi="fa-IR"/>
        </w:rPr>
        <w:t>، ونفی السبیل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المملوک المبعَّض حکمه حکم القِنّ، أوْ لا؟ وجهان</w:t>
      </w:r>
      <w:r>
        <w:rPr>
          <w:rStyle w:val="FootnoteAnchor"/>
          <w:rtl w:val="true"/>
        </w:rPr>
        <w:footnoteReference w:id="50"/>
      </w:r>
      <w:r>
        <w:rPr>
          <w:rFonts w:ascii="IRNazanin" w:hAnsi="IRNazanin" w:eastAsia="IRNazanin"/>
          <w:color w:val="111111"/>
          <w:sz w:val="28"/>
          <w:sz w:val="28"/>
          <w:szCs w:val="28"/>
          <w:rtl w:val="true"/>
          <w:lang w:bidi="fa-IR"/>
        </w:rPr>
        <w:t>، لا یبعد الشمول</w:t>
      </w:r>
      <w:r>
        <w:rPr>
          <w:rStyle w:val="FootnoteAnchor"/>
          <w:rtl w:val="true"/>
        </w:rPr>
        <w:footnoteReference w:id="51"/>
      </w:r>
      <w:r>
        <w:rPr>
          <w:rFonts w:ascii="IRNazanin" w:hAnsi="IRNazanin" w:eastAsia="IRNazanin"/>
          <w:color w:val="111111"/>
          <w:sz w:val="28"/>
          <w:sz w:val="28"/>
          <w:szCs w:val="28"/>
          <w:rtl w:val="true"/>
          <w:lang w:bidi="fa-IR"/>
        </w:rPr>
        <w:t>، ویحتمل</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خلاف إطلاق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فإنّ المهایاة لا یجعل العبد حرّاً فی نوبته، وقد مرّ أنّ الحلف بما هو یتوقّف علی الإذن، لا باعتبار منافاته لحقّ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احتمالاً لا یُعتَدُّ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ضعف هذا الاحتمال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توقّف</w:t>
      </w:r>
      <w:r>
        <w:rPr>
          <w:rStyle w:val="FootnoteAnchor"/>
          <w:rtl w:val="true"/>
        </w:rPr>
        <w:footnoteReference w:id="53"/>
      </w:r>
      <w:r>
        <w:rPr>
          <w:rFonts w:ascii="IRNazanin" w:hAnsi="IRNazanin" w:eastAsia="IRNazanin"/>
          <w:color w:val="111111"/>
          <w:sz w:val="28"/>
          <w:sz w:val="28"/>
          <w:szCs w:val="28"/>
          <w:rtl w:val="true"/>
          <w:lang w:bidi="fa-IR"/>
        </w:rPr>
        <w:t>حلفه</w:t>
      </w:r>
      <w:r>
        <w:rPr>
          <w:rStyle w:val="FootnoteAnchor"/>
          <w:rtl w:val="true"/>
        </w:rPr>
        <w:footnoteReference w:id="54"/>
      </w:r>
      <w:r>
        <w:rPr>
          <w:rFonts w:ascii="IRNazanin" w:hAnsi="IRNazanin" w:eastAsia="IRNazanin"/>
          <w:color w:val="111111"/>
          <w:sz w:val="28"/>
          <w:sz w:val="28"/>
          <w:szCs w:val="28"/>
          <w:rtl w:val="true"/>
          <w:lang w:bidi="fa-IR"/>
        </w:rPr>
        <w:t>علی الإذن</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صورة المهایاة، خصوصاً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وقوع المتعلّق فی نوبته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فی الولد بین‌الذکر والاُنثی، وکذا فی المملوک والمالک، لکن لا تُلحق الاُمّ</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ذهاب البعض إلی إلحاقها بدعوی المناط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بالأب</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أو حلف المملوک بإذن المالک ثمّ انتقل إلی غیره بالإرث أو البیع أو نحوه بقی علی لزومه</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حلّ المالک الثانی للنذر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باشتراط الإذن، وأمّا إن قلنا بجواز الحَلّ للمولی فهو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متعلّق نذره منافیاً لحقّ المولی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منافیاً لحقّ المالک الثانی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نذرت المرأة أو حلفت حال عدم الزوجیّة ثمّ تزوّجت وجب</w:t>
      </w:r>
      <w:r>
        <w:rPr>
          <w:rStyle w:val="FootnoteAnchor"/>
          <w:rtl w:val="true"/>
        </w:rPr>
        <w:footnoteReference w:id="59"/>
      </w:r>
      <w:r>
        <w:rPr>
          <w:rFonts w:ascii="IRNazanin" w:hAnsi="IRNazanin" w:eastAsia="IRNazanin"/>
          <w:color w:val="111111"/>
          <w:sz w:val="28"/>
          <w:sz w:val="28"/>
          <w:szCs w:val="28"/>
          <w:rtl w:val="true"/>
          <w:lang w:bidi="fa-IR"/>
        </w:rPr>
        <w:t>علیها</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اعتبار الرجحان فی النذر فی ظرف الفعل وعدم المرجوحیة فی الحلف کذلک لا یبقی أثر لنذرها وحلفها فی الفرعین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به</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الزوج حین النذر والمتحقّق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منافیاً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المنافاة لا یجب العمل بالحلف، وأمّا فی النذر فمحلّ تأمّل، وإن کان الوجوب لا یخلو من وجهٍ فی غیر مثال الصوم، وأمّا فیه فمحلّ إشکال وتردّد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العمل بالحِلف والنَذر فی الفرض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للاستمتاع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له حلّ نذرها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الوجوب حینئذٍ، إلاّ مع إذن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إشکال، بل منع، وکذا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فی غایة الإشکال،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ولیس للزوج منعها من ذلک الفعل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کالحجّ ونحوه، بل وکذا لو نذرت أ نّها</w:t>
      </w:r>
    </w:p>
    <w:p>
      <w:pPr>
        <w:pStyle w:val="BookText"/>
        <w:rPr/>
      </w:pPr>
      <w:r>
        <w:rPr>
          <w:rFonts w:ascii="Amiri" w:hAnsi="Amiri" w:eastAsia="Amiri" w:cs="Amiri"/>
          <w:color w:val="111111"/>
          <w:sz w:val="28"/>
          <w:sz w:val="28"/>
          <w:szCs w:val="28"/>
          <w:rtl w:val="true"/>
          <w:lang w:bidi="ar-SA"/>
        </w:rPr>
        <w:t>لو تزوّجت بزیدٍ</w:t>
      </w:r>
      <w:r>
        <w:rPr>
          <w:rStyle w:val="FootnoteAnchor"/>
          <w:rtl w:val="true"/>
        </w:rPr>
        <w:footnoteReference w:id="62"/>
      </w:r>
      <w:r>
        <w:rPr>
          <w:rFonts w:ascii="Amiri" w:hAnsi="Amiri" w:eastAsia="Amiri" w:cs="Amiri"/>
          <w:color w:val="111111"/>
          <w:sz w:val="28"/>
          <w:sz w:val="28"/>
          <w:szCs w:val="28"/>
          <w:rtl w:val="true"/>
          <w:lang w:bidi="ar-SA"/>
        </w:rPr>
        <w:t>مثلاً صامت کلّ خمیس، وکان المفروض أنّ زیداً أیضاً حلف أن یواقعها کلّ خمیسٍ إذا تزوّجها، فإنّ حلفها</w:t>
      </w:r>
      <w:r>
        <w:rPr>
          <w:rStyle w:val="FootnoteAnchor"/>
          <w:rtl w:val="true"/>
        </w:rPr>
        <w:footnoteReference w:id="63"/>
      </w:r>
      <w:r>
        <w:rPr>
          <w:rFonts w:ascii="IRNazanin" w:hAnsi="IRNazanin" w:eastAsia="IRNazanin"/>
          <w:color w:val="111111"/>
          <w:sz w:val="28"/>
          <w:sz w:val="28"/>
          <w:szCs w:val="28"/>
          <w:rtl w:val="true"/>
          <w:lang w:bidi="fa-IR"/>
        </w:rPr>
        <w:t>أو نذرها</w:t>
      </w:r>
      <w:r>
        <w:rPr>
          <w:rStyle w:val="FootnoteAnchor"/>
          <w:rtl w:val="true"/>
        </w:rPr>
        <w:footnoteReference w:id="64"/>
      </w:r>
      <w:r>
        <w:rPr>
          <w:rFonts w:ascii="Amiri" w:hAnsi="Amiri" w:eastAsia="Amiri" w:cs="Amiri"/>
          <w:color w:val="111111"/>
          <w:sz w:val="28"/>
          <w:sz w:val="28"/>
          <w:szCs w:val="28"/>
          <w:rtl w:val="true"/>
          <w:lang w:bidi="ar-SA"/>
        </w:rPr>
        <w:t>مقدَّم</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انعقاد حلفها ولا نذرها مع منع الزوج عن صومها، وإن لم یکن حلف علی مواقعتها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حلفه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انعقاد حلفهما أو نذرهما وعدم تمانعهما، وعلی فرض التنافی فالمتقدّم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وذلک لأنّها حینما نذرت صوم کلّ یوم خمیس مثلاً لم یکن نذرها مورداً لسلطنة الزوج؛ لکونها خلیة حینذاک، فلم یکن مانع عن شمول دلیل وجوب الوفاء بالنسبة إلیها، ولمّا تزوّجت کان وجوب التمکین علیها مقیّداً بعدم مانع کحیض أو وجوب حجّ أو وجوب صلاة علیها؛ لأنّ حقّ اللّه مقدّم، ومن المعلوم أنّ وجوب التمکین والحال هذه لا یمکن أن یزاحم وجوب الصوم؛ لأ نّه مقیّد بعدم المانع،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حال الإتیان به مرجوح،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الرجحان المعتبر فی متعلّق النذر حاصل ولا یزول إلاّ بطروء مانع قاهر علی رجحانه المفروض، عدمه، وإرادة تحقّقه بمرجوحیّة الصوم 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لحلف الزوجة تقدّم أو تأخّر فیما یزاحم حقّ الزوج، کما هو المفروض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متأخّراً</w:t>
      </w:r>
      <w:r>
        <w:rPr>
          <w:rStyle w:val="FootnoteAnchor"/>
          <w:rtl w:val="true"/>
        </w:rPr>
        <w:footnoteReference w:id="66"/>
      </w:r>
      <w:r>
        <w:rPr>
          <w:rFonts w:ascii="IRNazanin" w:hAnsi="IRNazanin" w:eastAsia="IRNazanin"/>
          <w:color w:val="111111"/>
          <w:sz w:val="28"/>
          <w:sz w:val="28"/>
          <w:szCs w:val="28"/>
          <w:rtl w:val="true"/>
          <w:lang w:bidi="fa-IR"/>
        </w:rPr>
        <w:t>فی الإیقاع؛ لأنّ حلفه لا یوءثّر</w:t>
      </w:r>
      <w:r>
        <w:rPr>
          <w:rStyle w:val="FootnoteAnchor"/>
          <w:rtl w:val="true"/>
        </w:rPr>
        <w:footnoteReference w:id="67"/>
      </w:r>
      <w:r>
        <w:rPr>
          <w:rFonts w:ascii="IRNazanin" w:hAnsi="IRNazanin" w:eastAsia="IRNazanin"/>
          <w:color w:val="111111"/>
          <w:sz w:val="28"/>
          <w:sz w:val="28"/>
          <w:szCs w:val="28"/>
          <w:rtl w:val="true"/>
          <w:lang w:bidi="fa-IR"/>
        </w:rPr>
        <w:t>شیئاً فی تکلیفها</w:t>
      </w:r>
      <w:r>
        <w:rPr>
          <w:rStyle w:val="FootnoteAnchor"/>
          <w:rtl w:val="true"/>
        </w:rPr>
        <w:footnoteReference w:id="68"/>
      </w:r>
      <w:r>
        <w:rPr>
          <w:rFonts w:ascii="IRNazanin" w:hAnsi="IRNazanin" w:eastAsia="IRNazanin"/>
          <w:color w:val="111111"/>
          <w:sz w:val="28"/>
          <w:sz w:val="28"/>
          <w:szCs w:val="28"/>
          <w:rtl w:val="true"/>
          <w:lang w:bidi="fa-IR"/>
        </w:rPr>
        <w:t xml:space="preserve">، </w:t>
      </w:r>
      <w:bookmarkStart w:id="32" w:name="pg13284_130465"/>
    </w:p>
    <w:p>
      <w:pPr>
        <w:pStyle w:val="BookText"/>
        <w:rPr/>
      </w:pPr>
      <w:bookmarkEnd w:id="32"/>
      <w:r>
        <w:rPr>
          <w:rFonts w:ascii="IRNazanin" w:hAnsi="IRNazanin" w:eastAsia="IRNazanin"/>
          <w:color w:val="111111"/>
          <w:sz w:val="28"/>
          <w:sz w:val="28"/>
          <w:szCs w:val="28"/>
          <w:rtl w:val="true"/>
          <w:lang w:bidi="fa-IR"/>
        </w:rPr>
        <w:t>بخلاف</w:t>
      </w:r>
      <w:r>
        <w:rPr>
          <w:rStyle w:val="FootnoteAnchor"/>
          <w:rtl w:val="true"/>
        </w:rPr>
        <w:footnoteReference w:id="69"/>
      </w:r>
      <w:r>
        <w:rPr>
          <w:rFonts w:ascii="IRNazanin" w:hAnsi="IRNazanin" w:eastAsia="IRNazanin"/>
          <w:color w:val="111111"/>
          <w:sz w:val="28"/>
          <w:sz w:val="28"/>
          <w:szCs w:val="28"/>
          <w:rtl w:val="true"/>
          <w:lang w:bidi="fa-IR"/>
        </w:rPr>
        <w:t>نذرها</w:t>
      </w:r>
      <w:r>
        <w:rPr>
          <w:rStyle w:val="FootnoteAnchor"/>
          <w:rtl w:val="true"/>
        </w:rPr>
        <w:footnoteReference w:id="70"/>
      </w:r>
      <w:r>
        <w:rPr>
          <w:rFonts w:ascii="IRNazanin" w:hAnsi="IRNazanin" w:eastAsia="IRNazanin"/>
          <w:color w:val="111111"/>
          <w:sz w:val="28"/>
          <w:sz w:val="28"/>
          <w:szCs w:val="28"/>
          <w:rtl w:val="true"/>
          <w:lang w:bidi="fa-IR"/>
        </w:rPr>
        <w:t>فإنّه یوجب الصوم علیها؛ لأ نّه متعلّق بعمل نفسها، فوجوبه علیها یمنع من العمل بحلف الرجل</w:t>
      </w:r>
      <w:r>
        <w:rPr>
          <w:rFonts w:eastAsia="IRNazanin" w:cs="IRNazanin"/>
          <w:color w:val="111111"/>
          <w:sz w:val="28"/>
          <w:szCs w:val="28"/>
          <w:rtl w:val="true"/>
          <w:lang w:bidi="fa-IR"/>
        </w:rPr>
        <w:t>.</w:t>
      </w:r>
    </w:p>
    <w:p>
      <w:pPr>
        <w:pStyle w:val="Heading4"/>
        <w:numPr>
          <w:ilvl w:val="3"/>
          <w:numId w:val="1"/>
        </w:numPr>
        <w:rPr/>
      </w:pPr>
      <w:bookmarkStart w:id="33" w:name="__RefHeading___Toc2055525_2322387425"/>
      <w:bookmarkStart w:id="34" w:name="_Toc12"/>
      <w:bookmarkEnd w:id="33"/>
      <w:r>
        <w:rPr>
          <w:rtl w:val="true"/>
        </w:rPr>
        <w:t>نذر الحجّ من مکانٍ معیّن والخلف فیه</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من مکانٍ معیّنٍ</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النذر ینعقد وإن لم یکن فی خصوصیّة المکان رجحان، إلاّ أنّ الحصّة المنذورة هی الحجّ منه، والمفروض عدم الإتیان به، فعلیه الإتیان به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کبلده أو بلدٍ آخر معیّنٍ ـ فحجّ من غیر ذلک المکان لم تبرأ ذمّته، ووجب علیه 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نعم، لو عیّنه فی سنةٍ فحجّ فی تلک السنة من غیر ذلک المکان وجب علیه الکفّارة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لعدم إمکان التدارک</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أن یحجّ من غیر تقییدٍ بمکانٍ ثمّ نذر نذراً آخر</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رجحان الخصوصیّة المنذورة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رجحان متعلّقه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فیه جهة راجحة موجبة لصحّة تعلّق النذر به، وکذا ما یلیه، وهذا هو مراد المصنّف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ذلک الحجّ من مکان کذا وخالف فحجّ من غیر ذلک المکان بَرِئَ من النذر الأوّل، ووجب علیه الکفّارة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لخلف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رجحان ما نذره من الخصوصیّة، وکذا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رجحان الخصوصیّة المنذورة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الحجّ من ذلک المکان له رجحان، وإلاّ ففی صحّة نذر الثانی إشکال،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 نّه لو نذر أن یحجّ حجّة الإسلام من بلد کذا</w:t>
      </w:r>
      <w:bookmarkStart w:id="35" w:name="pg13284_130467"/>
    </w:p>
    <w:p>
      <w:pPr>
        <w:pStyle w:val="BookText"/>
        <w:rPr/>
      </w:pPr>
      <w:bookmarkEnd w:id="35"/>
      <w:r>
        <w:rPr>
          <w:rFonts w:ascii="IRNazanin" w:hAnsi="IRNazanin" w:eastAsia="IRNazanin"/>
          <w:color w:val="111111"/>
          <w:sz w:val="28"/>
          <w:sz w:val="28"/>
          <w:szCs w:val="28"/>
          <w:rtl w:val="true"/>
          <w:lang w:bidi="fa-IR"/>
        </w:rPr>
        <w:t>فخالف</w:t>
      </w:r>
      <w:r>
        <w:rPr>
          <w:rStyle w:val="FootnoteAnchor"/>
          <w:rtl w:val="true"/>
        </w:rPr>
        <w:footnoteReference w:id="74"/>
      </w:r>
      <w:r>
        <w:rPr>
          <w:rFonts w:ascii="IRNazanin" w:hAnsi="IRNazanin" w:eastAsia="IRNazanin"/>
          <w:color w:val="111111"/>
          <w:sz w:val="28"/>
          <w:sz w:val="28"/>
          <w:szCs w:val="28"/>
          <w:rtl w:val="true"/>
          <w:lang w:bidi="fa-IR"/>
        </w:rPr>
        <w:t>فإنّه یجزیه عن حجّة الإسلام، ووجب علیه الکفّارة لخلف النذر</w:t>
      </w:r>
      <w:r>
        <w:rPr>
          <w:rFonts w:eastAsia="IRNazanin" w:cs="IRNazanin"/>
          <w:color w:val="111111"/>
          <w:sz w:val="28"/>
          <w:szCs w:val="28"/>
          <w:rtl w:val="true"/>
          <w:lang w:bidi="fa-IR"/>
        </w:rPr>
        <w:t>.</w:t>
      </w:r>
    </w:p>
    <w:p>
      <w:pPr>
        <w:pStyle w:val="Heading4"/>
        <w:numPr>
          <w:ilvl w:val="3"/>
          <w:numId w:val="1"/>
        </w:numPr>
        <w:rPr/>
      </w:pPr>
      <w:bookmarkStart w:id="36" w:name="__RefHeading___Toc2055527_2322387425"/>
      <w:bookmarkStart w:id="37" w:name="_Toc13"/>
      <w:bookmarkEnd w:id="36"/>
      <w:r>
        <w:rPr>
          <w:rtl w:val="true"/>
        </w:rPr>
        <w:t>تأخیر الحجّ المنذور</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ولم یقیّده بزمان فالظاهر جواز التأخیر</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جواز التأخیر ما لم یکن مطمئنّاً بالوفاء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ظنّ الموت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الفوت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یجب علیه المبادرة إلاّ إذا کان هناک انصراف، فلو مات قبل الإتیان به فی صورة جواز التأخیر لا یکون عاصیاً، والقول بعصیانه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تمکّنه فی بعض تلک الأزمنة وإن جاز التأخیر 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الحجّ الّذی وقته أیّام معدودة فی طول السنة لا یجوّز العقل التأخیر من سنَةٍ إلی سنَةٍ، ولا تأتی أصالة الظنّ، کما هو وجه فوریّة حجّة الإسلام علی وجه، بل علی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جواز التأخیر، ولعصیانه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هو تحقّق التهاون والتساهل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وإذا قیّده بسنَةٍ معیّنةٍ لم یَجُزِ التأخیر مع فرض تمکّنه فی تلک السنة،</w:t>
      </w:r>
      <w:bookmarkStart w:id="38" w:name="pg13284_130468"/>
    </w:p>
    <w:p>
      <w:pPr>
        <w:pStyle w:val="BookText"/>
        <w:rPr/>
      </w:pPr>
      <w:bookmarkEnd w:id="38"/>
      <w:r>
        <w:rPr>
          <w:rFonts w:ascii="IRNazanin" w:hAnsi="IRNazanin" w:eastAsia="IRNazanin"/>
          <w:color w:val="111111"/>
          <w:sz w:val="28"/>
          <w:sz w:val="28"/>
          <w:szCs w:val="28"/>
          <w:rtl w:val="true"/>
          <w:lang w:bidi="fa-IR"/>
        </w:rPr>
        <w:t>فلو أخّر عصی،</w:t>
      </w:r>
    </w:p>
    <w:p>
      <w:pPr>
        <w:pStyle w:val="Heading4"/>
        <w:numPr>
          <w:ilvl w:val="3"/>
          <w:numId w:val="1"/>
        </w:numPr>
        <w:rPr/>
      </w:pPr>
      <w:bookmarkStart w:id="39" w:name="__RefHeading___Toc2055529_2322387425"/>
      <w:bookmarkStart w:id="40" w:name="_Toc14"/>
      <w:bookmarkEnd w:id="39"/>
      <w:r>
        <w:rPr>
          <w:rtl w:val="true"/>
        </w:rPr>
        <w:t>أحکام قضاء ما فوّت من الحجّ المنذور</w:t>
      </w:r>
      <w:bookmarkEnd w:id="40"/>
    </w:p>
    <w:p>
      <w:pPr>
        <w:pStyle w:val="BookText"/>
        <w:rPr/>
      </w:pPr>
      <w:r>
        <w:rPr>
          <w:rFonts w:ascii="IRNazanin" w:hAnsi="IRNazanin" w:eastAsia="IRNazanin"/>
          <w:color w:val="111111"/>
          <w:sz w:val="28"/>
          <w:sz w:val="28"/>
          <w:szCs w:val="28"/>
          <w:rtl w:val="true"/>
          <w:lang w:bidi="fa-IR"/>
        </w:rPr>
        <w:t>وعلیه القضاء</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القضاء علیه وعلی الوارث أو الوصیّ بعد موته تأمّل،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تسالَمَت علیه کلمة الأصحاب، ولکن لم نظفر له علی دلیل، ولا یقاس علی الصوم، فخروج مثل هذا الحجّ عن الترکة فی کمال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والکفّارة، وإذا مات وجب قضاوءه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صورة الإطلاق إذا مات بعد تمکّنه منه قبل إتیانه وجب القضاء عنه، والقول بعدم وجوبه بدعوی أنّ القضاء بفرض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یُطلق عنوان القضاء بالمعنی المصطلح علی الواجب الموسَّع مادام المکلّف حیّاً، وأمّا خروجه عن أصل الترکة فلأ نّه دَین حالّ فی الترکة، لا لأ نّه واجب خرج وقته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الأقوی لولا الإجماع علی وجوب القضاء، والظاهر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ضعیف؛ لِما</w:t>
      </w:r>
    </w:p>
    <w:p>
      <w:pPr>
        <w:pStyle w:val="BookText"/>
        <w:rPr/>
      </w:pP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الواجب القضاء من أصل الترکة، أو من الثلث؟ قولان</w:t>
      </w:r>
      <w:r>
        <w:rPr>
          <w:rStyle w:val="FootnoteAnchor"/>
          <w:rtl w:val="true"/>
        </w:rPr>
        <w:footnoteReference w:id="77"/>
      </w:r>
      <w:r>
        <w:rPr>
          <w:rFonts w:ascii="IRNazanin" w:hAnsi="IRNazanin" w:eastAsia="IRNazanin"/>
          <w:color w:val="111111"/>
          <w:sz w:val="28"/>
          <w:sz w:val="28"/>
          <w:szCs w:val="28"/>
          <w:rtl w:val="true"/>
          <w:lang w:bidi="fa-IR"/>
        </w:rPr>
        <w:t>، فذهب جماعة إلی القول بأ نّه من الأصل</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الحجّ واجب مالیّ، وإجماعهم قائم علی أنّ الواجبات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المالیّة تخرج من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وربّما یورد علیه بمنع کونه واجباً مالیّاً، وإنّما هو أفعال مخصوصة بدنیّة وإن کان قد یحتاج إلی بذل</w:t>
      </w:r>
    </w:p>
    <w:p>
      <w:pPr>
        <w:pStyle w:val="BookText"/>
        <w:rPr/>
      </w:pPr>
      <w:r>
        <w:rPr>
          <w:rFonts w:ascii="IRNazanin" w:hAnsi="IRNazanin" w:eastAsia="IRNazanin"/>
          <w:color w:val="111111"/>
          <w:sz w:val="28"/>
          <w:sz w:val="28"/>
          <w:szCs w:val="28"/>
          <w:rtl w:val="true"/>
          <w:lang w:bidi="fa-IR"/>
        </w:rPr>
        <w:t>المال فی مقدّماته، کما أنّ الصلاة أیضاً قد تحتاج إلی بذل المال فی تحصیل الماء والساتر والمکان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 فی الغالب محتاج</w:t>
      </w:r>
      <w:r>
        <w:rPr>
          <w:rStyle w:val="FootnoteAnchor"/>
          <w:rtl w:val="true"/>
        </w:rPr>
        <w:footnoteReference w:id="79"/>
      </w:r>
      <w:r>
        <w:rPr>
          <w:rFonts w:ascii="IRNazanin" w:hAnsi="IRNazanin" w:eastAsia="IRNazanin"/>
          <w:color w:val="111111"/>
          <w:sz w:val="28"/>
          <w:sz w:val="28"/>
          <w:szCs w:val="28"/>
          <w:rtl w:val="true"/>
          <w:lang w:bidi="fa-IR"/>
        </w:rPr>
        <w:t>إلی بذل المال</w:t>
      </w:r>
      <w:r>
        <w:rPr>
          <w:rStyle w:val="FootnoteAnchor"/>
          <w:rtl w:val="true"/>
        </w:rPr>
        <w:footnoteReference w:id="80"/>
      </w:r>
      <w:r>
        <w:rPr>
          <w:rFonts w:ascii="IRNazanin" w:hAnsi="IRNazanin" w:eastAsia="IRNazanin"/>
          <w:color w:val="111111"/>
          <w:sz w:val="28"/>
          <w:sz w:val="28"/>
          <w:szCs w:val="28"/>
          <w:rtl w:val="true"/>
          <w:lang w:bidi="fa-IR"/>
        </w:rPr>
        <w:t>، بخلاف الصلاة وسائر العبادات البدنیّة، فإن کان هناک إجماع أو غیره علی أنّ الواجبات المالیّة تخرج من الأصل یشمل الحجّ</w:t>
      </w:r>
      <w:r>
        <w:rPr>
          <w:rStyle w:val="FootnoteAnchor"/>
          <w:rtl w:val="true"/>
        </w:rPr>
        <w:footnoteReference w:id="81"/>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17/341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المناط فی الخروج من الأصل کون الواجب دَیناً، والحجّ کذلک</w:t>
      </w:r>
      <w:r>
        <w:rPr>
          <w:rStyle w:val="FootnoteAnchor"/>
          <w:rtl w:val="true"/>
        </w:rPr>
        <w:footnoteReference w:id="82"/>
      </w:r>
      <w:r>
        <w:rPr>
          <w:rFonts w:ascii="IRNazanin" w:hAnsi="IRNazanin" w:eastAsia="IRNazanin"/>
          <w:color w:val="111111"/>
          <w:sz w:val="28"/>
          <w:sz w:val="28"/>
          <w:szCs w:val="28"/>
          <w:rtl w:val="true"/>
          <w:lang w:bidi="fa-IR"/>
        </w:rPr>
        <w:t xml:space="preserve">، فلیس تکلیفاً </w:t>
      </w:r>
    </w:p>
    <w:p>
      <w:pPr>
        <w:pStyle w:val="BookText"/>
        <w:rPr/>
      </w:pPr>
      <w:r>
        <w:rPr>
          <w:rFonts w:ascii="Amiri" w:hAnsi="Amiri" w:eastAsia="Amiri" w:cs="Amiri"/>
          <w:color w:val="111111"/>
          <w:sz w:val="28"/>
          <w:sz w:val="28"/>
          <w:szCs w:val="28"/>
          <w:rtl w:val="true"/>
          <w:lang w:bidi="ar-SA"/>
        </w:rPr>
        <w:t>صِرفاً</w:t>
      </w:r>
      <w:r>
        <w:rPr>
          <w:rStyle w:val="FootnoteAnchor"/>
          <w:rtl w:val="true"/>
        </w:rPr>
        <w:footnoteReference w:id="83"/>
      </w:r>
      <w:r>
        <w:rPr>
          <w:rFonts w:ascii="IRNazanin" w:hAnsi="IRNazanin" w:eastAsia="IRNazanin"/>
          <w:color w:val="111111"/>
          <w:sz w:val="28"/>
          <w:sz w:val="28"/>
          <w:szCs w:val="28"/>
          <w:rtl w:val="true"/>
          <w:lang w:bidi="fa-IR"/>
        </w:rPr>
        <w:t>، کما فی الصلاة والصوم، بل للأمر به جهة وضعیّة</w:t>
      </w:r>
      <w:r>
        <w:rPr>
          <w:rStyle w:val="FootnoteAnchor"/>
          <w:rtl w:val="true"/>
        </w:rPr>
        <w:footnoteReference w:id="84"/>
      </w:r>
      <w:r>
        <w:rPr>
          <w:rFonts w:ascii="IRNazanin" w:hAnsi="IRNazanin" w:eastAsia="IRNazanin"/>
          <w:color w:val="111111"/>
          <w:sz w:val="28"/>
          <w:sz w:val="28"/>
          <w:szCs w:val="28"/>
          <w:rtl w:val="true"/>
          <w:lang w:bidi="fa-IR"/>
        </w:rPr>
        <w:t>، فوجوبه علی نحو الدَینیّة بخلاف سائر العبادات البَدَنیّة؛ فلذا یخرج من الأصل، کما یشیر إلیه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الناطقة بأ نّه دَین أو بمنزلة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التحقیق غیر وجیه، نعم، فی خصوص الحجّ والنذر یمکن استفادة الدَینیّة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قول الناذر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وإطلاق الدَین علیالحجّ بهذا الاعتبار ظاهراً لا باعتبار مجرّد التکلیف، فالأقوی عدم خروج الواجبات الغیر مالیّة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التحقیق خلافه، وأنّ صرف الوجوب لیس بمستلزم؛ لکون الواجب دَیناً للباری سبحانه علی عبده، والواجب اللازم خروجه من الأصل هو الدَین المتأصّل المستلزم للتکلیف، لا المنْتَزَع منه، وفیما نحن فیه لا غَروَ فی استفادة التأصّل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لمکان اللام، کما استُفید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 للّه‌ِِ خُمُسَهُ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وکما یُستفاد من قول الناذر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أنّ</w:t>
      </w:r>
      <w:r>
        <w:rPr>
          <w:rStyle w:val="FootnoteAnchor"/>
          <w:rtl w:val="true"/>
        </w:rPr>
        <w:footnoteReference w:id="86"/>
      </w:r>
      <w:r>
        <w:rPr>
          <w:rFonts w:ascii="IRNazanin" w:hAnsi="IRNazanin" w:eastAsia="IRNazanin"/>
          <w:color w:val="111111"/>
          <w:sz w:val="28"/>
          <w:sz w:val="28"/>
          <w:szCs w:val="28"/>
          <w:rtl w:val="true"/>
          <w:lang w:bidi="fa-IR"/>
        </w:rPr>
        <w:t>جمیع الواجبات</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فیها، حیث کان تشریعها بعنوان التکلیف کالصلاة والصوم، والتعبیر باشتغال الذمّة مسامحة، وفی الحقیقة لا یکون إلاّ بمعنی وجوب الإطاعة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المتبادر من الدَین الّذی یجب إخراجه من الأصل هو المال الّذی تشتغل به الذمّة للغیر اشتغالاً وضعیّاً، والعبادات البدنیّة لیست مالاً، ولم تکن الذمّة مشغولة بها اشتغالاً وضعیّاً إلاّ إذا اشتغلت ذمّة الغیر بها باستئجارٍ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الإلهیّة</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التعمیم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یبعد أن یکون المُخرِج للواجبات البدَنیّة أیضاً أصل الترکة، بل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دُیون للّه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سواء کانت مالاً أم عملاً مالیّاً أم عملاً غیر 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فالصلاة والصوم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دیون 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ولهما جهة وضع، فذمّة</w:t>
      </w:r>
    </w:p>
    <w:p>
      <w:pPr>
        <w:pStyle w:val="BookText"/>
        <w:rPr/>
      </w:pPr>
      <w:r>
        <w:rPr>
          <w:rFonts w:ascii="IRNazanin" w:hAnsi="IRNazanin" w:eastAsia="IRNazanin"/>
          <w:color w:val="111111"/>
          <w:sz w:val="28"/>
          <w:sz w:val="28"/>
          <w:szCs w:val="28"/>
          <w:rtl w:val="true"/>
          <w:lang w:bidi="fa-IR"/>
        </w:rPr>
        <w:t>المکلّف مشغولة بهما؛ ولذا یجب قضاوءهما</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من جهة الوضع نفس اشتغال الذمّة بالتکلیف، وکفایة ذلک فی إطلاق الدَین علی التکالیف الشرعیّة فمن المعلوم أ نّه لا یستلزم القضاء فی الموقّتات، بل یحتاج القضاء إلی إطلاق الدلیل الأوّلی، أو ورود دلیل ثانوی کاشف عن ذلک، أو الجعل بسببیّة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استلزام التکلیف لحکم وضعیّ تعبّدیّ أوسع من التکلیف بحیث لو کان التکلیف موقّتاً کان الوضع مطلقاً فهو ممّا لم یدلّ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انتزاع العقل من التکلیف الشرعیّ العهدة أو شیئاً آخر یعبّر عنه بجهة الوضع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الانتزاعی فی السَعَةِ والضِیق تابع للمنتزع منه، وکیف یُعقَل انهدام السقف مع بقاء عنوان الفَوقیّة؟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فالأجود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تعلّق الوجوب بالذمّة مصحّح لإطلاق عنوان الدَین علیما فیها، وأمّا القضاء فهو فرع إطلاق الدلیل، کما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القاضی یُفرِغ 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 أو ذمّة المیّت، ولیس القضاء من باب التوبة أو من باب الکفّارة، بل هو إتیانٌ لِما کانت الذمّة مشغولة به، ولا فرق بین کون الاشتغال بالمال أو بالعمل، بل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اُعطِیَ زیداً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دَین إلهیّ، لا</w:t>
      </w:r>
    </w:p>
    <w:p>
      <w:pPr>
        <w:pStyle w:val="BookText"/>
        <w:rPr/>
      </w:pPr>
      <w:r>
        <w:rPr>
          <w:rFonts w:ascii="Amiri" w:hAnsi="Amiri" w:eastAsia="Amiri" w:cs="Amiri"/>
          <w:color w:val="111111"/>
          <w:sz w:val="28"/>
          <w:sz w:val="28"/>
          <w:szCs w:val="28"/>
          <w:rtl w:val="true"/>
          <w:lang w:bidi="ar-SA"/>
        </w:rPr>
        <w:t>خُلُقیّ</w:t>
      </w:r>
      <w:r>
        <w:rPr>
          <w:rStyle w:val="FootnoteAnchor"/>
          <w:rtl w:val="true"/>
        </w:rPr>
        <w:footnoteReference w:id="90"/>
      </w:r>
      <w:r>
        <w:rPr>
          <w:rFonts w:ascii="Amiri" w:hAnsi="Amiri" w:eastAsia="Amiri" w:cs="Amiri"/>
          <w:color w:val="111111"/>
          <w:sz w:val="28"/>
          <w:sz w:val="28"/>
          <w:szCs w:val="28"/>
          <w:rtl w:val="true"/>
          <w:lang w:bidi="ar-SA"/>
        </w:rPr>
        <w:t>، فلا یکون الناذر مَدیوناً لزید، بل هو مَدیون للّه بدفع الدرهم لزید، ولا فرق بینه وبین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أحِجَّ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اُصلِّیَ رَکعَتین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فالکلّ دَین اللّه، ودَین اللّه أحقّ أن یُقضی، کما فی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الخلاف للطوسی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صحیح البخاری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Style w:val="FootnoteAnchor"/>
          <w:rtl w:val="true"/>
        </w:rPr>
        <w:footnoteReference w:id="91"/>
      </w:r>
      <w:r>
        <w:rPr>
          <w:rFonts w:ascii="IRNazanin" w:hAnsi="IRNazanin" w:eastAsia="IRNazanin"/>
          <w:color w:val="111111"/>
          <w:sz w:val="28"/>
          <w:sz w:val="28"/>
          <w:szCs w:val="28"/>
          <w:rtl w:val="true"/>
          <w:lang w:bidi="fa-IR"/>
        </w:rPr>
        <w:t>، ولازم هذا کون الجمیع من الأصل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الوجوب علی وجهٍ لا یقبل بقاء شغل الذمّة به بعد فوته لا یجب قضاوءه، لا بالنسبة إلی نفس مَن وجب علیه، ولا بعد موته، سواء کان مالاً أم عملاً، مثل وجوب إعطاء الطعام لمن یموت من الجوع عامَ المجاعة، فإنّه لو لم یُعطِهِ حتّی مات لا یجب علیه ولا علی وارثه القضاء؛ لأنّ الواجب إنّما هو حفظ النفس المحترمة، وهذا لا یقبل البقاء بعد فوته، وکما فی نفقة الأرحام</w:t>
      </w:r>
      <w:r>
        <w:rPr>
          <w:rStyle w:val="FootnoteAnchor"/>
          <w:rtl w:val="true"/>
        </w:rPr>
        <w:footnoteReference w:id="93"/>
      </w:r>
      <w:r>
        <w:rPr>
          <w:rFonts w:ascii="IRNazanin" w:hAnsi="IRNazanin" w:eastAsia="IRNazanin"/>
          <w:color w:val="111111"/>
          <w:sz w:val="28"/>
          <w:sz w:val="28"/>
          <w:szCs w:val="28"/>
          <w:rtl w:val="true"/>
          <w:lang w:bidi="fa-IR"/>
        </w:rPr>
        <w:t>، فإنّه لو ترک الإنفاق علیهم مع تمکّنه لا یصیر دَیناً علیه</w:t>
      </w:r>
      <w:r>
        <w:rPr>
          <w:rStyle w:val="FootnoteAnchor"/>
          <w:rtl w:val="true"/>
        </w:rPr>
        <w:footnoteReference w:id="94"/>
      </w:r>
      <w:r>
        <w:rPr>
          <w:rFonts w:ascii="Amiri" w:hAnsi="Amiri" w:eastAsia="Amiri" w:cs="Amiri"/>
          <w:color w:val="111111"/>
          <w:sz w:val="28"/>
          <w:sz w:val="28"/>
          <w:szCs w:val="28"/>
          <w:rtl w:val="true"/>
          <w:lang w:bidi="ar-SA"/>
        </w:rPr>
        <w:t>لأنّ الواجب سَدّ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والفقر والنَقص والثَلمة بموت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فات لا یُتدارَک، فتحصّل أنّ مقتضی القاعدة فی </w:t>
      </w:r>
    </w:p>
    <w:p>
      <w:pPr>
        <w:pStyle w:val="BookText"/>
        <w:rPr/>
      </w:pPr>
      <w:r>
        <w:rPr>
          <w:rFonts w:ascii="IRNazanin" w:hAnsi="IRNazanin" w:eastAsia="IRNazanin"/>
          <w:color w:val="111111"/>
          <w:sz w:val="28"/>
          <w:sz w:val="28"/>
          <w:szCs w:val="28"/>
          <w:rtl w:val="true"/>
          <w:lang w:bidi="fa-IR"/>
        </w:rPr>
        <w:t>الحجّ النذریّ إذا تمکّنه وترک حتّی مات وجوب قضائه من الأصل؛ لأ نّه</w:t>
      </w:r>
      <w:r>
        <w:rPr>
          <w:rStyle w:val="FootnoteAnchor"/>
          <w:rtl w:val="true"/>
        </w:rPr>
        <w:footnoteReference w:id="95"/>
      </w:r>
      <w:r>
        <w:rPr>
          <w:rFonts w:ascii="Amiri" w:hAnsi="Amiri" w:eastAsia="Amiri" w:cs="Amiri"/>
          <w:color w:val="111111"/>
          <w:sz w:val="28"/>
          <w:sz w:val="28"/>
          <w:szCs w:val="28"/>
          <w:rtl w:val="true"/>
          <w:lang w:bidi="ar-SA"/>
        </w:rPr>
        <w:t>دَین إلهیّ</w:t>
      </w:r>
      <w:r>
        <w:rPr>
          <w:rStyle w:val="FootnoteAnchor"/>
          <w:rtl w:val="true"/>
        </w:rPr>
        <w:footnoteReference w:id="96"/>
      </w:r>
      <w:r>
        <w:rPr>
          <w:rFonts w:ascii="IRNazanin" w:hAnsi="IRNazanin" w:eastAsia="IRNazanin"/>
          <w:color w:val="111111"/>
          <w:sz w:val="28"/>
          <w:sz w:val="28"/>
          <w:szCs w:val="28"/>
          <w:rtl w:val="true"/>
          <w:lang w:bidi="fa-IR"/>
        </w:rPr>
        <w:t>، إلاّ أن یقال بانصراف الدَین عن مثل هذه الواجبات، وهو محلّ منع، بل دَین اللّه أحقّ أن یُقضی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الجماعة القائلون بوجوب قضائه من الثلث فاستدلّوا بصحیحة ضریس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الدالّتین علی أنّ مَن نذر الإحجاج ومات قبله یُخرج من ثلثه، وإذا کان نذر الإحجاج کذلک مع کونه مالیّاً قطعاً</w:t>
      </w:r>
      <w:r>
        <w:rPr>
          <w:rStyle w:val="FootnoteAnchor"/>
          <w:rtl w:val="true"/>
        </w:rPr>
        <w:footnoteReference w:id="97"/>
      </w:r>
      <w:r>
        <w:rPr>
          <w:rFonts w:ascii="IRNazanin" w:hAnsi="IRNazanin" w:eastAsia="IRNazanin"/>
          <w:color w:val="111111"/>
          <w:sz w:val="28"/>
          <w:sz w:val="28"/>
          <w:szCs w:val="28"/>
          <w:rtl w:val="true"/>
          <w:lang w:bidi="fa-IR"/>
        </w:rPr>
        <w:t>فنذر الحجّ بنفسه أولی بعدم الخروج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الأصحاب</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ما لا یخفی؛ فإنّ الجماعة المذکورة من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فی قبالهما روایة مسمع بن عبدالملک الّتی أفتی المشهور بصدرها، وکانت خالیة من الاضطراب فی المتن بخلافهما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دلالة صدر صحیحة مسمع المطابق للقاعدة وفتوی المشهور، وعدم إحراز العمل بذیلها لا یضرّ بحجّیّة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w:t>
      </w:r>
    </w:p>
    <w:p>
      <w:pPr>
        <w:pStyle w:val="BookText"/>
        <w:rPr/>
      </w:pPr>
      <w:r>
        <w:rPr>
          <w:rFonts w:ascii="IRNazanin" w:hAnsi="IRNazanin" w:eastAsia="IRNazanin"/>
          <w:color w:val="111111"/>
          <w:sz w:val="28"/>
          <w:sz w:val="28"/>
          <w:szCs w:val="28"/>
          <w:rtl w:val="true"/>
          <w:lang w:bidi="fa-IR"/>
        </w:rPr>
        <w:t>لم یعملوا</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کانت محلّ خلاف بین الأصحاب، فلم یثبت الإعراض؛ ولذلک عمل بهما جماعة من المتأخّرین، إلاّ أ نّهما معارضان بصحیحة مسمع بن عبدالملک، وتوهّم أنّ النسبة بینها وبینهما عموم مطلق نظراً إلی أنّ ما تَرَک قابل للتقیید بالثلث مدفوع بقوّة ظهور ما تَرَک فی مرادیّة الأصل منه، فیری العُرف إرادة جمیع ما ترک منه، وعنوان الأصل وعنوان الثلث متقابلان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أنّهما لا یشملان ما نحن فیه، وفی موردهما الأحوط العمل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موردهما، فکیف یُعمل بهما فی غیره؟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الجواب عنهما بالحمل علی صورة</w:t>
      </w:r>
      <w:r>
        <w:rPr>
          <w:rStyle w:val="FootnoteAnchor"/>
          <w:rtl w:val="true"/>
        </w:rPr>
        <w:footnoteReference w:id="100"/>
      </w:r>
      <w:r>
        <w:rPr>
          <w:rFonts w:ascii="IRNazanin" w:hAnsi="IRNazanin" w:eastAsia="IRNazanin"/>
          <w:color w:val="111111"/>
          <w:sz w:val="28"/>
          <w:sz w:val="28"/>
          <w:szCs w:val="28"/>
          <w:rtl w:val="true"/>
          <w:lang w:bidi="fa-IR"/>
        </w:rPr>
        <w:t>کون النذر فی حال المرض بناءً علی خروج المنجّزات من الثلث فلاوجه له بعد کون الأقوی خروجها من الأصل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41" w:name="pg13284_130478"/>
    </w:p>
    <w:p>
      <w:pPr>
        <w:pStyle w:val="BookText"/>
        <w:rPr/>
      </w:pPr>
      <w:bookmarkEnd w:id="41"/>
      <w:r>
        <w:rPr>
          <w:rFonts w:ascii="IRNazanin" w:hAnsi="IRNazanin" w:eastAsia="IRNazanin"/>
          <w:color w:val="111111"/>
          <w:sz w:val="28"/>
          <w:sz w:val="28"/>
          <w:szCs w:val="28"/>
          <w:rtl w:val="true"/>
          <w:lang w:bidi="fa-IR"/>
        </w:rPr>
        <w:t>وربّما یُجاب عنهما بالحمل علی صورة عدم إجراء الصیغة، أو علی صورة عدم التمکّن من الوفاء حتّی مات، وفیهما ما لا یخفی، خصوصاً الأوّل</w:t>
      </w:r>
      <w:r>
        <w:rPr>
          <w:rFonts w:eastAsia="IRNazanin" w:cs="IRNazanin"/>
          <w:color w:val="111111"/>
          <w:sz w:val="28"/>
          <w:szCs w:val="28"/>
          <w:rtl w:val="true"/>
          <w:lang w:bidi="fa-IR"/>
        </w:rPr>
        <w:t>.</w:t>
      </w:r>
    </w:p>
    <w:p>
      <w:pPr>
        <w:pStyle w:val="Heading4"/>
        <w:numPr>
          <w:ilvl w:val="3"/>
          <w:numId w:val="1"/>
        </w:numPr>
        <w:rPr/>
      </w:pPr>
      <w:bookmarkStart w:id="42" w:name="__RefHeading___Toc2055531_2322387425"/>
      <w:bookmarkStart w:id="43" w:name="_Toc15"/>
      <w:bookmarkEnd w:id="42"/>
      <w:r>
        <w:rPr>
          <w:rtl w:val="true"/>
        </w:rPr>
        <w:t>عدم التمکّن من إتیان الحجّ المنذور</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 مطلقاً أو مقیّداً بسنةٍ معیّنةٍ ولم یتمکّن من الإتیان به حتّی مات لم یجب القضاء</w:t>
      </w:r>
      <w:r>
        <w:rPr>
          <w:rStyle w:val="FootnoteAnchor"/>
          <w:rtl w:val="true"/>
        </w:rPr>
        <w:footnoteReference w:id="102"/>
      </w:r>
      <w:r>
        <w:rPr>
          <w:rFonts w:ascii="IRNazanin" w:hAnsi="IRNazanin" w:eastAsia="IRNazanin"/>
          <w:color w:val="111111"/>
          <w:sz w:val="28"/>
          <w:sz w:val="28"/>
          <w:szCs w:val="28"/>
          <w:rtl w:val="true"/>
          <w:lang w:bidi="fa-IR"/>
        </w:rPr>
        <w:t>عنه؛ لعدم وجوب الأداء</w:t>
      </w:r>
      <w:r>
        <w:rPr>
          <w:rStyle w:val="FootnoteAnchor"/>
          <w:rtl w:val="true"/>
        </w:rPr>
        <w:footnoteReference w:id="103"/>
      </w:r>
      <w:r>
        <w:rPr>
          <w:rFonts w:ascii="IRNazanin" w:hAnsi="IRNazanin" w:eastAsia="IRNazanin"/>
          <w:color w:val="111111"/>
          <w:sz w:val="28"/>
          <w:sz w:val="28"/>
          <w:szCs w:val="28"/>
          <w:rtl w:val="true"/>
          <w:lang w:bidi="fa-IR"/>
        </w:rPr>
        <w:t>علیه حتّی یجب القضاء عنه، فیکشف ذلک عن عدم انعقاد نذره</w:t>
      </w:r>
      <w:r>
        <w:rPr>
          <w:rFonts w:eastAsia="IRNazanin" w:cs="IRNazanin"/>
          <w:color w:val="111111"/>
          <w:sz w:val="28"/>
          <w:szCs w:val="28"/>
          <w:rtl w:val="true"/>
          <w:lang w:bidi="fa-IR"/>
        </w:rPr>
        <w:t>.</w:t>
      </w:r>
    </w:p>
    <w:p>
      <w:pPr>
        <w:pStyle w:val="Heading4"/>
        <w:numPr>
          <w:ilvl w:val="3"/>
          <w:numId w:val="1"/>
        </w:numPr>
        <w:rPr/>
      </w:pPr>
      <w:bookmarkStart w:id="44" w:name="__RefHeading___Toc2055533_2322387425"/>
      <w:bookmarkStart w:id="45" w:name="_Toc16"/>
      <w:bookmarkEnd w:id="44"/>
      <w:r>
        <w:rPr>
          <w:rtl w:val="true"/>
        </w:rPr>
        <w:t>هل یجب القضاء فی النذر المعلّق علی شیء عن الناذر المتوفّی؟</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معلّقاً علی أمر، کشفاء مریضه أو مجیء مسافره، فمات قبل حصول المعلّق علیه هل یجب القضاء</w:t>
      </w:r>
      <w:r>
        <w:rPr>
          <w:rStyle w:val="FootnoteAnchor"/>
          <w:rtl w:val="true"/>
        </w:rPr>
        <w:footnoteReference w:id="104"/>
      </w:r>
      <w:r>
        <w:rPr>
          <w:rFonts w:ascii="IRNazanin" w:hAnsi="IRNazanin" w:eastAsia="IRNazanin"/>
          <w:color w:val="111111"/>
          <w:sz w:val="28"/>
          <w:sz w:val="28"/>
          <w:szCs w:val="28"/>
          <w:rtl w:val="true"/>
          <w:lang w:bidi="fa-IR"/>
        </w:rPr>
        <w:t>عنه</w:t>
      </w:r>
      <w:r>
        <w:rPr>
          <w:rStyle w:val="FootnoteAnchor"/>
          <w:rtl w:val="true"/>
        </w:rPr>
        <w:footnoteReference w:id="105"/>
      </w:r>
      <w:r>
        <w:rPr>
          <w:rFonts w:ascii="Amiri" w:hAnsi="Amiri" w:eastAsia="Amiri" w:cs="Amiri"/>
          <w:color w:val="111111"/>
          <w:sz w:val="28"/>
          <w:sz w:val="28"/>
          <w:szCs w:val="28"/>
          <w:rtl w:val="true"/>
          <w:lang w:bidi="ar-SA"/>
        </w:rPr>
        <w:t>، أوْ لا</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القضاء جزماً؛ وذلک لأنّ الوجوب علی التقدیرین مشروط بالقدرة فی ظرف العمل، وبالموت ینکشف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المسألة مبنیّة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یمکن إیقاع النذر علی الوجهین، لکنّ ظاهر التعلیقات من باب الشرط، فلا یجب القضاء، إلاّ إذا قصد التعلیق علی نحو الواجب المعلّق وأوقع النذر کذلک، فحیئنذٍ إن قلنا بأنّ القضاء تابع لنفس الوجوب ولو لم یأتِ ظرف الواجب یجب القضاء، وإلاّ فلا، وهذه الجهة تحتاج إلی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Style w:val="FootnoteAnchor"/>
          <w:rtl w:val="true"/>
        </w:rPr>
        <w:footnoteReference w:id="107"/>
      </w:r>
      <w:r>
        <w:rPr>
          <w:rFonts w:ascii="IRNazanin" w:hAnsi="IRNazanin" w:eastAsia="IRNazanin"/>
          <w:color w:val="111111"/>
          <w:sz w:val="28"/>
          <w:sz w:val="28"/>
          <w:szCs w:val="28"/>
          <w:rtl w:val="true"/>
          <w:lang w:bidi="fa-IR"/>
        </w:rPr>
        <w:t>أنّ التعلیق من باب الشرط</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 فلا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 هو الصحیح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فلا یجب قضاؤه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 عرفاً، فلا 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ویکون من شرط المقارن، لا المتأخّر، فلا قضاء، بل لو فرض کونه من قبیل وجوب المعلّق لا یجب القضاء أیضاً؛ لفرض عدم التمکّن من الوفاء 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المتعیّن، فلا یجب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من قبیل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الوجوب المعلّق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فعلی الأوّل لا یجب؛ لعدم الوجوب علیه بعد فرض موته قبل حصول الشرط، وإن کان متمکّناً من حیث المال وسائر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bookmarkStart w:id="46" w:name="pg13284_130480"/>
    </w:p>
    <w:p>
      <w:pPr>
        <w:pStyle w:val="BookText"/>
        <w:rPr/>
      </w:pPr>
      <w:bookmarkEnd w:id="46"/>
      <w:r>
        <w:rPr>
          <w:rFonts w:ascii="IRNazanin" w:hAnsi="IRNazanin" w:eastAsia="IRNazanin"/>
          <w:color w:val="111111"/>
          <w:sz w:val="28"/>
          <w:sz w:val="28"/>
          <w:szCs w:val="28"/>
          <w:rtl w:val="true"/>
          <w:lang w:bidi="fa-IR"/>
        </w:rPr>
        <w:t>الثانی</w:t>
      </w:r>
      <w:r>
        <w:rPr>
          <w:rStyle w:val="FootnoteAnchor"/>
          <w:rtl w:val="true"/>
        </w:rPr>
        <w:footnoteReference w:id="109"/>
      </w:r>
      <w:r>
        <w:rPr>
          <w:rFonts w:ascii="IRNazanin" w:hAnsi="IRNazanin" w:eastAsia="IRNazanin"/>
          <w:color w:val="111111"/>
          <w:sz w:val="28"/>
          <w:sz w:val="28"/>
          <w:szCs w:val="28"/>
          <w:rtl w:val="true"/>
          <w:lang w:bidi="fa-IR"/>
        </w:rPr>
        <w:t>یمکن أن یقال</w:t>
      </w:r>
      <w:r>
        <w:rPr>
          <w:rStyle w:val="FootnoteAnchor"/>
          <w:rtl w:val="true"/>
        </w:rPr>
        <w:footnoteReference w:id="110"/>
      </w:r>
      <w:r>
        <w:rPr>
          <w:rFonts w:ascii="IRNazanin" w:hAnsi="IRNazanin" w:eastAsia="IRNazanin"/>
          <w:color w:val="111111"/>
          <w:sz w:val="28"/>
          <w:sz w:val="28"/>
          <w:szCs w:val="28"/>
          <w:rtl w:val="true"/>
          <w:lang w:bidi="fa-IR"/>
        </w:rPr>
        <w:t>بالوجوب؛ لکشف حصول الشرط عن کونه واجباً</w:t>
      </w:r>
      <w:r>
        <w:rPr>
          <w:rStyle w:val="FootnoteAnchor"/>
          <w:rtl w:val="true"/>
        </w:rPr>
        <w:footnoteReference w:id="111"/>
      </w:r>
      <w:r>
        <w:rPr>
          <w:rFonts w:ascii="IRNazanin" w:hAnsi="IRNazanin" w:eastAsia="IRNazanin"/>
          <w:color w:val="111111"/>
          <w:sz w:val="28"/>
          <w:sz w:val="28"/>
          <w:szCs w:val="28"/>
          <w:rtl w:val="true"/>
          <w:lang w:bidi="fa-IR"/>
        </w:rPr>
        <w:t>علیه من الأوّل، إلاّ أن یکون نذره منصرفاً إلی بقاء حیاته حین حصول الشرط</w:t>
      </w:r>
      <w:r>
        <w:rPr>
          <w:rFonts w:eastAsia="IRNazanin" w:cs="IRNazanin"/>
          <w:color w:val="111111"/>
          <w:sz w:val="28"/>
          <w:szCs w:val="28"/>
          <w:rtl w:val="true"/>
          <w:lang w:bidi="fa-IR"/>
        </w:rPr>
        <w:t>.</w:t>
      </w:r>
    </w:p>
    <w:p>
      <w:pPr>
        <w:pStyle w:val="Heading4"/>
        <w:numPr>
          <w:ilvl w:val="3"/>
          <w:numId w:val="1"/>
        </w:numPr>
        <w:rPr/>
      </w:pPr>
      <w:bookmarkStart w:id="47" w:name="__RefHeading___Toc2055535_2322387425"/>
      <w:bookmarkStart w:id="48" w:name="_Toc17"/>
      <w:bookmarkEnd w:id="47"/>
      <w:r>
        <w:rPr>
          <w:rtl w:val="true"/>
        </w:rPr>
        <w:t>زوال القدرة عن الحجّ النذریّ</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وهو متمکّن منه فاستقرّ علیه</w:t>
      </w:r>
      <w:r>
        <w:rPr>
          <w:rStyle w:val="FootnoteAnchor"/>
          <w:rtl w:val="true"/>
        </w:rPr>
        <w:footnoteReference w:id="112"/>
      </w:r>
      <w:r>
        <w:rPr>
          <w:rFonts w:ascii="Amiri" w:hAnsi="Amiri" w:eastAsia="Amiri" w:cs="Amiri"/>
          <w:color w:val="111111"/>
          <w:sz w:val="28"/>
          <w:sz w:val="28"/>
          <w:szCs w:val="28"/>
          <w:rtl w:val="true"/>
          <w:lang w:bidi="ar-SA"/>
        </w:rPr>
        <w:t>، ثمّ صار مَعضُوباً</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العَضب بالمهملة ثمّ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والزَمانة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عبداللّه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لمرضٍ أو نحوه، أو مصدوداً بعدوٍّ أو نحوه فالظاهر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 استنابته</w:t>
      </w:r>
      <w:r>
        <w:rPr>
          <w:rStyle w:val="FootnoteAnchor"/>
          <w:rtl w:val="true"/>
        </w:rPr>
        <w:footnoteReference w:id="114"/>
      </w:r>
      <w:r>
        <w:rPr>
          <w:rFonts w:ascii="IRNazanin" w:hAnsi="IRNazanin" w:eastAsia="IRNazanin"/>
          <w:color w:val="111111"/>
          <w:sz w:val="28"/>
          <w:sz w:val="28"/>
          <w:szCs w:val="28"/>
          <w:rtl w:val="true"/>
          <w:lang w:bidi="fa-IR"/>
        </w:rPr>
        <w:t>حال حیاته؛ لِما مرّ من الأخبار</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استفادة وجوب الاستنابة منها فی غیر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فی 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ودعوی اختصاصها بحجّة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اختصاص المورد بها ـ کما هو الظاهر ـ یمکن دعوی انفهام العموم بإلغاء الخصوصیّة، مع أنّ الاستنابة مطابقة للقاعدة علی ما استظهرنا من تعلّق النذر علی نحو الدَین، فإنّه بعد الاستقرار لابدّ من أدائه بنفسه إن کان متمکّناً، وإلاّ فبالاستنابة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فی المسألة الثانیة والسبعین من الفصل السابق تصریحه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المتیقّن من نصوص الاستنابة حجّة الإسلام، ولا یُتعدّی عنها فی الحکم المخالف للقاعدة، وهو الحقّ،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کما مرّ سابقاً</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منه خلافه فی المسألة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استظهر رحمه‌الله فی المسألة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بحجّة الإسلام، ویکفی الشکّ فی الشمول؛ لعدم صحّة التمسّک بالعامّ فی الشبهة المصداقیّة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الاختصاص بحجّة الإسلام هو الأحوط، وإن رجّح الماتن قدس‌سره الاختصاص فی المسألة الثانیة والسبعین من الفصل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مات وجب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وإذا صار معضوباً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مصدوداً قبل تمکّنه واستقرار الحجّ علیه، أو نذر وهو معضوب أو مصدود حال النذر مع فرض تمکّنه من حیث المال ففی وجوب الاستنابة وعدمه حال حیاته ووجوب القضاء عنه بعد موته قولان، أقواهما 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أقوی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قلنا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بالوجوب بالنسبة إلی حجّة الإسلام، إلاّ أن یکون قصده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bookmarkStart w:id="49" w:name="pg13284_130483"/>
    </w:p>
    <w:p>
      <w:pPr>
        <w:pStyle w:val="BookText"/>
        <w:rPr/>
      </w:pPr>
      <w:bookmarkEnd w:id="49"/>
      <w:r>
        <w:rPr>
          <w:rFonts w:ascii="Amiri" w:hAnsi="Amiri" w:eastAsia="Amiri" w:cs="Amiri"/>
          <w:color w:val="111111"/>
          <w:sz w:val="28"/>
          <w:sz w:val="28"/>
          <w:szCs w:val="28"/>
          <w:rtl w:val="true"/>
          <w:lang w:bidi="ar-SA"/>
        </w:rPr>
        <w:t>عَلَیَّ أن أحِجّ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الاستنابة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2055537_2322387425"/>
      <w:bookmarkStart w:id="51" w:name="_Toc18"/>
      <w:bookmarkEnd w:id="50"/>
      <w:r>
        <w:rPr>
          <w:rtl w:val="true"/>
        </w:rPr>
        <w:t>نذر إحجاج الغیر</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یحجّ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ماشیاً وحافیاً بمعنی راجلاً بدون دابّة، کما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فلان حافیاً رَجُلاً، أی راجلاً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معیّنةٍ فخالف مع تمکّنه وجب علیه القضاء</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القضاء علیه وعلی الوارث أو الوصیّ بعد موته تأمّل، لا یُترک الاحتیاط، وقد تقدّم نظیره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القضاء، لا علیه ولا بعد موته، وأمّا الکفّارة فلا إشکال فی وجوبها علیه، وأمّا بعد موته فالمشهور وإن کان علی وجوب إخراجها من أصل الترکة، إلاّ أ نّه لا یخلو من إشکال،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والکفّارة، وإن مات قبل إتیانهما یُقضَیان من 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یخرج من الثلث، وکذا الحال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تخرج الکفّارة من الثلث؛ فإنّ الکفّارات المخیّرة لیست من الدُیون الّتی تشتغل بها الذمّة لیجب إخراجها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تقدّم أنّ الأحوط العمل بالصحیحتَین؛ لعدم تحقّق الإعراض عنهما، وکذا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نّهما واجبان مالیّان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صدق الدَین علی کفّارة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إشکال، والصحیحتان المشار إلیهما</w:t>
      </w:r>
    </w:p>
    <w:p>
      <w:pPr>
        <w:pStyle w:val="BookText"/>
        <w:rPr/>
      </w:pPr>
      <w:r>
        <w:rPr>
          <w:rFonts w:ascii="IRNazanin" w:hAnsi="IRNazanin" w:eastAsia="IRNazanin"/>
          <w:color w:val="111111"/>
          <w:sz w:val="28"/>
          <w:sz w:val="28"/>
          <w:szCs w:val="28"/>
          <w:rtl w:val="true"/>
          <w:lang w:bidi="fa-IR"/>
        </w:rPr>
        <w:t>سابقاً الدالّتان علی الخروج من الثلث مُعرَض عنهما کما قیل، أو محمولتان علی بعض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نذر الإحجاج من غیر تقییدٍ بسَنَةٍ معیّنةٍ مطلقاً، أو معلّقاً علی شرط، وقد حصل وتمکّن منه وترک حتّی مات فإنّه یُقضی عنه من أصل الترکة</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نذر الإحجاج بأحد الوجوه ولم یتمکّن منه حتّی مات ففی وجوب قضائه وعدمه وجهان، أوجههما</w:t>
      </w:r>
      <w:r>
        <w:rPr>
          <w:rStyle w:val="FootnoteAnchor"/>
          <w:rtl w:val="true"/>
        </w:rPr>
        <w:footnoteReference w:id="120"/>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للّه‌ِ علی نفسه مالاً یُصرف فی وجوه الحجّ من الغیر، وأمّا إذا نذر إیجاد الحجّ علی وجه التسبیب ولم یتمکّن منه حال حیاته فالأوجه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 إذ قد عرفت أنّ الحجّ والإحجاج کلیهما واجبٌ عملی، غایة الأمر یستلزمان المال، وهذا لا یجعلهما واجبَین مالیَّین، اللهمّ إلاّ إذا کان قصده صرف مقدار من المال یفی بالإحجاج، لکنّه خلاف مفروض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footnote3-page49"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للّه‌ِ علی نفسه مالاً یُصرف فی وجوه الحجّ من الغیر، وأمّا إذا نذر إیجاد الحجّ علی وجه التسبیب ولم یتمکّن منه حال حیاته فالأوجه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 إذ قد عرفت أنّ الحجّ والإحجاج کلیهما واجبٌ عملی، غایة الأمر یستلزمان المال، وهذا لا یجعلهما واجبَین مالیَّین، اللهمّ إلاّ إذا کان قصده صرف مقدار من المال یفی بالإحجاج، لکنّه خلاف مفروض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footnote3-page49" style="display:inline-block"&gt;</w:t>
      </w:r>
      <w:r>
        <w:rPr>
          <w:rFonts w:eastAsia="Times New Roman" w:cs="Times New Roman" w:ascii="Times New Roman" w:hAnsi="Times New Roman"/>
          <w:color w:val="111111"/>
          <w:sz w:val="28"/>
          <w:szCs w:val="28"/>
          <w:vertAlign w:val="superscript"/>
          <w:lang w:val="en-US" w:bidi="en-US"/>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 إذ قد عرفت أنّ الحجّ والإحجاج کلیهما واجبٌ عملی، غایة الأمر یستلزمان المال، وهذا لا یجعلهما واجبَین مالیَّین، اللهمّ إلاّ إذا کان قصده صرف مقدار من المال یفی بالإحجاج، لکنّه خلاف مفروض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footnote3-page49"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للّه‌ِ علی نفسه مالاً یُصرف فی وجوه الحجّ من الغیر، وأمّا إذا نذر إیجاد الحجّ علی وجه التسبیب ولم یتمکّن منه حال حیاته فالأوجه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 إذ قد عرفت أنّ الحجّ والإحجاج کلیهما واجبٌ عملی، غایة الأمر یستلزمان المال، وهذا لا یجعلهما واجبَین مالیَّین، اللهمّ إلاّ إذا کان قصده صرف مقدار من المال یفی بالإحجاج، لکنّه خلاف مفروض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footnote3-page49"&gt; 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لأ نّه واجب 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أوجبه علی نفسه فصار دَیناً، غایة الأمر أ نّه ما لم یتمکّن معذور،</w:t>
      </w:r>
    </w:p>
    <w:p>
      <w:pPr>
        <w:pStyle w:val="BookText"/>
        <w:rPr/>
      </w:pPr>
      <w:r>
        <w:rPr>
          <w:rFonts w:ascii="Amiri" w:hAnsi="Amiri" w:eastAsia="Amiri" w:cs="Amiri"/>
          <w:color w:val="111111"/>
          <w:sz w:val="28"/>
          <w:sz w:val="28"/>
          <w:szCs w:val="28"/>
          <w:rtl w:val="true"/>
          <w:lang w:bidi="ar-SA"/>
        </w:rPr>
        <w:t>والفرق بینه وبین نذر الحجّ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یُعدّ دَیناً</w:t>
      </w:r>
      <w:r>
        <w:rPr>
          <w:rStyle w:val="FootnoteAnchor"/>
          <w:rtl w:val="true"/>
        </w:rPr>
        <w:footnoteReference w:id="121"/>
      </w:r>
      <w:r>
        <w:rPr>
          <w:rFonts w:ascii="IRNazanin" w:hAnsi="IRNazanin" w:eastAsia="IRNazanin"/>
          <w:color w:val="111111"/>
          <w:sz w:val="28"/>
          <w:sz w:val="28"/>
          <w:szCs w:val="28"/>
          <w:rtl w:val="true"/>
          <w:lang w:bidi="fa-IR"/>
        </w:rPr>
        <w:t>مع عدم التمکّن منه، واعتبار المباشرة، بخلاف الإحجاج فإنّه کنذرِ بذلِ المال</w:t>
      </w:r>
      <w:r>
        <w:rPr>
          <w:rStyle w:val="FootnoteAnchor"/>
          <w:rtl w:val="true"/>
        </w:rPr>
        <w:footnoteReference w:id="122"/>
      </w:r>
      <w:r>
        <w:rPr>
          <w:rFonts w:ascii="Amiri" w:hAnsi="Amiri" w:eastAsia="Amiri" w:cs="Amiri"/>
          <w:color w:val="111111"/>
          <w:sz w:val="28"/>
          <w:sz w:val="28"/>
          <w:szCs w:val="28"/>
          <w:rtl w:val="true"/>
          <w:lang w:bidi="ar-SA"/>
        </w:rPr>
        <w:t>،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اُعطِیَالفقراء</w:t>
      </w:r>
      <w:r>
        <w:rPr>
          <w:rStyle w:val="FootnoteAnchor"/>
          <w:rtl w:val="true"/>
        </w:rPr>
        <w:footnoteReference w:id="123"/>
      </w:r>
      <w:r>
        <w:rPr>
          <w:rFonts w:ascii="IRNazanin" w:hAnsi="IRNazanin" w:eastAsia="IRNazanin"/>
          <w:color w:val="111111"/>
          <w:sz w:val="28"/>
          <w:sz w:val="28"/>
          <w:szCs w:val="28"/>
          <w:rtl w:val="true"/>
          <w:lang w:bidi="fa-IR"/>
        </w:rPr>
        <w:t>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قبل تمکّنه</w:t>
      </w:r>
      <w:r>
        <w:rPr>
          <w:rStyle w:val="FootnoteAnchor"/>
          <w:rtl w:val="true"/>
        </w:rPr>
        <w:footnoteReference w:id="124"/>
      </w:r>
      <w:r>
        <w:rPr>
          <w:rFonts w:ascii="IRNazanin" w:hAnsi="IRNazanin" w:eastAsia="IRNazanin"/>
          <w:color w:val="111111"/>
          <w:sz w:val="28"/>
          <w:sz w:val="28"/>
          <w:szCs w:val="28"/>
          <w:rtl w:val="true"/>
          <w:lang w:bidi="fa-IR"/>
        </w:rPr>
        <w:t>، ودعوی کشف عدم التمکّن عن عدم الانعقاد ممنوعة</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المنع غیر خالٍ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بین إیجابِ مالٍ 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إیجابِ عملٍ مباشریٍّ، وإن استلزم صرف المال فإنّه لا یُعدّ</w:t>
      </w:r>
      <w:bookmarkStart w:id="52" w:name="pg13284_130486"/>
    </w:p>
    <w:p>
      <w:pPr>
        <w:pStyle w:val="BookText"/>
        <w:rPr/>
      </w:pPr>
      <w:bookmarkEnd w:id="52"/>
      <w:r>
        <w:rPr>
          <w:rFonts w:ascii="Amiri" w:hAnsi="Amiri" w:eastAsia="Amiri" w:cs="Amiri"/>
          <w:color w:val="111111"/>
          <w:sz w:val="28"/>
          <w:sz w:val="28"/>
          <w:szCs w:val="28"/>
          <w:rtl w:val="true"/>
          <w:lang w:bidi="ar-SA"/>
        </w:rPr>
        <w:t>دَیناً</w:t>
      </w:r>
      <w:r>
        <w:rPr>
          <w:rStyle w:val="FootnoteAnchor"/>
          <w:rtl w:val="true"/>
        </w:rPr>
        <w:footnoteReference w:id="126"/>
      </w:r>
      <w:r>
        <w:rPr>
          <w:rFonts w:ascii="IRNazanin" w:hAnsi="IRNazanin" w:eastAsia="IRNazanin"/>
          <w:color w:val="111111"/>
          <w:sz w:val="28"/>
          <w:sz w:val="28"/>
          <w:szCs w:val="28"/>
          <w:rtl w:val="true"/>
          <w:lang w:bidi="fa-IR"/>
        </w:rPr>
        <w:t>علیه، بخلاف الأوّل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055539_2322387425"/>
      <w:bookmarkStart w:id="54" w:name="_Toc19"/>
      <w:bookmarkEnd w:id="53"/>
      <w:r>
        <w:rPr>
          <w:rtl w:val="true"/>
        </w:rPr>
        <w:t>نذر الإحجاج معلّقاً علی شرط </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الإحجاج معلّقاً علی شرطٍ کمجیء المسافر أو شفاء المریض فمات قبل حصول الشرط مع فرض حصوله بعد ذلک وتمکّنه منه قبله</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علی ما ذکره والمختار بین تمکّنه منه قبله، أو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القضاء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یخرج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وجوب القضاء عنه، وخبر مسمع بن عبدالملک لم یثبت عمل أحد به قبل صاحب الجواهر قدس‌سره ، فلا جابر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أن یکون مراده التعلیق علی ذلک الشرط مع کونه حیّاً حینه، ویدلّ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مسمع بن</w:t>
      </w:r>
    </w:p>
    <w:p>
      <w:pPr>
        <w:pStyle w:val="BookText"/>
        <w:rPr/>
      </w:pP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کان له جاریة حبلی فنذر إن هی ولدت غلاماً أن یحجّه أو یحجّ عنه، حیث قال الصادق علیه‌السلام بعد ما سُئل عن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نذر فی ابنٍ له إن هو أدرک أن یحجّه أو یحجّ عنه، فمات الأب وأدرک الغلام بعد، فأتی رسول اللّه صلی‌الله‌علیه‌و‌آله فسأله عن ذلک، فأمر رسول اللّه صلی‌الله‌علیه‌و‌آله أن یحجّ عنه ممّا ترک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7/459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النذر والعهد،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عمل به جماعة</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نظفر بمَن عمل به بهذا المعنی الّذی أراده الماتن قدس‌سره عدا صاحب الجواهر علیه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بالنحو الّذی عمل بها هو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ما ذکرنا لا یکون مخالفاً للقاعدة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نَرَ فی کلامه برهاناً علی کونه وفق القاعدة، بل لا یعقل أن یکون علی وفق القاعدة؛ لما بیّنّا فی هذه المسألة وفی 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علی خلاف القاعدة، لکنّه مع ذلک لا مناصَ من العمل به، وحمله علیلزوم الإخراج من الثلث جمعاً بینه وبین صحیحتَی ضریس وابن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بل الحکم علی خلاف القاعدة، علی ما مرّ، ولم یُحرَز العمل بذیل الروایة، بل لا یبعد أن یکون تعرّض أهل الفتوی للفرع المفروض فی صدر الروایة ـ أعنی المسألة السابقة ـ دون المفروض فی ذیلها ـ أعنی هذه المسألة ـ دلیلاً للإعراض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یذکر ما یظهر منه عدم کونه مخالفاً للقاعدة سوی ما أفاده فی المسألة العاشرة؛ وعلیه فما تخیّله سیّد الریاض متین،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کما تخیّله سیّد</w:t>
      </w:r>
    </w:p>
    <w:p>
      <w:pPr>
        <w:pStyle w:val="BookText"/>
        <w:rPr/>
      </w:pPr>
      <w:r>
        <w:rPr>
          <w:rFonts w:ascii="IRNazanin" w:hAnsi="IRNazanin" w:eastAsia="IRNazanin"/>
          <w:color w:val="111111"/>
          <w:sz w:val="28"/>
          <w:sz w:val="28"/>
          <w:szCs w:val="28"/>
          <w:rtl w:val="true"/>
          <w:lang w:bidi="fa-IR"/>
        </w:rPr>
        <w:t>الریاض</w:t>
      </w:r>
      <w:r>
        <w:rPr>
          <w:rStyle w:val="FootnoteAnchor"/>
          <w:rtl w:val="true"/>
        </w:rPr>
        <w:footnoteReference w:id="130"/>
      </w:r>
      <w:r>
        <w:rPr>
          <w:rFonts w:ascii="IRNazanin" w:hAnsi="IRNazanin" w:eastAsia="IRNazanin"/>
          <w:color w:val="111111"/>
          <w:sz w:val="28"/>
          <w:sz w:val="28"/>
          <w:szCs w:val="28"/>
          <w:rtl w:val="true"/>
          <w:lang w:bidi="fa-IR"/>
        </w:rPr>
        <w:t>، وقرّره علیه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ریاض المسائل للطباطبائی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11/510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وجواهر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17/342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فیه تعبّدیّ، علی خلاف</w:t>
      </w:r>
      <w:r>
        <w:rPr>
          <w:rStyle w:val="FootnoteAnchor"/>
          <w:rtl w:val="true"/>
        </w:rPr>
        <w:footnoteReference w:id="131"/>
      </w:r>
      <w:r>
        <w:rPr>
          <w:rFonts w:ascii="Amiri" w:hAnsi="Amiri" w:eastAsia="Amiri" w:cs="Amiri"/>
          <w:color w:val="111111"/>
          <w:sz w:val="28"/>
          <w:sz w:val="28"/>
          <w:szCs w:val="28"/>
          <w:rtl w:val="true"/>
          <w:lang w:bidi="ar-SA"/>
        </w:rPr>
        <w:t>القاعدة</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ولا بأس بالعمل بالروایة بعد کونها معتبرة الإسناد، وعدم إحراز الإعراض عنها، بل مقتضی إطلاق الشیخ فی النهایة والمحقّق وعن کتب العلاّمة العمل بها صدراً وذیلاً، ومقتضی استشهاد الإمام علیه‌السلام التعدّی عن مورد الروایة بإلغاء الخصوصیّة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کون ذیله خلافها، ولکنّ الکلام فی عملهم به، فالحقّ الحقیق بالقبول جواز الاستناد إلی صدره وذیله بعد اجتماع شریطة القبول فیه من الوثوق بالصدور والجهة، وقوّة الظهور، وعدم المعارض، وعدم إحراز الإعراض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3284_130489"/>
    </w:p>
    <w:p>
      <w:pPr>
        <w:pStyle w:val="Heading4"/>
        <w:numPr>
          <w:ilvl w:val="3"/>
          <w:numId w:val="1"/>
        </w:numPr>
        <w:rPr/>
      </w:pPr>
      <w:bookmarkStart w:id="56" w:name="__RefHeading___Toc2055541_2322387425"/>
      <w:bookmarkStart w:id="57" w:name="_Toc20"/>
      <w:bookmarkEnd w:id="55"/>
      <w:bookmarkEnd w:id="56"/>
      <w:r>
        <w:rPr>
          <w:rtl w:val="true"/>
        </w:rPr>
        <w:t>حکم المستطیع لو نذر الحجّ الواجب</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مستطیعاً ونذر أن یحجّ حجّة الإسلام انعقد</w:t>
      </w:r>
      <w:r>
        <w:rPr>
          <w:rStyle w:val="FootnoteAnchor"/>
          <w:rtl w:val="true"/>
        </w:rPr>
        <w:footnoteReference w:id="133"/>
      </w:r>
      <w:r>
        <w:rPr>
          <w:rFonts w:ascii="IRNazanin" w:hAnsi="IRNazanin" w:eastAsia="IRNazanin"/>
          <w:color w:val="111111"/>
          <w:sz w:val="28"/>
          <w:sz w:val="28"/>
          <w:szCs w:val="28"/>
          <w:rtl w:val="true"/>
          <w:lang w:bidi="fa-IR"/>
        </w:rPr>
        <w:t>علی الأقوی</w:t>
      </w:r>
      <w:r>
        <w:rPr>
          <w:rStyle w:val="FootnoteAnchor"/>
          <w:rtl w:val="true"/>
        </w:rPr>
        <w:footnoteReference w:id="134"/>
      </w:r>
      <w:r>
        <w:rPr>
          <w:rFonts w:ascii="IRNazanin" w:hAnsi="IRNazanin" w:eastAsia="IRNazanin"/>
          <w:color w:val="111111"/>
          <w:sz w:val="28"/>
          <w:sz w:val="28"/>
          <w:szCs w:val="28"/>
          <w:rtl w:val="true"/>
          <w:lang w:bidi="fa-IR"/>
        </w:rPr>
        <w:t>، وکفاه حجّ واحد، وإذا ترک حتّی مات وجب القضاء عنه</w:t>
      </w:r>
      <w:r>
        <w:rPr>
          <w:rStyle w:val="FootnoteAnchor"/>
          <w:rtl w:val="true"/>
        </w:rPr>
        <w:footnoteReference w:id="135"/>
      </w:r>
      <w:r>
        <w:rPr>
          <w:rFonts w:ascii="Amiri" w:hAnsi="Amiri" w:eastAsia="Amiri" w:cs="Amiri"/>
          <w:color w:val="111111"/>
          <w:sz w:val="28"/>
          <w:sz w:val="28"/>
          <w:szCs w:val="28"/>
          <w:rtl w:val="true"/>
          <w:lang w:bidi="ar-SA"/>
        </w:rPr>
        <w:t>، والکفّارة</w:t>
      </w:r>
      <w:r>
        <w:rPr>
          <w:rStyle w:val="FootnoteAnchor"/>
          <w:rtl w:val="true"/>
        </w:rPr>
        <w:footnoteReference w:id="136"/>
      </w:r>
      <w:r>
        <w:rPr>
          <w:rFonts w:ascii="Amiri" w:hAnsi="Amiri" w:eastAsia="Amiri" w:cs="Amiri"/>
          <w:color w:val="111111"/>
          <w:sz w:val="28"/>
          <w:sz w:val="28"/>
          <w:szCs w:val="28"/>
          <w:rtl w:val="true"/>
          <w:lang w:bidi="ar-SA"/>
        </w:rPr>
        <w:t>من ترکته، وإذا قیّده بسَنَةٍ معیّنة</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العبارة یشمل ما لو نذر الإتیان بحجّة الإسلام بعد عام الاستطاعة، مع أ نّه لا ینعقد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 لم یقیّده بتأخیره عن سَنَة الاستطاعة، وإلاّ فإنّه لا ینعقد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 عنها وجب علیه الکفّارة، وإذا نذره فی حال عدم الاستطاعة انعقد أیضاً، ووجب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الاستطاعة مقدِّمةً، إلاّ أن یکون مراده الحجّ بعد 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2055543_2322387425"/>
      <w:bookmarkStart w:id="59" w:name="_Toc21"/>
      <w:bookmarkEnd w:id="58"/>
      <w:r>
        <w:rPr>
          <w:rtl w:val="true"/>
        </w:rPr>
        <w:t>الاستطاعة فی نذر الحجّ</w:t>
      </w:r>
      <w:bookmarkEnd w:id="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الحجّ النذریّ الاستطاعة الشرعیّة، بل یجب مع القدرة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 . . . . </w:t>
      </w:r>
      <w:bookmarkStart w:id="60" w:name="pg13284_130490"/>
    </w:p>
    <w:p>
      <w:pPr>
        <w:pStyle w:val="BookText"/>
        <w:rPr/>
      </w:pPr>
      <w:bookmarkEnd w:id="60"/>
      <w:r>
        <w:rPr>
          <w:rFonts w:ascii="Amiri" w:hAnsi="Amiri" w:eastAsia="Amiri" w:cs="Amiri"/>
          <w:color w:val="111111"/>
          <w:sz w:val="28"/>
          <w:sz w:val="28"/>
          <w:szCs w:val="28"/>
          <w:rtl w:val="true"/>
          <w:lang w:bidi="ar-SA"/>
        </w:rPr>
        <w:t>العقلیّة</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سائر الشرائط الّتی اعتبر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 وجه له؛ إذ حاله حال سائر الواجبات الّتی تکفیها القدرة عقلاً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055545_2322387425"/>
      <w:bookmarkStart w:id="62" w:name="_Toc22"/>
      <w:bookmarkEnd w:id="61"/>
      <w:r>
        <w:rPr>
          <w:rtl w:val="true"/>
        </w:rPr>
        <w:t>نذر غیر حجّة الإسلام فی عام الاستطاعة</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حجّاً غیر حجّة الإسلام فی عامه وهو مستطیع لم ینعقد</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الفور فی حجّة الإسلام، وکون نذره منافیاً للفوریة، ولکن عرفت عدم مساعدة دلیلٍ علی وجوب الفور، فالأقوی هو الانعقاد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نذره متعلّقاً بالإتیان بحجٍّ آخر غیر حجّة الإسلام علی تقدیر ترکه لها، فلا مانع من انعقاده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إلاّ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نوی ذلک علی تقدیر زوالها فزالت،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لکشف الزوال عن صحّتها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بعد ماکان المفروض أ نّه لم یَنوِ ذلک علی تقدیر زوالها، بل مطلقاً، زالت أو لم تزل،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الإطلاق مانع عن انعقاده مطلقاً، لا علی تقدیر زوالها، وهذا علی فرض الصحّة لا ربط له بما علّله به من حمل النذر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لکون متعلّقه راجحاً فی الواقع حال النذر وإن لم یعلم به إلاّ بعد زوال الاستطاعة، سیّما إذا کان المراد من الإطلاق عدم التقیید بتقدیر الزوال، لا التعمیم، حتّی بالنسبة إلی تقدیر عدم الزوال، غایة الأمر أ نّه علی تقدیر التعمیم یکون هذا التعمیم لغواً لا یؤثّر فی بطلان النذر، خصوصاً إذا کان غافلاً عن هذه الاستطاعة الظاهریّة، أو عن وجوب الحجّ حال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الصحّة أقوی فیما لو اتّفق زوال الاستطاعة وحصل منه قصد القربة حین نذره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خصوصاً إذا لم یکن حین النذر ملتفتاً إلی الاستطاعة، أو لوجوب حجّة الإسلام، لا لما ذکر فی المتن، بل من جهة رجحان الفعل فی الواقع وإن لم یتبیّن إلاّ بعد زوال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مع تمشّی القصد منه، لا للحمل علی الصحّة؛ لأ نّه لا أصل له، بل لکونه راجحاً بحسب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لرجحان المتعلّق واقعاً وإن لم یعلم به الاّ بعد زوال الاستطاعة، وهذا الاحتمال قویّ بعد فرض تحقّق القصد، وتمشّیه لا بدونه وفرض الإبهام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متعیّن مع عدم الالتفات بوجوب حجّة الإسلام حین النذر، أو بعدم تشریع غیرها مع وجوبها، أو کان محتملاً للزوال؛ وذلک لتمشّی القصد ورجحان المتعلّق واقعاً المکشوف بالزوال، لا لما علّله من حمل النذر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 مع قصده النذر المشروع فی الواقع بأیِّ نحوٍ کان، فیکشف زوال الاستطاعة عن صحّة النذر حینئذٍ ولو بقیت الاستطاعة، ومع ذلک تَرَکَ حجّة الإسلام وأتی بالحجّ النذری، فالظاهر کونه من صغریات الترتّب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بناءً علی ما سبق، نعم، یُحتمل البناء علی الصحّة بأنّ زوال الاستطاعة کاشف عن صحّة النذر حال وقوعه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الأقوی إذا حصل منه قصد القربة حین نذره؛ لأنّ متعلّق نذره راجح واقعاً وإن لم یکن متبیّناً إلاّ بعد زوال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 الإطلاق أیضاً</w:t>
      </w:r>
      <w:r>
        <w:rPr>
          <w:rStyle w:val="FootnoteAnchor"/>
          <w:rtl w:val="true"/>
        </w:rPr>
        <w:footnoteReference w:id="141"/>
      </w:r>
      <w:r>
        <w:rPr>
          <w:rFonts w:ascii="IRNazanin" w:hAnsi="IRNazanin" w:eastAsia="IRNazanin"/>
          <w:color w:val="111111"/>
          <w:sz w:val="28"/>
          <w:sz w:val="28"/>
          <w:szCs w:val="28"/>
          <w:rtl w:val="true"/>
          <w:lang w:bidi="fa-IR"/>
        </w:rPr>
        <w:t>إذا زالت</w:t>
      </w:r>
      <w:r>
        <w:rPr>
          <w:rStyle w:val="FootnoteAnchor"/>
          <w:rtl w:val="true"/>
        </w:rPr>
        <w:footnoteReference w:id="142"/>
      </w:r>
      <w:r>
        <w:rPr>
          <w:rFonts w:ascii="IRNazanin" w:hAnsi="IRNazanin" w:eastAsia="IRNazanin"/>
          <w:color w:val="111111"/>
          <w:sz w:val="28"/>
          <w:sz w:val="28"/>
          <w:szCs w:val="28"/>
          <w:rtl w:val="true"/>
          <w:lang w:bidi="fa-IR"/>
        </w:rPr>
        <w:t>، حملاً لنذره</w:t>
      </w:r>
      <w:r>
        <w:rPr>
          <w:rStyle w:val="FootnoteAnchor"/>
          <w:rtl w:val="true"/>
        </w:rPr>
        <w:footnoteReference w:id="143"/>
      </w:r>
      <w:r>
        <w:rPr>
          <w:rFonts w:ascii="Amiri" w:hAnsi="Amiri" w:eastAsia="Amiri" w:cs="Amiri"/>
          <w:color w:val="111111"/>
          <w:sz w:val="28"/>
          <w:sz w:val="28"/>
          <w:szCs w:val="28"/>
          <w:rtl w:val="true"/>
          <w:lang w:bidi="ar-SA"/>
        </w:rPr>
        <w:t>علی الصحّة</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ما فیه؛ فإنّ الحمل علی الصحّة إنّما هو فی صورة الشکّ، والمفروض انتفاء القصد، وتعلّق النذر بالحجّ مطلقاً بلا قید،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زوال الاستطاعة یکشف عن عدم وجوب حجّة الإسلام حال النذر، فلا مانع من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ذلک؛ لکفایة الإطلاق فی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3284_130493"/>
    </w:p>
    <w:p>
      <w:pPr>
        <w:pStyle w:val="Heading4"/>
        <w:numPr>
          <w:ilvl w:val="3"/>
          <w:numId w:val="1"/>
        </w:numPr>
        <w:rPr/>
      </w:pPr>
      <w:bookmarkStart w:id="64" w:name="__RefHeading___Toc2055547_2322387425"/>
      <w:bookmarkStart w:id="65" w:name="_Toc23"/>
      <w:bookmarkEnd w:id="63"/>
      <w:bookmarkEnd w:id="64"/>
      <w:r>
        <w:rPr>
          <w:rtl w:val="true"/>
        </w:rPr>
        <w:t>الاستطاعة بعد نذر الحجّ وصورها</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حجّاً فی حال</w:t>
      </w:r>
      <w:r>
        <w:rPr>
          <w:rStyle w:val="FootnoteAnchor"/>
          <w:rtl w:val="true"/>
        </w:rPr>
        <w:footnoteReference w:id="145"/>
      </w:r>
      <w:r>
        <w:rPr>
          <w:rFonts w:ascii="Amiri" w:hAnsi="Amiri" w:eastAsia="Amiri" w:cs="Amiri"/>
          <w:color w:val="111111"/>
          <w:sz w:val="28"/>
          <w:sz w:val="28"/>
          <w:szCs w:val="28"/>
          <w:rtl w:val="true"/>
          <w:lang w:bidi="ar-SA"/>
        </w:rPr>
        <w:t>عدم الاستطاعة الشرعیّة ثمّ حصلت له فإن کان موسّعاً أو مقیّداً بسَنَةٍ متأخّرةٍ قدّم حجّة الإسلام</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نذر حجّاً غیر حجّة الإسلام ولو بالانصراف، وأمّا لو تعلّق نذره بطبیعة الحجّ فیکفی حجّ واحد عن الحجّین إذا قصدهما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النذر موسّعاً وتعلّـق بطبیعة الحجّ کفاه حجّة الإسلام، مع قصد بِرّ النذر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یکن نذره متعلّقاً بطبیعة الحجّ، وإلاّ یکفی حجّة الإسلام مع قصد بِرّ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لفوریّتها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کان مضیّقاً بأن قیّده بسَنَةٍ معیّنة وحصل فیها 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المنذور مقصوداً به غیر حجّة الإسلام فحصول الاستطاعة کاشف عن بطلان نذره، وإن کان مطلقاً فیکفی حجّة واحدة عنهما، ومنه یعلم حال المطلق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قیّده بالفوریّة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قدّمه</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تقدیمه نظر، بل منع، والأقوی انحلال النذر ووجوب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حجّة الإسلام، وعدم انعقاد النذر مع تقیّده بتلک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علی القول بالفوریّة فی حجّة الإسلام تقدّمها علی النذر مع القول بانعقاده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المقدَّم حجّة الإسلام علی کلّ حال، وانحلال النذر أو کشفه عن عدم الانعقاد؛ لزوال الرجحان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یقدّم حجّة الإسلام، وقد مرّ أنّ المانع الشرعیّ لیس شرطاً فی الاستطاعة، ومع الاستطاعة ووجوب حجّة الإسلام یُلغی نذره، ومنه یعلم حال احتمال تقدیم النذریّ إذا کان موسّعاً فإنّه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المسألة غیر صافیةٍ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حجّة الإسلام؛ لکشف الاستطاعة عن عدم کون المنذور مشروعاً حین العمل، مع التقیید بتلک السَنَة ولو بعنوان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یقدّم حجّة الإسلام، والاحتمال الآتی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المقدّم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تقدیم حجّة الإسلام، ولا یصلح النذر لمزاحمة حجّة الإسلام، فلو قیّد النذر بسَنَةٍ معیّنة وحصلت الاستطاعة فیها انحلّ نذره بالکلّیّة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القول بعدم انعقاد نذر حجٍّ غیر حجّة الإسلام فی عام الاستطاعة الأظهر عدم انعقاد النذر فیما لو قیّده بسَنَةٍ معیّنة ثمّ حصلت الاستطاعة فیها، أو قیّده بالفوریّة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وحینئذٍ فإن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بقیت</w:t>
      </w:r>
      <w:r>
        <w:rPr>
          <w:rStyle w:val="FootnoteAnchor"/>
          <w:rtl w:val="true"/>
        </w:rPr>
        <w:footnoteReference w:id="148"/>
      </w:r>
      <w:r>
        <w:rPr>
          <w:rFonts w:ascii="IRNazanin" w:hAnsi="IRNazanin" w:eastAsia="IRNazanin"/>
          <w:color w:val="111111"/>
          <w:sz w:val="28"/>
          <w:sz w:val="28"/>
          <w:szCs w:val="28"/>
          <w:rtl w:val="true"/>
          <w:lang w:bidi="fa-IR"/>
        </w:rPr>
        <w:t>الاستطاعة إلی العام القابل وجبت، وإلاّ فلا؛ لأنّ المانع الشرعیّ</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بناءً علی عدم اشتراط الخلوّ من المانع الشرعیّ فی تحقّق الاستطاعة، وإن کان التحقیق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کالعقلیّ،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لکنّة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احتمال کسراب بقیعة وإن جنح إلیه بعض الأعلام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الاحتمال ضعیف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66" w:name="pg13284_130496"/>
    </w:p>
    <w:p>
      <w:pPr>
        <w:pStyle w:val="BookText"/>
        <w:rPr/>
      </w:pPr>
      <w:bookmarkEnd w:id="66"/>
      <w:r>
        <w:rPr>
          <w:rFonts w:ascii="IRNazanin" w:hAnsi="IRNazanin" w:eastAsia="IRNazanin"/>
          <w:color w:val="111111"/>
          <w:sz w:val="28"/>
          <w:sz w:val="28"/>
          <w:szCs w:val="28"/>
          <w:rtl w:val="true"/>
          <w:lang w:bidi="fa-IR"/>
        </w:rPr>
        <w:t>تقدیم</w:t>
      </w:r>
      <w:r>
        <w:rPr>
          <w:rStyle w:val="FootnoteAnchor"/>
          <w:rtl w:val="true"/>
        </w:rPr>
        <w:footnoteReference w:id="150"/>
      </w:r>
      <w:r>
        <w:rPr>
          <w:rFonts w:ascii="IRNazanin" w:hAnsi="IRNazanin" w:eastAsia="IRNazanin"/>
          <w:color w:val="111111"/>
          <w:sz w:val="28"/>
          <w:sz w:val="28"/>
          <w:szCs w:val="28"/>
          <w:rtl w:val="true"/>
          <w:lang w:bidi="fa-IR"/>
        </w:rPr>
        <w:t>النذر</w:t>
      </w:r>
      <w:r>
        <w:rPr>
          <w:rStyle w:val="FootnoteAnchor"/>
          <w:rtl w:val="true"/>
        </w:rPr>
        <w:footnoteReference w:id="151"/>
      </w:r>
      <w:r>
        <w:rPr>
          <w:rFonts w:ascii="Amiri" w:hAnsi="Amiri" w:eastAsia="Amiri" w:cs="Amiri"/>
          <w:color w:val="111111"/>
          <w:sz w:val="28"/>
          <w:sz w:val="28"/>
          <w:szCs w:val="28"/>
          <w:rtl w:val="true"/>
          <w:lang w:bidi="ar-SA"/>
        </w:rPr>
        <w:t>ولو مع کونه موسّعاً؛ لأ نّه دین</w:t>
      </w:r>
      <w:r>
        <w:rPr>
          <w:rStyle w:val="FootnoteAnchor"/>
          <w:rtl w:val="true"/>
        </w:rPr>
        <w:footnoteReference w:id="152"/>
      </w:r>
      <w:r>
        <w:rPr>
          <w:rFonts w:ascii="IRNazanin" w:hAnsi="IRNazanin" w:eastAsia="IRNazanin"/>
          <w:color w:val="111111"/>
          <w:sz w:val="28"/>
          <w:sz w:val="28"/>
          <w:szCs w:val="28"/>
          <w:rtl w:val="true"/>
          <w:lang w:bidi="fa-IR"/>
        </w:rPr>
        <w:t>علیه</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منّا فی المسألة السادسة عشرة من الفصل السابق أنّ الدَین إنّما یمنع من وجوب الحجّ إذا کان حالاًّ ومطالَباً به، أو کان صرف المال فی الحجّ یوجب العُسر والضِیق من جهة الدَین، وإن کان مؤجّلاً وظاهراً عدم تحقّق شیء من ذلک فی النذر الموسّع لو سلّم شمول أدلّة الدَین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علی أنّ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ولو کان موسّعاً یمنع عن تحقّق الاستطاعة، خصوصاً مع ظنّ عدم تمکّنه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الوفاء بالنذر إن صرف استطاعته فی حجّة الإسلام</w:t>
      </w:r>
      <w:r>
        <w:rPr>
          <w:rFonts w:eastAsia="IRNazanin" w:cs="IRNazanin"/>
          <w:color w:val="111111"/>
          <w:sz w:val="28"/>
          <w:szCs w:val="28"/>
          <w:rtl w:val="true"/>
          <w:lang w:bidi="fa-IR"/>
        </w:rPr>
        <w:t>.</w:t>
      </w:r>
    </w:p>
    <w:p>
      <w:pPr>
        <w:pStyle w:val="Heading4"/>
        <w:numPr>
          <w:ilvl w:val="3"/>
          <w:numId w:val="1"/>
        </w:numPr>
        <w:rPr/>
      </w:pPr>
      <w:bookmarkStart w:id="67" w:name="__RefHeading___Toc2055549_2322387425"/>
      <w:bookmarkStart w:id="68" w:name="_Toc24"/>
      <w:bookmarkEnd w:id="67"/>
      <w:r>
        <w:rPr>
          <w:rtl w:val="true"/>
        </w:rPr>
        <w:t>إهمال النذر وحصول الاستطاعة لحجّة الإسلام</w:t>
      </w:r>
      <w:bookmarkEnd w:id="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نذره</w:t>
      </w:r>
      <w:r>
        <w:rPr>
          <w:rStyle w:val="FootnoteAnchor"/>
          <w:rtl w:val="true"/>
        </w:rPr>
        <w:footnoteReference w:id="154"/>
      </w:r>
      <w:r>
        <w:rPr>
          <w:rFonts w:ascii="IRNazanin" w:hAnsi="IRNazanin" w:eastAsia="IRNazanin"/>
          <w:color w:val="111111"/>
          <w:sz w:val="28"/>
          <w:sz w:val="28"/>
          <w:szCs w:val="28"/>
          <w:rtl w:val="true"/>
          <w:lang w:bidi="fa-IR"/>
        </w:rPr>
        <w:t xml:space="preserve">فی حال عدم الاستطاعة </w:t>
      </w:r>
    </w:p>
    <w:p>
      <w:pPr>
        <w:pStyle w:val="BookText"/>
        <w:rPr/>
      </w:pPr>
      <w:r>
        <w:rPr>
          <w:rFonts w:ascii="Amiri" w:hAnsi="Amiri" w:eastAsia="Amiri" w:cs="Amiri"/>
          <w:color w:val="111111"/>
          <w:sz w:val="28"/>
          <w:sz w:val="28"/>
          <w:szCs w:val="28"/>
          <w:rtl w:val="true"/>
          <w:lang w:bidi="ar-SA"/>
        </w:rPr>
        <w:t>فوریّاً</w:t>
      </w:r>
      <w:r>
        <w:rPr>
          <w:rStyle w:val="FootnoteAnchor"/>
          <w:rtl w:val="true"/>
        </w:rPr>
        <w:footnoteReference w:id="155"/>
      </w:r>
      <w:r>
        <w:rPr>
          <w:rFonts w:ascii="Amiri" w:hAnsi="Amiri" w:eastAsia="Amiri" w:cs="Amiri"/>
          <w:color w:val="111111"/>
          <w:sz w:val="28"/>
          <w:sz w:val="28"/>
          <w:szCs w:val="28"/>
          <w:rtl w:val="true"/>
          <w:lang w:bidi="ar-SA"/>
        </w:rPr>
        <w:t>، ثمّ استطاع</w:t>
      </w:r>
      <w:r>
        <w:rPr>
          <w:rStyle w:val="FootnoteAnchor"/>
          <w:rtl w:val="true"/>
        </w:rPr>
        <w:footnoteReference w:id="156"/>
      </w:r>
      <w:r>
        <w:rPr>
          <w:rFonts w:ascii="IRNazanin" w:hAnsi="IRNazanin" w:eastAsia="IRNazanin"/>
          <w:color w:val="111111"/>
          <w:sz w:val="28"/>
          <w:sz w:val="28"/>
          <w:szCs w:val="28"/>
          <w:rtl w:val="true"/>
          <w:lang w:bidi="fa-IR"/>
        </w:rPr>
        <w:t>وأهمل عن وفاء النذر فی عامه وجب الإتیان به فی العام القابل مقدّماً</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حجّة الإسلام مقدّمة علی النذری، فحینئذٍ لو کان نذره الحجّ فوراً ففوراً یجب الوفاء به بعد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تُقدَّم حجّة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الخونساری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ـ کما تقدَّمَ ـ وجوب حجّة الإسلام، وانحلال النذر مع تعیّن تلک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یُقدِّم حجّة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 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تقدیم حجّة الإسلام فی جمیع الصور،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تقدّم فی المسألة السابقة لا مجال لهذه، وأمّا بناءً علی القول بالانعقاد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متعلّق نذره الحجّ فوراً ففوراً فحکمه ما فی المتن، وإن کان متعلّقه الحجّ فی تلک السَنَةِ ـ وإنّما نقول بوجوبه فی العام اللاحق من باب القضاء ـ قدّم حجّة الإسلام، هذا إذا کان النذر متعلّقاً بحجٍّ غیر حجّة الإسلام، وإن کان متعلّقاً بطبیعة الحجّ کفاه حجّة الإسلام مع قصد بِرّ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بقیت الاستطاعة إلیه لوجوبه علیه فوراً</w:t>
      </w:r>
    </w:p>
    <w:p>
      <w:pPr>
        <w:pStyle w:val="BookText"/>
        <w:rPr/>
      </w:pPr>
      <w:r>
        <w:rPr>
          <w:rFonts w:ascii="Amiri" w:hAnsi="Amiri" w:eastAsia="Amiri" w:cs="Amiri"/>
          <w:color w:val="111111"/>
          <w:sz w:val="28"/>
          <w:sz w:val="28"/>
          <w:szCs w:val="28"/>
          <w:rtl w:val="true"/>
          <w:lang w:bidi="ar-SA"/>
        </w:rPr>
        <w:t>ففوراً</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مقصوده فوراً ففوراً، وإلاّ یقدّم حجّة الإسلام، وقد تقدّم قوّة احتمال کفایة حجّة الإسلام عن النذر إذا کان المنذور طبیعة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ذلک فی مقام الإنشاء، وقد عرفت التأمّل فی ذلک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رجوع النذر حینئذٍ إلی نذور متعدّدة بتعدّد السنوات، وإلاّ فلا معنی لنذر واحد لإتیان الحجّ فوراً ففوراً؛ وعلیه أیضاً لا یبعد انعقاد النذر بالنسبة إلی السَنَةِ الّتی بعد الاستطاعة، فإن أهمل فی العام الأوّل فیجبان معاً، لکن مع ذلک تُقدَّم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علیه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إلاّ بعد الفراغ عنه، لکن عن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قال بعد الحکم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بأنّ استطاعة النذر شرعیّة لا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نذر ثمّ استطاع صرف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أهمل واستمرّت الاستطاعة إلی</w:t>
      </w:r>
    </w:p>
    <w:p>
      <w:pPr>
        <w:pStyle w:val="BookText"/>
        <w:rPr/>
      </w:pPr>
      <w:r>
        <w:rPr>
          <w:rFonts w:ascii="IRNazanin" w:hAnsi="IRNazanin" w:eastAsia="IRNazanin"/>
          <w:color w:val="111111"/>
          <w:sz w:val="28"/>
          <w:sz w:val="28"/>
          <w:szCs w:val="28"/>
          <w:rtl w:val="true"/>
          <w:lang w:bidi="fa-IR"/>
        </w:rPr>
        <w:t>العام القابل وجب حجّة 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وجه له</w:t>
      </w:r>
      <w:r>
        <w:rPr>
          <w:rStyle w:val="FootnoteAnchor"/>
          <w:rtl w:val="true"/>
        </w:rPr>
        <w:footnoteReference w:id="159"/>
      </w:r>
      <w:r>
        <w:rPr>
          <w:rFonts w:ascii="Amiri" w:hAnsi="Amiri" w:eastAsia="Amiri" w:cs="Amiri"/>
          <w:color w:val="111111"/>
          <w:sz w:val="28"/>
          <w:sz w:val="28"/>
          <w:szCs w:val="28"/>
          <w:rtl w:val="true"/>
          <w:lang w:bidi="ar-SA"/>
        </w:rPr>
        <w:t>، نعم، لو قیّد نذره بسَنَةٍ معیّنةٍ وحصل فیها الاستطاعة فلم</w:t>
      </w:r>
      <w:r>
        <w:rPr>
          <w:rStyle w:val="FootnoteAnchor"/>
          <w:rtl w:val="true"/>
        </w:rPr>
        <w:footnoteReference w:id="160"/>
      </w:r>
      <w:r>
        <w:rPr>
          <w:rFonts w:ascii="Amiri" w:hAnsi="Amiri" w:eastAsia="Amiri" w:cs="Amiri"/>
          <w:color w:val="111111"/>
          <w:sz w:val="28"/>
          <w:sz w:val="28"/>
          <w:szCs w:val="28"/>
          <w:rtl w:val="true"/>
          <w:lang w:bidi="ar-SA"/>
        </w:rPr>
        <w:t>یَفِ به</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انحلال النذر ـ کما تقدّم ـ لا مجال لوجوب الوفاء، و لا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وبقیت استطاعته إلی العام المتأخّر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فالأقوی وجوب الحجّ فی هذه الصورة، وعدم وجوب النذریّ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بوجوب حجّة الإسلام أیضاً؛ لأنّ حجّه النذریّ صار قضاءً موسّعاً، فَفَرقٌ بین الإهمال مع الفوریة، والإهمال مع التوقیت، بناءً علی تقدیم حجّة الإسلام مع کون النذریّ موسّعاً</w:t>
      </w:r>
      <w:r>
        <w:rPr>
          <w:rFonts w:eastAsia="Amiri" w:cs="Amiri" w:ascii="Amiri" w:hAnsi="Amiri"/>
          <w:color w:val="111111"/>
          <w:sz w:val="28"/>
          <w:szCs w:val="28"/>
          <w:rtl w:val="true"/>
          <w:lang w:bidi="ar-SA"/>
        </w:rPr>
        <w:t>.</w:t>
      </w:r>
      <w:bookmarkStart w:id="69" w:name="pg13284_130500"/>
    </w:p>
    <w:p>
      <w:pPr>
        <w:pStyle w:val="Heading4"/>
        <w:numPr>
          <w:ilvl w:val="3"/>
          <w:numId w:val="1"/>
        </w:numPr>
        <w:rPr/>
      </w:pPr>
      <w:bookmarkStart w:id="70" w:name="__RefHeading___Toc2055551_2322387425"/>
      <w:bookmarkStart w:id="71" w:name="_Toc25"/>
      <w:bookmarkEnd w:id="69"/>
      <w:bookmarkEnd w:id="70"/>
      <w:r>
        <w:rPr>
          <w:rtl w:val="true"/>
        </w:rPr>
        <w:t>هل یتداخل الحجّ النذری غیر المقیّد مع حجّة الإسلام؟</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الحجّ</w:t>
      </w:r>
      <w:r>
        <w:rPr>
          <w:rStyle w:val="FootnoteAnchor"/>
          <w:rtl w:val="true"/>
        </w:rPr>
        <w:footnoteReference w:id="162"/>
      </w:r>
      <w:r>
        <w:rPr>
          <w:rFonts w:ascii="IRNazanin" w:hAnsi="IRNazanin" w:eastAsia="IRNazanin"/>
          <w:color w:val="111111"/>
          <w:sz w:val="28"/>
          <w:sz w:val="28"/>
          <w:szCs w:val="28"/>
          <w:rtl w:val="true"/>
          <w:lang w:bidi="fa-IR"/>
        </w:rPr>
        <w:t>وأطلق</w:t>
      </w:r>
      <w:r>
        <w:rPr>
          <w:rStyle w:val="FootnoteAnchor"/>
          <w:rtl w:val="true"/>
        </w:rPr>
        <w:footnoteReference w:id="163"/>
      </w:r>
      <w:r>
        <w:rPr>
          <w:rFonts w:ascii="IRNazanin" w:hAnsi="IRNazanin" w:eastAsia="IRNazanin"/>
          <w:color w:val="111111"/>
          <w:sz w:val="28"/>
          <w:sz w:val="28"/>
          <w:szCs w:val="28"/>
          <w:rtl w:val="true"/>
          <w:lang w:bidi="fa-IR"/>
        </w:rPr>
        <w:t>من غیر تقییدٍ بحجّة الإسلام ولا بغیره وکان مستطیعاً، أو استطاع بعد ذلک فهل یتداخلان فیکفی حجّ واحد عنهما، أو یجب التعدّد، أو یکفی نیّة الحجّ النذریّ عن حجّة‌الإسلام دون العکس؟ أقوال</w:t>
      </w:r>
      <w:r>
        <w:rPr>
          <w:rStyle w:val="FootnoteAnchor"/>
          <w:rtl w:val="true"/>
        </w:rPr>
        <w:footnoteReference w:id="164"/>
      </w:r>
      <w:r>
        <w:rPr>
          <w:rFonts w:ascii="IRNazanin" w:hAnsi="IRNazanin" w:eastAsia="IRNazanin"/>
          <w:color w:val="111111"/>
          <w:sz w:val="28"/>
          <w:sz w:val="28"/>
          <w:szCs w:val="28"/>
          <w:rtl w:val="true"/>
          <w:lang w:bidi="fa-IR"/>
        </w:rPr>
        <w:t>، أقواها الثانی</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أری فرقاً بین تصریحه بأیّ حجّ، أو إطلاقه فی التداخل فی الأوّل دون الثانی، والأقرب هو القول بالتداخل، ولیس المقام من صغریات مسألة عدم تداخل الأسباب؛ لأ نّه لیس سبباً إلاّ لوجوب ما تعلّق النذر به، ونسبة تعلّق النذر بمطلق الحجّ أو بغیره کنسبة الحکم الثابت لموضوعه، لا کنسبة الشرط إلی مشروطه، وما هو تحت مسألة التداخل هو ما کان من قبیل الأوّل، لا الثانی، فکأ نّه من قبیل توجّه الخطابَین بطبیعة واحدة، وبناوءهم فی مثله علی التداخل؛ لعدم معارض لإطلاق الموضوع فی الخطابین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أنّ المدار علی إطلاق النذر بحیث یعمّ حجّة الإسلام، وعدمه، فعلی الأوّل یکفی حجّة الإسلام عن النذریّ، دون العکس، ولیس کفایتها عنه من باب التداخل، وعلی الثانی یجب التعدّد، ولا یتداخلان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صورة انحلال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حجّة الإسلام إذا نوی برّ النذر بها، ولیس من التداخل 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کفایة حجّة الإسلام، ولیس من باب التداخل، والأحوط قصد بِرّ النذر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فرض المسألة إذا لم یکن انصراف لکون النذریّ غیر حجّة الإسلام فالأقرب کون حجّ واحد بقصدهما مجزیاً عنهما، لکن مع ذلک لا یُترک الاحتیاط فی صورة عدم قصد التعمیم فی نذره لحجّة الإسلام بإتیان کلّ واحد مستقلاًّ مقدّماً لحجّة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الأقوی کفایة الحجّ الواحد عنهما، بأن یأتی بحجّة الإسلام ناویاً بِرّ النذر بها، وهذا لیس من التداخل المصطلح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أنّ المدار علی شمول إطلاق النذر لحجّة الإسلام، وعدمه، فعلی الأوّل تکفی حجّة الإسلام عن النذر، دون العکس علی الأحوط، ولیس کفایتها من باب التداخل، وعلی الثانی یجب التعدّد بلا تداخل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قصده التعمیم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الثالث فی غیر ما تقدّم من انحلال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فرضنا إطلاق النذر فی نیة الناذر فلا إشکال فی کفایة حجٍّ واحدٍ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حجّة الإسلام مع قصد بِرّ النذر بها، ولیس هذا من التداخل، وعلی فرض کونه منه الأصل هو التداخل، وهو قدس‌سره فی ملحقات العروة فی مبحث العدّة یصرّح بأنّ الأصل هو التداخل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لأصالة تعدّد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المسبّب</w:t>
      </w:r>
      <w:r>
        <w:rPr>
          <w:rStyle w:val="FootnoteAnchor"/>
          <w:rtl w:val="true"/>
        </w:rPr>
        <w:footnoteReference w:id="166"/>
      </w:r>
      <w:r>
        <w:rPr>
          <w:rFonts w:ascii="IRNazanin" w:hAnsi="IRNazanin" w:eastAsia="IRNazanin"/>
          <w:color w:val="111111"/>
          <w:sz w:val="28"/>
          <w:sz w:val="28"/>
          <w:szCs w:val="28"/>
          <w:rtl w:val="true"/>
          <w:lang w:bidi="fa-IR"/>
        </w:rPr>
        <w:t>بتعدّد السبب، والقول بأنّ الأصل هو التداخل</w:t>
      </w:r>
      <w:r>
        <w:rPr>
          <w:rStyle w:val="FootnoteAnchor"/>
          <w:rtl w:val="true"/>
        </w:rPr>
        <w:footnoteReference w:id="167"/>
      </w:r>
      <w:r>
        <w:rPr>
          <w:rFonts w:ascii="IRNazanin" w:hAnsi="IRNazanin" w:eastAsia="IRNazanin"/>
          <w:color w:val="111111"/>
          <w:sz w:val="28"/>
          <w:sz w:val="28"/>
          <w:szCs w:val="28"/>
          <w:rtl w:val="true"/>
          <w:lang w:bidi="fa-IR"/>
        </w:rPr>
        <w:t>ضعیف، واستدلَّ للثالث بصحیحتَی 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رجلٍ نذر أن یمشی إلی بیت اللّه فمشی، هل یجزیه عن حجّة الإسلام؟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ظاهرهما کفایة الحجّ النذریّ</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ظهورهما فی الفرض غیر معلوم، بل الجمع بینهما وبین ما یدلّ علی وجوب الحجّ بعد الاستطاعة یقتضی حملهما علی بعد الاستطاعة، لکنّ الأحوط مع ذلک عدم الاکتفاء بالنذر؛ لأ نّه خلاف القاعدة، ولم یُحرَز العمل بهما من غیر الشیخ وأتباعه علی ما هو المحکیّ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حجّة الإسلام مع عدم</w:t>
      </w:r>
      <w:bookmarkStart w:id="72" w:name="pg13284_130503"/>
    </w:p>
    <w:p>
      <w:pPr>
        <w:pStyle w:val="BookText"/>
        <w:rPr/>
      </w:pPr>
      <w:bookmarkEnd w:id="72"/>
      <w:r>
        <w:rPr>
          <w:rFonts w:ascii="IRNazanin" w:hAnsi="IRNazanin" w:eastAsia="IRNazanin"/>
          <w:color w:val="111111"/>
          <w:sz w:val="28"/>
          <w:sz w:val="28"/>
          <w:szCs w:val="28"/>
          <w:rtl w:val="true"/>
          <w:lang w:bidi="fa-IR"/>
        </w:rPr>
        <w:t>الاستطاعة، وهو غیر معمول به، ویمکن حملهما علی أ نّه نَذَرَ المشیَ لا الحجّ</w:t>
      </w:r>
      <w:r>
        <w:rPr>
          <w:rStyle w:val="FootnoteAnchor"/>
          <w:rtl w:val="true"/>
        </w:rPr>
        <w:footnoteReference w:id="169"/>
      </w:r>
      <w:r>
        <w:rPr>
          <w:rFonts w:ascii="IRNazanin" w:hAnsi="IRNazanin" w:eastAsia="IRNazanin"/>
          <w:color w:val="111111"/>
          <w:sz w:val="28"/>
          <w:sz w:val="28"/>
          <w:szCs w:val="28"/>
          <w:rtl w:val="true"/>
          <w:lang w:bidi="fa-IR"/>
        </w:rPr>
        <w:t>، ثمّ أراد أن یحجَّ فسأل علیه‌السلام عن أ نّه هل یجزیه هذا الحجّ الّذی أتی به عقیب هذا المشی، أو لا؟ فأجاب علیه‌السلام بالکفایة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نذر</w:t>
      </w:r>
      <w:r>
        <w:rPr>
          <w:rStyle w:val="FootnoteAnchor"/>
          <w:rtl w:val="true"/>
        </w:rPr>
        <w:footnoteReference w:id="170"/>
      </w:r>
      <w:r>
        <w:rPr>
          <w:rFonts w:ascii="Amiri" w:hAnsi="Amiri" w:eastAsia="Amiri" w:cs="Amiri"/>
          <w:color w:val="111111"/>
          <w:sz w:val="28"/>
          <w:sz w:val="28"/>
          <w:szCs w:val="28"/>
          <w:rtl w:val="true"/>
          <w:lang w:bidi="ar-SA"/>
        </w:rPr>
        <w:t>أن یحجّ مطلقاً أیَّ حجٍّ کان کفاه عن نذره حجّة الإسلام، بل الحجّ النیابیّ</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مراده التعمیم بالنسبة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أراد التعمیم بالنسبة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 النیابیّ لیس حجّه، فلا یعمّه إطلاق نذر الحجّ إلاّ أن یقصد التعمیم بالنسبة إلیه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قصد التعمیم حتی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الإطلاق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أیضاً؛ لأنّ مقصوده حینئذٍ حصول الحجّ منه فی الخارج بأیّ وجهٍ کان</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055553_2322387425"/>
      <w:bookmarkStart w:id="74" w:name="_Toc26"/>
      <w:bookmarkEnd w:id="73"/>
      <w:r>
        <w:rPr>
          <w:rtl w:val="true"/>
        </w:rPr>
        <w:t>حصول الاستطاعة قبل تحقّق متعلّق الحجّ المنذور</w:t>
      </w:r>
      <w:bookmarkEnd w:id="7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الحجّ حال عدم استطاعته معلّقاً علی شفاء ولده مثلاً فاستطاع قبل حصول المعلّق علیه فالظاهر تقدیم حجّة</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الإسلام</w:t>
      </w:r>
      <w:r>
        <w:rPr>
          <w:rStyle w:val="FootnoteAnchor"/>
          <w:rtl w:val="true"/>
        </w:rPr>
        <w:footnoteReference w:id="173"/>
      </w:r>
      <w:r>
        <w:rPr>
          <w:rFonts w:ascii="IRNazanin" w:hAnsi="IRNazanin" w:eastAsia="IRNazanin"/>
          <w:color w:val="111111"/>
          <w:sz w:val="28"/>
          <w:sz w:val="28"/>
          <w:szCs w:val="28"/>
          <w:rtl w:val="true"/>
          <w:lang w:bidi="fa-IR"/>
        </w:rPr>
        <w:t>، ویحتمل</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ضعیف، وإن فُرِضَ کونه من قبیل الواجب المعلّق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والأقرب تقدیم حجّة الإسلام بناءً علی الفوریة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والمتعیّن هو وجوب حجّة الإسلام، ولو کان نذره من قبیل الواجب المعلّق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 فی الغایة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المنذور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والظاهر تقدیم حجّة الإسلام؛ لأهمّیّتها بناءً علی لزوم الفوریّة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ضعیف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خلاف المتفاهم العرفیّ؛ لأنّ مرتکزاتهم فی نظائر المقام الواجب المشروط دون المعلّق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المنذور طبیعة الحجّ کفاه حجّة الإسلام، وإلاّ فإن قلنا بعدم انعقاده فلا کلام، وإن قلنا بانعقاده وإن لم یکن فوریّاً ولا متعلّقاً بالحجّ فی تلک السَنَةِ قَدّم حجّة الإسلام، وإلاّ قدم المنذور مطلقاً،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w:t>
      </w:r>
      <w:bookmarkStart w:id="75" w:name="pg13284_130505"/>
    </w:p>
    <w:p>
      <w:pPr>
        <w:pStyle w:val="BookText"/>
        <w:rPr/>
      </w:pPr>
      <w:bookmarkEnd w:id="75"/>
      <w:r>
        <w:rPr>
          <w:rFonts w:ascii="IRNazanin" w:hAnsi="IRNazanin" w:eastAsia="IRNazanin"/>
          <w:color w:val="111111"/>
          <w:sz w:val="28"/>
          <w:sz w:val="28"/>
          <w:szCs w:val="28"/>
          <w:rtl w:val="true"/>
          <w:lang w:bidi="fa-IR"/>
        </w:rPr>
        <w:t>إذا</w:t>
      </w:r>
      <w:r>
        <w:rPr>
          <w:rStyle w:val="FootnoteAnchor"/>
          <w:rtl w:val="true"/>
        </w:rPr>
        <w:footnoteReference w:id="175"/>
      </w:r>
      <w:r>
        <w:rPr>
          <w:rFonts w:ascii="IRNazanin" w:hAnsi="IRNazanin" w:eastAsia="IRNazanin"/>
          <w:color w:val="111111"/>
          <w:sz w:val="28"/>
          <w:sz w:val="28"/>
          <w:szCs w:val="28"/>
          <w:rtl w:val="true"/>
          <w:lang w:bidi="fa-IR"/>
        </w:rPr>
        <w:t>فرض حصول المعلّق</w:t>
      </w:r>
      <w:r>
        <w:rPr>
          <w:rStyle w:val="FootnoteAnchor"/>
          <w:rtl w:val="true"/>
        </w:rPr>
        <w:footnoteReference w:id="176"/>
      </w:r>
      <w:r>
        <w:rPr>
          <w:rFonts w:ascii="IRNazanin" w:hAnsi="IRNazanin" w:eastAsia="IRNazanin"/>
          <w:color w:val="111111"/>
          <w:sz w:val="28"/>
          <w:sz w:val="28"/>
          <w:szCs w:val="28"/>
          <w:rtl w:val="true"/>
          <w:lang w:bidi="fa-IR"/>
        </w:rPr>
        <w:t>علیه</w:t>
      </w:r>
      <w:r>
        <w:rPr>
          <w:rStyle w:val="FootnoteAnchor"/>
          <w:rtl w:val="true"/>
        </w:rPr>
        <w:footnoteReference w:id="177"/>
      </w:r>
      <w:r>
        <w:rPr>
          <w:rFonts w:ascii="Amiri" w:hAnsi="Amiri" w:eastAsia="Amiri" w:cs="Amiri"/>
          <w:color w:val="111111"/>
          <w:sz w:val="28"/>
          <w:sz w:val="28"/>
          <w:szCs w:val="28"/>
          <w:rtl w:val="true"/>
          <w:lang w:bidi="ar-SA"/>
        </w:rPr>
        <w:t>قبل خروج الرِفقة مع کونه فوریّاً</w:t>
      </w:r>
      <w:r>
        <w:rPr>
          <w:rStyle w:val="FootnoteAnchor"/>
          <w:rtl w:val="true"/>
        </w:rPr>
        <w:footnoteReference w:id="178"/>
      </w:r>
      <w:r>
        <w:rPr>
          <w:rFonts w:ascii="IRNazanin" w:hAnsi="IRNazanin" w:eastAsia="IRNazanin"/>
          <w:color w:val="111111"/>
          <w:sz w:val="28"/>
          <w:sz w:val="28"/>
          <w:szCs w:val="28"/>
          <w:rtl w:val="true"/>
          <w:lang w:bidi="fa-IR"/>
        </w:rPr>
        <w:t>، بل هو المتعیّن</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المتعیّن حجّة الإسلام علی کلّ حال،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تقدیم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نذره من قبیل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بطلانه أوّلاً، وتقدیم حجّ الإسلام علی فرضه أیضاً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بطلان کونه من قبیل الواجب المعلّق، وأنّ الواجب المعلّق لا أساس له، ویرجع إلی المشروط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من قبیل الواجب المشروط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2055555_2322387425"/>
      <w:bookmarkStart w:id="77" w:name="_Toc27"/>
      <w:bookmarkEnd w:id="76"/>
      <w:r>
        <w:rPr>
          <w:rtl w:val="true"/>
        </w:rPr>
        <w:t>ماذا یقدم من استقرّ فی ذمّته حجّتان فی صورة التزاحم؟</w:t>
      </w:r>
      <w:bookmarkEnd w:id="7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علیه حجّة الإسلام والحجّ النذریّ ولم یمکنه الإتیان بهما إمّا لظنّ الموت أو لعدم التمکّن إلاّ من أحدهما </w:t>
      </w:r>
    </w:p>
    <w:p>
      <w:pPr>
        <w:pStyle w:val="BookText"/>
        <w:rPr/>
      </w:pPr>
      <w:r>
        <w:rPr>
          <w:rFonts w:ascii="IRNazanin" w:hAnsi="IRNazanin" w:eastAsia="IRNazanin"/>
          <w:color w:val="111111"/>
          <w:sz w:val="28"/>
          <w:sz w:val="28"/>
          <w:szCs w:val="28"/>
          <w:rtl w:val="true"/>
          <w:lang w:bidi="fa-IR"/>
        </w:rPr>
        <w:t>ففی وجوب تقدیم الأسبق سبباً</w:t>
      </w:r>
      <w:r>
        <w:rPr>
          <w:rStyle w:val="FootnoteAnchor"/>
          <w:rtl w:val="true"/>
        </w:rPr>
        <w:footnoteReference w:id="180"/>
      </w:r>
      <w:r>
        <w:rPr>
          <w:rFonts w:ascii="IRNazanin" w:hAnsi="IRNazanin" w:eastAsia="IRNazanin"/>
          <w:color w:val="111111"/>
          <w:sz w:val="28"/>
          <w:sz w:val="28"/>
          <w:szCs w:val="28"/>
          <w:rtl w:val="true"/>
          <w:lang w:bidi="fa-IR"/>
        </w:rPr>
        <w:t>أو التخییر أو تقدیم حجّة الإسلام لأهمّیّتها وجوه، أوجهها</w:t>
      </w:r>
      <w:r>
        <w:rPr>
          <w:rStyle w:val="FootnoteAnchor"/>
          <w:rtl w:val="true"/>
        </w:rPr>
        <w:footnoteReference w:id="181"/>
      </w:r>
      <w:r>
        <w:rPr>
          <w:rFonts w:ascii="IRNazanin" w:hAnsi="IRNazanin" w:eastAsia="IRNazanin"/>
          <w:color w:val="111111"/>
          <w:sz w:val="28"/>
          <w:sz w:val="28"/>
          <w:szCs w:val="28"/>
          <w:rtl w:val="true"/>
          <w:lang w:bidi="fa-IR"/>
        </w:rPr>
        <w:t>الوسط</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ضعفه، وبعده بعد فرض الأهمّیّة فی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وأحوطها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وکذا فی ما ذکر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صدرالدین الصدر، أحمد الخونساری، 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أقواها، وقد تقدّم تقدیم حجّة الإسلام فی مورد المزاحمة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الأخیر، وکذا فی ما بعده، ولا یخفی عدم صحّة الجمع بین الحکم بالتخییر والاحتیاط بتقدیم حجّة الإسلام؛ لأنّ المقام من موارد التزاحم والتخییر فرع تساوی الاحتمالین فی الأهمّیّة، والاحتیاط فرع انحصار احتمال الأهمّیّة فی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المتعیّن، کما تقدّم مراراً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أظهرها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w:t>
      </w:r>
      <w:bookmarkStart w:id="78" w:name="pg13284_130507"/>
    </w:p>
    <w:p>
      <w:pPr>
        <w:pStyle w:val="BookText"/>
        <w:rPr/>
      </w:pPr>
      <w:bookmarkEnd w:id="78"/>
      <w:r>
        <w:rPr>
          <w:rFonts w:ascii="IRNazanin" w:hAnsi="IRNazanin" w:eastAsia="IRNazanin"/>
          <w:color w:val="111111"/>
          <w:sz w:val="28"/>
          <w:sz w:val="28"/>
          <w:szCs w:val="28"/>
          <w:rtl w:val="true"/>
          <w:lang w:bidi="fa-IR"/>
        </w:rPr>
        <w:t>مات</w:t>
      </w:r>
      <w:r>
        <w:rPr>
          <w:rStyle w:val="FootnoteAnchor"/>
          <w:rtl w:val="true"/>
        </w:rPr>
        <w:footnoteReference w:id="183"/>
      </w:r>
      <w:r>
        <w:rPr>
          <w:rFonts w:ascii="Amiri" w:hAnsi="Amiri" w:eastAsia="Amiri" w:cs="Amiri"/>
          <w:color w:val="111111"/>
          <w:sz w:val="28"/>
          <w:sz w:val="28"/>
          <w:szCs w:val="28"/>
          <w:rtl w:val="true"/>
          <w:lang w:bidi="ar-SA"/>
        </w:rPr>
        <w:t>وعلیه حجّتان ولم تَفِ ترکته إلاّ لإحداهما</w:t>
      </w:r>
      <w:r>
        <w:rPr>
          <w:rStyle w:val="FootnoteAnchor"/>
          <w:rtl w:val="true"/>
        </w:rPr>
        <w:footnoteReference w:id="184"/>
      </w:r>
      <w:r>
        <w:rPr>
          <w:rFonts w:ascii="IRNazanin" w:hAnsi="IRNazanin" w:eastAsia="IRNazanin"/>
          <w:color w:val="111111"/>
          <w:sz w:val="28"/>
          <w:sz w:val="28"/>
          <w:szCs w:val="28"/>
          <w:rtl w:val="true"/>
          <w:lang w:bidi="fa-IR"/>
        </w:rPr>
        <w:t>، وأمّا إن وفت الترکة فاللازم استئجارهما</w:t>
      </w:r>
      <w:r>
        <w:rPr>
          <w:rStyle w:val="FootnoteAnchor"/>
          <w:rtl w:val="true"/>
        </w:rPr>
        <w:footnoteReference w:id="185"/>
      </w:r>
      <w:r>
        <w:rPr>
          <w:rFonts w:ascii="IRNazanin" w:hAnsi="IRNazanin" w:eastAsia="IRNazanin"/>
          <w:color w:val="111111"/>
          <w:sz w:val="28"/>
          <w:sz w:val="28"/>
          <w:szCs w:val="28"/>
          <w:rtl w:val="true"/>
          <w:lang w:bidi="fa-IR"/>
        </w:rPr>
        <w:t xml:space="preserve">ولو فی عام واحد </w:t>
      </w:r>
      <w:r>
        <w:rPr>
          <w:rFonts w:eastAsia="IRNazanin" w:cs="IRNazanin"/>
          <w:color w:val="111111"/>
          <w:sz w:val="28"/>
          <w:szCs w:val="28"/>
          <w:rtl w:val="true"/>
          <w:lang w:bidi="fa-IR"/>
        </w:rPr>
        <w:t>.</w:t>
      </w:r>
    </w:p>
    <w:p>
      <w:pPr>
        <w:pStyle w:val="Heading4"/>
        <w:numPr>
          <w:ilvl w:val="3"/>
          <w:numId w:val="1"/>
        </w:numPr>
        <w:rPr/>
      </w:pPr>
      <w:bookmarkStart w:id="79" w:name="__RefHeading___Toc2055557_2322387425"/>
      <w:bookmarkStart w:id="80" w:name="_Toc28"/>
      <w:bookmarkEnd w:id="79"/>
      <w:r>
        <w:rPr>
          <w:rtl w:val="true"/>
        </w:rPr>
        <w:t>الحجّ الواجب بالنذر الموسّع</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 الحجّ الواجب بالنذر الموسّع یجوز له الإتیان بالحجّ المندوب قبله</w:t>
      </w:r>
      <w:r>
        <w:rPr>
          <w:rFonts w:eastAsia="IRNazanin" w:cs="IRNazanin"/>
          <w:color w:val="111111"/>
          <w:sz w:val="28"/>
          <w:szCs w:val="28"/>
          <w:rtl w:val="true"/>
          <w:lang w:bidi="fa-IR"/>
        </w:rPr>
        <w:t>.</w:t>
      </w:r>
    </w:p>
    <w:p>
      <w:pPr>
        <w:pStyle w:val="Heading4"/>
        <w:numPr>
          <w:ilvl w:val="3"/>
          <w:numId w:val="1"/>
        </w:numPr>
        <w:rPr/>
      </w:pPr>
      <w:bookmarkStart w:id="81" w:name="__RefHeading___Toc2055559_2322387425"/>
      <w:bookmarkStart w:id="82" w:name="_Toc29"/>
      <w:bookmarkEnd w:id="81"/>
      <w:r>
        <w:rPr>
          <w:rtl w:val="true"/>
        </w:rPr>
        <w:t>نذر الحجّ أو الإحجاج</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أو یُحجَّ انعقد ووجب علیه أحدهما علیوجه التخییر، وإذا ترکهما حتّی مات یجب القضاء عنه</w:t>
      </w:r>
      <w:r>
        <w:rPr>
          <w:rStyle w:val="FootnoteAnchor"/>
          <w:rtl w:val="true"/>
        </w:rPr>
        <w:footnoteReference w:id="186"/>
      </w:r>
      <w:r>
        <w:rPr>
          <w:rFonts w:ascii="Amiri" w:hAnsi="Amiri" w:eastAsia="Amiri" w:cs="Amiri"/>
          <w:color w:val="111111"/>
          <w:sz w:val="28"/>
          <w:sz w:val="28"/>
          <w:szCs w:val="28"/>
          <w:rtl w:val="true"/>
          <w:lang w:bidi="ar-SA"/>
        </w:rPr>
        <w:t>مخیّراً</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استئجار مَن ینوب عنه، وإحجاج شخص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استئجار مَن یحجّ عنه، وإحجاج شخص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الإحجاج، والحجّ النیابی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لایبعد عدم وجوب قضاء شیء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الحجّ عنه، والإحجاج بماله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طرأ العجز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أحدهما معیّناً تعیّن الآخر، ولو ترکه أیضاً حتّی مات یجب</w:t>
      </w:r>
    </w:p>
    <w:p>
      <w:pPr>
        <w:pStyle w:val="BookText"/>
        <w:rPr/>
      </w:pPr>
      <w:r>
        <w:rPr>
          <w:rFonts w:ascii="IRNazanin" w:hAnsi="IRNazanin" w:eastAsia="IRNazanin"/>
          <w:color w:val="111111"/>
          <w:sz w:val="28"/>
          <w:sz w:val="28"/>
          <w:szCs w:val="28"/>
          <w:rtl w:val="true"/>
          <w:lang w:bidi="fa-IR"/>
        </w:rPr>
        <w:t>القضاء عنه مخیّراً أیضاً؛ لأنّ الواجب کان علی وجه التخییر، فالفائت هوالواجب المخیّر، ولا عِبرة بالتعیین العَرَضی</w:t>
      </w:r>
      <w:r>
        <w:rPr>
          <w:rStyle w:val="FootnoteAnchor"/>
          <w:rtl w:val="true"/>
        </w:rPr>
        <w:footnoteReference w:id="188"/>
      </w:r>
      <w:r>
        <w:rPr>
          <w:rFonts w:ascii="IRNazanin" w:hAnsi="IRNazanin" w:eastAsia="IRNazanin"/>
          <w:color w:val="111111"/>
          <w:sz w:val="28"/>
          <w:sz w:val="28"/>
          <w:szCs w:val="28"/>
          <w:rtl w:val="true"/>
          <w:lang w:bidi="fa-IR"/>
        </w:rPr>
        <w:t>، فهو کما لو کان علیه کفّارة الإفطار فی شهر رمضان وکان عاجزاً عن بعض الخصال ثمّ مات، فإنّه یجب الإخراج عن ترکته</w:t>
      </w:r>
      <w:r>
        <w:rPr>
          <w:rStyle w:val="FootnoteAnchor"/>
          <w:rtl w:val="true"/>
        </w:rPr>
        <w:footnoteReference w:id="189"/>
      </w:r>
      <w:r>
        <w:rPr>
          <w:rFonts w:ascii="IRNazanin" w:hAnsi="IRNazanin" w:eastAsia="IRNazanin"/>
          <w:color w:val="111111"/>
          <w:sz w:val="28"/>
          <w:sz w:val="28"/>
          <w:szCs w:val="28"/>
          <w:rtl w:val="true"/>
          <w:lang w:bidi="fa-IR"/>
        </w:rPr>
        <w:t>مخیّراً، وإن تعیّن علیه فی حال حیاته فی إحداها فلا یتعیّن فی ذلک المتعیّن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حال النذر غیر متمکّنٍ إلاّ من أحدهما معیّناً ولم یتمکّن من الآخر إلی أن مات أمکن أن یقال</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فیه أیضاً هو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فیه ما تقدّم من الفرق بین العجز عن الحجّ والإحجاج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بعید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القضاء بالّذی کان متمکّناً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بدعوی أنّ النذر لم ینعقد بالنسبة إلی مالم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یتمکّن منه؛ بناءً علی أنّ عدم التمکّن یوجب عدم الانعقاد</w:t>
      </w:r>
      <w:r>
        <w:rPr>
          <w:rStyle w:val="FootnoteAnchor"/>
          <w:rtl w:val="true"/>
        </w:rPr>
        <w:footnoteReference w:id="191"/>
      </w:r>
      <w:r>
        <w:rPr>
          <w:rFonts w:ascii="IRNazanin" w:hAnsi="IRNazanin" w:eastAsia="IRNazanin"/>
          <w:color w:val="111111"/>
          <w:sz w:val="28"/>
          <w:sz w:val="28"/>
          <w:szCs w:val="28"/>
          <w:rtl w:val="true"/>
          <w:lang w:bidi="fa-IR"/>
        </w:rPr>
        <w:t>، لکنّ الظاهر أنّ مسألة الخصال لیست کذلک، فیکون الإخراج من ترکته علی وجه التخییر وإن لم یکن فی حیاته متمکّناً إلاّ من البعض أصلاً، وربّما یحتمل</w:t>
      </w:r>
      <w:r>
        <w:rPr>
          <w:rStyle w:val="FootnoteAnchor"/>
          <w:rtl w:val="true"/>
        </w:rPr>
        <w:footnoteReference w:id="192"/>
      </w:r>
      <w:r>
        <w:rPr>
          <w:rFonts w:ascii="IRNazanin" w:hAnsi="IRNazanin" w:eastAsia="IRNazanin"/>
          <w:color w:val="111111"/>
          <w:sz w:val="28"/>
          <w:sz w:val="28"/>
          <w:szCs w:val="28"/>
          <w:rtl w:val="true"/>
          <w:lang w:bidi="fa-IR"/>
        </w:rPr>
        <w:t>فی الصورة المفروضة ونظائرها عدم انعقاد النذر بالنسبة إلی الفرد الممکن أیضاً، بدعوی أنّ متعلّق النذر هو أحد الأمرین علی وجه التخییر، ومع تعذّر أحدهما لا یکون وجوب الآخر تخییریّاً، بل عن الدروس</w:t>
      </w:r>
      <w:r>
        <w:rPr>
          <w:rStyle w:val="FootnoteAnchor"/>
          <w:rtl w:val="true"/>
        </w:rPr>
        <w:footnoteReference w:id="193"/>
      </w:r>
      <w:r>
        <w:rPr>
          <w:rFonts w:ascii="IRNazanin" w:hAnsi="IRNazanin" w:eastAsia="IRNazanin"/>
          <w:color w:val="111111"/>
          <w:sz w:val="28"/>
          <w:sz w:val="28"/>
          <w:szCs w:val="28"/>
          <w:rtl w:val="true"/>
          <w:lang w:bidi="fa-IR"/>
        </w:rPr>
        <w:t>اختیاره</w:t>
      </w:r>
      <w:r>
        <w:rPr>
          <w:rStyle w:val="FootnoteAnchor"/>
          <w:rtl w:val="true"/>
        </w:rPr>
        <w:footnoteReference w:id="194"/>
      </w:r>
      <w:r>
        <w:rPr>
          <w:rFonts w:ascii="Amiri" w:hAnsi="Amiri" w:eastAsia="Amiri" w:cs="Amiri"/>
          <w:color w:val="111111"/>
          <w:sz w:val="28"/>
          <w:sz w:val="28"/>
          <w:szCs w:val="28"/>
          <w:rtl w:val="true"/>
          <w:lang w:bidi="ar-SA"/>
        </w:rPr>
        <w:t xml:space="preserve">فی مسألة مالو نذر إن رُزِقَ ولداً أن یحجّه أو یحجّ عنه إذا مات الولد قبل تمکّن </w:t>
      </w:r>
      <w:bookmarkStart w:id="83" w:name="pg13284_130510"/>
    </w:p>
    <w:p>
      <w:pPr>
        <w:pStyle w:val="BookText"/>
        <w:rPr/>
      </w:pPr>
      <w:bookmarkEnd w:id="83"/>
      <w:r>
        <w:rPr>
          <w:rFonts w:ascii="IRNazanin" w:hAnsi="IRNazanin" w:eastAsia="IRNazanin"/>
          <w:color w:val="111111"/>
          <w:sz w:val="28"/>
          <w:sz w:val="28"/>
          <w:szCs w:val="28"/>
          <w:rtl w:val="true"/>
          <w:lang w:bidi="fa-IR"/>
        </w:rPr>
        <w:t>الأب من أحد الأمرین،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الناذر إتیان أحد الأمرین</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هو إلاّ التخییر؟ وإن اُرید فی مقام الإنشاء ما یقدر علیه فلا مسرح حینئذٍ للتخییر فی مقام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هذا عین التخییر من قبل الناذر، وأمّا کونه تخییریّاً من قبل الشارع فخارج عن النذر 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عین التخییر من قبل الناذر، فإذا کان انعقاد النذر مشروطاً بالتمکّن وکان لدلیل التقیید إطلاق یشمل التمکّن من العدلَین تَمَّ ما قاله الشهید قدس‌سره ، والحقّ فی الجواب ما ذکرناه؛ فإنّ إطلاق أدلّة النفوذ محکم، ودلیل التقیید إنّما هو الإجماع، ولا إطلاق فیه، والقدر المتیقّن خروجه به هو صورة عدم التمکّن من کلا العدلَین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دون اشتراط کونه علی وجه التخییر، فلیس النذر مقیّداً بکونه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واجباً تخییریّاً، حتّی یشترط فی انعقاده التمکّن منهما</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2055561_2322387425"/>
      <w:bookmarkStart w:id="85" w:name="_Toc30"/>
      <w:bookmarkEnd w:id="84"/>
      <w:r>
        <w:rPr>
          <w:rtl w:val="true"/>
        </w:rPr>
        <w:t>نذر الحجّ أو زیارة الحسین علیه السلام</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یحجّ أو یزور الحسین علیه‌السلام من بلده ثمّ مات قبل الوفاء بنذره وجب القضاء</w:t>
      </w:r>
      <w:r>
        <w:rPr>
          <w:rStyle w:val="FootnoteAnchor"/>
          <w:rtl w:val="true"/>
        </w:rPr>
        <w:footnoteReference w:id="196"/>
      </w:r>
      <w:r>
        <w:rPr>
          <w:rFonts w:ascii="IRNazanin" w:hAnsi="IRNazanin" w:eastAsia="IRNazanin"/>
          <w:color w:val="111111"/>
          <w:sz w:val="28"/>
          <w:sz w:val="28"/>
          <w:szCs w:val="28"/>
          <w:rtl w:val="true"/>
          <w:lang w:bidi="fa-IR"/>
        </w:rPr>
        <w:t>من ترکته</w:t>
      </w:r>
      <w:r>
        <w:rPr>
          <w:rStyle w:val="FootnoteAnchor"/>
          <w:rtl w:val="true"/>
        </w:rPr>
        <w:footnoteReference w:id="197"/>
      </w:r>
      <w:r>
        <w:rPr>
          <w:rFonts w:ascii="IRNazanin" w:hAnsi="IRNazanin" w:eastAsia="IRNazanin"/>
          <w:color w:val="111111"/>
          <w:sz w:val="28"/>
          <w:sz w:val="28"/>
          <w:szCs w:val="28"/>
          <w:rtl w:val="true"/>
          <w:lang w:bidi="fa-IR"/>
        </w:rPr>
        <w:t xml:space="preserve">، ولو اختلفت اُجرتهما یجب </w:t>
      </w:r>
    </w:p>
    <w:p>
      <w:pPr>
        <w:pStyle w:val="BookText"/>
        <w:rPr/>
      </w:pPr>
      <w:r>
        <w:rPr>
          <w:rFonts w:ascii="IRNazanin" w:hAnsi="IRNazanin" w:eastAsia="IRNazanin"/>
          <w:color w:val="111111"/>
          <w:sz w:val="28"/>
          <w:sz w:val="28"/>
          <w:szCs w:val="28"/>
          <w:rtl w:val="true"/>
          <w:lang w:bidi="fa-IR"/>
        </w:rPr>
        <w:t>الاقتصار</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أنّ متعلّق النذر علی ما هو علیه من السنخ تعییناً أو تخییراً یحلّ بموت الناذر فی ترکته، ولا تزاحمه أدلّة الإرث؛ لأنّ تلک الأدلّة متأخّرة من حیث الرتبة وعالم التأدیة عن کلّیّة الحقوق المتعلّقة بالترکة، ومنها الواجبات النذریة، وعلی هذا فلا یکون للوارث حقّ منع الوصیّ ـ لو کان وصیّ فی البین ـ عن اختیار الأکثر اُجرة، ومن المعلوم أنّ التخییر هو مقتضی نذره، فالنذر اقتضاه، فتوهّم أنّ بین دلیل وفاء النذر وأدلّة الإرث تقابل اللامقتضی مع المقتضی مدفوع بما ذکر، ومنه یظهر حکم الوصیّة باختیار الأزید وأنّه یخرج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کما عنه قدس‌سره فی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الکفن، والمسألة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السابق؛ لوحدة الدلیل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مخیّر مع کون کلّ واحد منهما أقلّ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أقلّهما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یوصِ باختیار الأزید أو لم یفوِّض أمر التعیین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بقاء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تبرّع الوارث بالزائد فلا یجوز للوصیّ اختیار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الأزید اُجرةً، وإن جعل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 فی هذه الصورة ویتعیّن مع تعیّن الموصی، والظاهر خروج الزائد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التعیین</w:t>
      </w:r>
      <w:bookmarkStart w:id="86" w:name="pg13284_130512"/>
    </w:p>
    <w:p>
      <w:pPr>
        <w:pStyle w:val="BookText"/>
        <w:rPr/>
      </w:pPr>
      <w:bookmarkEnd w:id="86"/>
      <w:r>
        <w:rPr>
          <w:rFonts w:ascii="IRNazanin" w:hAnsi="IRNazanin" w:eastAsia="IRNazanin"/>
          <w:color w:val="111111"/>
          <w:sz w:val="28"/>
          <w:sz w:val="28"/>
          <w:szCs w:val="28"/>
          <w:rtl w:val="true"/>
          <w:lang w:bidi="fa-IR"/>
        </w:rPr>
        <w:t>إلیه</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یجوز فی هذه الصورة للوصی اختیار الأزید اُجرةً إذا کان یَسَع الثلث للزیادة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اختیار الأکثر اُجرةً فی هذا الفرض، غایة الأمر أنّ الزائد یخرج من الثلث علی مختار الماتن قدس‌سره ، وعلی ما اخترناه فالکلّ یخرج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حینئذٍ مع سَعَة الثلث للزیادة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مشکل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أوصی باختیار الأزید اُجرةً خرج الزائد من 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055563_2322387425"/>
      <w:bookmarkStart w:id="88" w:name="_Toc31"/>
      <w:bookmarkEnd w:id="87"/>
      <w:r>
        <w:rPr>
          <w:rtl w:val="true"/>
        </w:rPr>
        <w:t>من مات وعلیه حجّ لم یعلم أنّه حجّة الإسلام أو حجّ النذر</w:t>
      </w:r>
      <w:bookmarkEnd w:id="8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علی المیّت حجّاً ولم یُعلَم أ نّه حجّة الإسلام أو حجّ النذر</w:t>
      </w:r>
      <w:r>
        <w:rPr>
          <w:rStyle w:val="FootnoteAnchor"/>
          <w:rtl w:val="true"/>
        </w:rPr>
        <w:footnoteReference w:id="200"/>
      </w:r>
      <w:r>
        <w:rPr>
          <w:rFonts w:ascii="IRNazanin" w:hAnsi="IRNazanin" w:eastAsia="IRNazanin"/>
          <w:color w:val="111111"/>
          <w:sz w:val="28"/>
          <w:sz w:val="28"/>
          <w:szCs w:val="28"/>
          <w:rtl w:val="true"/>
          <w:lang w:bidi="fa-IR"/>
        </w:rPr>
        <w:t>وجب قضاوءه عنه</w:t>
      </w:r>
      <w:r>
        <w:rPr>
          <w:rStyle w:val="FootnoteAnchor"/>
          <w:rtl w:val="true"/>
        </w:rPr>
        <w:footnoteReference w:id="201"/>
      </w:r>
      <w:r>
        <w:rPr>
          <w:rFonts w:ascii="IRNazanin" w:hAnsi="IRNazanin" w:eastAsia="IRNazanin"/>
          <w:color w:val="111111"/>
          <w:sz w:val="28"/>
          <w:sz w:val="28"/>
          <w:szCs w:val="28"/>
          <w:rtl w:val="true"/>
          <w:lang w:bidi="fa-IR"/>
        </w:rPr>
        <w:t>من غیر تعیین، ولیس علیه کفّارة، ولو تردّد ما علیه بین الواجب بالنذر أو بالحلف وجبت الکفّارة أیضاً</w:t>
      </w:r>
      <w:r>
        <w:rPr>
          <w:rStyle w:val="FootnoteAnchor"/>
          <w:rtl w:val="true"/>
        </w:rPr>
        <w:footnoteReference w:id="202"/>
      </w:r>
      <w:r>
        <w:rPr>
          <w:rFonts w:ascii="IRNazanin" w:hAnsi="IRNazanin" w:eastAsia="IRNazanin"/>
          <w:color w:val="111111"/>
          <w:sz w:val="28"/>
          <w:sz w:val="28"/>
          <w:szCs w:val="28"/>
          <w:rtl w:val="true"/>
          <w:lang w:bidi="fa-IR"/>
        </w:rPr>
        <w:t xml:space="preserve">، وحیث </w:t>
      </w:r>
    </w:p>
    <w:p>
      <w:pPr>
        <w:pStyle w:val="BookText"/>
        <w:rPr/>
      </w:pPr>
      <w:r>
        <w:rPr>
          <w:rFonts w:ascii="Amiri" w:hAnsi="Amiri" w:eastAsia="Amiri" w:cs="Amiri"/>
          <w:color w:val="111111"/>
          <w:sz w:val="28"/>
          <w:sz w:val="28"/>
          <w:szCs w:val="28"/>
          <w:rtl w:val="true"/>
          <w:lang w:bidi="ar-SA"/>
        </w:rPr>
        <w:t>إنّها مردّدة</w:t>
      </w:r>
      <w:r>
        <w:rPr>
          <w:rStyle w:val="FootnoteAnchor"/>
          <w:rtl w:val="true"/>
        </w:rPr>
        <w:footnoteReference w:id="203"/>
      </w:r>
      <w:r>
        <w:rPr>
          <w:rFonts w:ascii="IRNazanin" w:hAnsi="IRNazanin" w:eastAsia="IRNazanin"/>
          <w:color w:val="111111"/>
          <w:sz w:val="28"/>
          <w:sz w:val="28"/>
          <w:szCs w:val="28"/>
          <w:rtl w:val="true"/>
          <w:lang w:bidi="fa-IR"/>
        </w:rPr>
        <w:t>بین کفّارة النذر وکفّارة الیمین</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أنّ کفّارة النذر هی کفّارة الیمین، فیأتی ببعض خصالها من غیر 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عندنا تساوی الکفّارتَین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الأصحّ البراءة من وجوب الزائد؛ فإنّه من قبیل الأقلّ والأکثر الغیر الارتباطی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الأقلّ، وما ذکره قدس‌سره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کفایة الاقتصار علی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للاحتیاط بناءً علی جریان البراءة فی الأقلّ والأکثر الارتباطیَّین فی 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 الاقتصار علی الأقلّ وهو إطعام العشرة، لکن لا ینبغی ترک الاحتیاط بإطعام الستّین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جواز الاقتصار علی إطعام العشرة علی القول به فی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الأقلّ، والاحتیاط مستحبّ مع عدم المزاحم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کفّارة النذر وکفّارة الیمین واحدة، ومرّ أنّ الکفّارات لا تخرج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ویکفی حینئذٍ إطعام ستّین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الأقلّ؛ لجریان البراءة عن الأکثر، وإن کان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مسکیناً؛ لأنّ فیه إطعام عشرة أیضاً الّذی یکفی</w:t>
      </w:r>
      <w:bookmarkStart w:id="89" w:name="pg13284_130514"/>
    </w:p>
    <w:p>
      <w:pPr>
        <w:pStyle w:val="BookText"/>
        <w:rPr/>
      </w:pPr>
      <w:bookmarkEnd w:id="89"/>
      <w:r>
        <w:rPr>
          <w:rFonts w:ascii="IRNazanin" w:hAnsi="IRNazanin" w:eastAsia="IRNazanin"/>
          <w:color w:val="111111"/>
          <w:sz w:val="28"/>
          <w:sz w:val="28"/>
          <w:szCs w:val="28"/>
          <w:rtl w:val="true"/>
          <w:lang w:bidi="fa-IR"/>
        </w:rPr>
        <w:t>فی کفّارة الحلف</w:t>
      </w:r>
      <w:r>
        <w:rPr>
          <w:rFonts w:eastAsia="IRNazanin" w:cs="IRNazanin"/>
          <w:color w:val="111111"/>
          <w:sz w:val="28"/>
          <w:szCs w:val="28"/>
          <w:rtl w:val="true"/>
          <w:lang w:bidi="fa-IR"/>
        </w:rPr>
        <w:t>.</w:t>
      </w:r>
    </w:p>
    <w:p>
      <w:pPr>
        <w:pStyle w:val="Heading4"/>
        <w:numPr>
          <w:ilvl w:val="3"/>
          <w:numId w:val="1"/>
        </w:numPr>
        <w:rPr/>
      </w:pPr>
      <w:bookmarkStart w:id="90" w:name="__RefHeading___Toc2055565_2322387425"/>
      <w:bookmarkStart w:id="91" w:name="_Toc32"/>
      <w:bookmarkEnd w:id="90"/>
      <w:r>
        <w:rPr>
          <w:rtl w:val="true"/>
        </w:rPr>
        <w:t>نذر الحجّ ماشیاً</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المشی فی حجّه الواجب علیه أو المستحبّ انعقد مطلقاً حتّی فی موردٍ یکون الرکوب أفضل</w:t>
      </w:r>
      <w:r>
        <w:rPr>
          <w:rStyle w:val="FootnoteAnchor"/>
          <w:rtl w:val="true"/>
        </w:rPr>
        <w:footnoteReference w:id="205"/>
      </w:r>
      <w:r>
        <w:rPr>
          <w:rFonts w:ascii="IRNazanin" w:hAnsi="IRNazanin" w:eastAsia="IRNazanin"/>
          <w:color w:val="111111"/>
          <w:sz w:val="28"/>
          <w:sz w:val="28"/>
          <w:szCs w:val="28"/>
          <w:rtl w:val="true"/>
          <w:lang w:bidi="fa-IR"/>
        </w:rPr>
        <w:t>لأنّ المشی فی حدّ نفسه أفضل</w:t>
      </w:r>
      <w:r>
        <w:rPr>
          <w:rStyle w:val="FootnoteAnchor"/>
          <w:rtl w:val="true"/>
        </w:rPr>
        <w:footnoteReference w:id="206"/>
      </w:r>
      <w:r>
        <w:rPr>
          <w:rFonts w:ascii="IRNazanin" w:hAnsi="IRNazanin" w:eastAsia="IRNazanin"/>
          <w:color w:val="111111"/>
          <w:sz w:val="28"/>
          <w:sz w:val="28"/>
          <w:szCs w:val="28"/>
          <w:rtl w:val="true"/>
          <w:lang w:bidi="fa-IR"/>
        </w:rPr>
        <w:t>من الرکوب، بمقتضی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الرکوب قد یکون أرجح لبعض الجهات؛ فإنّ أرجحیّته لا توجب زوال الرجحان</w:t>
      </w:r>
      <w:r>
        <w:rPr>
          <w:rStyle w:val="FootnoteAnchor"/>
          <w:rtl w:val="true"/>
        </w:rPr>
        <w:footnoteReference w:id="207"/>
      </w:r>
      <w:r>
        <w:rPr>
          <w:rFonts w:ascii="IRNazanin" w:hAnsi="IRNazanin" w:eastAsia="IRNazanin"/>
          <w:color w:val="111111"/>
          <w:sz w:val="28"/>
          <w:sz w:val="28"/>
          <w:szCs w:val="28"/>
          <w:rtl w:val="true"/>
          <w:lang w:bidi="fa-IR"/>
        </w:rPr>
        <w:t>عن المشی فی حدّ نفسه، وکذا ینعقد لو نذر الحجّ ماشیاً مطلقاً،ولو مع الإغماض</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الانعقاد مع هذه الغمیضة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رجحان المشی؛ لکفایة</w:t>
      </w:r>
    </w:p>
    <w:p>
      <w:pPr>
        <w:pStyle w:val="BookText"/>
        <w:rPr/>
      </w:pPr>
      <w:r>
        <w:rPr>
          <w:rFonts w:ascii="IRNazanin" w:hAnsi="IRNazanin" w:eastAsia="IRNazanin"/>
          <w:color w:val="111111"/>
          <w:sz w:val="28"/>
          <w:sz w:val="28"/>
          <w:szCs w:val="28"/>
          <w:rtl w:val="true"/>
          <w:lang w:bidi="fa-IR"/>
        </w:rPr>
        <w:t>رجحان</w:t>
      </w:r>
      <w:r>
        <w:rPr>
          <w:rStyle w:val="FootnoteAnchor"/>
          <w:rtl w:val="true"/>
        </w:rPr>
        <w:footnoteReference w:id="209"/>
      </w:r>
      <w:r>
        <w:rPr>
          <w:rFonts w:ascii="IRNazanin" w:hAnsi="IRNazanin" w:eastAsia="IRNazanin"/>
          <w:color w:val="111111"/>
          <w:sz w:val="28"/>
          <w:sz w:val="28"/>
          <w:szCs w:val="28"/>
          <w:rtl w:val="true"/>
          <w:lang w:bidi="fa-IR"/>
        </w:rPr>
        <w:t>أصل الحجّ فی الانعقاد</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أظنّ أنّ مثل هذا التعمیم ممّا یمکن الالتزام به، کما لو نذر الصلاة فی ساترٍ من الکِتّان مثلاً، أو نذر الحجّ ویده علی رأسه، أو فی سیّارة نوعها کذا، إلی غیر ذلک ممّا یکون القید لا رجحان فیه أصلاً، وفی مثله لابدّ من الالتزام بإلغاء القید إذا کان النذیر علی نحو تعدّد المطلوب، وببطلان أصل النذر إذا کان علی وجه وحدة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یلزم أن یکون المتعلّق راجحاً بجمیع قیوده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وأوصافه، فما عن بعضهم من عدم الانعقاد فی موردٍ یکون الرکوب أفضل 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المنذور الحجّ ماشیاً لا المشی فی حجّه الواجب علیه مثلاً فإنّه لا ینعقد، کما اعترف به فی نذر الرکوب فی المسألة الآتیة، ولعلّ نظر هذا البعض إلی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نظر البعض صورة نذر المشی فی حجّه، فلا ینعقد إذا کان الرکوب أفضل، بل لو نذر الحجّ ماشیاً فلا یبعد عدم الانعقاد أیضاً، وما ذکره قدس‌سره من عدم لزوم رجحان جمیع القیود والأوصاف مسلّم فی غیر القیود الّتی للناذر عنایة لها والمشی من جملة ذلک، فلا یبعد دعوی انعقاد نذر أصل الحجّ لا فی صفة المشی، لأنّ الظاهر أ نّه من قبیل تعدّد المطلوب فی المقام، فلا یردّ علیه ما ذکره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وفیما ذکره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وأضعف منه دعوی الانعقاد فی أصل الحجّ، لا</w:t>
      </w:r>
      <w:bookmarkStart w:id="92" w:name="pg13284_130516"/>
    </w:p>
    <w:p>
      <w:pPr>
        <w:pStyle w:val="BookText"/>
        <w:rPr/>
      </w:pPr>
      <w:bookmarkEnd w:id="92"/>
      <w:r>
        <w:rPr>
          <w:rFonts w:ascii="IRNazanin" w:hAnsi="IRNazanin" w:eastAsia="IRNazanin"/>
          <w:color w:val="111111"/>
          <w:sz w:val="28"/>
          <w:sz w:val="28"/>
          <w:szCs w:val="28"/>
          <w:rtl w:val="true"/>
          <w:lang w:bidi="fa-IR"/>
        </w:rPr>
        <w:t>فی صفة المشی، فیجب مطلقاً؛ لأنّ المفروض نذر المقیّد</w:t>
      </w:r>
      <w:r>
        <w:rPr>
          <w:rStyle w:val="FootnoteAnchor"/>
          <w:rtl w:val="true"/>
        </w:rPr>
        <w:footnoteReference w:id="211"/>
      </w:r>
      <w:r>
        <w:rPr>
          <w:rFonts w:ascii="IRNazanin" w:hAnsi="IRNazanin" w:eastAsia="IRNazanin"/>
          <w:color w:val="111111"/>
          <w:sz w:val="28"/>
          <w:sz w:val="28"/>
          <w:szCs w:val="28"/>
          <w:rtl w:val="true"/>
          <w:lang w:bidi="fa-IR"/>
        </w:rPr>
        <w:t>فلا معنی لبقائه</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المورد من باب تعدّد المطلوب، وهو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صحّة قیده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2055567_2322387425"/>
      <w:bookmarkStart w:id="94" w:name="_Toc33"/>
      <w:bookmarkEnd w:id="93"/>
      <w:r>
        <w:rPr>
          <w:rtl w:val="true"/>
        </w:rPr>
        <w:t>نذر الحجّ راکباً أو حافیاً</w:t>
      </w:r>
      <w:bookmarkEnd w:id="9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 الحجّ راکباً انعقد</w:t>
      </w:r>
      <w:r>
        <w:rPr>
          <w:rStyle w:val="FootnoteAnchor"/>
          <w:rtl w:val="true"/>
        </w:rPr>
        <w:footnoteReference w:id="213"/>
      </w:r>
      <w:r>
        <w:rPr>
          <w:rFonts w:ascii="IRNazanin" w:hAnsi="IRNazanin" w:eastAsia="IRNazanin"/>
          <w:color w:val="111111"/>
          <w:sz w:val="28"/>
          <w:sz w:val="28"/>
          <w:szCs w:val="28"/>
          <w:rtl w:val="true"/>
          <w:lang w:bidi="fa-IR"/>
        </w:rPr>
        <w:t>ووجب، ولا یجوز حینئذٍ المشی وإن کان أفضل</w:t>
      </w:r>
      <w:r>
        <w:rPr>
          <w:rStyle w:val="FootnoteAnchor"/>
          <w:rtl w:val="true"/>
        </w:rPr>
        <w:footnoteReference w:id="214"/>
      </w:r>
      <w:r>
        <w:rPr>
          <w:rFonts w:ascii="Amiri" w:hAnsi="Amiri" w:eastAsia="Amiri" w:cs="Amiri"/>
          <w:color w:val="111111"/>
          <w:sz w:val="28"/>
          <w:sz w:val="28"/>
          <w:szCs w:val="28"/>
          <w:rtl w:val="true"/>
          <w:lang w:bidi="ar-SA"/>
        </w:rPr>
        <w:t xml:space="preserve">لِما مرّ من کفایة رجحان </w:t>
      </w:r>
    </w:p>
    <w:p>
      <w:pPr>
        <w:pStyle w:val="BookText"/>
        <w:rPr/>
      </w:pPr>
      <w:r>
        <w:rPr>
          <w:rFonts w:ascii="Amiri" w:hAnsi="Amiri" w:eastAsia="Amiri" w:cs="Amiri"/>
          <w:color w:val="111111"/>
          <w:sz w:val="28"/>
          <w:sz w:val="28"/>
          <w:szCs w:val="28"/>
          <w:rtl w:val="true"/>
          <w:lang w:bidi="ar-SA"/>
        </w:rPr>
        <w:t>المقیّد</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فی الرکوب إلی الحجّ رجحاناً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التأمّل فی إطلاقه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 قیده، نعم، لو نذر الرکوب فی حجّه فی موردٍ یکون المشی 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الأفضلیّة لا یوجب عدم انعقاد النذر، إلاّ أن یکون الرکوب مرجوحاً بالنسبة إلی الناذر فی نفسه، لا بالنسبة إلی المشی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لم یکن فی الرکوب رجحان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انطبق علی الرکوب عنوان راجح، وإن کان الحجّ ماشیاً أفضل، وکذا إذا کان الرکوب مقدّمةً لأمرٍ راجح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انعقاده، ولزوم الکفّارة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عدم کون المتعلّق راجحاً، وأمّا مجرد أفضلیّة غیره منه فهو لا یصلح مانعاً عن الانعقاد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المتعلّق حینئذٍ الرکوب، لا الحجّ راکباً، وکذا ینعقد لو نذر أن یمشی بعض الطریق من فرسخ فی کلّ یوم أو فرسخین، وکذا ینعقد لو نذر الحجّ حافیاً، وما فی صحیحة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النبی صلی‌الله‌علیه‌و‌آله برکوب اُخت</w:t>
      </w:r>
      <w:bookmarkStart w:id="95" w:name="pg13284_130518"/>
    </w:p>
    <w:p>
      <w:pPr>
        <w:pStyle w:val="BookText"/>
        <w:rPr/>
      </w:pPr>
      <w:bookmarkEnd w:id="95"/>
      <w:r>
        <w:rPr>
          <w:rFonts w:ascii="IRNazanin" w:hAnsi="IRNazanin" w:eastAsia="IRNazanin"/>
          <w:color w:val="111111"/>
          <w:sz w:val="28"/>
          <w:sz w:val="28"/>
          <w:szCs w:val="28"/>
          <w:rtl w:val="true"/>
          <w:lang w:bidi="fa-IR"/>
        </w:rPr>
        <w:t>عقبة بن عامر مع کونها ناذرةً أن تمشی إلی بیت اللّه حافیة قضیّة فی واقعة</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المحمل بعید فی الغایة، ولا حاجة إلیه بعد الإعراض عنها، وکونها أجنبیّة عن المقام، ومزاحمته بروایتی حفص وسماعة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ظاهرة فی أ نّها فی مقام بیان حکم کلّی، لکنّها معارضة بصحیحة رفاعة وحفص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النذر والعهد،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فالمرجع هو عموم وجوب الوفاء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اکتفاء الإمام ـ صلوات اللّه علیه ـ بذکر الواقعة فی جواب السائل یدلّ علی عموم الحکم، وأ نّه حکم أوّلی، ویؤیّده التعلیل فی ذیل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یمکن أن یکون لمانعٍ من صحّة نذرها من إیجابه کشفها أو تضرّرها أو غیر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2055569_2322387425"/>
      <w:bookmarkStart w:id="97" w:name="_Toc34"/>
      <w:bookmarkEnd w:id="96"/>
      <w:r>
        <w:rPr>
          <w:rtl w:val="true"/>
        </w:rPr>
        <w:t>شرائط نذر الحجّ ماشیاً أو حافیاً أو راکباً</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انعقاد النذر ماشیاً أو حافیاً تمکّن الناذر وعدم تضرّره بهما</w:t>
      </w:r>
      <w:r>
        <w:rPr>
          <w:rStyle w:val="FootnoteAnchor"/>
          <w:rtl w:val="true"/>
        </w:rPr>
        <w:footnoteReference w:id="217"/>
      </w:r>
      <w:r>
        <w:rPr>
          <w:rFonts w:ascii="Amiri" w:hAnsi="Amiri" w:eastAsia="Amiri" w:cs="Amiri"/>
          <w:color w:val="111111"/>
          <w:sz w:val="28"/>
          <w:sz w:val="28"/>
          <w:szCs w:val="28"/>
          <w:rtl w:val="true"/>
          <w:lang w:bidi="ar-SA"/>
        </w:rPr>
        <w:t>، فلو کان عاجزاً أو کان مضرّاً ببدنه</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الضرر بحیث یحرم إلقاء النفس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ینعقد، نعم، لا مانع منه</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حرجاً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یبلغ حدّ الضرّر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لأنّ رفع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بمجرّده لا یکفی، إلاّ أن یدّعی عدم شمول أدلّة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باب الرخصة</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أیضاً من انعقاد النذر ووجوب العمل به مع کونه حرجاً، نعم، یمکن أن یعلّل بمنع شمول أدلّة الحرج لمثل النذر ممّا لا یکون الإلزام به من اللّه تعالی ابتداءً، بل بجعلٍ من المکلّف، والتعلیل بهذا هو المناسب لِما ذکره من أ نّه إذا عرض الحرج بعده سقط الوجوب، لا التعلیل بکونه علی وجه الرخصة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الحرج ما لم یبلغ إلی حدّ الضرر لا یوجب حرمة، ولا مرجوحیّة، بل یرفع الحکم الحرجی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یوجب الحرمة وعدم الرجحان، وإلاّ لا یتمّ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العمل، وهو عبارة اُخری عن عدم الانعقاد، فکون أدلّة الحرج من باب الرخصة کیف یدلّ علی الانعقاد؟ نعم، لانعقاد النذر إذا کان حرجیّاً وجه آخر، وهو عدم شمول أدلّة الحرج للحرج الجائی من قبل التزام المکلّف، ولکنّه إنّما یصحّ إذا علم الناذر بکونه حرجیّاً،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من باب الرخصة محلّ إشکال، مع أ نّه لو کان من بابها أیضاً یرفع الوجوب، واحتمال قصور أدلّة الحرج عن شمول مثل المقام ممّا لا یکون الإلزام من اللّه تعالی ابتداءً غیر وجیه، وما اشتهر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الحرج منّة فلا یشمل دلیله مورد إقدام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والتفصیل فی محلّه، وکیف کان لا ینعقد مع حرجیّته فی الابتداء، ویسقط الوجوب مع عروض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به فی المقام لا یخلو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footnote6-page84"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أیضاً من انعقاد النذر ووجوب العمل به مع کونه حرجاً، نعم، یمکن أن یعلّل بمنع شمول أدلّة الحرج لمثل النذر ممّا لا یکون الإلزام به من اللّه تعالی ابتداءً، بل بجعلٍ من المکلّف، والتعلیل بهذا هو المناسب لِما ذکره من أ نّه إذا عرض الحرج بعده سقط الوجوب، لا التعلیل بکونه علی وجه الرخصة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الحرج ما لم یبلغ إلی حدّ الضرر لا یوجب حرمة، ولا مرجوحیّة، بل یرفع الحکم الحرجی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یوجب الحرمة وعدم الرجحان، وإلاّ لا یتمّ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العمل، وهو عبارة اُخری عن عدم الانعقاد، فکون أدلّة الحرج من باب الرخصة کیف یدلّ علی الانعقاد؟ نعم، لانعقاد النذر إذا کان حرجیّاً وجه آخر، وهو عدم شمول أدلّة الحرج للحرج الجائی من قبل التزام المکلّف، ولکنّه إنّما یصحّ إذا علم الناذر بکونه حرجیّاً،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من باب الرخصة محلّ إشکال، مع أ نّه لو کان من بابها أیضاً یرفع الوجوب، واحتمال قصور أدلّة الحرج عن شمول مثل المقام ممّا لا یکون الإلزام من اللّه تعالی ابتداءً غیر وجیه، وما اشتهر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الحرج منّة فلا یشمل دلیله مورد إقدام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والتفصیل فی محلّه، وکیف کان لا ینعقد مع حرجیّته فی الابتداء، ویسقط الوجوب مع عروض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به فی المقام لا یخلو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footnote6-page84" style="display:inline-block"&gt;</w:t>
      </w:r>
      <w:r>
        <w:rPr>
          <w:rFonts w:eastAsia="Times New Roman" w:cs="Times New Roman" w:ascii="Times New Roman" w:hAnsi="Times New Roman"/>
          <w:color w:val="111111"/>
          <w:sz w:val="28"/>
          <w:szCs w:val="28"/>
          <w:vertAlign w:val="superscript"/>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الحرج ما لم یبلغ إلی حدّ الضرر لا یوجب حرمة، ولا مرجوحیّة، بل یرفع الحکم الحرجی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یوجب الحرمة وعدم الرجحان، وإلاّ لا یتمّ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العمل، وهو عبارة اُخری عن عدم الانعقاد، فکون أدلّة الحرج من باب الرخصة کیف یدلّ علی الانعقاد؟ نعم، لانعقاد النذر إذا کان حرجیّاً وجه آخر، وهو عدم شمول أدلّة الحرج للحرج الجائی من قبل التزام المکلّف، ولکنّه إنّما یصحّ إذا علم الناذر بکونه حرجیّاً،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من باب الرخصة محلّ إشکال، مع أ نّه لو کان من بابها أیضاً یرفع الوجوب، واحتمال قصور أدلّة الحرج عن شمول مثل المقام ممّا لا یکون الإلزام من اللّه تعالی ابتداءً غیر وجیه، وما اشتهر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الحرج منّة فلا یشمل دلیله مورد إقدام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والتفصیل فی محلّه، وکیف کان لا ینعقد مع حرجیّته فی الابتداء، ویسقط الوجوب مع عروض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به فی المقام لا یخلو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footnote6-page84"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أیضاً من انعقاد النذر ووجوب العمل به مع کونه حرجاً، نعم، یمکن أن یعلّل بمنع شمول أدلّة الحرج لمثل النذر ممّا لا یکون الإلزام به من اللّه تعالی ابتداءً، بل بجعلٍ من المکلّف، والتعلیل بهذا هو المناسب لِما ذکره من أ نّه إذا عرض الحرج بعده سقط الوجوب، لا التعلیل بکونه علی وجه الرخصة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الحرج ما لم یبلغ إلی حدّ الضرر لا یوجب حرمة، ولا مرجوحیّة، بل یرفع الحکم الحرجی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یوجب الحرمة وعدم الرجحان، وإلاّ لا یتمّ التعلیل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العمل، وهو عبارة اُخری عن عدم الانعقاد، فکون أدلّة الحرج من باب الرخصة کیف یدلّ علی الانعقاد؟ نعم، لانعقاد النذر إذا کان حرجیّاً وجه آخر، وهو عدم شمول أدلّة الحرج للحرج الجائی من قبل التزام المکلّف، ولکنّه إنّما یصحّ إذا علم الناذر بکونه حرجیّاً،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من باب الرخصة محلّ إشکال، مع أ نّه لو کان من بابها أیضاً یرفع الوجوب، واحتمال قصور أدلّة الحرج عن شمول مثل المقام ممّا لا یکون الإلزام من اللّه تعالی ابتداءً غیر وجیه، وما اشتهر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رفع الحرج منّة فلا یشمل دلیله مورد إقدام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والتفصیل فی محلّه، وکیف کان لا ینعقد مع حرجیّته فی الابتداء، ویسقط الوجوب مع عروض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به فی المقام لا یخلو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footnote6-page84"&gt; 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هذا التعلیل غیر مناسب؛ إذ رفع الحرج وإن کان علی وجه الرخصة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 العزیمة</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ومعها أیضاً لا توجب المرجوحیّة فی مثل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هذا إذا کان حرجیّاً حین النذر وکان عالماً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الحرج 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حین نذره جاهلاً بعروض الحرج بعد ذلک، أمّا إذا کان عالماً به فالظاهر عدم السقوط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کونه مسقطاً للوجوب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المشروعیّة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3284_130521"/>
    </w:p>
    <w:p>
      <w:pPr>
        <w:pStyle w:val="Heading4"/>
        <w:numPr>
          <w:ilvl w:val="3"/>
          <w:numId w:val="1"/>
        </w:numPr>
        <w:rPr/>
      </w:pPr>
      <w:bookmarkStart w:id="99" w:name="__RefHeading___Toc2055571_2322387425"/>
      <w:bookmarkStart w:id="100" w:name="_Toc35"/>
      <w:bookmarkEnd w:id="98"/>
      <w:bookmarkEnd w:id="99"/>
      <w:r>
        <w:rPr>
          <w:rtl w:val="true"/>
        </w:rPr>
        <w:t>مبدأ وجوب المشی أو الحفاء</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کون مبدأ وجوب المشی أو الحَفاء بلد النذر أو الناذر، أو أقرب البلدین إلی المیقات، أو مبدأ الشروع</w:t>
      </w:r>
      <w:r>
        <w:rPr>
          <w:rStyle w:val="FootnoteAnchor"/>
          <w:rtl w:val="true"/>
        </w:rPr>
        <w:footnoteReference w:id="221"/>
      </w:r>
      <w:r>
        <w:rPr>
          <w:rFonts w:ascii="IRNazanin" w:hAnsi="IRNazanin" w:eastAsia="IRNazanin"/>
          <w:color w:val="111111"/>
          <w:sz w:val="28"/>
          <w:sz w:val="28"/>
          <w:szCs w:val="28"/>
          <w:rtl w:val="true"/>
          <w:lang w:bidi="fa-IR"/>
        </w:rPr>
        <w:t>فی السفر، أو أفعال الحجّ</w:t>
      </w:r>
      <w:r>
        <w:rPr>
          <w:rStyle w:val="FootnoteAnchor"/>
          <w:rtl w:val="true"/>
        </w:rPr>
        <w:footnoteReference w:id="222"/>
      </w:r>
      <w:r>
        <w:rPr>
          <w:rFonts w:ascii="IRNazanin" w:hAnsi="IRNazanin" w:eastAsia="IRNazanin"/>
          <w:color w:val="111111"/>
          <w:sz w:val="28"/>
          <w:sz w:val="28"/>
          <w:szCs w:val="28"/>
          <w:rtl w:val="true"/>
          <w:lang w:bidi="fa-IR"/>
        </w:rPr>
        <w:t>أقوال، والأقوی أ نّه تابع للتعیین، أو الانصراف</w:t>
      </w:r>
      <w:r>
        <w:rPr>
          <w:rStyle w:val="FootnoteAnchor"/>
          <w:rtl w:val="true"/>
        </w:rPr>
        <w:footnoteReference w:id="223"/>
      </w:r>
      <w:r>
        <w:rPr>
          <w:rFonts w:ascii="IRNazanin" w:hAnsi="IRNazanin" w:eastAsia="IRNazanin"/>
          <w:color w:val="111111"/>
          <w:sz w:val="28"/>
          <w:sz w:val="28"/>
          <w:szCs w:val="28"/>
          <w:rtl w:val="true"/>
          <w:lang w:bidi="fa-IR"/>
        </w:rPr>
        <w:t>، ومع عدمهما فأوّل أفعال الحجّ</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مبنی المسألة تعیین قصد الناذر ولا سبیل إلیه إلاّ ظهور الکلام فلا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أمشی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فی طریق الحج، فمبدأ المشی الشروع فی السفر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المنصرف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أحُجَّ ماشیاً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یمشی من حین الشروع فی السفر، کما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أزورَ الحسینَ ماشیاً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شبهة فی أنّ المنصرف منه هو ذلک، والمراد منهما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حین الشروع فی سفر الحجّ، بلا فرقٍ بین العبارتَین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أحِجّ ماشیاً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حین الشروع فی السفر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أمشِیَ إلی بیتِ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ذلک، کما أنّ الأقوی أنّ منتهاه مع عدم التعیین رمی الجمار؛ 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5/478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المرویّات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طواف النساء</w:t>
      </w:r>
      <w:bookmarkStart w:id="101" w:name="pg13284_130522"/>
    </w:p>
    <w:p>
      <w:pPr>
        <w:pStyle w:val="BookText"/>
        <w:rPr/>
      </w:pPr>
      <w:bookmarkEnd w:id="101"/>
      <w:r>
        <w:rPr>
          <w:rFonts w:ascii="IRNazanin" w:hAnsi="IRNazanin" w:eastAsia="IRNazanin"/>
          <w:color w:val="111111"/>
          <w:sz w:val="28"/>
          <w:sz w:val="28"/>
          <w:szCs w:val="28"/>
          <w:rtl w:val="true"/>
          <w:lang w:bidi="fa-IR"/>
        </w:rPr>
        <w:t>کما عن المشهور، ولا الإفاضة من عرفات کما فی بعض الأخبار</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055573_2322387425"/>
      <w:bookmarkStart w:id="103" w:name="_Toc36"/>
      <w:bookmarkEnd w:id="102"/>
      <w:r>
        <w:rPr>
          <w:rtl w:val="true"/>
        </w:rPr>
        <w:t>لزوم عدم ارتکاب ما ینافی نذر المشی للحجّ</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نذر الحجّ ماشیاً أو المشی فی حجّه أن یرکب البحر؛ لمنافاته لنذره، وإن اضطُرَّ إلیه لعروض المانع من سائر الطرق سقط نذره</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یقال بسقوط المشی وثبوت الحجّ،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سقوط النذر، نعم، یسقط المشی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المنذور الحجّ ماشیاً علی نحو وحدة المطلوب بکونه هذا الفرد من الحجّ، أو کان رکوب البحر محتاجاً إلی مؤونة زائدة عن المشی إلی الحجّ بحیث ینصرف إطلاق النذر عنه، والاّ فالأحوط الحجّ برکوب البحر، بل لا تخلو من قوة، وسیأتی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یوضّح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النذر بحیث لا یعمّ وقتاً آخر یمکن فیه المشی، ولو کان بحیث یعمّ لم یسقط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 نّه لو کان منحصراً فیه من الأوّل 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فی طریقه نهر أو شطّ لا یمکن العبور إلاّ بالمرکب فالمشهور</w:t>
      </w:r>
      <w:r>
        <w:rPr>
          <w:rStyle w:val="FootnoteAnchor"/>
          <w:rtl w:val="true"/>
        </w:rPr>
        <w:footnoteReference w:id="227"/>
      </w:r>
      <w:r>
        <w:rPr>
          <w:rFonts w:ascii="Amiri" w:hAnsi="Amiri" w:eastAsia="Amiri" w:cs="Amiri"/>
          <w:color w:val="111111"/>
          <w:sz w:val="28"/>
          <w:sz w:val="28"/>
          <w:szCs w:val="28"/>
          <w:rtl w:val="true"/>
          <w:lang w:bidi="ar-SA"/>
        </w:rPr>
        <w:t>أ نّه یقوم</w:t>
      </w:r>
      <w:r>
        <w:rPr>
          <w:rStyle w:val="FootnoteAnchor"/>
          <w:rtl w:val="true"/>
        </w:rPr>
        <w:footnoteReference w:id="228"/>
      </w:r>
      <w:r>
        <w:rPr>
          <w:rFonts w:ascii="IRNazanin" w:hAnsi="IRNazanin" w:eastAsia="IRNazanin"/>
          <w:color w:val="111111"/>
          <w:sz w:val="28"/>
          <w:sz w:val="28"/>
          <w:szCs w:val="28"/>
          <w:rtl w:val="true"/>
          <w:lang w:bidi="fa-IR"/>
        </w:rPr>
        <w:t>فیه</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 إن لم یکن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 لعمل الأصحاب بخبر السکونی، فهو علی فرض ضعف السند منجبر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 عدم وجوبه</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هذه المراتب مأخوذة فی متعلّق نذره بنحو تعدّد المطلوب وبنحو الأقرب إلی المطلوب، الأقصی فالأقرب،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منجبراً بعمل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العمل بالخبر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footnote5-page88"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هذه المراتب مأخوذة فی متعلّق نذره بنحو تعدّد المطلوب وبنحو الأقرب إلی المطلوب، الأقصی فالأقرب،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منجبراً بعمل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العمل بالخبر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footnote5-page88" style="display:inline-block"&gt;</w:t>
      </w:r>
      <w:r>
        <w:rPr>
          <w:rFonts w:eastAsia="Times New Roman" w:cs="Times New Roman" w:ascii="Times New Roman" w:hAnsi="Times New Roman"/>
          <w:color w:val="111111"/>
          <w:sz w:val="28"/>
          <w:szCs w:val="28"/>
          <w:vertAlign w:val="superscript"/>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منجبراً بعمل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العمل بالخبر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footnote5-page88"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لکی 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هذه المراتب مأخوذة فی متعلّق نذره بنحو تعدّد المطلوب وبنحو الأقرب إلی المطلوب، الأقصی فالأقرب،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منجبراً بعمل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العمل بالخبر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footnote5-page88"&gt; 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وذلک أیضاً فی صورة انصراف نذره إلی مشی غیره فی هذه المواقع، وإلاّ ففی أصل انعقاد النذر نظر، وحینئذٍ لا یبقی مجال إجراء قاعدة المیسور،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bookmarkStart w:id="104" w:name="pg13284_130524"/>
    </w:p>
    <w:p>
      <w:pPr>
        <w:pStyle w:val="BookText"/>
        <w:rPr/>
      </w:pPr>
      <w:bookmarkEnd w:id="104"/>
      <w:r>
        <w:rPr>
          <w:rFonts w:ascii="IRNazanin" w:hAnsi="IRNazanin" w:eastAsia="IRNazanin"/>
          <w:color w:val="111111"/>
          <w:sz w:val="28"/>
          <w:sz w:val="28"/>
          <w:szCs w:val="28"/>
          <w:rtl w:val="true"/>
          <w:lang w:bidi="fa-IR"/>
        </w:rPr>
        <w:t>لضعف الخبر</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منجبر بعمل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ضعفه منجبر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منجبر بالعمل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وخبر السکونی لا یقصُر عن الموثّقات، والوثوق الحاصل بالتتبّع من أخباره بوسیلة صاحبه لا یقصر عن توثیق أصحاب الرجال مع التأیید بذهاب جمع، بل قیل بذهاب المشهور علی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الراوی عامّیّاً غیر ضائرٍ بالوثوق الحاصل فی المقام الکافی فی العمل بالآحاد، مضافاً إلی تأیّده وانجباره بالعمل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منجبر بعملهم، مع أنّ السکونیّ معتمد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بعدم ضعف الخبر؛ لکون النوفلیّ والسکونیّ من رواة کامل الزیارات، ومصنّف الکتاب شهد بوثاقة رواته، فالعمل فی مورده الأحوط 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إثبات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والتمسّک بقاعدة المیسور لا وجه له، وعلی فرضه فالمیسور هو التحرّک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القیام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2055575_2322387425"/>
      <w:bookmarkStart w:id="106" w:name="_Toc37"/>
      <w:bookmarkEnd w:id="105"/>
      <w:r>
        <w:rPr>
          <w:rtl w:val="true"/>
        </w:rPr>
        <w:t>مخالفة نذر المشی للحجّ</w:t>
      </w:r>
      <w:bookmarkEnd w:id="10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المشی فخالف نذره فحجّ راکباً، فإن کان المنذور الحجّ ماشیاً من غیر تقییدٍ بسَنَةٍ معیّنةٍ وجب علیه الإعادة</w:t>
      </w:r>
      <w:r>
        <w:rPr>
          <w:rStyle w:val="FootnoteAnchor"/>
          <w:rtl w:val="true"/>
        </w:rPr>
        <w:footnoteReference w:id="23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کفّارة إلاّ إذا ترکها</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علیه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تحقّق عنوان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ترکاً موجباً للحنث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سعة الوقت وبنائه علی إتیانه فحصل عذر عنه لا حنث ولا کفّارة، نعم، لا یبعد الصدق فی بعض صور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عُدّ الترک مخالفة للنذر وموجباً للحنث، کما فی بعض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فی زمان ظنّ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مدّة حیاته حتّی یصدق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تجب الکفّارة علیه إذا ترک الإعادة وهو غیر معذور فی ترکها، کما إذا ظنّ الوفاة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ترکاً نهائیاً یؤدّی إلی الحنث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الترک الموجب للکفارة مشکل، إلاّ مع العلم بزمان موته وترکه إلی هذا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یحصل الحنث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المنذور الحجّ ماشیاً فی سَنَةٍ معیّنةٍ فخالف وأتی به راکباً وجب علیه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وجوبه وإن وجبت الکفّارة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وجوب القضاء علیه تأمّل، ولا یُترک الاحتیاط، کما تقدّم نظیره فی المسألة الثامنة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 القضاء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والکفّارة،</w:t>
      </w:r>
    </w:p>
    <w:p>
      <w:pPr>
        <w:pStyle w:val="BookText"/>
        <w:rPr/>
      </w:pPr>
      <w:r>
        <w:rPr>
          <w:rFonts w:ascii="Amiri" w:hAnsi="Amiri" w:eastAsia="Amiri" w:cs="Amiri"/>
          <w:color w:val="111111"/>
          <w:sz w:val="28"/>
          <w:sz w:val="28"/>
          <w:szCs w:val="28"/>
          <w:rtl w:val="true"/>
          <w:lang w:bidi="ar-SA"/>
        </w:rPr>
        <w:t>وإذا کان المنذور المشی فی حجٍّ معیّنٍ وجبت الکفّارة دون القضاء؛ لفوات محلِّ النذر، والحجّ صحیح</w:t>
      </w:r>
      <w:r>
        <w:rPr>
          <w:rStyle w:val="FootnoteAnchor"/>
          <w:rtl w:val="true"/>
        </w:rPr>
        <w:footnoteReference w:id="233"/>
      </w:r>
      <w:r>
        <w:rPr>
          <w:rFonts w:ascii="IRNazanin" w:hAnsi="IRNazanin" w:eastAsia="IRNazanin"/>
          <w:color w:val="111111"/>
          <w:sz w:val="28"/>
          <w:sz w:val="28"/>
          <w:szCs w:val="28"/>
          <w:rtl w:val="true"/>
          <w:lang w:bidi="fa-IR"/>
        </w:rPr>
        <w:t>فی جمیع الصور</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التفصیل فی الصحّة والفساد بین هذه الصور، ففی الأخیرة یقوی الصحّة مطلقاً، والفساد کذلک فی الثانیة، أمّا الاُولی فإن کان قصد المنذور من باب الداعی فالأظهر الصحّة، وإن کان علی سبیل التقیید فالأوجه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والتفصیل لا تَسَعُه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ویحتمل فی بعض الصور التفصیل بالصحّة علی فرض الداعویة والبطلان علی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عنوان الحجّ ملحوظاً للناذر بنحو تعدّد المطلوب دون الوحدة المحضة، وإلاّ فتنحصر الصحّة فی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تَشْکُل صحّة الحجّ، بل لا یبعد عدم الصحّة، خصوصاً علی ما تقدّم منّا مِن أنّ السیر من المیقات إلی مکّة من واجبات الحجّ فهو عبادة، والسیر راکباً تفویت لموضوع النذر فیکون حراماً، وتکون حرمته مانعة عن التعبّد به فیبطل، وهذا إذا کان المراد من الحجّ المعیَّن الّذی نذر فیه المشی فی الصورة الأخیرة حجّاً فی سَنَةٍ معیّنة، أمّا إذا کان المراد به حجّاً عیّنه بنذره ولکنّه غیر معیّن السَنَة، فیقوی وجوب إعادته ماشیاً وفاءً بنذره، وحینئذٍ فلا کفّارة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خصوصاً</w:t>
      </w:r>
    </w:p>
    <w:p>
      <w:pPr>
        <w:pStyle w:val="BookText"/>
        <w:rPr/>
      </w:pPr>
      <w:r>
        <w:rPr>
          <w:rFonts w:ascii="IRNazanin" w:hAnsi="IRNazanin" w:eastAsia="IRNazanin"/>
          <w:color w:val="111111"/>
          <w:sz w:val="28"/>
          <w:sz w:val="28"/>
          <w:szCs w:val="28"/>
          <w:rtl w:val="true"/>
          <w:lang w:bidi="fa-IR"/>
        </w:rPr>
        <w:t>الأخیرة</w:t>
      </w:r>
      <w:r>
        <w:rPr>
          <w:rStyle w:val="FootnoteAnchor"/>
          <w:rtl w:val="true"/>
        </w:rPr>
        <w:footnoteReference w:id="235"/>
      </w:r>
      <w:r>
        <w:rPr>
          <w:rFonts w:ascii="IRNazanin" w:hAnsi="IRNazanin" w:eastAsia="IRNazanin"/>
          <w:color w:val="111111"/>
          <w:sz w:val="28"/>
          <w:sz w:val="28"/>
          <w:szCs w:val="28"/>
          <w:rtl w:val="true"/>
          <w:lang w:bidi="fa-IR"/>
        </w:rPr>
        <w:t>لأنّ النذر لا یوجب شرطیّة المشی فی أصل الحجّ، وعدم الصحّة من حیث النذر لا یوجب عدمها من حیث الأصل، فیکفی فی صحّته الإتیان به بقصد القربة، وقد یُتخَیَّل البطلان</w:t>
      </w:r>
      <w:r>
        <w:rPr>
          <w:rStyle w:val="FootnoteAnchor"/>
          <w:rtl w:val="true"/>
        </w:rPr>
        <w:footnoteReference w:id="236"/>
      </w:r>
      <w:r>
        <w:rPr>
          <w:rFonts w:ascii="Amiri" w:hAnsi="Amiri" w:eastAsia="Amiri" w:cs="Amiri"/>
          <w:color w:val="111111"/>
          <w:sz w:val="28"/>
          <w:sz w:val="28"/>
          <w:szCs w:val="28"/>
          <w:rtl w:val="true"/>
          <w:lang w:bidi="ar-SA"/>
        </w:rPr>
        <w:t>من حیث إنّ المنویَّ ـ وهو الحجّ النذریّ ـ لم یقع، وغیره لم یقصد،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فی حدّ نفسه مطلوب، وقد قصده</w:t>
      </w:r>
      <w:r>
        <w:rPr>
          <w:rStyle w:val="FootnoteAnchor"/>
          <w:rtl w:val="true"/>
        </w:rPr>
        <w:footnoteReference w:id="237"/>
      </w:r>
      <w:r>
        <w:rPr>
          <w:rFonts w:ascii="IRNazanin" w:hAnsi="IRNazanin" w:eastAsia="IRNazanin"/>
          <w:color w:val="111111"/>
          <w:sz w:val="28"/>
          <w:sz w:val="28"/>
          <w:szCs w:val="28"/>
          <w:rtl w:val="true"/>
          <w:lang w:bidi="fa-IR"/>
        </w:rPr>
        <w:t>فی ضمن قصد النذر، وهو کافٍ</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کفایة هذا القصد مطلقاً وتمشّیه مع الالتفات بأنّ المنذور هو الحجّ ماشیاً إشکال، والفرق بینه وبین الکفّارة والصلاة غیر 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تری أ نّه لو صام أیّاماً بقصد الکفّارة ثمّ ترک التتابع لا یبطل الصیام فی الأیّام السابقة أصلاً، وإنّما تبطل من حیث کونها صیام کفّارة، وکذا إذا بطلت صلاته لم تبطل قرَاءته وأذکاره الّتی أتی بها من حیث کونها قرآناً أو ذکراً، وقد یُستدلّ للبطلان إذا رکب فی حال</w:t>
      </w:r>
      <w:bookmarkStart w:id="107" w:name="pg13284_130528"/>
    </w:p>
    <w:p>
      <w:pPr>
        <w:pStyle w:val="BookText"/>
        <w:rPr/>
      </w:pPr>
      <w:bookmarkEnd w:id="107"/>
      <w:r>
        <w:rPr>
          <w:rFonts w:ascii="IRNazanin" w:hAnsi="IRNazanin" w:eastAsia="IRNazanin"/>
          <w:color w:val="111111"/>
          <w:sz w:val="28"/>
          <w:sz w:val="28"/>
          <w:szCs w:val="28"/>
          <w:rtl w:val="true"/>
          <w:lang w:bidi="fa-IR"/>
        </w:rPr>
        <w:t>الإتیان بالأفعال بأنّ الأمر بإتیانها ماشیاً موجب للنهی عن إتیانها راکباً، وفیه منع کون الأمر بالشیء نهیاً عن ضدّه، ومنع استلزامه</w:t>
      </w:r>
      <w:r>
        <w:rPr>
          <w:rStyle w:val="FootnoteAnchor"/>
          <w:rtl w:val="true"/>
        </w:rPr>
        <w:footnoteReference w:id="239"/>
      </w:r>
      <w:r>
        <w:rPr>
          <w:rFonts w:ascii="Amiri" w:hAnsi="Amiri" w:eastAsia="Amiri" w:cs="Amiri"/>
          <w:color w:val="111111"/>
          <w:sz w:val="28"/>
          <w:sz w:val="28"/>
          <w:szCs w:val="28"/>
          <w:rtl w:val="true"/>
          <w:lang w:bidi="ar-SA"/>
        </w:rPr>
        <w:t>البطلان علیالقول به، مع أ نّه لایتمّ فیما لو نذر الحجّ ماشیاً مطلقاً من غیر تقییدٍ بِسَنَةٍ معیّنة، ولا بالفوریّة؛ لبقاء محلّ الإعادة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055577_2322387425"/>
      <w:bookmarkStart w:id="109" w:name="_Toc38"/>
      <w:bookmarkEnd w:id="108"/>
      <w:r>
        <w:rPr>
          <w:rtl w:val="true"/>
        </w:rPr>
        <w:t>تخلّل الرکوب أثناء المشی للحجّ المنذور مشیاً</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رکب بعضاً ومشی بعضاً فهو کما لو رکب الکلّ؛ لعدم الإتیان بالمنذور، فیجب علیه</w:t>
      </w:r>
      <w:r>
        <w:rPr>
          <w:rStyle w:val="FootnoteAnchor"/>
          <w:rtl w:val="true"/>
        </w:rPr>
        <w:footnoteReference w:id="240"/>
      </w:r>
      <w:r>
        <w:rPr>
          <w:rFonts w:ascii="IRNazanin" w:hAnsi="IRNazanin" w:eastAsia="IRNazanin"/>
          <w:color w:val="111111"/>
          <w:sz w:val="28"/>
          <w:sz w:val="28"/>
          <w:szCs w:val="28"/>
          <w:rtl w:val="true"/>
          <w:lang w:bidi="fa-IR"/>
        </w:rPr>
        <w:t>القضاء</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الإعادة ماشیاً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والقول بالإعادة والمشی فی موضع الرکوب ضعیف لا وجه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2055579_2322387425"/>
      <w:bookmarkStart w:id="111" w:name="_Toc39"/>
      <w:bookmarkEnd w:id="110"/>
      <w:r>
        <w:rPr>
          <w:rtl w:val="true"/>
        </w:rPr>
        <w:t>العجز عن المشی بعد انعقاد النذر</w:t>
      </w:r>
      <w:bookmarkEnd w:id="11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المشی بعد انعقاد نذره لتمکّنه منه أو رجائه سقط، وهل یبقی حینئذٍ وجوب الحجّ راکباً، أوْ لا بل یسقط أیضاً؟ فیه أقوال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راکباً مع سیاق 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بلا 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إذا کان الحجّ مقیّداً بسَنَةٍ معیّنة، أو کان مطلقاً مع الیأس عن التمکّن بعد ذلک، وتوقّع المُکنة مع الإطلاق وعدم الیأس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الرکوب</w:t>
      </w:r>
      <w:r>
        <w:rPr>
          <w:rStyle w:val="FootnoteAnchor"/>
          <w:rtl w:val="true"/>
        </w:rPr>
        <w:footnoteReference w:id="242"/>
      </w:r>
      <w:r>
        <w:rPr>
          <w:rFonts w:ascii="IRNazanin" w:hAnsi="IRNazanin" w:eastAsia="IRNazanin"/>
          <w:color w:val="111111"/>
          <w:sz w:val="28"/>
          <w:sz w:val="28"/>
          <w:szCs w:val="28"/>
          <w:rtl w:val="true"/>
          <w:lang w:bidi="fa-IR"/>
        </w:rPr>
        <w:t>مع تعیین السنة، أو الیأس فی صورة الإطلاق، وتوقّع المُکنة مع عدم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الرکوب إذا کان بعد الدخول فی الإحرام، وإذا کان قبله فالسقوط مع التعیین، وتوقّع المکنة مع الإطلاق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القاعدة</w:t>
      </w:r>
      <w:r>
        <w:rPr>
          <w:rStyle w:val="FootnoteAnchor"/>
          <w:rtl w:val="true"/>
        </w:rPr>
        <w:footnoteReference w:id="243"/>
      </w:r>
      <w:r>
        <w:rPr>
          <w:rFonts w:ascii="IRNazanin" w:hAnsi="IRNazanin" w:eastAsia="IRNazanin"/>
          <w:color w:val="111111"/>
          <w:sz w:val="28"/>
          <w:sz w:val="28"/>
          <w:szCs w:val="28"/>
          <w:rtl w:val="true"/>
          <w:lang w:bidi="fa-IR"/>
        </w:rPr>
        <w:t xml:space="preserve">وإن کان هو القول </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القاعدة هو القول الخامس، ولکن مع ذلک لا یحکم بالإجزاء إذا تمکّن بعد ذلک من الحجّ ماشیاً إذا کان المنذور غیر مقیّدٍ بسَنَةٍ معیّنة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 الأقوی بملاحظة جملةٍ من الأخبار هو القول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الأوّل لو لم یکن أقوی لا ریب فی أ نّه أحوط؛ إذ السکوت عن سیاق الهدی لا یصلح قرینةً لصرف الأمر به فی النصوص المعتبرة عن الوجوب، وخبر عنبسة ضعیف السند،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 جماعة من الأساطین به جابر لضعفه،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حَمل ما فی بعضها من الأمر بسیاق الهدی علی الاستحباب، بقرینة السکوت عنه</w:t>
      </w:r>
      <w:r>
        <w:rPr>
          <w:rStyle w:val="FootnoteAnchor"/>
          <w:rtl w:val="true"/>
        </w:rPr>
        <w:footnoteReference w:id="245"/>
      </w:r>
      <w:r>
        <w:rPr>
          <w:rFonts w:ascii="IRNazanin" w:hAnsi="IRNazanin" w:eastAsia="IRNazanin"/>
          <w:color w:val="111111"/>
          <w:sz w:val="28"/>
          <w:sz w:val="28"/>
          <w:szCs w:val="28"/>
          <w:rtl w:val="true"/>
          <w:lang w:bidi="fa-IR"/>
        </w:rPr>
        <w:t>فی بعضها الآخر، مع کونه فی مقام البیان، مضافاً إلی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w:t>
      </w:r>
      <w:r>
        <w:rPr>
          <w:rStyle w:val="FootnoteAnchor"/>
          <w:rtl w:val="true"/>
        </w:rPr>
        <w:footnoteReference w:id="246"/>
      </w:r>
      <w:r>
        <w:rPr>
          <w:rFonts w:ascii="IRNazanin" w:hAnsi="IRNazanin" w:eastAsia="IRNazanin"/>
          <w:color w:val="111111"/>
          <w:sz w:val="28"/>
          <w:sz w:val="28"/>
          <w:szCs w:val="28"/>
          <w:rtl w:val="true"/>
          <w:lang w:bidi="fa-IR"/>
        </w:rPr>
        <w:t>الدالّ علی عدم وجوبه صریحاً فیه، من غیر فرقٍ فی ذلک بین أن یکون العجز قبل الشروع فی الذهاب، أو بعده وقبل الدخول فی الإحرام، أو بعده، ومن غیر فرقٍ أیضاً بین کون النذر مطلقا، أو مقیّداً بسَنَةٍ، مع توقّع المکنة، وعدمه، وإن کان الأحوط</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 عبداللّه الشیرازی، محمّد رضا الگلپایگانی، المرعشی، السبزواری،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توقّع المُکنة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الإطلاق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الاحتیاط بالإعادة إذا حصلت المُکنة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bookmarkStart w:id="112" w:name="pg13284_130532"/>
    </w:p>
    <w:p>
      <w:pPr>
        <w:pStyle w:val="BookText"/>
        <w:rPr/>
      </w:pPr>
      <w:bookmarkEnd w:id="112"/>
      <w:r>
        <w:rPr>
          <w:rFonts w:ascii="IRNazanin" w:hAnsi="IRNazanin" w:eastAsia="IRNazanin"/>
          <w:color w:val="111111"/>
          <w:sz w:val="28"/>
          <w:sz w:val="28"/>
          <w:szCs w:val="28"/>
          <w:rtl w:val="true"/>
          <w:lang w:bidi="fa-IR"/>
        </w:rPr>
        <w:t>مع</w:t>
      </w:r>
      <w:r>
        <w:rPr>
          <w:rStyle w:val="FootnoteAnchor"/>
          <w:rtl w:val="true"/>
        </w:rPr>
        <w:footnoteReference w:id="248"/>
      </w:r>
      <w:r>
        <w:rPr>
          <w:rFonts w:ascii="IRNazanin" w:hAnsi="IRNazanin" w:eastAsia="IRNazanin"/>
          <w:color w:val="111111"/>
          <w:sz w:val="28"/>
          <w:sz w:val="28"/>
          <w:szCs w:val="28"/>
          <w:rtl w:val="true"/>
          <w:lang w:bidi="fa-IR"/>
        </w:rPr>
        <w:t>عدم الیأس من المکنة وکونه قبل الشروع فی الذهاب الإعادة إذا حصلت المکنة بعد ذلک؛ لاحتمال انصراف الأخبار عن هذه الصورة، والأحوط</w:t>
      </w:r>
      <w:r>
        <w:rPr>
          <w:rStyle w:val="FootnoteAnchor"/>
          <w:rtl w:val="true"/>
        </w:rPr>
        <w:footnoteReference w:id="249"/>
      </w:r>
      <w:r>
        <w:rPr>
          <w:rFonts w:ascii="IRNazanin" w:hAnsi="IRNazanin" w:eastAsia="IRNazanin"/>
          <w:color w:val="111111"/>
          <w:sz w:val="28"/>
          <w:sz w:val="28"/>
          <w:szCs w:val="28"/>
          <w:rtl w:val="true"/>
          <w:lang w:bidi="fa-IR"/>
        </w:rPr>
        <w:t>إعمال قاعدة المیسور أیضاً بالمشی بمقدار المکنة، بل لا یخلو من قوّةٍ</w:t>
      </w:r>
      <w:r>
        <w:rPr>
          <w:rStyle w:val="FootnoteAnchor"/>
          <w:rtl w:val="true"/>
        </w:rPr>
        <w:footnoteReference w:id="250"/>
      </w:r>
      <w:r>
        <w:rPr>
          <w:rFonts w:ascii="Amiri" w:hAnsi="Amiri" w:eastAsia="Amiri" w:cs="Amiri"/>
          <w:color w:val="111111"/>
          <w:sz w:val="28"/>
          <w:sz w:val="28"/>
          <w:szCs w:val="28"/>
          <w:rtl w:val="true"/>
          <w:lang w:bidi="ar-SA"/>
        </w:rPr>
        <w:t>للقاعدة</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الأمر الثانی الّذی مرّ ذکره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إلی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أن یمشی إلی بیت اللّه حاجّاً،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فَلیَمشِ، فإذا تعب فلیرکب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منه کفایة الحرج والتعب فی جواز الرکوب وإن لم یصل إلی حدّ العجز، وفی مرسل حریز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أن لا یرکب، أو نذر أن لا یرکب، فإذا بلغ مجهوده 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4"/>
        <w:numPr>
          <w:ilvl w:val="3"/>
          <w:numId w:val="1"/>
        </w:numPr>
        <w:rPr/>
      </w:pPr>
      <w:bookmarkStart w:id="113" w:name="__RefHeading___Toc2055581_2322387425"/>
      <w:bookmarkStart w:id="114" w:name="_Toc40"/>
      <w:bookmarkEnd w:id="113"/>
      <w:r>
        <w:rPr>
          <w:rtl w:val="true"/>
        </w:rPr>
        <w:t>امتناع المشی لعارضٍ غیر العجز</w:t>
      </w:r>
      <w:bookmarkEnd w:id="11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الحجّ ماشیاً فعرض مانع آخر غیر العجز عن المشی </w:t>
      </w:r>
    </w:p>
    <w:p>
      <w:pPr>
        <w:pStyle w:val="BookText"/>
        <w:rPr/>
      </w:pPr>
      <w:r>
        <w:rPr>
          <w:rFonts w:ascii="IRNazanin" w:hAnsi="IRNazanin" w:eastAsia="IRNazanin"/>
          <w:color w:val="111111"/>
          <w:sz w:val="28"/>
          <w:sz w:val="28"/>
          <w:szCs w:val="28"/>
          <w:rtl w:val="true"/>
          <w:lang w:bidi="fa-IR"/>
        </w:rPr>
        <w:t>من مرضٍ، أو خوفٍ، أو عدوٍّ، أو نحو ذلک فهل حکمه حکم العجز فیما ذکر، أوْ لا؛ لکون الحکم علی خلاف القاعدة؟ وجهان، ولا یبعدالتفصیل بین المرض ومثل العدوّ باختیار الأوّل فی الأوّل، والثانی فی الثانی، وإن کان الأحوط</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 راجع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الإلحاق موافقاً للاحتیاط من بعض الجهات، فلا یجوز الإلحاق فی ما لا یوافقه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الإلحاق مطلقاً موافقاً للاحتیاط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3284_130534"/>
    </w:p>
    <w:p>
      <w:pPr>
        <w:pStyle w:val="Heading3"/>
        <w:numPr>
          <w:ilvl w:val="2"/>
          <w:numId w:val="1"/>
        </w:numPr>
        <w:rPr/>
      </w:pPr>
      <w:bookmarkStart w:id="116" w:name="__RefHeading___Toc2055583_2322387425"/>
      <w:bookmarkStart w:id="117" w:name="_Toc41"/>
      <w:bookmarkEnd w:id="115"/>
      <w:bookmarkEnd w:id="116"/>
      <w:r>
        <w:rPr>
          <w:rtl w:val="true"/>
        </w:rPr>
        <w:t>فصل</w:t>
      </w:r>
      <w:r>
        <w:rPr>
          <w:rtl w:val="true"/>
        </w:rPr>
        <w:t xml:space="preserve">: </w:t>
      </w:r>
      <w:r>
        <w:rPr>
          <w:rtl w:val="true"/>
        </w:rPr>
        <w:t>فی النیابة</w:t>
      </w:r>
      <w:bookmarkEnd w:id="117"/>
    </w:p>
    <w:p>
      <w:pPr>
        <w:pStyle w:val="Heading4"/>
        <w:numPr>
          <w:ilvl w:val="3"/>
          <w:numId w:val="1"/>
        </w:numPr>
        <w:rPr/>
      </w:pPr>
      <w:bookmarkStart w:id="118" w:name="__RefHeading___Toc2055585_2322387425"/>
      <w:bookmarkStart w:id="119" w:name="_Toc42"/>
      <w:bookmarkEnd w:id="118"/>
      <w:r>
        <w:rPr>
          <w:rtl w:val="true"/>
        </w:rPr>
        <w:t>مشروعیّة النیابة وشروط نائب الحجّ</w:t>
      </w:r>
      <w:bookmarkEnd w:id="119"/>
    </w:p>
    <w:p>
      <w:pPr>
        <w:pStyle w:val="BookText"/>
        <w:rPr/>
      </w:pPr>
      <w:r>
        <w:rPr>
          <w:rFonts w:ascii="IRNazanin" w:hAnsi="IRNazanin" w:eastAsia="IRNazanin"/>
          <w:color w:val="111111"/>
          <w:sz w:val="28"/>
          <w:sz w:val="28"/>
          <w:szCs w:val="28"/>
          <w:rtl w:val="true"/>
          <w:lang w:bidi="fa-IR"/>
        </w:rPr>
        <w:t>لا إشکال فی صحّة النیابة عن المیّت فی الحجّ الواجب والمندوب، وعن الحیّ فی المندوب مطلقاً، وفی الواجب فی بعض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النائب اُمور </w:t>
      </w:r>
      <w:r>
        <w:rPr>
          <w:rFonts w:eastAsia="IRNazanin" w:cs="IRNazanin"/>
          <w:color w:val="111111"/>
          <w:sz w:val="28"/>
          <w:szCs w:val="28"/>
          <w:rtl w:val="true"/>
          <w:lang w:bidi="fa-IR"/>
        </w:rPr>
        <w:t>:</w:t>
      </w:r>
    </w:p>
    <w:p>
      <w:pPr>
        <w:pStyle w:val="Heading4"/>
        <w:numPr>
          <w:ilvl w:val="3"/>
          <w:numId w:val="1"/>
        </w:numPr>
        <w:rPr/>
      </w:pPr>
      <w:bookmarkStart w:id="120" w:name="__RefHeading___Toc2055587_2322387425"/>
      <w:bookmarkStart w:id="121" w:name="_Toc43"/>
      <w:bookmarkEnd w:id="120"/>
      <w:r>
        <w:rPr>
          <w:rtl w:val="true"/>
        </w:rPr>
        <w:t>الأوّل</w:t>
      </w:r>
      <w:r>
        <w:rPr>
          <w:rtl w:val="true"/>
        </w:rPr>
        <w:t xml:space="preserve">: </w:t>
      </w:r>
      <w:r>
        <w:rPr>
          <w:rtl w:val="true"/>
        </w:rPr>
        <w:t>البلوغ، نیابة الصبیّ الممیّز</w:t>
      </w:r>
      <w:bookmarkEnd w:id="12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علی المشهور، فلا یصحّ نیابة الصبیّ عندهم وإن کان ممیِّزاً، وهو الأحوط</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لهذا الاحتیاط، إلاّ توهّم جریان أصالة عدم فراغ ذمّة المنوب عنه بدعوی الانصراف، ولکن الانصراف لا وجه له؛ لأنّ النیابة أمر اعتباری أمضاها الشارع، لا أ نّها تأسیسیّة، ومن المعلوم عدم التفاوت عرفاً بین نیابة البالغ وغیره، مضافاً إلی أنّ عنوان الرجل یشمل الصبیّ لا سیما إذا کان مراهقاً؛ لأنّ المتبادر منه مفهوم من یقابل المرأة وإن کان لبعض أصنافه اسم خاصّ أیضاً، کما تری صدق الرجل والکهل أو الهَرِم أیضاً علی صنفٍ خاصّ، بل یمکن أن یقال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به مثالاً فی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لما قیل من عدم صحّة عباداته لکونها تمرینیّة؛ لأنّ الأقوی کونها شرعیّة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مراراً أنّ الأقوی کونها تمرینیّة بالمعنی المتقدّم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لعدم الوثوق به لعدم</w:t>
      </w:r>
    </w:p>
    <w:p>
      <w:pPr>
        <w:pStyle w:val="BookText"/>
        <w:rPr/>
      </w:pPr>
      <w:r>
        <w:rPr>
          <w:rFonts w:ascii="IRNazanin" w:hAnsi="IRNazanin" w:eastAsia="IRNazanin"/>
          <w:color w:val="111111"/>
          <w:sz w:val="28"/>
          <w:sz w:val="28"/>
          <w:szCs w:val="28"/>
          <w:rtl w:val="true"/>
          <w:lang w:bidi="fa-IR"/>
        </w:rPr>
        <w:t>الرادع له من جهة عدم تکلیفه؛ لأ نّه أخصّ من المدّعی، بل لأصالة</w:t>
      </w:r>
      <w:r>
        <w:rPr>
          <w:rStyle w:val="FootnoteAnchor"/>
          <w:rtl w:val="true"/>
        </w:rPr>
        <w:footnoteReference w:id="254"/>
      </w:r>
      <w:r>
        <w:rPr>
          <w:rFonts w:ascii="IRNazanin" w:hAnsi="IRNazanin" w:eastAsia="IRNazanin"/>
          <w:color w:val="111111"/>
          <w:sz w:val="28"/>
          <w:sz w:val="28"/>
          <w:szCs w:val="28"/>
          <w:rtl w:val="true"/>
          <w:lang w:bidi="fa-IR"/>
        </w:rPr>
        <w:t>عدم فراغ ذمّة المنوب عنه بعد دعوی</w:t>
      </w:r>
      <w:r>
        <w:rPr>
          <w:rStyle w:val="FootnoteAnchor"/>
          <w:rtl w:val="true"/>
        </w:rPr>
        <w:footnoteReference w:id="255"/>
      </w:r>
      <w:r>
        <w:rPr>
          <w:rFonts w:ascii="IRNazanin" w:hAnsi="IRNazanin" w:eastAsia="IRNazanin"/>
          <w:color w:val="111111"/>
          <w:sz w:val="28"/>
          <w:sz w:val="28"/>
          <w:szCs w:val="28"/>
          <w:rtl w:val="true"/>
          <w:lang w:bidi="fa-IR"/>
        </w:rPr>
        <w:t>انصراف</w:t>
      </w:r>
      <w:r>
        <w:rPr>
          <w:rStyle w:val="FootnoteAnchor"/>
          <w:rtl w:val="true"/>
        </w:rPr>
        <w:footnoteReference w:id="256"/>
      </w:r>
      <w:r>
        <w:rPr>
          <w:rFonts w:ascii="Amiri" w:hAnsi="Amiri" w:eastAsia="Amiri" w:cs="Amiri"/>
          <w:color w:val="111111"/>
          <w:sz w:val="28"/>
          <w:sz w:val="28"/>
          <w:szCs w:val="28"/>
          <w:rtl w:val="true"/>
          <w:lang w:bidi="ar-SA"/>
        </w:rPr>
        <w:t>الأدلّة</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ببدویّ، کما 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مع اشتمال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أبواب 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لفظ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یکون حجّه بالإجارة، أو بالتبرّع بإذن الولیّ، أو عدمه، وإن کان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صحّة نیابته فی الحجّ</w:t>
      </w:r>
      <w:bookmarkStart w:id="122" w:name="pg13284_130536"/>
    </w:p>
    <w:p>
      <w:pPr>
        <w:pStyle w:val="BookText"/>
        <w:rPr/>
      </w:pPr>
      <w:bookmarkEnd w:id="122"/>
      <w:r>
        <w:rPr>
          <w:rFonts w:ascii="IRNazanin" w:hAnsi="IRNazanin" w:eastAsia="IRNazanin"/>
          <w:color w:val="111111"/>
          <w:sz w:val="28"/>
          <w:sz w:val="28"/>
          <w:szCs w:val="28"/>
          <w:rtl w:val="true"/>
          <w:lang w:bidi="fa-IR"/>
        </w:rPr>
        <w:t>المندوب</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القواعد الصحّة فی الواجب أیضاً؛ لمنع الانصراف، وعدم الموضوعیّة؛ للأصل، نعم، هو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الفرق بین الواجب والمندوب، فإن تناولته الأدلّة صحّ فی الجمیع، وإلاّ منع فی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بإذن الولیّ</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055589_2322387425"/>
      <w:bookmarkStart w:id="124" w:name="_Toc44"/>
      <w:bookmarkEnd w:id="123"/>
      <w:r>
        <w:rPr>
          <w:rtl w:val="true"/>
        </w:rPr>
        <w:t>الثانی</w:t>
      </w:r>
      <w:r>
        <w:rPr>
          <w:rtl w:val="true"/>
        </w:rPr>
        <w:t xml:space="preserve">: </w:t>
      </w:r>
      <w:r>
        <w:rPr>
          <w:rtl w:val="true"/>
        </w:rPr>
        <w:t>العقل، صحّة نیابة السفیه دون المجنون</w:t>
      </w:r>
      <w:bookmarkEnd w:id="12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تصحّ نیابة المجنون الّذی لا یتحقّق منه القصد، مطبقاً کان جنونه، أو أدواریّاً فی دور جنونه، ولا بأس بنیابة السفیه</w:t>
      </w:r>
      <w:r>
        <w:rPr>
          <w:rFonts w:eastAsia="IRNazanin" w:cs="IRNazanin"/>
          <w:color w:val="111111"/>
          <w:sz w:val="28"/>
          <w:szCs w:val="28"/>
          <w:rtl w:val="true"/>
          <w:lang w:bidi="fa-IR"/>
        </w:rPr>
        <w:t>.</w:t>
      </w:r>
    </w:p>
    <w:p>
      <w:pPr>
        <w:pStyle w:val="Heading4"/>
        <w:numPr>
          <w:ilvl w:val="3"/>
          <w:numId w:val="1"/>
        </w:numPr>
        <w:rPr/>
      </w:pPr>
      <w:bookmarkStart w:id="125" w:name="__RefHeading___Toc2055591_2322387425"/>
      <w:bookmarkStart w:id="126" w:name="_Toc45"/>
      <w:bookmarkEnd w:id="125"/>
      <w:r>
        <w:rPr>
          <w:rtl w:val="true"/>
        </w:rPr>
        <w:t>الثالث</w:t>
      </w:r>
      <w:r>
        <w:rPr>
          <w:rtl w:val="true"/>
        </w:rPr>
        <w:t xml:space="preserve">: </w:t>
      </w:r>
      <w:r>
        <w:rPr>
          <w:rtl w:val="true"/>
        </w:rPr>
        <w:t>الإیمان وعدم صحّة نیابة المخالف</w:t>
      </w:r>
      <w:bookmarkEnd w:id="12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لعدم صحّة عمل غیر الموءمن</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أتی علی طبق مذهبنا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معتقداً بوجوبه وحصل منه نیّة القربة، ودعوی أنّ ذلک فی العمل لنفسه دون غیره کما تری</w:t>
      </w:r>
      <w:r>
        <w:rPr>
          <w:rFonts w:eastAsia="IRNazanin" w:cs="IRNazanin"/>
          <w:color w:val="111111"/>
          <w:sz w:val="28"/>
          <w:szCs w:val="28"/>
          <w:rtl w:val="true"/>
          <w:lang w:bidi="fa-IR"/>
        </w:rPr>
        <w:t>.</w:t>
      </w:r>
    </w:p>
    <w:p>
      <w:pPr>
        <w:pStyle w:val="Heading4"/>
        <w:numPr>
          <w:ilvl w:val="3"/>
          <w:numId w:val="1"/>
        </w:numPr>
        <w:rPr/>
      </w:pPr>
      <w:bookmarkStart w:id="127" w:name="__RefHeading___Toc2055593_2322387425"/>
      <w:bookmarkStart w:id="128" w:name="_Toc46"/>
      <w:bookmarkEnd w:id="127"/>
      <w:r>
        <w:rPr>
          <w:rtl w:val="true"/>
        </w:rPr>
        <w:t>الرابع</w:t>
      </w:r>
      <w:r>
        <w:rPr>
          <w:rtl w:val="true"/>
        </w:rPr>
        <w:t xml:space="preserve">: </w:t>
      </w:r>
      <w:r>
        <w:rPr>
          <w:rtl w:val="true"/>
        </w:rPr>
        <w:t>العدالة</w:t>
      </w:r>
      <w:bookmarkEnd w:id="12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أو الوثوق</w:t>
      </w:r>
      <w:r>
        <w:rPr>
          <w:rStyle w:val="FootnoteAnchor"/>
          <w:rtl w:val="true"/>
        </w:rPr>
        <w:footnoteReference w:id="260"/>
      </w:r>
      <w:r>
        <w:rPr>
          <w:rFonts w:ascii="Amiri" w:hAnsi="Amiri" w:eastAsia="Amiri" w:cs="Amiri"/>
          <w:color w:val="111111"/>
          <w:sz w:val="28"/>
          <w:sz w:val="28"/>
          <w:szCs w:val="28"/>
          <w:rtl w:val="true"/>
          <w:lang w:bidi="ar-SA"/>
        </w:rPr>
        <w:t>بصحّة عمله</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الوثوق لازم فی إحراز الإتیان بالعمل، وأمّا فی إحراز صحّته فلا یعتبر ذلک، بل تکفی أصالة الصحّة المتسالم علیها بین أهل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تکفی فی إحراز الصحّة أصالة الصحّة بعد إحراز عمل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وهذا الشرط إنّما یعتبر فی</w:t>
      </w:r>
      <w:bookmarkStart w:id="129" w:name="pg13284_130537"/>
    </w:p>
    <w:p>
      <w:pPr>
        <w:pStyle w:val="BookText"/>
        <w:rPr/>
      </w:pPr>
      <w:bookmarkEnd w:id="129"/>
      <w:r>
        <w:rPr>
          <w:rFonts w:ascii="Amiri" w:hAnsi="Amiri" w:eastAsia="Amiri" w:cs="Amiri"/>
          <w:color w:val="111111"/>
          <w:sz w:val="28"/>
          <w:sz w:val="28"/>
          <w:szCs w:val="28"/>
          <w:rtl w:val="true"/>
          <w:lang w:bidi="ar-SA"/>
        </w:rPr>
        <w:t>جواز الاستنابة</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جواز الاکتفاء به مع الشکّ فی إتیانه، وأمّا مع الشکّ فی صحّة ما أتی به فیحکم بالصحّة، وفی حجّیّة قوله مع عدم الوثوق وجهان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الوثوق فی صحّة الاکتفاء مع الشکّ فی الإتیان، واعتبار قوله لو أخبر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الاستنابة واجبة علیه، ومع ذلک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قبول خبره فی الإتیان بالحجّ وسقوط ذمّة المنوب عنه، والأظهر عدم اعتباره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فی صحّة عمله</w:t>
      </w:r>
      <w:r>
        <w:rPr>
          <w:rFonts w:eastAsia="IRNazanin" w:cs="IRNazanin"/>
          <w:color w:val="111111"/>
          <w:sz w:val="28"/>
          <w:szCs w:val="28"/>
          <w:rtl w:val="true"/>
          <w:lang w:bidi="fa-IR"/>
        </w:rPr>
        <w:t>.</w:t>
      </w:r>
    </w:p>
    <w:p>
      <w:pPr>
        <w:pStyle w:val="Heading4"/>
        <w:numPr>
          <w:ilvl w:val="3"/>
          <w:numId w:val="1"/>
        </w:numPr>
        <w:rPr/>
      </w:pPr>
      <w:bookmarkStart w:id="130" w:name="__RefHeading___Toc2055595_2322387425"/>
      <w:bookmarkStart w:id="131" w:name="_Toc47"/>
      <w:bookmarkEnd w:id="130"/>
      <w:r>
        <w:rPr>
          <w:rtl w:val="true"/>
        </w:rPr>
        <w:t>الخامس</w:t>
      </w:r>
      <w:r>
        <w:rPr>
          <w:rtl w:val="true"/>
        </w:rPr>
        <w:t xml:space="preserve">: </w:t>
      </w:r>
      <w:r>
        <w:rPr>
          <w:rtl w:val="true"/>
        </w:rPr>
        <w:t>معرفة أعمال الحجّ</w:t>
      </w:r>
      <w:bookmarkEnd w:id="131"/>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w:t>
      </w:r>
      <w:r>
        <w:rPr>
          <w:rStyle w:val="FootnoteAnchor"/>
          <w:rtl w:val="true"/>
        </w:rPr>
        <w:footnoteReference w:id="263"/>
      </w:r>
      <w:r>
        <w:rPr>
          <w:rFonts w:ascii="IRNazanin" w:hAnsi="IRNazanin" w:eastAsia="IRNazanin"/>
          <w:color w:val="111111"/>
          <w:sz w:val="28"/>
          <w:sz w:val="28"/>
          <w:szCs w:val="28"/>
          <w:rtl w:val="true"/>
          <w:lang w:bidi="fa-IR"/>
        </w:rPr>
        <w:t>بأفعال الحجّ وأحکامه، وإن کان بإرشاد معلّمٍ</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ذلک ملحوظاً حین الإجارة أیضاً فی الجملة؛ لئلاّ تکون غرریة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کلّ عمل</w:t>
      </w:r>
      <w:r>
        <w:rPr>
          <w:rFonts w:eastAsia="IRNazanin" w:cs="IRNazanin"/>
          <w:color w:val="111111"/>
          <w:sz w:val="28"/>
          <w:szCs w:val="28"/>
          <w:rtl w:val="true"/>
          <w:lang w:bidi="fa-IR"/>
        </w:rPr>
        <w:t>.</w:t>
      </w:r>
    </w:p>
    <w:p>
      <w:pPr>
        <w:pStyle w:val="Heading4"/>
        <w:numPr>
          <w:ilvl w:val="3"/>
          <w:numId w:val="1"/>
        </w:numPr>
        <w:rPr/>
      </w:pPr>
      <w:bookmarkStart w:id="132" w:name="__RefHeading___Toc2055597_2322387425"/>
      <w:bookmarkStart w:id="133" w:name="_Toc48"/>
      <w:bookmarkEnd w:id="132"/>
      <w:r>
        <w:rPr>
          <w:rtl w:val="true"/>
        </w:rPr>
        <w:t>السادس</w:t>
      </w:r>
      <w:r>
        <w:rPr>
          <w:rtl w:val="true"/>
        </w:rPr>
        <w:t xml:space="preserve">: </w:t>
      </w:r>
      <w:r>
        <w:rPr>
          <w:rtl w:val="true"/>
        </w:rPr>
        <w:t>عدم اشتغال ذمّة النائب بحجٍّ آخر</w:t>
      </w:r>
      <w:bookmarkEnd w:id="133"/>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اشتغال</w:t>
      </w:r>
      <w:r>
        <w:rPr>
          <w:rStyle w:val="FootnoteAnchor"/>
          <w:rtl w:val="true"/>
        </w:rPr>
        <w:footnoteReference w:id="265"/>
      </w:r>
      <w:r>
        <w:rPr>
          <w:rFonts w:ascii="Amiri" w:hAnsi="Amiri" w:eastAsia="Amiri" w:cs="Amiri"/>
          <w:color w:val="111111"/>
          <w:sz w:val="28"/>
          <w:sz w:val="28"/>
          <w:szCs w:val="28"/>
          <w:rtl w:val="true"/>
          <w:lang w:bidi="ar-SA"/>
        </w:rPr>
        <w:t>ذمّته</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الکلام فی هذا الشرط مفصّلاً، ومنه یظهر ما فی المتفرّعات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 واجب علیه فی ذلک العام، فلا تصحّ نیابة مَن وجب علیه حجّة الإسلام، أو النذر المضیّق مع تمکّنه من</w:t>
      </w:r>
    </w:p>
    <w:p>
      <w:pPr>
        <w:pStyle w:val="BookText"/>
        <w:rPr/>
      </w:pPr>
      <w:r>
        <w:rPr>
          <w:rFonts w:ascii="IRNazanin" w:hAnsi="IRNazanin" w:eastAsia="IRNazanin"/>
          <w:color w:val="111111"/>
          <w:sz w:val="28"/>
          <w:sz w:val="28"/>
          <w:szCs w:val="28"/>
          <w:rtl w:val="true"/>
          <w:lang w:bidi="fa-IR"/>
        </w:rPr>
        <w:t>إتیانه، وأمّا مع عدم تمکّنه لعدم المال فلابأس، فلو حجّ عن غیره مع تمکّنه من الحجّ لنفسه بطل علی المشهور</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 مفصّلاً، ومرّ تقویة ما عن المشهور، ومرّ عدم الفرق بین العلم والعمد والجهل والغفلة، والأقرب عدم صحّة حجّ المستطیع مع تمکّنه من حجّة الإسلام عن غیره إجارةً أو تبرّعاً، ولا عن نفسه تطوّعاً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الحقّ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هذا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إنّما هو لصحّة الاستنابة والإجارة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وإلاّ فالحجّ 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 نّه لا إشکال فی فساد الحجّ وعدم احتسابه للمنوب عنه وعدم براءة ذمّته عنه، ولا إشکال فی فساد الاستنابة؛ لکون الحجّ واجباً علیه وجوباً عینیّاً کوجوب صلاة الظهر وصوم شهر رمضان، ولا تصحّ الاستنابة، وقصد عدم حجّة الاستنابة ملازم لعدم احتسابه عن المنوب عنه، نعم، فساد الإجارة لا یلازم فساد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أنّ لا ربط بین مسألتنا هذه ومسألة الأمر بالشیء أصلاً، وحال هذا الشرط کحال سائر الشرائط المعتبرة فی النائب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الاحتیاط علی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کما مرّ، ومرّ استحقاق الاُجرة مع العمل بأمره علی فرض الصحّة وإن کانت الإجارة 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أنّ الأقوی ما هو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یستحقّ الاُجرة</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براءة ذمّة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وتبرأ ذمّة المنوب عنه علی ما هو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 باطل، حتّی علی ما قوّاه من عدم الاقتضاء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کون الأمر بالشیء نهیاً عن ضدّه، مع أنّ ذلک علی القول به وإیجابه للبطلان إنّما یتمّ مع العلم والعَمد، وأمّا مع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المعذور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عن 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عن تقصیر،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سیما فی التقصیریّ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 الصحّة مع الجهل والغفلة، وکذا فی صحّة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عن قصور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134" w:name="pg13284_130540"/>
    </w:p>
    <w:p>
      <w:pPr>
        <w:pStyle w:val="BookText"/>
        <w:rPr/>
      </w:pPr>
      <w:bookmarkEnd w:id="134"/>
      <w:r>
        <w:rPr>
          <w:rFonts w:ascii="Amiri" w:hAnsi="Amiri" w:eastAsia="Amiri" w:cs="Amiri"/>
          <w:color w:val="111111"/>
          <w:sz w:val="28"/>
          <w:sz w:val="28"/>
          <w:szCs w:val="28"/>
          <w:rtl w:val="true"/>
          <w:lang w:bidi="ar-SA"/>
        </w:rPr>
        <w:t>أو الغفلة</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قاصراً، أمّا المقصّر فالظاهر فیه البطلان،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الظاهر صحّة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علی هذا التقدیر؛ لأنّ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إنّما هو من جهة عدم القدرة الشرعیّة علی العمل المستأجَر علیه، حیث إنّ المانع الشرعیّ کالمانع العقلیّ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ومع الجهل أو الغفلة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مانع؛ لأ نّه قادر شرعاً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2055599_2322387425"/>
      <w:bookmarkStart w:id="136" w:name="_Toc49"/>
      <w:bookmarkEnd w:id="135"/>
      <w:r>
        <w:rPr>
          <w:rtl w:val="true"/>
        </w:rPr>
        <w:t>صحّة نیابة المملوک بإذن مولاه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النائب الحرّیّة، فتصحّ نیابة المملوک بإذن مولاه، ولا تصحّ استنابته بدونه، ولو حجّ بدون إذنه بطل</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مقتضی القاعدة إجراء حکم الغصب علیه، فتجری فیه الفضولیة أیضاً، ویمکن تصحیحه بالإجازة اللاحقة من المالک علی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4"/>
        <w:numPr>
          <w:ilvl w:val="3"/>
          <w:numId w:val="1"/>
        </w:numPr>
        <w:rPr/>
      </w:pPr>
      <w:bookmarkStart w:id="137" w:name="__RefHeading___Toc2055601_2322387425"/>
      <w:bookmarkStart w:id="138" w:name="_Toc50"/>
      <w:bookmarkEnd w:id="137"/>
      <w:r>
        <w:rPr>
          <w:rtl w:val="true"/>
        </w:rPr>
        <w:t>اشتراط الإسلام فی المنوب عنه</w:t>
      </w:r>
      <w:bookmarkEnd w:id="13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المنوب عنه الإسلام، فلا تصحّ</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النیابة</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فیه تسلّمهم علی عدم صلاحیّة صدور العبادة منهم؛ من جهة عدم صلاحیّتهم للتقرّب بها، وهذه جاریة فی نیابة غیرهم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الکافر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أطالوا البحث فی هذا المقام، وتجشّموا بکلّ ما یتصوّر صحّة الاستدلال به، إلاّ أنّهم لم یأتوا ببرهانٍ قابلٍ للاستناد الفقهی، مع أنّ موثّقة اسحاق بن عمّار ناصّة فی تخفیف العذاب للاستنابة عن الناصب، وهو شرّ من الیهود والنصاری، کما فی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المضاف والمستعمَل،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لازم صحّة الاستنابة الإثابة، لا التخفیف، مضافاً إلی أنّ هذه الدعوی لا دلیل لها؛ لأنّ أداءَ حقٍّ إلهیٍّ متعلّق بترکة الکافر بعد موته أمرٌ، وکون الکافر مُثاباً أمرٌ آخر؛ إذ الإثابة فعل اختیاریّ للّه تعالی، والبحث عن جوازها وعدمه له بحث کلامی، فالتحقیق بناءً علی کون الکافر مکلّفاً بالحجّ وجوب أداء حجّه بعد موته عن ترکته، وأمّا الإجماع علی عدم صحّة النیابة عن الکافر بعد استناده إلی الأدلة غیر قابلٍ للاستناد، مضافاً إلی وجود المخالف فی المسألة، وأمّا دعوی الانصراف فیدفعها عدم الموجب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لا لعدم انتفاعه بالعمل عنه، لمنعه وإمکان دعوی انتفاعه بالتخفیف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عقابه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 لانصراف</w:t>
      </w:r>
      <w:r>
        <w:rPr>
          <w:rStyle w:val="FootnoteAnchor"/>
          <w:rtl w:val="true"/>
        </w:rPr>
        <w:footnoteReference w:id="273"/>
      </w:r>
      <w:r>
        <w:rPr>
          <w:rFonts w:ascii="Amiri" w:hAnsi="Amiri" w:eastAsia="Amiri" w:cs="Amiri"/>
          <w:color w:val="111111"/>
          <w:sz w:val="28"/>
          <w:sz w:val="28"/>
          <w:szCs w:val="28"/>
          <w:rtl w:val="true"/>
          <w:lang w:bidi="ar-SA"/>
        </w:rPr>
        <w:t>الأدلّة</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الانصراف غیر معلوم، نعم، استدلّ له بالآیة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کانَ لِلنَّبیِّ وَالَّذینَ آمَنُوا أَنْ یَسْتَغْفِرُوا لِلْمُشْرِکِینَ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به، وما قیل من أنّ النیابة غیر الاستغفار، کما تری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الانصراف محلّ تأمّل، فالأحوط الاستئجار عنه وإن لم ینتفع به حتّی بتخفیف العقاب، فیکون کأداء الدَین موجباً لانتفاء موضوع العقاب، کمن لا یستطیع، وهذا غیر الاستغفار کی یمنع بالآیة، کما فی الدَین، وإلاّ فالآیة آبیة عن التخصیص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الانصراف ممنوع، ومقتضی مبناه قدس‌سره من أنّ الواجبات الإلهیة دُیون إجراء حکم الدَین علیه، والآیة الکریمة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لِلنَّبِیِّ وَالَّذینَ آمَنُوا أَنْ یَسْتَغْفِرُوا لِلْمُشْرِکینَ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الآیة فی مقام بیان حکم جَرّ النفع الاُخرویّ إلیهم، لا حکم انتفاء موضوع العقاب رأساً کأداء الدَین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وللنهی عن الاستغفار له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مات مستطیعاً وکان الوارث مسلماً لا یجب علیه استئجاره عنه</w:t>
      </w:r>
      <w:r>
        <w:rPr>
          <w:rFonts w:eastAsia="IRNazanin" w:cs="IRNazanin"/>
          <w:color w:val="111111"/>
          <w:sz w:val="28"/>
          <w:szCs w:val="28"/>
          <w:rtl w:val="true"/>
          <w:lang w:bidi="fa-IR"/>
        </w:rPr>
        <w:t>.</w:t>
      </w:r>
      <w:bookmarkStart w:id="139" w:name="pg13284_130543"/>
    </w:p>
    <w:p>
      <w:pPr>
        <w:pStyle w:val="BookText"/>
        <w:rPr/>
      </w:pPr>
      <w:bookmarkEnd w:id="139"/>
      <w:r>
        <w:rPr>
          <w:rFonts w:ascii="Amiri" w:hAnsi="Amiri" w:eastAsia="Amiri" w:cs="Amiri"/>
          <w:color w:val="111111"/>
          <w:sz w:val="28"/>
          <w:sz w:val="28"/>
          <w:szCs w:val="28"/>
          <w:rtl w:val="true"/>
          <w:lang w:bidi="ar-SA"/>
        </w:rPr>
        <w:t>ویُشترط فیه أیضاً کونه میّتاً أو حیَّاً عاجزاً فی الحجّ الواجب، فلا تصحّ النیابة عن الحیّ فی الحجّ الواجب إلاّ إذا کان عاجزاً، وأمّا فی الحجِّ الندبیّ فیجوز عن الحیّ والمیّت تبرّعاً أو بالإجارة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055603_2322387425"/>
      <w:bookmarkStart w:id="141" w:name="_Toc51"/>
      <w:bookmarkEnd w:id="140"/>
      <w:r>
        <w:rPr>
          <w:rtl w:val="true"/>
        </w:rPr>
        <w:t>حکم الحجّ عن الصبیّ الممیّز والمجنون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النیابة عن الصبیّ الممیِّز</w:t>
      </w:r>
      <w:r>
        <w:rPr>
          <w:rStyle w:val="FootnoteAnchor"/>
          <w:rtl w:val="true"/>
        </w:rPr>
        <w:footnoteReference w:id="275"/>
      </w:r>
      <w:r>
        <w:rPr>
          <w:rFonts w:ascii="IRNazanin" w:hAnsi="IRNazanin" w:eastAsia="IRNazanin"/>
          <w:color w:val="111111"/>
          <w:sz w:val="28"/>
          <w:sz w:val="28"/>
          <w:szCs w:val="28"/>
          <w:rtl w:val="true"/>
          <w:lang w:bidi="fa-IR"/>
        </w:rPr>
        <w:t>والمجنون</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صحّة النیابة عن المجنون لا تخلو من إشکال فی غیر فرض استقرار الحجّ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له إفاقة فی زمانٍ یَسَع للحجّ، وإلاّ فجواز النیابة عنه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یجب الاستئجار عن المجنون إذا استقرّ علیه حال إفاقته ثمّ مات مجنوناً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2055605_2322387425"/>
      <w:bookmarkStart w:id="143" w:name="_Toc52"/>
      <w:bookmarkEnd w:id="142"/>
      <w:r>
        <w:rPr>
          <w:rtl w:val="true"/>
        </w:rPr>
        <w:t>شرطیّة المماثلة بین النائب والمنوب عنه</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 المماثلة بین النائب والمنوب عنه فی الذکورة والاُنوثة، فتصحّ نیابة المرأة عن الرجل، کالعکس، نعم، الأولی</w:t>
      </w:r>
      <w:r>
        <w:rPr>
          <w:rStyle w:val="FootnoteAnchor"/>
          <w:rtl w:val="true"/>
        </w:rPr>
        <w:footnoteReference w:id="277"/>
      </w:r>
      <w:r>
        <w:rPr>
          <w:rFonts w:ascii="Amiri" w:hAnsi="Amiri" w:eastAsia="Amiri" w:cs="Amiri"/>
          <w:color w:val="111111"/>
          <w:sz w:val="28"/>
          <w:sz w:val="28"/>
          <w:szCs w:val="28"/>
          <w:rtl w:val="true"/>
          <w:lang w:bidi="ar-SA"/>
        </w:rPr>
        <w:t>المماثلة</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أفضلیّة الرجل حتّی عن المرأة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أولویّة الرجل مطلقاً، إلاّ فی بعض الموارد؛ إذ رُبّ امرأة أفقه من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2055607_2322387425"/>
      <w:bookmarkStart w:id="145" w:name="_Toc53"/>
      <w:bookmarkEnd w:id="144"/>
      <w:r>
        <w:rPr>
          <w:rtl w:val="true"/>
        </w:rPr>
        <w:t>حکم استنابة الصرورة</w:t>
      </w:r>
      <w:bookmarkEnd w:id="14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Style w:val="FootnoteAnchor"/>
          <w:rtl w:val="true"/>
        </w:rPr>
        <w:footnoteReference w:id="279"/>
      </w:r>
      <w:r>
        <w:rPr>
          <w:rFonts w:ascii="Amiri" w:hAnsi="Amiri" w:eastAsia="Amiri" w:cs="Amiri"/>
          <w:color w:val="111111"/>
          <w:sz w:val="28"/>
          <w:sz w:val="28"/>
          <w:szCs w:val="28"/>
          <w:rtl w:val="true"/>
          <w:lang w:bidi="ar-SA"/>
        </w:rPr>
        <w:t xml:space="preserve">باستنابة </w:t>
      </w:r>
      <w:r>
        <w:rPr>
          <w:rFonts w:eastAsia="Amiri" w:cs="Amiri" w:ascii="Amiri" w:hAnsi="Amiri"/>
          <w:color w:val="111111"/>
          <w:sz w:val="28"/>
          <w:szCs w:val="28"/>
          <w:rtl w:val="true"/>
          <w:lang w:bidi="ar-SA"/>
        </w:rPr>
        <w:t xml:space="preserve">. . . . . . </w:t>
      </w:r>
    </w:p>
    <w:p>
      <w:pPr>
        <w:pStyle w:val="BookText"/>
        <w:rPr/>
      </w:pPr>
      <w:r>
        <w:rPr>
          <w:rFonts w:ascii="Amiri" w:hAnsi="Amiri" w:eastAsia="Amiri" w:cs="Amiri"/>
          <w:color w:val="111111"/>
          <w:sz w:val="28"/>
          <w:sz w:val="28"/>
          <w:szCs w:val="28"/>
          <w:rtl w:val="true"/>
          <w:lang w:bidi="ar-SA"/>
        </w:rPr>
        <w:t>الصَرورة</w:t>
      </w:r>
      <w:r>
        <w:rPr>
          <w:rStyle w:val="FootnoteAnchor"/>
          <w:rtl w:val="true"/>
        </w:rPr>
        <w:footnoteReference w:id="280"/>
      </w:r>
      <w:r>
        <w:rPr>
          <w:rFonts w:ascii="IRNazanin" w:hAnsi="IRNazanin" w:eastAsia="IRNazanin"/>
          <w:color w:val="111111"/>
          <w:sz w:val="28"/>
          <w:sz w:val="28"/>
          <w:szCs w:val="28"/>
          <w:rtl w:val="true"/>
          <w:lang w:bidi="fa-IR"/>
        </w:rPr>
        <w:t>، رجلاً کان أو امرأةً عن رجل أو امرأة</w:t>
      </w:r>
      <w:r>
        <w:rPr>
          <w:rStyle w:val="FootnoteAnchor"/>
          <w:rtl w:val="true"/>
        </w:rPr>
        <w:footnoteReference w:id="281"/>
      </w:r>
      <w:r>
        <w:rPr>
          <w:rFonts w:ascii="IRNazanin" w:hAnsi="IRNazanin" w:eastAsia="IRNazanin"/>
          <w:color w:val="111111"/>
          <w:sz w:val="28"/>
          <w:sz w:val="28"/>
          <w:szCs w:val="28"/>
          <w:rtl w:val="true"/>
          <w:lang w:bidi="fa-IR"/>
        </w:rPr>
        <w:t>، والقول بعدم جواز استنابة المرأة الصرورة مطلقاً أو مع کون المنوب عنه رجلاً ضعیف</w:t>
      </w:r>
      <w:r>
        <w:rPr>
          <w:rStyle w:val="FootnoteAnchor"/>
          <w:rtl w:val="true"/>
        </w:rPr>
        <w:footnoteReference w:id="282"/>
      </w:r>
      <w:r>
        <w:rPr>
          <w:rFonts w:ascii="IRNazanin" w:hAnsi="IRNazanin" w:eastAsia="IRNazanin"/>
          <w:color w:val="111111"/>
          <w:sz w:val="28"/>
          <w:sz w:val="28"/>
          <w:szCs w:val="28"/>
          <w:rtl w:val="true"/>
          <w:lang w:bidi="fa-IR"/>
        </w:rPr>
        <w:t>، نعم، یُکره ذلک</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الکراهة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خصوصاً مع کون المنوب عنه رجلاً، بل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البعد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یُحتَمل عدم کراهة الصرورة حتّی فی المرأة إن کانت عالمة بالأحکام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46" w:name="pg13284_130545"/>
    </w:p>
    <w:p>
      <w:pPr>
        <w:pStyle w:val="BookText"/>
        <w:rPr/>
      </w:pPr>
      <w:bookmarkEnd w:id="146"/>
      <w:r>
        <w:rPr>
          <w:rFonts w:ascii="Amiri" w:hAnsi="Amiri" w:eastAsia="Amiri" w:cs="Amiri"/>
          <w:color w:val="111111"/>
          <w:sz w:val="28"/>
          <w:sz w:val="28"/>
          <w:szCs w:val="28"/>
          <w:rtl w:val="true"/>
          <w:lang w:bidi="ar-SA"/>
        </w:rPr>
        <w:t>استئجار الصرورة</w:t>
      </w:r>
      <w:r>
        <w:rPr>
          <w:rStyle w:val="FootnoteAnchor"/>
          <w:rtl w:val="true"/>
        </w:rPr>
        <w:footnoteReference w:id="284"/>
      </w:r>
      <w:r>
        <w:rPr>
          <w:rFonts w:ascii="IRNazanin" w:hAnsi="IRNazanin" w:eastAsia="IRNazanin"/>
          <w:color w:val="111111"/>
          <w:sz w:val="28"/>
          <w:sz w:val="28"/>
          <w:szCs w:val="28"/>
          <w:rtl w:val="true"/>
          <w:lang w:bidi="fa-IR"/>
        </w:rPr>
        <w:t>ولو کان رجلاً عن رجل</w:t>
      </w:r>
      <w:r>
        <w:rPr>
          <w:rFonts w:eastAsia="IRNazanin" w:cs="IRNazanin"/>
          <w:color w:val="111111"/>
          <w:sz w:val="28"/>
          <w:szCs w:val="28"/>
          <w:rtl w:val="true"/>
          <w:lang w:bidi="fa-IR"/>
        </w:rPr>
        <w:t>.</w:t>
      </w:r>
    </w:p>
    <w:p>
      <w:pPr>
        <w:pStyle w:val="Heading4"/>
        <w:numPr>
          <w:ilvl w:val="3"/>
          <w:numId w:val="1"/>
        </w:numPr>
        <w:rPr/>
      </w:pPr>
      <w:bookmarkStart w:id="147" w:name="__RefHeading___Toc2055609_2322387425"/>
      <w:bookmarkStart w:id="148" w:name="_Toc54"/>
      <w:bookmarkEnd w:id="147"/>
      <w:r>
        <w:rPr>
          <w:rtl w:val="true"/>
        </w:rPr>
        <w:t>اعتبار قصد النیابة وتعیین المنوب عنه</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النیابة قصد النیابة</w:t>
      </w:r>
      <w:r>
        <w:rPr>
          <w:rStyle w:val="FootnoteAnchor"/>
          <w:rtl w:val="true"/>
        </w:rPr>
        <w:footnoteReference w:id="285"/>
      </w:r>
      <w:r>
        <w:rPr>
          <w:rFonts w:ascii="IRNazanin" w:hAnsi="IRNazanin" w:eastAsia="IRNazanin"/>
          <w:color w:val="111111"/>
          <w:sz w:val="28"/>
          <w:sz w:val="28"/>
          <w:szCs w:val="28"/>
          <w:rtl w:val="true"/>
          <w:lang w:bidi="fa-IR"/>
        </w:rPr>
        <w:t>وتعیین المنوب عنه فی النیّة ولو بالإجمال، ولا یُشترط ذکر اسمه وإن کان یستحبّ</w:t>
      </w:r>
      <w:r>
        <w:rPr>
          <w:rStyle w:val="FootnoteAnchor"/>
          <w:rtl w:val="true"/>
        </w:rPr>
        <w:footnoteReference w:id="286"/>
      </w:r>
      <w:r>
        <w:rPr>
          <w:rFonts w:ascii="IRNazanin" w:hAnsi="IRNazanin" w:eastAsia="IRNazanin"/>
          <w:color w:val="111111"/>
          <w:sz w:val="28"/>
          <w:sz w:val="28"/>
          <w:szCs w:val="28"/>
          <w:rtl w:val="true"/>
          <w:lang w:bidi="fa-IR"/>
        </w:rPr>
        <w:t>ذلک فی جمیع المواقف</w:t>
      </w:r>
      <w:r>
        <w:rPr>
          <w:rFonts w:eastAsia="IRNazanin" w:cs="IRNazanin"/>
          <w:color w:val="111111"/>
          <w:sz w:val="28"/>
          <w:szCs w:val="28"/>
          <w:rtl w:val="true"/>
          <w:lang w:bidi="fa-IR"/>
        </w:rPr>
        <w:t>.</w:t>
      </w:r>
    </w:p>
    <w:p>
      <w:pPr>
        <w:pStyle w:val="Heading4"/>
        <w:numPr>
          <w:ilvl w:val="3"/>
          <w:numId w:val="1"/>
        </w:numPr>
        <w:rPr/>
      </w:pPr>
      <w:bookmarkStart w:id="149" w:name="__RefHeading___Toc2055611_2322387425"/>
      <w:bookmarkStart w:id="150" w:name="_Toc55"/>
      <w:bookmarkEnd w:id="149"/>
      <w:r>
        <w:rPr>
          <w:rtl w:val="true"/>
        </w:rPr>
        <w:t>حصول فراغ الذمّة باتیان الحجّ لا بمجرّد الإجارة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تصحّ النیابة بالتبرّع وبالإجارة کذا تصحّ بالجِعالة، ولا تفرغ ذمّة المنوب عنه إلاّ بإتیان النائب صحیحاً، ولا تفرغ بمجرّد الإجارة</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لا یُترک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دلّ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الأجیر ضامناً، وکفایة الإجارة فی فراغه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دلالة لتلک الأخبار علی کفایة الإجارة فی فراغ ذمّة المنوب عنه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منزّلة علی أنّ اللّه تعالی یُعطیه ثواب الحجّ إذا قصر النائب فی الإتیان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مطروحة؛ لعدم عمل العلماء بها بظاهرها</w:t>
      </w:r>
      <w:r>
        <w:rPr>
          <w:rFonts w:eastAsia="Amiri" w:cs="Amiri" w:ascii="Amiri" w:hAnsi="Amiri"/>
          <w:color w:val="111111"/>
          <w:sz w:val="28"/>
          <w:szCs w:val="28"/>
          <w:rtl w:val="true"/>
          <w:lang w:bidi="ar-SA"/>
        </w:rPr>
        <w:t>.</w:t>
      </w:r>
      <w:bookmarkStart w:id="151" w:name="pg13284_130546"/>
    </w:p>
    <w:p>
      <w:pPr>
        <w:pStyle w:val="Heading4"/>
        <w:numPr>
          <w:ilvl w:val="3"/>
          <w:numId w:val="1"/>
        </w:numPr>
        <w:rPr/>
      </w:pPr>
      <w:bookmarkStart w:id="152" w:name="__RefHeading___Toc2055613_2322387425"/>
      <w:bookmarkStart w:id="153" w:name="_Toc56"/>
      <w:bookmarkEnd w:id="151"/>
      <w:bookmarkEnd w:id="152"/>
      <w:r>
        <w:rPr>
          <w:rtl w:val="true"/>
        </w:rPr>
        <w:t>حکم استئجار المعذور فی ترک بعض الأعمال</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المنوب عنه معذوراً، أم لا، وکذا الکلام فی التبرّع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استئجار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المعذور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تفصیل فإطلاق عدم الجواز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ترک بعض الأعمال، بل لو تبرّع المعذور یشکل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النیابة والتبرّع من حیث إجزاء العمل الناقص عمّا فی عهدة المیّت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الاکتفاء به</w:t>
      </w:r>
      <w:r>
        <w:rPr>
          <w:rFonts w:eastAsia="IRNazanin" w:cs="IRNazanin"/>
          <w:color w:val="111111"/>
          <w:sz w:val="28"/>
          <w:szCs w:val="28"/>
          <w:rtl w:val="true"/>
          <w:lang w:bidi="fa-IR"/>
        </w:rPr>
        <w:t>.</w:t>
      </w:r>
    </w:p>
    <w:p>
      <w:pPr>
        <w:pStyle w:val="Heading4"/>
        <w:numPr>
          <w:ilvl w:val="3"/>
          <w:numId w:val="1"/>
        </w:numPr>
        <w:rPr/>
      </w:pPr>
      <w:bookmarkStart w:id="154" w:name="__RefHeading___Toc2055615_2322387425"/>
      <w:bookmarkStart w:id="155" w:name="_Toc57"/>
      <w:bookmarkEnd w:id="154"/>
      <w:r>
        <w:rPr>
          <w:rtl w:val="true"/>
        </w:rPr>
        <w:t>صور موت النائب قبل الإتیان بالمناسک</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النائب قبل الإتیان بالمناسک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الإحرام لم یجزِ عن المنوب عنه</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والتعلیل المذکور بیّن الضعف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یراعی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 من کون الأصل عدم فراغ ذمّته إلاّ بالإتیان، بعد حمل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ضمان الأجیر علی 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بعد الإحرام ودخول الحرم أجزأ عنه، لا لکون الحکم کذلک فی الحاجِّ عن نفسه؛ لاختصاص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دلّ علیه به، وکون فعل النائب فعل</w:t>
      </w:r>
    </w:p>
    <w:p>
      <w:pPr>
        <w:pStyle w:val="BookText"/>
        <w:rPr/>
      </w:pPr>
      <w:r>
        <w:rPr>
          <w:rFonts w:ascii="IRNazanin" w:hAnsi="IRNazanin" w:eastAsia="IRNazanin"/>
          <w:color w:val="111111"/>
          <w:sz w:val="28"/>
          <w:sz w:val="28"/>
          <w:szCs w:val="28"/>
          <w:rtl w:val="true"/>
          <w:lang w:bidi="fa-IR"/>
        </w:rPr>
        <w:t>المنوب عنه لا یقتضی الإلحاق، بل لموثّقة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الموءیّدة بمرسَلَتَی حسین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وجوب الحجّ وشرائطه، ح</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الدالّة علی أنّ النائب إذا مات فی الطریق أجزأ عن المنوب عنه، المقیّدة</w:t>
      </w:r>
      <w:r>
        <w:rPr>
          <w:rStyle w:val="FootnoteAnchor"/>
          <w:rtl w:val="true"/>
        </w:rPr>
        <w:footnoteReference w:id="290"/>
      </w:r>
      <w:r>
        <w:rPr>
          <w:rFonts w:ascii="Amiri" w:hAnsi="Amiri" w:eastAsia="Amiri" w:cs="Amiri"/>
          <w:color w:val="111111"/>
          <w:sz w:val="28"/>
          <w:sz w:val="28"/>
          <w:szCs w:val="28"/>
          <w:rtl w:val="true"/>
          <w:lang w:bidi="ar-SA"/>
        </w:rPr>
        <w:t>بمرسلة</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ذکرناه فی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حاجّاً فمات فی الطریق فإنّه إن کان مات فی الحرم فقد سقطت عنه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للحاجّ عن غیره أیضاً، ولا یعارضها 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الدالّة علی أنّ النائب إذا مات فی الطریق علیه أن یوصی؛ لأ نّها محمولة علی ما إذا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الإحرام، أو علی الاستحباب، مضافاً إلی الإجماع علی عدم کفایة مطلق الموت فی الطریق، وضعفها سنداً</w:t>
      </w:r>
      <w:bookmarkStart w:id="156" w:name="pg13284_130548"/>
    </w:p>
    <w:p>
      <w:pPr>
        <w:pStyle w:val="BookText"/>
        <w:rPr/>
      </w:pPr>
      <w:bookmarkEnd w:id="156"/>
      <w:r>
        <w:rPr>
          <w:rFonts w:ascii="Amiri" w:hAnsi="Amiri" w:eastAsia="Amiri" w:cs="Amiri"/>
          <w:color w:val="111111"/>
          <w:sz w:val="28"/>
          <w:sz w:val="28"/>
          <w:szCs w:val="28"/>
          <w:rtl w:val="true"/>
          <w:lang w:bidi="ar-SA"/>
        </w:rPr>
        <w:t>بل ودلالةً</w:t>
      </w:r>
      <w:r>
        <w:rPr>
          <w:rStyle w:val="FootnoteAnchor"/>
          <w:rtl w:val="true"/>
        </w:rPr>
        <w:footnoteReference w:id="292"/>
      </w:r>
      <w:r>
        <w:rPr>
          <w:rFonts w:ascii="IRNazanin" w:hAnsi="IRNazanin" w:eastAsia="IRNazanin"/>
          <w:color w:val="111111"/>
          <w:sz w:val="28"/>
          <w:sz w:val="28"/>
          <w:szCs w:val="28"/>
          <w:rtl w:val="true"/>
          <w:lang w:bidi="fa-IR"/>
        </w:rPr>
        <w:t>منجبر بالشهرة والإجماعات المنقولة، فلا ینبغی الإشکال فی الإجزاء فی الصورة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مات بعد الإحرام وقبل دخول الحرم ففی الإجزاء قولان، ولا یبعد الإجزاء</w:t>
      </w:r>
      <w:r>
        <w:rPr>
          <w:rStyle w:val="FootnoteAnchor"/>
          <w:rtl w:val="true"/>
        </w:rPr>
        <w:footnoteReference w:id="293"/>
      </w:r>
      <w:r>
        <w:rPr>
          <w:rFonts w:ascii="IRNazanin" w:hAnsi="IRNazanin" w:eastAsia="IRNazanin"/>
          <w:color w:val="111111"/>
          <w:sz w:val="28"/>
          <w:sz w:val="28"/>
          <w:szCs w:val="28"/>
          <w:rtl w:val="true"/>
          <w:lang w:bidi="fa-IR"/>
        </w:rPr>
        <w:t>، وإن لم نقل به فی الحاجّ عن نفسه؛ لإطلاق الأخبار فی المقام، والقدر المتیقّن من التقیید هو اعتبار کونه بعد الإحرام، لکنّ الأقوی</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القوّة تأمّل، وفیما ذکره قبلها أیضاً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فحاله حال الحاجّ عن نفسه فی اعتبار الأمرین فی الإجزاء، والظاهر عدم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حجّة 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وغیرها من أقسام الحجّ، وکون النیابة بالاُجرة، أو بالتبرّع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2055617_2322387425"/>
      <w:bookmarkStart w:id="158" w:name="_Toc58"/>
      <w:bookmarkEnd w:id="157"/>
      <w:r>
        <w:rPr>
          <w:rtl w:val="true"/>
        </w:rPr>
        <w:t>التفصیل فی استحقاق اُجرة النائب المتوفی فی المناسک</w:t>
      </w:r>
      <w:bookmarkEnd w:id="15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الأجیر</w:t>
      </w:r>
      <w:r>
        <w:rPr>
          <w:rStyle w:val="FootnoteAnchor"/>
          <w:rtl w:val="true"/>
        </w:rPr>
        <w:footnoteReference w:id="295"/>
      </w:r>
      <w:r>
        <w:rPr>
          <w:rFonts w:ascii="IRNazanin" w:hAnsi="IRNazanin" w:eastAsia="IRNazanin"/>
          <w:color w:val="111111"/>
          <w:sz w:val="28"/>
          <w:sz w:val="28"/>
          <w:szCs w:val="28"/>
          <w:rtl w:val="true"/>
          <w:lang w:bidi="fa-IR"/>
        </w:rPr>
        <w:t>بعد الإحرام ودخول الحرم</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یستحقّ تمام الاُجرة إذا کان أجیراً علی تفریغ الذمّة</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الإجارة علی تفریغ الذمّة لا معنی لها، بل متعلّق الإجارة فی الحجّ البلدیّ المشی إلی بیت اللّه، والإتیان بالمناسک المخصوصة نیابةً عن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تفریغ الذمّة نتیجة عمل الأجیر إذا وقع صحیحاً، والإجارة تتعلّق بنفس العمل، فلابدّ وأن یلاحظ المتعلّق ما هو؟ وهل قَطْع المسافة من البلد أو من غیره إلی المیقات داخل فیه، أو لا؟ بل متعلّقها نفس الأعمال والمناسک المخصوصة وأنّ قطع المسافة من مقدّمات المتعلّق الوجودیّة، وعلی کلّ حالٍ بعد تعیین المتعلّق یوزّع الاُجرة علی ما أتی وما 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مورد الإجارة حقیقة الحجّ، لا التفریغ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الاستحقاق تعبّداً وإن کان أجیراً علی الأعمال، وأمّا الإجارة علی التفریغ فلا معنی له، بل متعلّق الإجارة فی الحجّ البلدیّ المشی إلی بیت اللّه الحرام، والإتیان بالمناسک المخصوصة نیابةً عن المنوب عنه، علی ما هو المرتکز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حکم به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الإتیان بطبیعة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وبالنسبة إلی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أتی</w:t>
      </w:r>
      <w:r>
        <w:rPr>
          <w:rStyle w:val="FootnoteAnchor"/>
          <w:rtl w:val="true"/>
        </w:rPr>
        <w:footnoteReference w:id="298"/>
      </w:r>
      <w:r>
        <w:rPr>
          <w:rFonts w:ascii="IRNazanin" w:hAnsi="IRNazanin" w:eastAsia="IRNazanin"/>
          <w:color w:val="111111"/>
          <w:sz w:val="28"/>
          <w:sz w:val="28"/>
          <w:szCs w:val="28"/>
          <w:rtl w:val="true"/>
          <w:lang w:bidi="fa-IR"/>
        </w:rPr>
        <w:t>به من الأعمال إذا کان أجیراً علی الإتیان بالحجّ، بمعنی الأعمال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 . . . . . . . </w:t>
      </w:r>
    </w:p>
    <w:p>
      <w:pPr>
        <w:pStyle w:val="BookText"/>
        <w:rPr/>
      </w:pPr>
      <w:r>
        <w:rPr>
          <w:rFonts w:ascii="Amiri" w:hAnsi="Amiri" w:eastAsia="Amiri" w:cs="Amiri"/>
          <w:color w:val="111111"/>
          <w:sz w:val="28"/>
          <w:sz w:val="28"/>
          <w:szCs w:val="28"/>
          <w:rtl w:val="true"/>
          <w:lang w:bidi="ar-SA"/>
        </w:rPr>
        <w:t>المخصوصة</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بالإتیان الأعمّ من الإتیان الحقیقیّ والتنزیلیّ الشرعیّ یکون حکمه حکم 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الغالب کون الإجارة للإتیان بطبیعة الحجّ فاستحقّ الاُجرة الکاملة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مات قبل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 یستحقّ شیئاً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سواء مات قبل الشروع فی المشی أم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وقبل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وقبل الدخول</w:t>
      </w:r>
    </w:p>
    <w:p>
      <w:pPr>
        <w:pStyle w:val="BookText"/>
        <w:rPr/>
      </w:pPr>
      <w:r>
        <w:rPr>
          <w:rFonts w:ascii="IRNazanin" w:hAnsi="IRNazanin" w:eastAsia="IRNazanin"/>
          <w:color w:val="111111"/>
          <w:sz w:val="28"/>
          <w:sz w:val="28"/>
          <w:szCs w:val="28"/>
          <w:rtl w:val="true"/>
          <w:lang w:bidi="fa-IR"/>
        </w:rPr>
        <w:t>فی الحرم</w:t>
      </w:r>
      <w:r>
        <w:rPr>
          <w:rStyle w:val="FootnoteAnchor"/>
          <w:rtl w:val="true"/>
        </w:rPr>
        <w:footnoteReference w:id="301"/>
      </w:r>
      <w:r>
        <w:rPr>
          <w:rFonts w:ascii="Amiri" w:hAnsi="Amiri" w:eastAsia="Amiri" w:cs="Amiri"/>
          <w:color w:val="111111"/>
          <w:sz w:val="28"/>
          <w:sz w:val="28"/>
          <w:szCs w:val="28"/>
          <w:rtl w:val="true"/>
          <w:lang w:bidi="ar-SA"/>
        </w:rPr>
        <w:t>لأ نّه لم یأتِ بالعمل المستأجَر علیه، لا کلاًّ ولا بعضاً</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بیّنّا آنفاً أنّ متعلّق الإجارة المشی إلی بیت اللّه مع الإتیان بالمناسک، فکلّ ما صدر من الأجیر من ابتداء الشروع فی الحرکة إلی تمام الأعمال بعض من العمل المستأجر علیه، فإذا لم یتمّ العمل قهراً بسبب الموت أو الصدّ أو غیر ذلک یوزّع علیه الاُجرة، وکون المشی مقدّمة للواجب الأصلی لا یوجب خروجه عن متعلّق الإجارة، وعدم انتفاع المستأجر به بعد فرض عدم الإجزاء لا یمنع عن توزیع الاُجرة، مع أ نّه فی الحجّ البلدیّ قد سقط بسببه عن المستأجر الاستئجار من البلد؛ لکفایة الاستئجار من محلّ موت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البعض داخلاً فی متعلّق الإجارة فهو آتٍ ببعض العمل المستأجر علیه، فیستحقّ الاُجرة بالنسبة إلیه، کما فی سائر موارد الاستئجارات الّتی یحصل المانع القهریّ فیها عن إتمام العمل، وعدم الإجزاء لا یستلزم عدم الاستحقاق، فیکون عدم الإجزاء هنا نظیر عدم حصول المقصود الأصلی فی الموارد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المفروض وقوع الإجارة علی الحجّ البلدیّ دون المیقاتیّ، وطیّ الطریق جزء فی الإجارة البلدیّة، فعدم انتفاع المستأجَر أو عدم الإجزاء ونحوه لا یضرّ فیما هو المدار فی التقسیط، مثل عدم حصول الغرض فی الإجارات الاُخر ممّا یجری فیه التقسیط، ومنه یُعلم وجه التوزیع علی ما أتی به من الأعمال بعد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مقتضی الارتکازات العقلائیة المنزلة علیها نوع الإجارات إلاّ مع القرینة علیالخلاف هو وقوع بعض العمل المستأجر علیه، فیستحقّ الاُجرة بالنسبة لا محالة، ولیس ذلک دائراً مدار الإجزاء،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فرض عدم إجزائه</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الإجزاء لا یلازم عدم استحقاق بعض الاُجرة بعد ما کان ما أتی به داخلاً فی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الإجزاء لا یستلزم عدم استحقاقه من الاُجرة بالنسبة، فالأقوی استحقاقه إیّاها بالنسبة إلی مأتیه؛ لمکان الإتیان ببعض مورد الإجارة ولو کان من المقدمات، بناءً علی دخولها نفساً أو 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المستأجَر علیه کلّیّاً بقید المجموع أو التفریغ، وإلاّ فعدم الإجزاء لا ینافی توزیع مال الإجارة علی مورد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المرتکَز هو الإجارة علی المشی والمناسک، فیستحقّ مقدار ما قابل المأتیّ منها وإن کان غیر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استحقاقه بالنسبة فی الإجارات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من غیر فرقٍ بین أن یکون المستأجَر علیه نفس الأعمال، أو مع المقدّمات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تقیید العمل المستأجَر علیه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المشی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المشی داخلاً فی الإجارة علی وجه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الجزئیّة</w:t>
      </w:r>
      <w:r>
        <w:rPr>
          <w:rStyle w:val="FootnoteAnchor"/>
          <w:rtl w:val="true"/>
        </w:rPr>
        <w:footnoteReference w:id="304"/>
      </w:r>
      <w:r>
        <w:rPr>
          <w:rFonts w:ascii="IRNazanin" w:hAnsi="IRNazanin" w:eastAsia="IRNazanin"/>
          <w:color w:val="111111"/>
          <w:sz w:val="28"/>
          <w:sz w:val="28"/>
          <w:szCs w:val="28"/>
          <w:rtl w:val="true"/>
          <w:lang w:bidi="fa-IR"/>
        </w:rPr>
        <w:t>بأن یکون مطلوباً فی الإجارة نفساً استحقّ مقدار</w:t>
      </w:r>
      <w:r>
        <w:rPr>
          <w:rStyle w:val="FootnoteAnchor"/>
          <w:rtl w:val="true"/>
        </w:rPr>
        <w:footnoteReference w:id="305"/>
      </w:r>
      <w:r>
        <w:rPr>
          <w:rFonts w:ascii="IRNazanin" w:hAnsi="IRNazanin" w:eastAsia="IRNazanin"/>
          <w:color w:val="111111"/>
          <w:sz w:val="28"/>
          <w:sz w:val="28"/>
          <w:szCs w:val="28"/>
          <w:rtl w:val="true"/>
          <w:lang w:bidi="fa-IR"/>
        </w:rPr>
        <w:t>ما یقابله من الاُجرة، بخلاف ما إذا لم یکن داخلاً أصلاً، أو کان داخلاً فیها لا نفساً، بل بوصف المقدّمیّة</w:t>
      </w:r>
      <w:r>
        <w:rPr>
          <w:rStyle w:val="FootnoteAnchor"/>
          <w:rtl w:val="true"/>
        </w:rPr>
        <w:footnoteReference w:id="306"/>
      </w:r>
      <w:r>
        <w:rPr>
          <w:rFonts w:ascii="IRNazanin" w:hAnsi="IRNazanin" w:eastAsia="IRNazanin"/>
          <w:color w:val="111111"/>
          <w:sz w:val="28"/>
          <w:sz w:val="28"/>
          <w:szCs w:val="28"/>
          <w:rtl w:val="true"/>
          <w:lang w:bidi="fa-IR"/>
        </w:rPr>
        <w:t>، فما ذهب إلیه بعضهم من توزیع الاُجرة</w:t>
      </w:r>
      <w:r>
        <w:rPr>
          <w:rStyle w:val="FootnoteAnchor"/>
          <w:rtl w:val="true"/>
        </w:rPr>
        <w:footnoteReference w:id="307"/>
      </w:r>
      <w:r>
        <w:rPr>
          <w:rFonts w:ascii="IRNazanin" w:hAnsi="IRNazanin" w:eastAsia="IRNazanin"/>
          <w:color w:val="111111"/>
          <w:sz w:val="28"/>
          <w:sz w:val="28"/>
          <w:szCs w:val="28"/>
          <w:rtl w:val="true"/>
          <w:lang w:bidi="fa-IR"/>
        </w:rPr>
        <w:t>علیه أیضاً مطلقاً لا وجه له</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إلاّ مع التصریح بخروجها عن مورد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الأوجه توزیع الاُجرة علی المشی وغیره من الأفعال، بل وعلی مصارف المشی ولوازم الأعمال، مثل اشتراء القِربة وثَوبَی الإحرام وغیرهما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إلاّ مع التصریح بمقابلة الثمن بالأعمال، ومعه یستحقّ مقدار ما یقابل المأتیّ منها ولو مع عدم الإجزاء، فیستحقّ للإحرام وسائر أعماله وإن لم یدخل فی الحرم، ومعلوم أنّ الإحرام مع بُعدِ الطریق أغلی منه مع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 إمّا فی استحقاق اُجرة المثل، أو المسمّی بالنسبة، ففیه تأمّل، فالأحوط التصالح، کما مرّ فی الفرض السابق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وجاهة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إلاّ مع التصریح بخروجها عن مورد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إلاّ مع التصریح بالخروج عن مورد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 نّه لا وجه</w:t>
      </w:r>
      <w:r>
        <w:rPr>
          <w:rStyle w:val="FootnoteAnchor"/>
          <w:rtl w:val="true"/>
        </w:rPr>
        <w:footnoteReference w:id="309"/>
      </w:r>
      <w:r>
        <w:rPr>
          <w:rFonts w:ascii="Amiri" w:hAnsi="Amiri" w:eastAsia="Amiri" w:cs="Amiri"/>
          <w:color w:val="111111"/>
          <w:sz w:val="28"/>
          <w:sz w:val="28"/>
          <w:szCs w:val="28"/>
          <w:rtl w:val="true"/>
          <w:lang w:bidi="ar-SA"/>
        </w:rPr>
        <w:t>لِما ذکره</w:t>
      </w:r>
      <w:r>
        <w:rPr>
          <w:rStyle w:val="FootnoteAnchor"/>
          <w:rtl w:val="true"/>
        </w:rPr>
        <w:footnoteReference w:id="310"/>
      </w:r>
      <w:r>
        <w:rPr>
          <w:rFonts w:ascii="IRNazanin" w:hAnsi="IRNazanin" w:eastAsia="IRNazanin"/>
          <w:color w:val="111111"/>
          <w:sz w:val="28"/>
          <w:sz w:val="28"/>
          <w:szCs w:val="28"/>
          <w:rtl w:val="true"/>
          <w:lang w:bidi="fa-IR"/>
        </w:rPr>
        <w:t>بعضهم من التوزیع علی ما أتی به من الأعمال</w:t>
      </w:r>
      <w:r>
        <w:rPr>
          <w:rStyle w:val="FootnoteAnchor"/>
          <w:rtl w:val="true"/>
        </w:rPr>
        <w:footnoteReference w:id="311"/>
      </w:r>
      <w:r>
        <w:rPr>
          <w:rFonts w:ascii="IRNazanin" w:hAnsi="IRNazanin" w:eastAsia="IRNazanin"/>
          <w:color w:val="111111"/>
          <w:sz w:val="28"/>
          <w:sz w:val="28"/>
          <w:szCs w:val="28"/>
          <w:rtl w:val="true"/>
          <w:lang w:bidi="fa-IR"/>
        </w:rPr>
        <w:t xml:space="preserve">بعد الإحرام؛ إذ هو نظیر ما إذا استُؤجِر للصلاة فأتی برکعة </w:t>
      </w:r>
    </w:p>
    <w:p>
      <w:pPr>
        <w:pStyle w:val="BookText"/>
        <w:rPr/>
      </w:pPr>
      <w:r>
        <w:rPr>
          <w:rFonts w:ascii="Amiri" w:hAnsi="Amiri" w:eastAsia="Amiri" w:cs="Amiri"/>
          <w:color w:val="111111"/>
          <w:sz w:val="28"/>
          <w:sz w:val="28"/>
          <w:szCs w:val="28"/>
          <w:rtl w:val="true"/>
          <w:lang w:bidi="ar-SA"/>
        </w:rPr>
        <w:t>أو أزید ثمّ اُبطلت</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نظیر موت الأجیر فی أثناء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نظیر ما لو استُؤجِر للصلاة فأتی برکعة أو أزید ثمّ مات، والأظهر فیه استحقاق الاُجرة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إبطال الصلاة لا ربط له بما هو محلّ الکلام، بل نظیر المقام موته فی أثناء الصلاة، أو وجود مانع قهریّ آخر فی أثنائها، وحینئذٍ الکلام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نظیر ما إذا مات فی أثناء الصلاة المستأجَر علیها، وهو عین مسألتنا بلا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نظیر ما إذا مات فی أثناء الصلاة المستأجَر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القیاس واضح الفساد، نعم، قیاسها بما إذا مات الأجیر فی أثناء الصلاة لا بأس به، ولکنّه أیضاً کمسألتنا، وإن کان بینهما فرق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باستحقاق الاُجرة بالنسبة إذا مات فی أثناء الصلاة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فإنّه لا إشکال فی أ نّه لا یستحقّ</w:t>
      </w:r>
    </w:p>
    <w:p>
      <w:pPr>
        <w:pStyle w:val="BookText"/>
        <w:rPr/>
      </w:pPr>
      <w:r>
        <w:rPr>
          <w:rFonts w:ascii="Amiri" w:hAnsi="Amiri" w:eastAsia="Amiri" w:cs="Amiri"/>
          <w:color w:val="111111"/>
          <w:sz w:val="28"/>
          <w:sz w:val="28"/>
          <w:szCs w:val="28"/>
          <w:rtl w:val="true"/>
          <w:lang w:bidi="ar-SA"/>
        </w:rPr>
        <w:t>الاُجرة</w:t>
      </w:r>
      <w:r>
        <w:rPr>
          <w:rStyle w:val="FootnoteAnchor"/>
          <w:rtl w:val="true"/>
        </w:rPr>
        <w:footnoteReference w:id="313"/>
      </w:r>
      <w:r>
        <w:rPr>
          <w:rFonts w:ascii="IRNazanin" w:hAnsi="IRNazanin" w:eastAsia="IRNazanin"/>
          <w:color w:val="111111"/>
          <w:sz w:val="28"/>
          <w:sz w:val="28"/>
          <w:szCs w:val="28"/>
          <w:rtl w:val="true"/>
          <w:lang w:bidi="fa-IR"/>
        </w:rPr>
        <w:t>علی ما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 نّه وإن کان لا یستحقّ من المسمّی بالنسبة، لکن یستحقّ اُجرة المثل لِما أتی به؛ حیث إنّ عمله محترم مدفوعة</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 نّه لا وجه له بعد عدم نفعٍ للمستأجَر</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الإجارة وإن کانت تدور مدار المنفعة ولکن لا تدور مدار تحقّق المنفعة، فقد تحصل، وقد لا تحصل، وعند عدم حصولها لا تبطل الإجارة، فبطلان الإجارة مطلقاً غیر معلوم، وعلی فرضه فعدم النفع مطلقاً فیما وقع من الأعمال عنه غیر معلوم، ولا أقلّ من النفع الاُخروی بتلک الأعمال الّتی وقعت عنه وإن لم تکن مُبرِئة الذمّة عن أصل الواجب، وعلی کلٍّ فلیس المِلاک فی المقام النفع وعدم النفع للمستأجَر، وإنّما ملاک الاستحقاق وعدمه وصحّة الإجارة بالنسبة لِما وقع وعدمها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المورد هل هو من قبیل الإجارة علی کتابة کتابٍ أو خیاطة ثوبٍ علی الإطلاق، فإذا خاط نصف الثوب أو کتب نصف الکتاب استحقّ نصف الاُجرة قطعاً؛ لأنّ عقد الإجارة ینحلّ إلی عقود، کما ذُکر فی باب تبعّض الصفقة، أو من قبیل الاُجرة علی إیصال المکتوب إلی البلد الفلانی، فإذا سار نصف الطریق ولم یُوصِل الکتاب لم یستحقّ شیئاً؛ لأ نّه عقد واحد بسیط؟ ولعلّ إلی هذا نظر صاحب الجواهر قدس‌سره فی الحکم بالاستحقاق بالنسبة فی المسألة الآتیة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قویّ متین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أ نّه لم یکن مغروراً</w:t>
      </w:r>
      <w:r>
        <w:rPr>
          <w:rStyle w:val="FootnoteAnchor"/>
          <w:rtl w:val="true"/>
        </w:rPr>
        <w:footnoteReference w:id="317"/>
      </w:r>
      <w:r>
        <w:rPr>
          <w:rFonts w:ascii="Amiri" w:hAnsi="Amiri" w:eastAsia="Amiri" w:cs="Amiri"/>
          <w:color w:val="111111"/>
          <w:sz w:val="28"/>
          <w:sz w:val="28"/>
          <w:szCs w:val="28"/>
          <w:rtl w:val="true"/>
          <w:lang w:bidi="ar-SA"/>
        </w:rPr>
        <w:t>من قِبَلِه، وحینئذٍ فتنفسخ الإجارة إذا کانت للحجّ فی سنةٍ معیّنة</w:t>
      </w:r>
      <w:r>
        <w:rPr>
          <w:rStyle w:val="FootnoteAnchor"/>
          <w:rtl w:val="true"/>
        </w:rPr>
        <w:footnoteReference w:id="318"/>
      </w:r>
      <w:r>
        <w:rPr>
          <w:rFonts w:ascii="IRNazanin" w:hAnsi="IRNazanin" w:eastAsia="IRNazanin"/>
          <w:color w:val="111111"/>
          <w:sz w:val="28"/>
          <w:sz w:val="28"/>
          <w:szCs w:val="28"/>
          <w:rtl w:val="true"/>
          <w:lang w:bidi="fa-IR"/>
        </w:rPr>
        <w:t>، ویجب علیه</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فیتعلّق ما علیه بترکته، وکذا الحال لو کانت الإجارة فی السنةِ المعیّنة أعمّ من المباشرة ومات، ویمکن الإحجاج من ماله فی السنةِ المزبورة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یناسب هذا الحکم مع فرض الموت الّذی کلامه فیه، إلاّ أن یخرج من قبره فی الرجعة وظهور الحجّة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bookmarkStart w:id="159" w:name="pg13284_130559"/>
    </w:p>
    <w:p>
      <w:pPr>
        <w:pStyle w:val="BookText"/>
        <w:rPr/>
      </w:pPr>
      <w:bookmarkEnd w:id="159"/>
      <w:r>
        <w:rPr>
          <w:rFonts w:ascii="IRNazanin" w:hAnsi="IRNazanin" w:eastAsia="IRNazanin"/>
          <w:color w:val="111111"/>
          <w:sz w:val="28"/>
          <w:sz w:val="28"/>
          <w:szCs w:val="28"/>
          <w:rtl w:val="true"/>
          <w:lang w:bidi="fa-IR"/>
        </w:rPr>
        <w:t>الإتیان</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وجوب الاستئجار من ترکته إذا لم یشترط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الاستئجار من الترکة مع عدم اعتبار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فی العبارة سهواً؛ إذ المفروض أنّ الأجیر مات فکیف یجب علیه الإتیان به؟ ولعلّ المقصود تعلّق الحجّ بترکته ووجوب الاستئجار من الترکة إن لم یشترط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یؤتی به من ترکته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یجب الاستئجار من ترکته حیث لم تُشترط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تشویش، والصحیح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الإجارة إذاکانت مقیّدةً بالمباشرة فهی تنفسخ بالموت، من غیر فرقٍ بین أن تکون الإجارة فی سنةٍ معیّنة، أو کانت مطلقة، وأمّا إذا لم یقیّد الإجارة بالمباشرة وجب الاستئجار من ترکة الأجیر، من غیر فرقٍ أیضاً بین السنةِ المعیّنةِ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العبارة سهو واضح، والمراد أ نّه یجب الاستئجار من ترکته للإتیان بالحجّ إذا کانت الإجارة مطلقة، ولم یُشترط فیها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کانت مطلقة، من غیر استحقاق لشیء علیالتقدیرین</w:t>
      </w:r>
      <w:r>
        <w:rPr>
          <w:rFonts w:eastAsia="IRNazanin" w:cs="IRNazanin"/>
          <w:color w:val="111111"/>
          <w:sz w:val="28"/>
          <w:szCs w:val="28"/>
          <w:rtl w:val="true"/>
          <w:lang w:bidi="fa-IR"/>
        </w:rPr>
        <w:t>.</w:t>
      </w:r>
    </w:p>
    <w:p>
      <w:pPr>
        <w:pStyle w:val="Heading4"/>
        <w:numPr>
          <w:ilvl w:val="3"/>
          <w:numId w:val="1"/>
        </w:numPr>
        <w:rPr/>
      </w:pPr>
      <w:bookmarkStart w:id="160" w:name="__RefHeading___Toc2055619_2322387425"/>
      <w:bookmarkStart w:id="161" w:name="_Toc59"/>
      <w:bookmarkEnd w:id="160"/>
      <w:r>
        <w:rPr>
          <w:rtl w:val="true"/>
        </w:rPr>
        <w:t>تعیین نوع الحجّ المستأجر علیه</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فی الإجارة</w:t>
      </w:r>
      <w:r>
        <w:rPr>
          <w:rStyle w:val="FootnoteAnchor"/>
          <w:rtl w:val="true"/>
        </w:rPr>
        <w:footnoteReference w:id="321"/>
      </w:r>
      <w:r>
        <w:rPr>
          <w:rFonts w:ascii="IRNazanin" w:hAnsi="IRNazanin" w:eastAsia="IRNazanin"/>
          <w:color w:val="111111"/>
          <w:sz w:val="28"/>
          <w:sz w:val="28"/>
          <w:szCs w:val="28"/>
          <w:rtl w:val="true"/>
          <w:lang w:bidi="fa-IR"/>
        </w:rPr>
        <w:t>تعیین</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بالمعنی المقابل للفرد المبهَم، وأمّا الإجارة علی الجامع فالظاهر جوازها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الحجّ من تمتّعٍ أو</w:t>
      </w:r>
    </w:p>
    <w:p>
      <w:pPr>
        <w:pStyle w:val="BookText"/>
        <w:rPr/>
      </w:pPr>
      <w:r>
        <w:rPr>
          <w:rFonts w:ascii="Amiri" w:hAnsi="Amiri" w:eastAsia="Amiri" w:cs="Amiri"/>
          <w:color w:val="111111"/>
          <w:sz w:val="28"/>
          <w:sz w:val="28"/>
          <w:szCs w:val="28"/>
          <w:rtl w:val="true"/>
          <w:lang w:bidi="ar-SA"/>
        </w:rPr>
        <w:t>قِرانٍ أو إفراد، ولا یجوز للمؤجَر</w:t>
      </w:r>
      <w:r>
        <w:rPr>
          <w:rStyle w:val="FootnoteAnchor"/>
          <w:rtl w:val="true"/>
        </w:rPr>
        <w:footnoteReference w:id="323"/>
      </w:r>
      <w:r>
        <w:rPr>
          <w:rFonts w:ascii="Amiri" w:hAnsi="Amiri" w:eastAsia="Amiri" w:cs="Amiri"/>
          <w:color w:val="111111"/>
          <w:sz w:val="28"/>
          <w:sz w:val="28"/>
          <w:szCs w:val="28"/>
          <w:rtl w:val="true"/>
          <w:lang w:bidi="ar-SA"/>
        </w:rPr>
        <w:t>العدول عمّا عُیِّن له وإن کان إلی الأفضل</w:t>
      </w:r>
      <w:r>
        <w:rPr>
          <w:rStyle w:val="FootnoteAnchor"/>
          <w:rtl w:val="true"/>
        </w:rPr>
        <w:footnoteReference w:id="324"/>
      </w:r>
      <w:r>
        <w:rPr>
          <w:rFonts w:ascii="IRNazanin" w:hAnsi="IRNazanin" w:eastAsia="IRNazanin"/>
          <w:color w:val="111111"/>
          <w:sz w:val="28"/>
          <w:sz w:val="28"/>
          <w:szCs w:val="28"/>
          <w:rtl w:val="true"/>
          <w:lang w:bidi="fa-IR"/>
        </w:rPr>
        <w:t>، کالعدول من أحد الأخیرین إلی الأوّل، إلاّ إذا رضی المستأجِر</w:t>
      </w:r>
      <w:r>
        <w:rPr>
          <w:rStyle w:val="FootnoteAnchor"/>
          <w:rtl w:val="true"/>
        </w:rPr>
        <w:footnoteReference w:id="325"/>
      </w:r>
      <w:r>
        <w:rPr>
          <w:rFonts w:ascii="IRNazanin" w:hAnsi="IRNazanin" w:eastAsia="IRNazanin"/>
          <w:color w:val="111111"/>
          <w:sz w:val="28"/>
          <w:sz w:val="28"/>
          <w:szCs w:val="28"/>
          <w:rtl w:val="true"/>
          <w:lang w:bidi="fa-IR"/>
        </w:rPr>
        <w:t>بذلک</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حینئذٍ من موارد الفضولی، والأصحاب لا یلتزمون بجریانه کلّیّةً فی نظائر المقام، فراجع وتفحّص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إذا کان مخیّراً بین النوعین أو الأنواع، کما فی الحجِّ المستحبّیّ والمنذور المطلق، أو کان ذا منزلَین متساویَین فی مکّة وخارجها، وأمّا إذا کان ما علیه من نوعٍ خاصٍّ فلا ینفع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رضاه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براءة ذمّة المستأجَر لا فی استحقاق الأجیر للاُجرة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براءة ذمّة المستأجَر، لکن یستحقّ الاُجرة المسمّاة لو عدل بإذنه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تفریغ ذمّة المستأجَر، لا فی استحقاق الأجیر للاُجرة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براءة ذمّة المنوب عنه، أمّا فی الصحّة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تفریغ ذمّة المنوب عنه وصحّة العمل، أمّا بالنسبة إلی براءة ذمّة النائب فینفع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ینفع فی فراغ ذمّة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w:t>
      </w:r>
      <w:r>
        <w:rPr>
          <w:rStyle w:val="FootnoteAnchor"/>
          <w:rtl w:val="true"/>
        </w:rPr>
        <w:footnoteReference w:id="327"/>
      </w:r>
      <w:r>
        <w:rPr>
          <w:rFonts w:ascii="IRNazanin" w:hAnsi="IRNazanin" w:eastAsia="IRNazanin"/>
          <w:color w:val="111111"/>
          <w:sz w:val="28"/>
          <w:sz w:val="28"/>
          <w:szCs w:val="28"/>
          <w:rtl w:val="true"/>
          <w:lang w:bidi="fa-IR"/>
        </w:rPr>
        <w:t>بالعدول إلی غیره، وفی صورة جواز الرضا یکون رضاه من باب إسقاط حقّ الشرط إن کان التعیین بعنوان الشرطیّة</w:t>
      </w:r>
      <w:r>
        <w:rPr>
          <w:rStyle w:val="FootnoteAnchor"/>
          <w:rtl w:val="true"/>
        </w:rPr>
        <w:footnoteReference w:id="328"/>
      </w:r>
      <w:r>
        <w:rPr>
          <w:rFonts w:ascii="IRNazanin" w:hAnsi="IRNazanin" w:eastAsia="IRNazanin"/>
          <w:color w:val="111111"/>
          <w:sz w:val="28"/>
          <w:sz w:val="28"/>
          <w:szCs w:val="28"/>
          <w:rtl w:val="true"/>
          <w:lang w:bidi="fa-IR"/>
        </w:rPr>
        <w:t>، ومن باب الرضا بالوفاء</w:t>
      </w:r>
      <w:r>
        <w:rPr>
          <w:rStyle w:val="FootnoteAnchor"/>
          <w:rtl w:val="true"/>
        </w:rPr>
        <w:footnoteReference w:id="329"/>
      </w:r>
      <w:r>
        <w:rPr>
          <w:rFonts w:ascii="IRNazanin" w:hAnsi="IRNazanin" w:eastAsia="IRNazanin"/>
          <w:color w:val="111111"/>
          <w:sz w:val="28"/>
          <w:sz w:val="28"/>
          <w:szCs w:val="28"/>
          <w:rtl w:val="true"/>
          <w:lang w:bidi="fa-IR"/>
        </w:rPr>
        <w:t>بغیر الجنس</w:t>
      </w:r>
      <w:r>
        <w:rPr>
          <w:rStyle w:val="FootnoteAnchor"/>
          <w:rtl w:val="true"/>
        </w:rPr>
        <w:footnoteReference w:id="330"/>
      </w:r>
      <w:r>
        <w:rPr>
          <w:rFonts w:ascii="IRNazanin" w:hAnsi="IRNazanin" w:eastAsia="IRNazanin"/>
          <w:color w:val="111111"/>
          <w:sz w:val="28"/>
          <w:sz w:val="28"/>
          <w:szCs w:val="28"/>
          <w:rtl w:val="true"/>
          <w:lang w:bidi="fa-IR"/>
        </w:rPr>
        <w:t>إن کان بعنوان القیدیّة، وعلی أیّ تقدیرٍ یستحقّ الاُجرة المسمّاة وإن لم یأتِ بالعمل المستأجَر علیه علی التقدیر الثانی؛ لأنّ المستأجِر إذا رضی بغیر النوع</w:t>
      </w:r>
      <w:r>
        <w:rPr>
          <w:rStyle w:val="FootnoteAnchor"/>
          <w:rtl w:val="true"/>
        </w:rPr>
        <w:footnoteReference w:id="331"/>
      </w:r>
      <w:r>
        <w:rPr>
          <w:rFonts w:ascii="IRNazanin" w:hAnsi="IRNazanin" w:eastAsia="IRNazanin"/>
          <w:color w:val="111111"/>
          <w:sz w:val="28"/>
          <w:sz w:val="28"/>
          <w:szCs w:val="28"/>
          <w:rtl w:val="true"/>
          <w:lang w:bidi="fa-IR"/>
        </w:rPr>
        <w:t>الّذی عیّنه فقد وصل إلیه ما لَه علی المؤجَر، کما فی الوفاء بغیر الجنس فی سائر الدیون</w:t>
      </w:r>
      <w:r>
        <w:rPr>
          <w:rStyle w:val="FootnoteAnchor"/>
          <w:rtl w:val="true"/>
        </w:rPr>
        <w:footnoteReference w:id="332"/>
      </w:r>
      <w:r>
        <w:rPr>
          <w:rFonts w:ascii="IRNazanin" w:hAnsi="IRNazanin" w:eastAsia="IRNazanin"/>
          <w:color w:val="111111"/>
          <w:sz w:val="28"/>
          <w:sz w:val="28"/>
          <w:szCs w:val="28"/>
          <w:rtl w:val="true"/>
          <w:lang w:bidi="fa-IR"/>
        </w:rPr>
        <w:t>، فکأ نّه قد أتی بالعمل</w:t>
      </w:r>
      <w:r>
        <w:rPr>
          <w:rStyle w:val="FootnoteAnchor"/>
          <w:rtl w:val="true"/>
        </w:rPr>
        <w:footnoteReference w:id="333"/>
      </w:r>
      <w:r>
        <w:rPr>
          <w:rFonts w:ascii="IRNazanin" w:hAnsi="IRNazanin" w:eastAsia="IRNazanin"/>
          <w:color w:val="111111"/>
          <w:sz w:val="28"/>
          <w:sz w:val="28"/>
          <w:szCs w:val="28"/>
          <w:rtl w:val="true"/>
          <w:lang w:bidi="fa-IR"/>
        </w:rPr>
        <w:t xml:space="preserve">المستأجَر علیه، ولا فرق فیما ذکرنا بین العدول </w:t>
      </w:r>
    </w:p>
    <w:p>
      <w:pPr>
        <w:pStyle w:val="BookText"/>
        <w:rPr/>
      </w:pPr>
      <w:r>
        <w:rPr>
          <w:rFonts w:ascii="IRNazanin" w:hAnsi="IRNazanin" w:eastAsia="IRNazanin"/>
          <w:color w:val="111111"/>
          <w:sz w:val="28"/>
          <w:sz w:val="28"/>
          <w:szCs w:val="28"/>
          <w:rtl w:val="true"/>
          <w:lang w:bidi="fa-IR"/>
        </w:rPr>
        <w:t>إلی الأفضل أو إلی المفضول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ویظهر من جماعةٍ جواز العدول إلی الأفضل</w:t>
      </w:r>
      <w:r>
        <w:rPr>
          <w:rStyle w:val="FootnoteAnchor"/>
          <w:rtl w:val="true"/>
        </w:rPr>
        <w:footnoteReference w:id="334"/>
      </w:r>
      <w:r>
        <w:rPr>
          <w:rFonts w:ascii="IRNazanin" w:hAnsi="IRNazanin" w:eastAsia="IRNazanin"/>
          <w:color w:val="111111"/>
          <w:sz w:val="28"/>
          <w:sz w:val="28"/>
          <w:szCs w:val="28"/>
          <w:rtl w:val="true"/>
          <w:lang w:bidi="fa-IR"/>
        </w:rPr>
        <w:t>، کالعدول إلی التمتّع تعبّداً من الشارع؛ لخبر أبی بصیر</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أحدهما علیهماالسلام فی رجلٍ أعطی رجلاً دراهم یحجّ بها مفردة، أیجوز له أن یتمتّع بالعمرة إلی الحجّ؟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خالف إلی الأفضل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ما ذکرنا، والخبر منزَّل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صورة العلم برضا 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بذلک، مع کونه مخیّراً بین النوعَین؛ جمعاً</w:t>
      </w:r>
      <w:bookmarkStart w:id="162" w:name="pg13284_130563"/>
    </w:p>
    <w:p>
      <w:pPr>
        <w:pStyle w:val="BookText"/>
        <w:rPr/>
      </w:pPr>
      <w:bookmarkEnd w:id="162"/>
      <w:r>
        <w:rPr>
          <w:rFonts w:ascii="IRNazanin" w:hAnsi="IRNazanin" w:eastAsia="IRNazanin"/>
          <w:color w:val="111111"/>
          <w:sz w:val="28"/>
          <w:sz w:val="28"/>
          <w:szCs w:val="28"/>
          <w:rtl w:val="true"/>
          <w:lang w:bidi="fa-IR"/>
        </w:rPr>
        <w:t>بینه</w:t>
      </w:r>
      <w:r>
        <w:rPr>
          <w:rStyle w:val="FootnoteAnchor"/>
          <w:rtl w:val="true"/>
        </w:rPr>
        <w:footnoteReference w:id="336"/>
      </w:r>
      <w:r>
        <w:rPr>
          <w:rFonts w:ascii="IRNazanin" w:hAnsi="IRNazanin" w:eastAsia="IRNazanin"/>
          <w:color w:val="111111"/>
          <w:sz w:val="28"/>
          <w:sz w:val="28"/>
          <w:szCs w:val="28"/>
          <w:rtl w:val="true"/>
          <w:lang w:bidi="fa-IR"/>
        </w:rPr>
        <w:t>وبین خبرٍ آخر</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الخبر ضعیف؛ فإنّه من غیر المعصوم علیه‌السلام ، والعمدة أنّ الروایة الاُولی غیر ظاهرة فی التعبّد بقرینة التعلیل، فهی منزّلة علی صورة العلم برضا المستأجَر، کما هو الغالب فی موردها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أعطی رجلاً دراهم یُحجّ بها حجّةً مفردة،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أن یتمتّع بالعمرة إلی الحجّ، لا یخالف صاحب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من عدم جواز العدول إلاّ مع العلم بالرضا إذا عدل بدون ذلک لا یستحقّ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صورة التعیین علی وجه القیدیّة، وإن کان حجّه صحیحاً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المنوب عنه، ومفرِّغاً لذمّته، إذا لم یکن ما فی ذمّته متعیّناً فیما عیّن، وأمّا إذا کان علی وجه الشرطیّة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فیستحقّ، إلاّ إذا فسخ المستأجِر الإجارة من جهة تخلّف الشرط؛ إذ حینئذٍ لا یستحقّ المسمّی، بل اُجرة المثل</w:t>
      </w:r>
      <w:r>
        <w:rPr>
          <w:rFonts w:eastAsia="IRNazanin" w:cs="IRNazanin"/>
          <w:color w:val="111111"/>
          <w:sz w:val="28"/>
          <w:szCs w:val="28"/>
          <w:rtl w:val="true"/>
          <w:lang w:bidi="fa-IR"/>
        </w:rPr>
        <w:t>.</w:t>
      </w:r>
    </w:p>
    <w:p>
      <w:pPr>
        <w:pStyle w:val="Heading4"/>
        <w:numPr>
          <w:ilvl w:val="3"/>
          <w:numId w:val="1"/>
        </w:numPr>
        <w:rPr/>
      </w:pPr>
      <w:bookmarkStart w:id="163" w:name="__RefHeading___Toc2055621_2322387425"/>
      <w:bookmarkStart w:id="164" w:name="_Toc60"/>
      <w:bookmarkEnd w:id="163"/>
      <w:r>
        <w:rPr>
          <w:rtl w:val="true"/>
        </w:rPr>
        <w:t>عدم اعتبار تعیین الطریق والحکم فی صورة التعیین</w:t>
      </w:r>
      <w:bookmarkEnd w:id="16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یُشترط فی الإجارة تعیین الطریق وإن کان فی الحجّ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البلدیّ؛ لعدم تعلّق الغرض بالطریق نوعاً، ولکن لو عَیَّنَ تَعیَّنَ</w:t>
      </w:r>
      <w:r>
        <w:rPr>
          <w:rStyle w:val="FootnoteAnchor"/>
          <w:rtl w:val="true"/>
        </w:rPr>
        <w:footnoteReference w:id="338"/>
      </w:r>
      <w:r>
        <w:rPr>
          <w:rFonts w:ascii="IRNazanin" w:hAnsi="IRNazanin" w:eastAsia="IRNazanin"/>
          <w:color w:val="111111"/>
          <w:sz w:val="28"/>
          <w:sz w:val="28"/>
          <w:szCs w:val="28"/>
          <w:rtl w:val="true"/>
          <w:lang w:bidi="fa-IR"/>
        </w:rPr>
        <w:t>، ولا یجوز العدول</w:t>
      </w:r>
      <w:r>
        <w:rPr>
          <w:rStyle w:val="FootnoteAnchor"/>
          <w:rtl w:val="true"/>
        </w:rPr>
        <w:footnoteReference w:id="339"/>
      </w:r>
      <w:r>
        <w:rPr>
          <w:rFonts w:ascii="IRNazanin" w:hAnsi="IRNazanin" w:eastAsia="IRNazanin"/>
          <w:color w:val="111111"/>
          <w:sz w:val="28"/>
          <w:sz w:val="28"/>
          <w:szCs w:val="28"/>
          <w:rtl w:val="true"/>
          <w:lang w:bidi="fa-IR"/>
        </w:rPr>
        <w:t>عنه إلی غیره، إلاّ إذا علم أ نّه لاغرض للمستأجِر فی خصوصیّته، وإنّما ذکره علی المتعارف</w:t>
      </w:r>
      <w:r>
        <w:rPr>
          <w:rStyle w:val="FootnoteAnchor"/>
          <w:rtl w:val="true"/>
        </w:rPr>
        <w:footnoteReference w:id="340"/>
      </w:r>
      <w:r>
        <w:rPr>
          <w:rFonts w:ascii="IRNazanin" w:hAnsi="IRNazanin" w:eastAsia="IRNazanin"/>
          <w:color w:val="111111"/>
          <w:sz w:val="28"/>
          <w:sz w:val="28"/>
          <w:szCs w:val="28"/>
          <w:rtl w:val="true"/>
          <w:lang w:bidi="fa-IR"/>
        </w:rPr>
        <w:t>، فهو راضٍ بأیِّ طریق کان، فحینئذٍ لو عدل صحّ واستحقّ تمام الاُجرة، وکذا إذا أسقط بعد العقد حقّ تعیینه فالقول بجواز العدول مطلقاً، أو مع عدم العلم</w:t>
      </w:r>
      <w:r>
        <w:rPr>
          <w:rStyle w:val="FootnoteAnchor"/>
          <w:rtl w:val="true"/>
        </w:rPr>
        <w:footnoteReference w:id="341"/>
      </w:r>
      <w:r>
        <w:rPr>
          <w:rFonts w:ascii="IRNazanin" w:hAnsi="IRNazanin" w:eastAsia="IRNazanin"/>
          <w:color w:val="111111"/>
          <w:sz w:val="28"/>
          <w:sz w:val="28"/>
          <w:szCs w:val="28"/>
          <w:rtl w:val="true"/>
          <w:lang w:bidi="fa-IR"/>
        </w:rPr>
        <w:t>بغرضٍ فی الخصوصیّة ضعیف، کالاستدلال له بصحیحة حریز</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أعطی رجلاً حجّة یحجّ عنه من الکوفة، فحجّ عنه من البصرة،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قضی جمیع المناسک، فقد تمّ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هی محمولة</w:t>
      </w:r>
      <w:r>
        <w:rPr>
          <w:rStyle w:val="FootnoteAnchor"/>
          <w:rtl w:val="true"/>
        </w:rPr>
        <w:footnoteReference w:id="343"/>
      </w:r>
      <w:r>
        <w:rPr>
          <w:rFonts w:ascii="IRNazanin" w:hAnsi="IRNazanin" w:eastAsia="IRNazanin"/>
          <w:color w:val="111111"/>
          <w:sz w:val="28"/>
          <w:sz w:val="28"/>
          <w:szCs w:val="28"/>
          <w:rtl w:val="true"/>
          <w:lang w:bidi="fa-IR"/>
        </w:rPr>
        <w:t>علی</w:t>
      </w:r>
      <w:r>
        <w:rPr>
          <w:rStyle w:val="FootnoteAnchor"/>
          <w:rtl w:val="true"/>
        </w:rPr>
        <w:footnoteReference w:id="344"/>
      </w:r>
      <w:r>
        <w:rPr>
          <w:rFonts w:ascii="IRNazanin" w:hAnsi="IRNazanin" w:eastAsia="IRNazanin"/>
          <w:color w:val="111111"/>
          <w:sz w:val="28"/>
          <w:sz w:val="28"/>
          <w:szCs w:val="28"/>
          <w:rtl w:val="true"/>
          <w:lang w:bidi="fa-IR"/>
        </w:rPr>
        <w:t xml:space="preserve">صورة العلم بعدم الغرض، کما هوالغالب، </w:t>
      </w:r>
    </w:p>
    <w:p>
      <w:pPr>
        <w:pStyle w:val="BookText"/>
        <w:rPr/>
      </w:pPr>
      <w:r>
        <w:rPr>
          <w:rFonts w:ascii="Amiri" w:hAnsi="Amiri" w:eastAsia="Amiri" w:cs="Amiri"/>
          <w:color w:val="111111"/>
          <w:sz w:val="28"/>
          <w:sz w:val="28"/>
          <w:szCs w:val="28"/>
          <w:rtl w:val="true"/>
          <w:lang w:bidi="ar-SA"/>
        </w:rPr>
        <w:t>مع أ نّها</w:t>
      </w:r>
      <w:r>
        <w:rPr>
          <w:rStyle w:val="FootnoteAnchor"/>
          <w:rtl w:val="true"/>
        </w:rPr>
        <w:footnoteReference w:id="345"/>
      </w:r>
      <w:r>
        <w:rPr>
          <w:rFonts w:ascii="Amiri" w:hAnsi="Amiri" w:eastAsia="Amiri" w:cs="Amiri"/>
          <w:color w:val="111111"/>
          <w:sz w:val="28"/>
          <w:sz w:val="28"/>
          <w:szCs w:val="28"/>
          <w:rtl w:val="true"/>
          <w:lang w:bidi="ar-SA"/>
        </w:rPr>
        <w:t>إنّما دلّت علی صحّة الحجّ</w:t>
      </w:r>
      <w:r>
        <w:rPr>
          <w:rStyle w:val="FootnoteAnchor"/>
          <w:rtl w:val="true"/>
        </w:rPr>
        <w:footnoteReference w:id="346"/>
      </w:r>
      <w:r>
        <w:rPr>
          <w:rFonts w:ascii="IRNazanin" w:hAnsi="IRNazanin" w:eastAsia="IRNazanin"/>
          <w:color w:val="111111"/>
          <w:sz w:val="28"/>
          <w:sz w:val="28"/>
          <w:szCs w:val="28"/>
          <w:rtl w:val="true"/>
          <w:lang w:bidi="fa-IR"/>
        </w:rPr>
        <w:t>من حیث هو</w:t>
      </w:r>
      <w:r>
        <w:rPr>
          <w:rStyle w:val="FootnoteAnchor"/>
          <w:rtl w:val="true"/>
        </w:rPr>
        <w:footnoteReference w:id="347"/>
      </w:r>
      <w:r>
        <w:rPr>
          <w:rFonts w:ascii="Amiri" w:hAnsi="Amiri" w:eastAsia="Amiri" w:cs="Amiri"/>
          <w:color w:val="111111"/>
          <w:sz w:val="28"/>
          <w:sz w:val="28"/>
          <w:szCs w:val="28"/>
          <w:rtl w:val="true"/>
          <w:lang w:bidi="ar-SA"/>
        </w:rPr>
        <w:t>، لا من حیث کونه عملاً مستأجَراً علیه، کما هوالمدّعی، وربّما تُحمَل علی مَحامِلٍ اُخر</w:t>
      </w:r>
      <w:r>
        <w:rPr>
          <w:rStyle w:val="FootnoteAnchor"/>
          <w:rtl w:val="true"/>
        </w:rPr>
        <w:footnoteReference w:id="348"/>
      </w:r>
      <w:r>
        <w:rPr>
          <w:rFonts w:ascii="IRNazanin" w:hAnsi="IRNazanin" w:eastAsia="IRNazanin"/>
          <w:color w:val="111111"/>
          <w:sz w:val="28"/>
          <w:sz w:val="28"/>
          <w:szCs w:val="28"/>
          <w:rtl w:val="true"/>
          <w:lang w:bidi="fa-IR"/>
        </w:rPr>
        <w:t>، وکیف کان لا إشکال فی صحّة حجّه وبراءة ذمّة المنوب عنه إذا لم یکن ما علیه مقیّداً بخصوصیّة الطریق المعیّن، إنّما الکلام فی استحقاقه الاُجرة المسمّاة علی تقدیر العدول وعدمه، والأقوی أ نّه یستحقّ من المسمّی بالنسبة</w:t>
      </w:r>
      <w:r>
        <w:rPr>
          <w:rStyle w:val="FootnoteAnchor"/>
          <w:rtl w:val="true"/>
        </w:rPr>
        <w:footnoteReference w:id="349"/>
      </w:r>
      <w:r>
        <w:rPr>
          <w:rFonts w:ascii="IRNazanin" w:hAnsi="IRNazanin" w:eastAsia="IRNazanin"/>
          <w:color w:val="111111"/>
          <w:sz w:val="28"/>
          <w:sz w:val="28"/>
          <w:szCs w:val="28"/>
          <w:rtl w:val="true"/>
          <w:lang w:bidi="fa-IR"/>
        </w:rPr>
        <w:t>، ویسقط منه</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السقوط محلّ منع، بل الظاهر ضمان الأجیر لِما خالف، فعلیه القیمة، نعم، للمستأجَر أن یفسخ الإجارة، فیأخذ من المسمّی بمقدار 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المخالفة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الطریق معتبراً فی الإجارة علی وجه الجزئیّة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یستحقّ شیئاً علی تقدیر اعتباره علی</w:t>
      </w:r>
    </w:p>
    <w:p>
      <w:pPr>
        <w:pStyle w:val="BookText"/>
        <w:rPr/>
      </w:pPr>
      <w:r>
        <w:rPr>
          <w:rFonts w:ascii="IRNazanin" w:hAnsi="IRNazanin" w:eastAsia="IRNazanin"/>
          <w:color w:val="111111"/>
          <w:sz w:val="28"/>
          <w:sz w:val="28"/>
          <w:szCs w:val="28"/>
          <w:rtl w:val="true"/>
          <w:lang w:bidi="fa-IR"/>
        </w:rPr>
        <w:t>وجه القیدیّة</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جعل المتعامِلَین حصّةً خاصّةً مورداً للإجارة، وإن کان المتعارف خارجاً فی جملة من البلدان ـ کما قلنا ـ اعتبار المشی جزءاً للعمل المستأجَر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الحجّ المتقیّد بالطریق الخاصّ یکون مورداً للإجارة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بکون الحجّ مقیّداً بالطریق المخصوص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إتیانه بالعمل المستأجَر علیه حینئذٍ وإن برئت ذمّة المنوب عنه بما أتی به؛ لأ نّه حینئذٍ متبرّع بعمله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قهراً، وإن لم یکن آتیاً به بقصد التبرّع، بل بعنوان الوفاء بالإجارة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w:t>
      </w:r>
      <w:r>
        <w:rPr>
          <w:rStyle w:val="FootnoteAnchor"/>
          <w:rtl w:val="true"/>
        </w:rPr>
        <w:footnoteReference w:id="352"/>
      </w:r>
      <w:r>
        <w:rPr>
          <w:rFonts w:ascii="IRNazanin" w:hAnsi="IRNazanin" w:eastAsia="IRNazanin"/>
          <w:color w:val="111111"/>
          <w:sz w:val="28"/>
          <w:sz w:val="28"/>
          <w:szCs w:val="28"/>
          <w:rtl w:val="true"/>
          <w:lang w:bidi="fa-IR"/>
        </w:rPr>
        <w:t>أ نّه یُعدّ فی العرف أ نّه أتی ببعض ما استُؤجِر علیه فیستحقّ بالنسبة، وقصد التقیید بالخصوصیّة لا یخرجه عرفاً عن العمل ذی الأجزاء، کما ذهب إلیه فی الجواهر</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یرجع إلی إنکار التقیید، وأ نّه صرف عبارة، لکنّه خروج عن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وجه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تکون هی الأوجه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لها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تمامیّة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الوجه بالنظر إلی ما یُفهم عرفاً من التقیید فی مثله، نعم، لو فرض تقیید الحجّ المستأجَر علیه ضمناً بکونه عقیب سلوک الطریق المعیّن کان ما أفاده 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الأوجه، إلاّ إذا قیّد بوقوع الحجّ بعد السلوک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وجیه؛ فإنّ المعیار فی الجزئیّة والقیدیّة ما هو المعمول المتعارف، وتفنّن المتکلّم فی العبارة غیر دخیل، فلو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الفرس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فالعربیّة وصف وقید،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 نّه عربیّ فاللفظ وإن کان یُوهِم الشرطیّة إلاّ أ نّه یُعدّ من باب القید عرفاً،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هذا المَنَّ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 کمّ المبیع،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 هذه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 نّها مَنّ فکذلک أیضاً خلافاً للمعروف عند بعضهم، فدقّقوا وفرّقوا بین العبارتَین، وجعلوا بعضها من باب القید أو الجزء، وبعضها من باب الاشتراط، وتبعهم المصنّف، والحقّ ما ذکرناه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لها وجه، إلاّ إذا قیّد الحجّ بالتعقّب بطریق مخصوص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لها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لها وجه إن لم یکن التقیید بنحو الدِقّة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وجه وجیه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ویستحقّ تمام الاُجرة إن کان</w:t>
      </w:r>
      <w:bookmarkStart w:id="165" w:name="pg13284_130567"/>
    </w:p>
    <w:p>
      <w:pPr>
        <w:pStyle w:val="BookText"/>
        <w:rPr/>
      </w:pPr>
      <w:bookmarkEnd w:id="165"/>
      <w:r>
        <w:rPr>
          <w:rFonts w:ascii="IRNazanin" w:hAnsi="IRNazanin" w:eastAsia="IRNazanin"/>
          <w:color w:val="111111"/>
          <w:sz w:val="28"/>
          <w:sz w:val="28"/>
          <w:szCs w:val="28"/>
          <w:rtl w:val="true"/>
          <w:lang w:bidi="fa-IR"/>
        </w:rPr>
        <w:t>اعتباره علی وجه الشرطیّة الفقهیّة</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إجراء قول صاحب الجواهر ـ قدس اللّه نفسه الزکیة ـ فیه أیضاً باستثناء 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الالتزام فی الالتزام، نعم، للمستأجِر خیار الفسخ لتخلّف الشرط، فیرجع إلی 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2055623_2322387425"/>
      <w:bookmarkStart w:id="167" w:name="_Toc61"/>
      <w:bookmarkEnd w:id="166"/>
      <w:r>
        <w:rPr>
          <w:rtl w:val="true"/>
        </w:rPr>
        <w:t>الإجارة للحجّ مرّتین فی سنة</w:t>
      </w:r>
      <w:bookmarkEnd w:id="1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للحجّ عن شخص مباشرةً فی سنةٍ معیّنةٍ، ثمّ </w:t>
      </w:r>
    </w:p>
    <w:p>
      <w:pPr>
        <w:pStyle w:val="BookText"/>
        <w:rPr/>
      </w:pPr>
      <w:r>
        <w:rPr>
          <w:rFonts w:ascii="Amiri" w:hAnsi="Amiri" w:eastAsia="Amiri" w:cs="Amiri"/>
          <w:color w:val="111111"/>
          <w:sz w:val="28"/>
          <w:sz w:val="28"/>
          <w:szCs w:val="28"/>
          <w:rtl w:val="true"/>
          <w:lang w:bidi="ar-SA"/>
        </w:rPr>
        <w:t>آجَر عن شخصٍ آخر فی تلک السنة مباشرةً أیضاً بطلت</w:t>
      </w:r>
      <w:r>
        <w:rPr>
          <w:rStyle w:val="FootnoteAnchor"/>
          <w:rtl w:val="true"/>
        </w:rPr>
        <w:footnoteReference w:id="355"/>
      </w:r>
      <w:r>
        <w:rPr>
          <w:rFonts w:ascii="Amiri" w:hAnsi="Amiri" w:eastAsia="Amiri" w:cs="Amiri"/>
          <w:color w:val="111111"/>
          <w:sz w:val="28"/>
          <w:sz w:val="28"/>
          <w:szCs w:val="28"/>
          <w:rtl w:val="true"/>
          <w:lang w:bidi="ar-SA"/>
        </w:rPr>
        <w:t>الإجارة</w:t>
      </w:r>
      <w:r>
        <w:rPr>
          <w:rStyle w:val="FootnoteAnchor"/>
          <w:rtl w:val="true"/>
        </w:rPr>
        <w:footnoteReference w:id="356"/>
      </w:r>
      <w:r>
        <w:rPr>
          <w:rFonts w:ascii="IRNazanin" w:hAnsi="IRNazanin" w:eastAsia="IRNazanin"/>
          <w:color w:val="111111"/>
          <w:sz w:val="28"/>
          <w:sz w:val="28"/>
          <w:szCs w:val="28"/>
          <w:rtl w:val="true"/>
          <w:lang w:bidi="fa-IR"/>
        </w:rPr>
        <w:t>الثانیة؛ لعدم القدرة</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التعلیل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بها بعد وجوب العمل بالاُولی، ومع عدم اشتراط المباشرة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فیهما أو فی إحداهما صحّتا 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منصرفاً إلی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الانصراف إلی المباشرة بدویّاً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ینصرف عرفاً إلی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ودعوی بطلان الثانیة وإن لم یشترط فیها المباشرة مع اعتبارها فی الاُولی ـ لأ نّه یعتبر فی صحّة الإجارة تمکّن الأجیر من العمل بنفسه، فلا یجوز إجارة الأعمی علی قراءة القرآن، وکذا لا یجوز إجارة الحائض لکنس المسجد وإن لم یشترط المباشرة ـ ممنوعة، فالأقوی الصحّة، هذا إذا آجَر نفسه ثانیاً للحجّ بلا اشتراط المباشرة، وأمّا إذا آجَر نفسه لتحصیله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w:t>
      </w:r>
      <w:bookmarkStart w:id="168" w:name="pg13284_130569"/>
    </w:p>
    <w:p>
      <w:pPr>
        <w:pStyle w:val="BookText"/>
        <w:rPr/>
      </w:pPr>
      <w:bookmarkEnd w:id="168"/>
      <w:r>
        <w:rPr>
          <w:rFonts w:ascii="IRNazanin" w:hAnsi="IRNazanin" w:eastAsia="IRNazanin"/>
          <w:color w:val="111111"/>
          <w:sz w:val="28"/>
          <w:sz w:val="28"/>
          <w:szCs w:val="28"/>
          <w:rtl w:val="true"/>
          <w:lang w:bidi="fa-IR"/>
        </w:rPr>
        <w:t>فیه</w:t>
      </w:r>
      <w:r>
        <w:rPr>
          <w:rStyle w:val="FootnoteAnchor"/>
          <w:rtl w:val="true"/>
        </w:rPr>
        <w:footnoteReference w:id="358"/>
      </w:r>
      <w:r>
        <w:rPr>
          <w:rFonts w:ascii="IRNazanin" w:hAnsi="IRNazanin" w:eastAsia="IRNazanin"/>
          <w:color w:val="111111"/>
          <w:sz w:val="28"/>
          <w:sz w:val="28"/>
          <w:szCs w:val="28"/>
          <w:rtl w:val="true"/>
          <w:lang w:bidi="fa-IR"/>
        </w:rPr>
        <w:t>،</w:t>
      </w:r>
    </w:p>
    <w:p>
      <w:pPr>
        <w:pStyle w:val="Heading4"/>
        <w:numPr>
          <w:ilvl w:val="3"/>
          <w:numId w:val="1"/>
        </w:numPr>
        <w:rPr/>
      </w:pPr>
      <w:bookmarkStart w:id="169" w:name="__RefHeading___Toc2055625_2322387425"/>
      <w:bookmarkStart w:id="170" w:name="_Toc62"/>
      <w:bookmarkEnd w:id="169"/>
      <w:r>
        <w:rPr>
          <w:rtl w:val="true"/>
        </w:rPr>
        <w:t>اقتران الإجارتین للحجّ</w:t>
      </w:r>
      <w:bookmarkEnd w:id="170"/>
    </w:p>
    <w:p>
      <w:pPr>
        <w:pStyle w:val="BookText"/>
        <w:rPr/>
      </w:pPr>
      <w:r>
        <w:rPr>
          <w:rFonts w:ascii="IRNazanin" w:hAnsi="IRNazanin" w:eastAsia="IRNazanin"/>
          <w:color w:val="111111"/>
          <w:sz w:val="28"/>
          <w:sz w:val="28"/>
          <w:szCs w:val="28"/>
          <w:rtl w:val="true"/>
          <w:lang w:bidi="fa-IR"/>
        </w:rPr>
        <w:t>وکذا تصحّ الثانیة مع اختلاف السنتَین، أو مع توسعة الإجارتَین، أو توسعة إحداهما، بل وکذا مع إطلاقهما أو إطلاق إحداهما</w:t>
      </w:r>
      <w:r>
        <w:rPr>
          <w:rStyle w:val="FootnoteAnchor"/>
          <w:rtl w:val="true"/>
        </w:rPr>
        <w:footnoteReference w:id="359"/>
      </w:r>
      <w:r>
        <w:rPr>
          <w:rFonts w:ascii="IRNazanin" w:hAnsi="IRNazanin" w:eastAsia="IRNazanin"/>
          <w:color w:val="111111"/>
          <w:sz w:val="28"/>
          <w:sz w:val="28"/>
          <w:szCs w:val="28"/>
          <w:rtl w:val="true"/>
          <w:lang w:bidi="fa-IR"/>
        </w:rPr>
        <w:t>إذا لم یکن انصراف</w:t>
      </w:r>
      <w:r>
        <w:rPr>
          <w:rStyle w:val="FootnoteAnchor"/>
          <w:rtl w:val="true"/>
        </w:rPr>
        <w:footnoteReference w:id="360"/>
      </w:r>
      <w:r>
        <w:rPr>
          <w:rFonts w:ascii="IRNazanin" w:hAnsi="IRNazanin" w:eastAsia="IRNazanin"/>
          <w:color w:val="111111"/>
          <w:sz w:val="28"/>
          <w:sz w:val="28"/>
          <w:szCs w:val="28"/>
          <w:rtl w:val="true"/>
          <w:lang w:bidi="fa-IR"/>
        </w:rPr>
        <w:t>إلی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اقترنت الإجارتَین فی وقت واحد بطلتا معاً</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صحّة إحداهما وتعیینها بالقرعة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اشتراط المباشرة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آجَره فضولیّان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شخصین مع اقتران الإجارتین یجوز له إجازة إحداهما، کما فی صورة عدم الاقتران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آجَر نفسه من شخصٍ ثمّ علم أ نّه آجَره فضولیّ من شخصٍ آخر سابقاً علی عقد نفسه لیس له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أثر لإجازته لو أجاز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قلنا بکون الإجازة کاشفة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71" w:name="pg13284_130570"/>
    </w:p>
    <w:p>
      <w:pPr>
        <w:pStyle w:val="BookText"/>
        <w:rPr/>
      </w:pPr>
      <w:bookmarkEnd w:id="171"/>
      <w:r>
        <w:rPr>
          <w:rFonts w:ascii="IRNazanin" w:hAnsi="IRNazanin" w:eastAsia="IRNazanin"/>
          <w:color w:val="111111"/>
          <w:sz w:val="28"/>
          <w:sz w:val="28"/>
          <w:szCs w:val="28"/>
          <w:rtl w:val="true"/>
          <w:lang w:bidi="fa-IR"/>
        </w:rPr>
        <w:t>بدعوی أ نّها حینئذٍ تکشف عن بطلان إجارة نفسه؛ لکون إجارته نفسه مانعاً عن صحّة الإجازة حتّی تکون کاشفة، وانصراف أدلّة صحّة الفضولیّ</w:t>
      </w:r>
      <w:r>
        <w:rPr>
          <w:rStyle w:val="FootnoteAnchor"/>
          <w:rtl w:val="true"/>
        </w:rPr>
        <w:footnoteReference w:id="362"/>
      </w:r>
      <w:r>
        <w:rPr>
          <w:rFonts w:ascii="IRNazanin" w:hAnsi="IRNazanin" w:eastAsia="IRNazanin"/>
          <w:color w:val="111111"/>
          <w:sz w:val="28"/>
          <w:sz w:val="28"/>
          <w:szCs w:val="28"/>
          <w:rtl w:val="true"/>
          <w:lang w:bidi="fa-IR"/>
        </w:rPr>
        <w:t>عن مثل ذلک</w:t>
      </w:r>
      <w:r>
        <w:rPr>
          <w:rFonts w:eastAsia="IRNazanin" w:cs="IRNazanin"/>
          <w:color w:val="111111"/>
          <w:sz w:val="28"/>
          <w:szCs w:val="28"/>
          <w:rtl w:val="true"/>
          <w:lang w:bidi="fa-IR"/>
        </w:rPr>
        <w:t>.</w:t>
      </w:r>
    </w:p>
    <w:p>
      <w:pPr>
        <w:pStyle w:val="Heading4"/>
        <w:numPr>
          <w:ilvl w:val="3"/>
          <w:numId w:val="1"/>
        </w:numPr>
        <w:rPr/>
      </w:pPr>
      <w:bookmarkStart w:id="172" w:name="__RefHeading___Toc2055627_2322387425"/>
      <w:bookmarkStart w:id="173" w:name="_Toc63"/>
      <w:bookmarkEnd w:id="172"/>
      <w:r>
        <w:rPr>
          <w:rtl w:val="true"/>
        </w:rPr>
        <w:t>تأخیر حجّ الإجارة أو تقدیمه</w:t>
      </w:r>
      <w:bookmarkEnd w:id="1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للحجّ فی سنةٍ معیّنةٍ لا یجوز له التأخیر، بل ولا التقدیم إلاّ مع رضی المستأجِر، ولو أخّر لا لعذرٍ أثِمَ، وتنفسخ</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غیر صافٍ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الانفساخ، وحینئذٍ یرجع المستأجَر علیه بقیمة مثل العمل المستأجَر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الانفساخ القهریّ، والأظهر أنّ للمستأجَر خیار الفسخ، فإن فسخ استردّ المسمّی، وإن لم یفسخ أعطاه الاُجرة وطالبه باُجرة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الخامس من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ما اختاره المحقّق الأنصاری وجماعة من التخییر بین فسخ الإجارة والرجوع باُجرة المسمّاة وإبقائها ومطالبة اُجرة المثل، وهو المختار، لانطباق قاعدتَی الإتلاف والتلف قبل القبض علی المورد، من دون حکومة لإحداهما علی الاُخری ولو قهراً، واستلزام ذلک التخییر فی عالم التطبیق لِمَن له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العرف التخییر فی إجراء القاعدتَین؛ لکون المورد مصداقاً لکلّ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تخیّر المستأجَر بین الفسخ ومطالبة الاُجرة المسمّاة وبین عدمه، ومطالبة اُجرة المثل بعد إعطاء الاُجرة المسمّاة، ولا فرق فی ذلک أو انفساخ الإجارة علی القول به بین کون التأخیر لعذرٍ،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فسخ المستأجَر، وله عدم الفسخ ومطالبة الأجیر باُجرة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انفساخ الإجارة محلّ منع، بل الأقوی تخییر المستأجَر بین الفسخ ومطالبة الاُجرة المسمّاة وعدمه، ومطالبة 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التفصیل فی 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لا فرق بین کون التأخیر لعذرٍ أوْ لا، کما أ نّه لا فرق بین التقدیم والتأخیر فی هذه الجهة، الاّ إذا کانت قرینة علی أنّ التعیّن کان فی مقابل أحدهما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الأقرب تخیّر المستأجَرین بین الفسخ وعدمه علی المشهور، وهو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الإجارة وعدم انفساخها، وللمستأجَر مطالبة اُجرة مثل العمل، أو فسخ الإجارة واسترداد المسمّی، ولا فرق فی ذلک بین کون التأخیر لعذرٍ أوْ لا لعذر، نعم، لو کان الأجیر حین الإجارة غیر قادر علی العمل فالظاهر بطلان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یستحقّ الأجیر الاُجرة المسمّاة، ویضمن للمستأجَر اُجرة المثل للعمل الخاصّ الممتنع تسلیمه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التعیین</w:t>
      </w:r>
      <w:r>
        <w:rPr>
          <w:rStyle w:val="FootnoteAnchor"/>
          <w:rtl w:val="true"/>
        </w:rPr>
        <w:footnoteReference w:id="364"/>
      </w:r>
      <w:r>
        <w:rPr>
          <w:rFonts w:ascii="IRNazanin" w:hAnsi="IRNazanin" w:eastAsia="IRNazanin"/>
          <w:color w:val="111111"/>
          <w:sz w:val="28"/>
          <w:sz w:val="28"/>
          <w:szCs w:val="28"/>
          <w:rtl w:val="true"/>
          <w:lang w:bidi="fa-IR"/>
        </w:rPr>
        <w:t>علی وجه التقیید، ویکون للمستأجِر خیار الفسخ لو کان علی وجه الشرطیّة</w:t>
      </w:r>
      <w:r>
        <w:rPr>
          <w:rStyle w:val="FootnoteAnchor"/>
          <w:rtl w:val="true"/>
        </w:rPr>
        <w:footnoteReference w:id="365"/>
      </w:r>
      <w:r>
        <w:rPr>
          <w:rFonts w:ascii="Amiri" w:hAnsi="Amiri" w:eastAsia="Amiri" w:cs="Amiri"/>
          <w:color w:val="111111"/>
          <w:sz w:val="28"/>
          <w:sz w:val="28"/>
          <w:szCs w:val="28"/>
          <w:rtl w:val="true"/>
          <w:lang w:bidi="ar-SA"/>
        </w:rPr>
        <w:t xml:space="preserve">، وإن أتی به موءخّراً لا یستحقّ الاُجرة علی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366"/>
      </w:r>
      <w:r>
        <w:rPr>
          <w:rFonts w:ascii="Amiri" w:hAnsi="Amiri" w:eastAsia="Amiri" w:cs="Amiri"/>
          <w:color w:val="111111"/>
          <w:sz w:val="28"/>
          <w:sz w:val="28"/>
          <w:szCs w:val="28"/>
          <w:rtl w:val="true"/>
          <w:lang w:bidi="ar-SA"/>
        </w:rPr>
        <w:t>وإن برئت ذمّة المنوب عنه به</w:t>
      </w:r>
      <w:r>
        <w:rPr>
          <w:rStyle w:val="FootnoteAnchor"/>
          <w:rtl w:val="true"/>
        </w:rPr>
        <w:footnoteReference w:id="367"/>
      </w:r>
      <w:r>
        <w:rPr>
          <w:rFonts w:ascii="IRNazanin" w:hAnsi="IRNazanin" w:eastAsia="IRNazanin"/>
          <w:color w:val="111111"/>
          <w:sz w:val="28"/>
          <w:sz w:val="28"/>
          <w:szCs w:val="28"/>
          <w:rtl w:val="true"/>
          <w:lang w:bidi="fa-IR"/>
        </w:rPr>
        <w:t>، ویستحقّ المسمّاة علی الثانی، إلاّ إذا فسخ المستأجِر فیرجع إلی اُجرة المثل</w:t>
      </w:r>
      <w:r>
        <w:rPr>
          <w:rStyle w:val="FootnoteAnchor"/>
          <w:rtl w:val="true"/>
        </w:rPr>
        <w:footnoteReference w:id="368"/>
      </w:r>
      <w:r>
        <w:rPr>
          <w:rFonts w:ascii="Amiri" w:hAnsi="Amiri" w:eastAsia="Amiri" w:cs="Amiri"/>
          <w:color w:val="111111"/>
          <w:sz w:val="28"/>
          <w:sz w:val="28"/>
          <w:szCs w:val="28"/>
          <w:rtl w:val="true"/>
          <w:lang w:bidi="ar-SA"/>
        </w:rPr>
        <w:t>، وإذا أطلق الإجارة</w:t>
      </w:r>
      <w:r>
        <w:rPr>
          <w:rStyle w:val="FootnoteAnchor"/>
          <w:rtl w:val="true"/>
        </w:rPr>
        <w:footnoteReference w:id="369"/>
      </w:r>
      <w:r>
        <w:rPr>
          <w:rFonts w:ascii="IRNazanin" w:hAnsi="IRNazanin" w:eastAsia="IRNazanin"/>
          <w:color w:val="111111"/>
          <w:sz w:val="28"/>
          <w:sz w:val="28"/>
          <w:szCs w:val="28"/>
          <w:rtl w:val="true"/>
          <w:lang w:bidi="fa-IR"/>
        </w:rPr>
        <w:t>وقلنا بوجوب التعجیل</w:t>
      </w:r>
      <w:r>
        <w:rPr>
          <w:rStyle w:val="FootnoteAnchor"/>
          <w:rtl w:val="true"/>
        </w:rPr>
        <w:footnoteReference w:id="370"/>
      </w:r>
      <w:r>
        <w:rPr>
          <w:rFonts w:ascii="IRNazanin" w:hAnsi="IRNazanin" w:eastAsia="IRNazanin"/>
          <w:color w:val="111111"/>
          <w:sz w:val="28"/>
          <w:sz w:val="28"/>
          <w:szCs w:val="28"/>
          <w:rtl w:val="true"/>
          <w:lang w:bidi="fa-IR"/>
        </w:rPr>
        <w:t>لا تبطل</w:t>
      </w:r>
      <w:r>
        <w:rPr>
          <w:rStyle w:val="FootnoteAnchor"/>
          <w:rtl w:val="true"/>
        </w:rPr>
        <w:footnoteReference w:id="371"/>
      </w:r>
      <w:r>
        <w:rPr>
          <w:rFonts w:ascii="IRNazanin" w:hAnsi="IRNazanin" w:eastAsia="IRNazanin"/>
          <w:color w:val="111111"/>
          <w:sz w:val="28"/>
          <w:sz w:val="28"/>
          <w:szCs w:val="28"/>
          <w:rtl w:val="true"/>
          <w:lang w:bidi="fa-IR"/>
        </w:rPr>
        <w:t>مع الإهمال</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تکن الفوریة المتفاهم من التعجیل قیداً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ثبوت الخیار للمستأجِر</w:t>
      </w:r>
      <w:bookmarkStart w:id="174" w:name="pg13284_130573"/>
    </w:p>
    <w:p>
      <w:pPr>
        <w:pStyle w:val="BookText"/>
        <w:rPr/>
      </w:pPr>
      <w:bookmarkEnd w:id="174"/>
      <w:r>
        <w:rPr>
          <w:rFonts w:ascii="IRNazanin" w:hAnsi="IRNazanin" w:eastAsia="IRNazanin"/>
          <w:color w:val="111111"/>
          <w:sz w:val="28"/>
          <w:sz w:val="28"/>
          <w:szCs w:val="28"/>
          <w:rtl w:val="true"/>
          <w:lang w:bidi="fa-IR"/>
        </w:rPr>
        <w:t>حینئذٍ وعدمه وجهان</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ثبوت الخیار له مع مطالبته العمل من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بأنّ وجوب التعجیل لأجل انصراف العقد إلی ذلک ففی بطلان العقد وعدمه وثبوت الخیار وجهان، وإن قلنا بأنّ الوجوب حکم شرعیّ فالظاهر عدم البطلان، وعدم ثبوت 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الثبوت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من أنّ الفوریّة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ثبوته؛ لارتکاز تعدّد المطلوب فی أمثال الموارد فی الأذهان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توقیتاً، ومن کونها بمنزلة الاشتراط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2055629_2322387425"/>
      <w:bookmarkStart w:id="176" w:name="_Toc64"/>
      <w:bookmarkEnd w:id="175"/>
      <w:r>
        <w:rPr>
          <w:rtl w:val="true"/>
        </w:rPr>
        <w:t>تصحیح الإجارة الثانیة ببعض الوجوه</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عدم صحّة الإجارة الثانیة فیما إذا آجَر نفسه من شخصٍ فی سنةٍ معیّنة، ثمّ آجَر من آخر فی تلک السنة، فهل یمکن تصحیح الثانیة بإجازة المستأجِر الأوّل، أوْ لا؟ فیه تفصیل،</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إن کانت الاُولی واقعةً علی العمل فی الذمّة</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مع اعتبار مباشرته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کان متعلّق الإجارة الحجّ المباشریّ فی هذه السنة، فحینئذٍ لا تصحّ الثانیة بالإجازة بلا إشکال، وأمّا إذا اشترط المباشرة أو کونه فی هذه السنةِ فالإجازة إسقاط الاشتراط، فیرفع التزاحم، فتصحّ الثانیة بلا مزاحم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بقید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مرجع الإجارة إلی اسقاط شرط المباشرة، أو کونه فی سنَةٍ معیّنة؛ إذ بکلّ واحدٍ منهما ترتفع المزاحمة الّتی کانت منشأً لفساد الإجارة الثانیة، وهذا معنی تصحیح الإجارة الثانیة بالإجازة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إذا کان قصده من الإجازة إسقاط حقّه من تعیین السنة أو المباشر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کما مرّ، وعلی القول بالبطلان لو عمل بمقتضی الثانیة یلزم عدم مملوکیّة المنفعة المستوفاة لأحدٍ، لا المستأجَر الأوّل وهو واضح، ولا الثانی؛ لکون الإجارة باطلة حسب الفرض، ولا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آل إلی إلغاء قید المباشرة، أو إلغاء السنة المعیّنة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تصحّ بالإجازة، ویأتی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الإجارة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صحّة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w:t>
      </w:r>
    </w:p>
    <w:p>
      <w:pPr>
        <w:pStyle w:val="BookText"/>
        <w:rPr/>
      </w:pPr>
      <w:r>
        <w:rPr>
          <w:rFonts w:ascii="Amiri" w:hAnsi="Amiri" w:eastAsia="Amiri" w:cs="Amiri"/>
          <w:color w:val="111111"/>
          <w:sz w:val="28"/>
          <w:sz w:val="28"/>
          <w:szCs w:val="28"/>
          <w:rtl w:val="true"/>
          <w:lang w:bidi="ar-SA"/>
        </w:rPr>
        <w:t>بالإجازة</w:t>
      </w:r>
      <w:r>
        <w:rPr>
          <w:rStyle w:val="FootnoteAnchor"/>
          <w:rtl w:val="true"/>
        </w:rPr>
        <w:footnoteReference w:id="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تصحّ بإلغائه قید المباشرة أو السنة المعیّنة الّذی استحقّه علی الأجیر وبسببه تزاحمت الإجارتان نظراً إلی ارتفاع المانع بذلک، أوْ لا تصحّ؛ نظراً إلی أنّ تجدّد سلطنة الأجیر بعد العقد لا یصحّح ما وقع منه قبله؟ وجهان، أقربهما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إنّه لا فرد للکلّیّ بعد الإجارة الاُولی، فلا تصحّ الإجارة الثانیة بالإجازة إلاّ بإلقاء المستأجَر الأوّل قید مباشرة الأجیر، أو قید السنة المعیّنة، وحینئذٍ تصحّ الإجارة الثانیة من غیر حاجة إلی الإجازة، بناءً علی صحّة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ثمّ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وکونه علی وفق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تصحّ معها؛ فإنّ الإجازة راجعة إلی إسقاط الشرط، أو إلی التوسعة فی الوفاء، أو فسخ الإجارة الاُولی، وعلی جمیع التقادیر تصحّ الإجارة الثانیة، وکذا الحال فی نظائر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تصحیحها بالإجازة بإسقاط المستأجَر حقّه المتعلّق بمباشرة الأجیر، حیث إنّ فرض المسألة فیما یعتبر فیه المباشرة فیکون نظیر إجازة المرتهن بیع الراهن، ویکون مال الإجارة للمؤجَر، لا للمجیز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یحتمل الحکم بالصحّة علی بعض الفروض، وکذا فی فرض آخر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نظر، وفی المسألة تفصیل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 نّه لا دخل للمستأجِر بها إذا لم تقع علی</w:t>
      </w:r>
    </w:p>
    <w:p>
      <w:pPr>
        <w:pStyle w:val="BookText"/>
        <w:rPr/>
      </w:pPr>
      <w:r>
        <w:rPr>
          <w:rFonts w:ascii="IRNazanin" w:hAnsi="IRNazanin" w:eastAsia="IRNazanin"/>
          <w:color w:val="111111"/>
          <w:sz w:val="28"/>
          <w:sz w:val="28"/>
          <w:szCs w:val="28"/>
          <w:rtl w:val="true"/>
          <w:lang w:bidi="fa-IR"/>
        </w:rPr>
        <w:t>ماله</w:t>
      </w:r>
      <w:r>
        <w:rPr>
          <w:rStyle w:val="FootnoteAnchor"/>
          <w:rtl w:val="true"/>
        </w:rPr>
        <w:footnoteReference w:id="377"/>
      </w:r>
      <w:r>
        <w:rPr>
          <w:rFonts w:ascii="Amiri" w:hAnsi="Amiri" w:eastAsia="Amiri" w:cs="Amiri"/>
          <w:color w:val="111111"/>
          <w:sz w:val="28"/>
          <w:sz w:val="28"/>
          <w:szCs w:val="28"/>
          <w:rtl w:val="true"/>
          <w:lang w:bidi="ar-SA"/>
        </w:rPr>
        <w:t>حتّی تصحّ له إجازتها</w:t>
      </w:r>
      <w:r>
        <w:rPr>
          <w:rStyle w:val="FootnoteAnchor"/>
          <w:rtl w:val="true"/>
        </w:rPr>
        <w:footnoteReference w:id="378"/>
      </w:r>
      <w:r>
        <w:rPr>
          <w:rFonts w:ascii="IRNazanin" w:hAnsi="IRNazanin" w:eastAsia="IRNazanin"/>
          <w:color w:val="111111"/>
          <w:sz w:val="28"/>
          <w:sz w:val="28"/>
          <w:szCs w:val="28"/>
          <w:rtl w:val="true"/>
          <w:lang w:bidi="fa-IR"/>
        </w:rPr>
        <w:t>، وإن کانت واقعةً علی منفعة الأجیر فی تلک السنة بأن تکون منفعته من حیث الحجّ أو جمیع منافعه له جاز له إجازة الثانیة؛ لوقوعها علی ماله، وکذا الحال فی نظائر المقام، فلو آجَر نفسه لیخیط لزیدٍ فی یومٍ معیّنٍ ثمّ آجَر نفسه لیخیطَ أو لیکتبَ لعمرٍو فی ذلک الیوم لیس لزید إجازة العقد الثانی، وأمّا إذا ملّکه منفعته الخیاطیّ</w:t>
      </w:r>
      <w:r>
        <w:rPr>
          <w:rStyle w:val="FootnoteAnchor"/>
          <w:rtl w:val="true"/>
        </w:rPr>
        <w:footnoteReference w:id="379"/>
      </w:r>
      <w:r>
        <w:rPr>
          <w:rFonts w:ascii="IRNazanin" w:hAnsi="IRNazanin" w:eastAsia="IRNazanin"/>
          <w:color w:val="111111"/>
          <w:sz w:val="28"/>
          <w:sz w:val="28"/>
          <w:szCs w:val="28"/>
          <w:rtl w:val="true"/>
          <w:lang w:bidi="fa-IR"/>
        </w:rPr>
        <w:t>فآجَر نفسه للخیاطة أو للکتابة</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فرض کونه مالکاً للکتابة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منه فی باب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إذا ملّکه منفعةً خاصّةً وآجر نفسه لمنفعةٍ خاصّةٍ مضادّة للاُولی لم یجز للمستأجَر الأوّل إجازة الإجارة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کونها مورد الحقّ أیضاً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زیادة هذه الکلمة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الکتابة لعمرٍو لیست من أفراد منفعة الخیاطیّ، فحقّ العبارة أن یقال قبل ذلک، وأمّا إذا ملّکه منفعته الخیاطیّ أو منفعة الکتابة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الکتابة من أفراد 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الخیاطة الّتی ملکها زید علیه حتّی تصحّ إجازته للإجارة الواقعة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جاز</w:t>
      </w:r>
      <w:r>
        <w:rPr>
          <w:rStyle w:val="FootnoteAnchor"/>
          <w:rtl w:val="true"/>
        </w:rPr>
        <w:footnoteReference w:id="381"/>
      </w:r>
      <w:r>
        <w:rPr>
          <w:rFonts w:ascii="Amiri" w:hAnsi="Amiri" w:eastAsia="Amiri" w:cs="Amiri"/>
          <w:color w:val="111111"/>
          <w:sz w:val="28"/>
          <w:sz w:val="28"/>
          <w:szCs w:val="28"/>
          <w:rtl w:val="true"/>
          <w:lang w:bidi="ar-SA"/>
        </w:rPr>
        <w:t>له إجازة هذا العقد</w:t>
      </w:r>
      <w:r>
        <w:rPr>
          <w:rStyle w:val="FootnoteAnchor"/>
          <w:rtl w:val="true"/>
        </w:rPr>
        <w:footnoteReference w:id="382"/>
      </w:r>
      <w:r>
        <w:rPr>
          <w:rFonts w:ascii="IRNazanin" w:hAnsi="IRNazanin" w:eastAsia="IRNazanin"/>
          <w:color w:val="111111"/>
          <w:sz w:val="28"/>
          <w:sz w:val="28"/>
          <w:szCs w:val="28"/>
          <w:rtl w:val="true"/>
          <w:lang w:bidi="fa-IR"/>
        </w:rPr>
        <w:t>لأ نّه تصرّف فی متعلّق حقّه، وإذا أجاز یکون مال الإجارة له، لا للمؤجَر</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متعلّق الإجارة الاُولی مطلق منفعته أو منفعة الکذائیّة، أمّا لو کان عملاً فی ذمّته وشرط علیه مباشرته فترجع إجازته إلی إسقاط هذا الشرط، وتکون الاُجرة حینئذٍ للمؤجَر، وتبقی ذمّته مشغولة له بنفس العمل المُعرّی عنه قید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متعلّق الإجارة الاُولی مطلق منفعته، وإلاّ فترجع إجازته إلی إسقاط هذا الشرط وتکون الاُجرة حینئذٍ للمؤجَر، وتبقی ذمّته مشغولة له بنفس العمل الخالی عن قید المباشرة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نعم، لو ملّک منفعةً خاصّةً کخیاطة ثوب معیّن أو الحجّ عن میّت معیّن علی وجه التقیید یکون کالأوّل</w:t>
      </w:r>
      <w:bookmarkStart w:id="177" w:name="pg13284_130578"/>
    </w:p>
    <w:p>
      <w:pPr>
        <w:pStyle w:val="BookText"/>
        <w:rPr/>
      </w:pPr>
      <w:bookmarkEnd w:id="177"/>
      <w:r>
        <w:rPr>
          <w:rFonts w:ascii="IRNazanin" w:hAnsi="IRNazanin" w:eastAsia="IRNazanin"/>
          <w:color w:val="111111"/>
          <w:sz w:val="28"/>
          <w:sz w:val="28"/>
          <w:szCs w:val="28"/>
          <w:rtl w:val="true"/>
          <w:lang w:bidi="fa-IR"/>
        </w:rPr>
        <w:t>فی عدم إمکان إجازته</w:t>
      </w:r>
      <w:r>
        <w:rPr>
          <w:rFonts w:eastAsia="IRNazanin" w:cs="IRNazanin"/>
          <w:color w:val="111111"/>
          <w:sz w:val="28"/>
          <w:szCs w:val="28"/>
          <w:rtl w:val="true"/>
          <w:lang w:bidi="fa-IR"/>
        </w:rPr>
        <w:t>.</w:t>
      </w:r>
    </w:p>
    <w:p>
      <w:pPr>
        <w:pStyle w:val="Heading4"/>
        <w:numPr>
          <w:ilvl w:val="3"/>
          <w:numId w:val="1"/>
        </w:numPr>
        <w:rPr/>
      </w:pPr>
      <w:bookmarkStart w:id="178" w:name="__RefHeading___Toc2055631_2322387425"/>
      <w:bookmarkStart w:id="179" w:name="_Toc65"/>
      <w:bookmarkEnd w:id="178"/>
      <w:r>
        <w:rPr>
          <w:rtl w:val="true"/>
        </w:rPr>
        <w:t>صدّ الأجیر أو إحصاره</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الأجیر أو اُحصِرَ کان حکمه کالحاجّ عن نفسه فیما علیه من الأعمال، وتنفسخ الإجارة</w:t>
      </w:r>
      <w:r>
        <w:rPr>
          <w:rStyle w:val="FootnoteAnchor"/>
          <w:rtl w:val="true"/>
        </w:rPr>
        <w:footnoteReference w:id="384"/>
      </w:r>
      <w:r>
        <w:rPr>
          <w:rFonts w:ascii="IRNazanin" w:hAnsi="IRNazanin" w:eastAsia="IRNazanin"/>
          <w:color w:val="111111"/>
          <w:sz w:val="28"/>
          <w:sz w:val="28"/>
          <w:szCs w:val="28"/>
          <w:rtl w:val="true"/>
          <w:lang w:bidi="fa-IR"/>
        </w:rPr>
        <w:t>مع کونها مقیّدةً بتلک السنة ویبقی الحجّ فی ذمّته مع الإطلاق، وللمستأجِر خِیار التخلّف إذا کان اعتبار تلک السنة علی وجه الشرط فی ضمن العقد، ولا یجزی عن المنوب عنه وإن کان بعد الإحرام ودخول الحرم؛ لأنّ ذلک کان فی خصوص الموت من جهة الأخبار، والقیاس علیه لا وجه له، ولو ضَمِنَ المؤجَر الحجّ فی المستقبل فی صورة التقیید</w:t>
      </w:r>
      <w:r>
        <w:rPr>
          <w:rStyle w:val="FootnoteAnchor"/>
          <w:rtl w:val="true"/>
        </w:rPr>
        <w:footnoteReference w:id="385"/>
      </w:r>
      <w:r>
        <w:rPr>
          <w:rFonts w:ascii="IRNazanin" w:hAnsi="IRNazanin" w:eastAsia="IRNazanin"/>
          <w:color w:val="111111"/>
          <w:sz w:val="28"/>
          <w:sz w:val="28"/>
          <w:szCs w:val="28"/>
          <w:rtl w:val="true"/>
          <w:lang w:bidi="fa-IR"/>
        </w:rPr>
        <w:t>لم تجب إجابته، والقول بوجوبه ضعیف، وظاهرهم استحقاق الاُجرة بالنسبة إلی ما أتی به من الأعمال، وهو مشکل</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قوّة التوزیع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هو الأقوی، ولا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اللازم ـ کما أشرنا إلیه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رعایة الإجارة بما هی أمر إنشائی قصدی، فإن وقعت علی الأعمال علی نحو الانبساط فلا إشکال فی تبعّض الاُجرة بالنسبة إلیها بما لها من الأجزاء، وإن وقعت علیها علی نحو المجموعیّة فلا إشکال فی عدم الاُجرة، لعدم الإتیان بالمستأجَر علیه، وهو مجموع الأعمال بما هو مجموع، وأمّا التمییز بین القسمین فموکول إلی العرف المعاملی وإن اختلف بحسب البلدان، أو إلی التصریح بأحدهما فی عقد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کما مرّ، ویأتی فیه التفصیل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استحقاق المؤجَر بالنسبة، کما تقدّم منّا تقریبه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وقد 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w:t>
      </w:r>
      <w:r>
        <w:rPr>
          <w:rStyle w:val="FootnoteAnchor"/>
          <w:rtl w:val="true"/>
        </w:rPr>
        <w:footnoteReference w:id="387"/>
      </w:r>
      <w:r>
        <w:rPr>
          <w:rFonts w:ascii="IRNazanin" w:hAnsi="IRNazanin" w:eastAsia="IRNazanin"/>
          <w:color w:val="111111"/>
          <w:sz w:val="28"/>
          <w:sz w:val="28"/>
          <w:szCs w:val="28"/>
          <w:rtl w:val="true"/>
          <w:lang w:bidi="fa-IR"/>
        </w:rPr>
        <w:t>المفروض عدم إتیانه للعمل المستأجَر علیه، وعدم فائدةٍ فی ما</w:t>
      </w:r>
      <w:r>
        <w:rPr>
          <w:rStyle w:val="FootnoteAnchor"/>
          <w:rtl w:val="true"/>
        </w:rPr>
        <w:footnoteReference w:id="388"/>
      </w:r>
      <w:r>
        <w:rPr>
          <w:rFonts w:ascii="IRNazanin" w:hAnsi="IRNazanin" w:eastAsia="IRNazanin"/>
          <w:color w:val="111111"/>
          <w:sz w:val="28"/>
          <w:sz w:val="28"/>
          <w:szCs w:val="28"/>
          <w:rtl w:val="true"/>
          <w:lang w:bidi="fa-IR"/>
        </w:rPr>
        <w:t>أتی</w:t>
      </w:r>
      <w:r>
        <w:rPr>
          <w:rStyle w:val="FootnoteAnchor"/>
          <w:rtl w:val="true"/>
        </w:rPr>
        <w:footnoteReference w:id="389"/>
      </w:r>
      <w:r>
        <w:rPr>
          <w:rFonts w:ascii="IRNazanin" w:hAnsi="IRNazanin" w:eastAsia="IRNazanin"/>
          <w:color w:val="111111"/>
          <w:sz w:val="28"/>
          <w:sz w:val="28"/>
          <w:szCs w:val="28"/>
          <w:rtl w:val="true"/>
          <w:lang w:bidi="fa-IR"/>
        </w:rPr>
        <w:t>به، فهو نظیر الانفساخ فی الأثناء لعذر غیر الصدّ والحصر، وکالانفساخ فی أثناء سائر الأعمال المرتبطة</w:t>
      </w:r>
      <w:r>
        <w:rPr>
          <w:rStyle w:val="FootnoteAnchor"/>
          <w:rtl w:val="true"/>
        </w:rPr>
        <w:footnoteReference w:id="390"/>
      </w:r>
      <w:r>
        <w:rPr>
          <w:rFonts w:ascii="IRNazanin" w:hAnsi="IRNazanin" w:eastAsia="IRNazanin"/>
          <w:color w:val="111111"/>
          <w:sz w:val="28"/>
          <w:sz w:val="28"/>
          <w:szCs w:val="28"/>
          <w:rtl w:val="true"/>
          <w:lang w:bidi="fa-IR"/>
        </w:rPr>
        <w:t>لعذر فی إتمامها، وقاعدة احترام عمل</w:t>
      </w:r>
      <w:r>
        <w:rPr>
          <w:rStyle w:val="FootnoteAnchor"/>
          <w:rtl w:val="true"/>
        </w:rPr>
        <w:footnoteReference w:id="391"/>
      </w:r>
      <w:r>
        <w:rPr>
          <w:rFonts w:ascii="IRNazanin" w:hAnsi="IRNazanin" w:eastAsia="IRNazanin"/>
          <w:color w:val="111111"/>
          <w:sz w:val="28"/>
          <w:sz w:val="28"/>
          <w:szCs w:val="28"/>
          <w:rtl w:val="true"/>
          <w:lang w:bidi="fa-IR"/>
        </w:rPr>
        <w:t>المسلم لا تجری؛ لعدم الاستناد إلی المستأجَر، فلا یستحقّ اُجرة المثل أیضاً</w:t>
      </w:r>
      <w:r>
        <w:rPr>
          <w:rFonts w:eastAsia="IRNazanin" w:cs="IRNazanin"/>
          <w:color w:val="111111"/>
          <w:sz w:val="28"/>
          <w:szCs w:val="28"/>
          <w:rtl w:val="true"/>
          <w:lang w:bidi="fa-IR"/>
        </w:rPr>
        <w:t xml:space="preserve">. </w:t>
      </w:r>
      <w:bookmarkStart w:id="180" w:name="pg13284_130580"/>
    </w:p>
    <w:p>
      <w:pPr>
        <w:pStyle w:val="Heading4"/>
        <w:numPr>
          <w:ilvl w:val="3"/>
          <w:numId w:val="1"/>
        </w:numPr>
        <w:rPr/>
      </w:pPr>
      <w:bookmarkStart w:id="181" w:name="__RefHeading___Toc2055633_2322387425"/>
      <w:bookmarkStart w:id="182" w:name="_Toc66"/>
      <w:bookmarkEnd w:id="180"/>
      <w:bookmarkEnd w:id="181"/>
      <w:r>
        <w:rPr>
          <w:rtl w:val="true"/>
        </w:rPr>
        <w:t>هل یتحمّل النائب موجب الکفّارة؟</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النائب بما یوجب الکفّارة فهو من ماله</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العمدیّ منها تأمّل، وإن کان الأقرب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Heading4"/>
        <w:numPr>
          <w:ilvl w:val="3"/>
          <w:numId w:val="1"/>
        </w:numPr>
        <w:rPr/>
      </w:pPr>
      <w:bookmarkStart w:id="183" w:name="__RefHeading___Toc2055635_2322387425"/>
      <w:bookmarkStart w:id="184" w:name="_Toc67"/>
      <w:bookmarkEnd w:id="183"/>
      <w:r>
        <w:rPr>
          <w:rtl w:val="true"/>
        </w:rPr>
        <w:t>اقتضاء الإجارة التعجیل</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الإجارة</w:t>
      </w:r>
      <w:r>
        <w:rPr>
          <w:rStyle w:val="FootnoteAnchor"/>
          <w:rtl w:val="true"/>
        </w:rPr>
        <w:footnoteReference w:id="393"/>
      </w:r>
      <w:r>
        <w:rPr>
          <w:rFonts w:ascii="IRNazanin" w:hAnsi="IRNazanin" w:eastAsia="IRNazanin"/>
          <w:color w:val="111111"/>
          <w:sz w:val="28"/>
          <w:sz w:val="28"/>
          <w:szCs w:val="28"/>
          <w:rtl w:val="true"/>
          <w:lang w:bidi="fa-IR"/>
        </w:rPr>
        <w:t>یقتضی التعجیل</w:t>
      </w:r>
      <w:r>
        <w:rPr>
          <w:rStyle w:val="FootnoteAnchor"/>
          <w:rtl w:val="true"/>
        </w:rPr>
        <w:footnoteReference w:id="394"/>
      </w:r>
      <w:r>
        <w:rPr>
          <w:rFonts w:ascii="IRNazanin" w:hAnsi="IRNazanin" w:eastAsia="IRNazanin"/>
          <w:color w:val="111111"/>
          <w:sz w:val="28"/>
          <w:sz w:val="28"/>
          <w:szCs w:val="28"/>
          <w:rtl w:val="true"/>
          <w:lang w:bidi="fa-IR"/>
        </w:rPr>
        <w:t>، بمعنی الحلول</w:t>
      </w:r>
      <w:r>
        <w:rPr>
          <w:rStyle w:val="FootnoteAnchor"/>
          <w:rtl w:val="true"/>
        </w:rPr>
        <w:footnoteReference w:id="395"/>
      </w:r>
      <w:r>
        <w:rPr>
          <w:rFonts w:ascii="IRNazanin" w:hAnsi="IRNazanin" w:eastAsia="IRNazanin"/>
          <w:color w:val="111111"/>
          <w:sz w:val="28"/>
          <w:sz w:val="28"/>
          <w:szCs w:val="28"/>
          <w:rtl w:val="true"/>
          <w:lang w:bidi="fa-IR"/>
        </w:rPr>
        <w:t>فی مقابل الأجل، لا بمعنی الفوریّة</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الکلام، وما هو الحَرِیّ فی المقام بعید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دلیل علیها، والقول بوجوب</w:t>
      </w:r>
      <w:bookmarkStart w:id="185" w:name="pg13284_130581"/>
    </w:p>
    <w:p>
      <w:pPr>
        <w:pStyle w:val="BookText"/>
        <w:rPr/>
      </w:pPr>
      <w:bookmarkEnd w:id="185"/>
      <w:r>
        <w:rPr>
          <w:rFonts w:ascii="IRNazanin" w:hAnsi="IRNazanin" w:eastAsia="IRNazanin"/>
          <w:color w:val="111111"/>
          <w:sz w:val="28"/>
          <w:sz w:val="28"/>
          <w:szCs w:val="28"/>
          <w:rtl w:val="true"/>
          <w:lang w:bidi="fa-IR"/>
        </w:rPr>
        <w:t>التعجیل إذا لم یشترط الأجل ضعیف</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الإتیان فوراً ففوراً مالم یشترط الأجل، إلاّ مع الرضا بالتأخیر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فحالها حال البیع فی أنّ إطلاقه یقتضی الحلول، بمعنی جواز المطالبة ووجوب المبادرة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معها </w:t>
      </w:r>
      <w:r>
        <w:rPr>
          <w:rFonts w:eastAsia="IRNazanin" w:cs="IRNazanin"/>
          <w:color w:val="111111"/>
          <w:sz w:val="28"/>
          <w:szCs w:val="28"/>
          <w:rtl w:val="true"/>
          <w:lang w:bidi="fa-IR"/>
        </w:rPr>
        <w:t>.</w:t>
      </w:r>
    </w:p>
    <w:p>
      <w:pPr>
        <w:pStyle w:val="Heading4"/>
        <w:numPr>
          <w:ilvl w:val="3"/>
          <w:numId w:val="1"/>
        </w:numPr>
        <w:rPr/>
      </w:pPr>
      <w:bookmarkStart w:id="186" w:name="__RefHeading___Toc2055637_2322387425"/>
      <w:bookmarkStart w:id="187" w:name="_Toc68"/>
      <w:bookmarkEnd w:id="186"/>
      <w:r>
        <w:rPr>
          <w:rtl w:val="true"/>
        </w:rPr>
        <w:t>استحباب ردّ الأجیر الزائد من الاُجرة أو التتمیم</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قَصُرَت الاُجرة لا یجب علی المستأجَر إتمامها، کما أ نّها لو زادت لیس له استرداد الزائد، نعم، یُستحبّ الإتمام کما قیل،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علی الأجیر أیضاً ردّ الزائد، ولا دلیل بالخصوص</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بالعمل به رجاءً،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کونه مفرّغاً لذمّة المستأجَر إشکال مبنیّ علی ما یُشیر إلیه من قریب،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من القولین، نعم، یُستدَلّ علی الأوّل بأ نّه معاونة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البِرّ والتقوی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وعلی الثانی بکونه موجباً للإخلاص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العبادة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3284_130582"/>
    </w:p>
    <w:p>
      <w:pPr>
        <w:pStyle w:val="Heading4"/>
        <w:numPr>
          <w:ilvl w:val="3"/>
          <w:numId w:val="1"/>
        </w:numPr>
        <w:rPr/>
      </w:pPr>
      <w:bookmarkStart w:id="189" w:name="__RefHeading___Toc2055639_2322387425"/>
      <w:bookmarkStart w:id="190" w:name="_Toc69"/>
      <w:bookmarkEnd w:id="188"/>
      <w:bookmarkEnd w:id="189"/>
      <w:r>
        <w:rPr>
          <w:rtl w:val="true"/>
        </w:rPr>
        <w:t>حکم إفساد الأجیر حجّه</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أفسد الأجیر حجّه بالجماع قبل المشعر فکالحاجّ عن نفسه یجب علیه إتمامه، والحجّ من قابل، وکفّارة بدنة، وهل یستحقّ الاُجرة علی الأوّل، أوْ لا؟ قولان مبنیّان علی أنّ الواجب هو الأوّل، وأنّ الثانی عقوبة، أو هو الثانی، وأنّ الأوّل عقوبة، قد یقال بالثانی للتعبیر فی الأخبار بالفساد الظاهر فی البطلان، وحمله علی إرادة النقصان وعدم الکمال مجاز لا داعی إلیه، وحینئذٍ فتنفسخ الإجارة</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للمستأجَر أن یطالب اُجرة مثل العمل الفائت علیه، کما أنّ له فسخ الإجارة ومطالبة المسمّاة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وقد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کانت معیّنةً، ولا یستحقّ الاُجرة، ویجب علیه الإتیان فی القابل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هذا الوجوب بالنسبة إلی الأجیر فی الإجارة المعیّنة؛ لأنّ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المبنی الإرشاد إلی عدم فردیّة ما أتی به للمأمور به، فوجوب الإتیان بالحجّ فی القابل إرشاد إلی بقاء الأمر الأوّل، ومن المعلوم أ نّه لا أمر بعد السنةِ المعیّنة بالنسبة إلی الأجیر الخاصّ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اُجرة، ومع إطلاق الإجارة تبقی ذمّته مشغولة، ویستحقّ الاُجرة علی ما یأتی به فی القابل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والأقوی صحّة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وکون الثانی عقوبةً لبعض الأخبار</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الصریحة</w:t>
      </w:r>
      <w:r>
        <w:rPr>
          <w:rStyle w:val="FootnoteAnchor"/>
          <w:rtl w:val="true"/>
        </w:rPr>
        <w:footnoteReference w:id="400"/>
      </w:r>
      <w:r>
        <w:rPr>
          <w:rFonts w:ascii="IRNazanin" w:hAnsi="IRNazanin" w:eastAsia="IRNazanin"/>
          <w:color w:val="111111"/>
          <w:sz w:val="28"/>
          <w:sz w:val="28"/>
          <w:szCs w:val="28"/>
          <w:rtl w:val="true"/>
          <w:lang w:bidi="fa-IR"/>
        </w:rPr>
        <w:t>فی ذلک فی الحاجّ عن نفسه، ولا فرق بینه وبین الأجیر، ولخصوص خبرَین فی خصوص الأجیر، عن إسحاق بن عمّار،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ابتُلِی بشیء یُفسِد علیه حجّه حتّی یصیر علیه الحجّ من قابل، أیجزی عن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الأجیر ضامن للحجّ؟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 سُئل الصادق علیه‌السلام عن رجل حجّ عن رجل فاجترح فی حجّه شیئاً یلزم فیه الحجّ من قابل وکفّارة؟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للأوّل تامّة، وعلی هذا ما اجترح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فالأقوی استحقاق الاُجرة علی الأوّل</w:t>
      </w:r>
      <w:r>
        <w:rPr>
          <w:rStyle w:val="FootnoteAnchor"/>
          <w:rtl w:val="true"/>
        </w:rPr>
        <w:footnoteReference w:id="402"/>
      </w:r>
      <w:r>
        <w:rPr>
          <w:rFonts w:ascii="IRNazanin" w:hAnsi="IRNazanin" w:eastAsia="IRNazanin"/>
          <w:color w:val="111111"/>
          <w:sz w:val="28"/>
          <w:sz w:val="28"/>
          <w:szCs w:val="28"/>
          <w:rtl w:val="true"/>
          <w:lang w:bidi="fa-IR"/>
        </w:rPr>
        <w:t>وإن ترک الإتیان من</w:t>
      </w:r>
      <w:r>
        <w:rPr>
          <w:rStyle w:val="FootnoteAnchor"/>
          <w:rtl w:val="true"/>
        </w:rPr>
        <w:footnoteReference w:id="403"/>
      </w:r>
      <w:r>
        <w:rPr>
          <w:rFonts w:ascii="IRNazanin" w:hAnsi="IRNazanin" w:eastAsia="IRNazanin"/>
          <w:color w:val="111111"/>
          <w:sz w:val="28"/>
          <w:sz w:val="28"/>
          <w:szCs w:val="28"/>
          <w:rtl w:val="true"/>
          <w:lang w:bidi="fa-IR"/>
        </w:rPr>
        <w:t>قابل</w:t>
      </w:r>
      <w:r>
        <w:rPr>
          <w:rStyle w:val="FootnoteAnchor"/>
          <w:rtl w:val="true"/>
        </w:rPr>
        <w:footnoteReference w:id="404"/>
      </w:r>
      <w:r>
        <w:rPr>
          <w:rFonts w:ascii="IRNazanin" w:hAnsi="IRNazanin" w:eastAsia="IRNazanin"/>
          <w:color w:val="111111"/>
          <w:sz w:val="28"/>
          <w:sz w:val="28"/>
          <w:szCs w:val="28"/>
          <w:rtl w:val="true"/>
          <w:lang w:bidi="fa-IR"/>
        </w:rPr>
        <w:t xml:space="preserve">عصیاناً، أو لعذر، ولا فرق بین کون الإجارة مطلقة أو معیّنة، وهل الواجب إتیان الثانی بالعنوان الّذی أتی به الأوّل، فیجب فیه قصد النیابة عن المنوب عنه وبذلک العنوان، أو هو واجب علیه تعبّداً ویکون لنفسه؟ وجهان، لا یبعد </w:t>
      </w:r>
    </w:p>
    <w:p>
      <w:pPr>
        <w:pStyle w:val="BookText"/>
        <w:rPr/>
      </w:pPr>
      <w:r>
        <w:rPr>
          <w:rFonts w:ascii="IRNazanin" w:hAnsi="IRNazanin" w:eastAsia="IRNazanin"/>
          <w:color w:val="111111"/>
          <w:sz w:val="28"/>
          <w:sz w:val="28"/>
          <w:szCs w:val="28"/>
          <w:rtl w:val="true"/>
          <w:lang w:bidi="fa-IR"/>
        </w:rPr>
        <w:t>الظهور</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ملائمة بین هذا التردید مع ما اختاره بتّاً من استحقاق الاُجرة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جداً، والأقوی الثانی، والاحتیاط المذکور 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ینافی کونه عقوبة، فإنّه تکون الإعادة عقوبة، ولکنّ الأظهر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یأتی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بقصد ما فی الذمّة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ثمّ لا یخفی عدم تمامیّة ما ذکره ذلک القائل من عدم استحقاق الاُجرة فی صورة کون الإجارة معیّنة ولو علی ما یأتی به فی القابل؛ لانفساخها، وکون وجوب الثانی تعبّداً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لکونه خارجاً عن متعلّق الإجارة، وإن کان مبرئاً لذمّة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المنوب عنه؛ وذلک لأنّ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منفسخةً بالنسبة</w:t>
      </w:r>
    </w:p>
    <w:p>
      <w:pPr>
        <w:pStyle w:val="BookText"/>
        <w:rPr/>
      </w:pPr>
      <w:r>
        <w:rPr>
          <w:rFonts w:ascii="Amiri" w:hAnsi="Amiri" w:eastAsia="Amiri" w:cs="Amiri"/>
          <w:color w:val="111111"/>
          <w:sz w:val="28"/>
          <w:sz w:val="28"/>
          <w:szCs w:val="28"/>
          <w:rtl w:val="true"/>
          <w:lang w:bidi="ar-SA"/>
        </w:rPr>
        <w:t>إلی الأوّل لکنّها باقیة</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ملازمة بینهما، والتعلیل غیر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وکونه عوضاً شرعیّاً لا یقتضی بقاء الإجارة تعبّداً مع مخالفته للقاعدة، مع أنّ فی کونه عوضاً تأمّلاً وإشکالاً، وکیف کان فالأقوی ما اختاره فی المتن، فلا داعی لتعرّض الاحتمالات والأقوال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تلازم بین وجوب العمل ثانیاً تعبّداً وبقاء الإجارة کذلک، والتعلیل المذکور فی المتن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بدعوی أنّ المنساق من الإجارة الواقعة من المسلم هو الإجارة بنحو الوظیفة الّتی جعلها الشارع له حدوثاً وبقاءً إلی أن یحکم الشارع له بفراغ الذمّة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التعبّد بوجوب إعادة الحجّ فی القابل بعنوانه لا یستلزم التعبّد ببقاء الإجارة حتّی یستحقّ به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التعبّد فی إعادة الحجّ، لا فی بقاء الإجارة، إلاّ أن یلتزم بعدم انفساخ الإجارة وکون الثانی عوضاً تعبّدیّاً، لکنّه مع بُعدِه خلاف ما صرّح به الماتن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لکونه عوضاً</w:t>
      </w:r>
      <w:r>
        <w:rPr>
          <w:rStyle w:val="FootnoteAnchor"/>
          <w:rtl w:val="true"/>
        </w:rPr>
        <w:footnoteReference w:id="407"/>
      </w:r>
      <w:r>
        <w:rPr>
          <w:rFonts w:ascii="Amiri" w:hAnsi="Amiri" w:eastAsia="Amiri" w:cs="Amiri"/>
          <w:color w:val="111111"/>
          <w:sz w:val="28"/>
          <w:sz w:val="28"/>
          <w:szCs w:val="28"/>
          <w:rtl w:val="true"/>
          <w:lang w:bidi="ar-SA"/>
        </w:rPr>
        <w:t>شرعیّاً</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التعلیل یقتضی بقاء الإجارة بالنسبة إلی الأوّل واستحقاق الاُجرة، وکون الثانی عوضاً تعبّدیّاً عمّا أتلفه بالإفساد، ویُشعِر به تصدیق أحدهما علیهماالسلام بضمان الأجیر فی روایة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عمّا وقع علیه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فلا وجه لعدم استحقاق الاُجرة علی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 بعدم کفایة الحجّ الثانی</w:t>
      </w:r>
      <w:r>
        <w:rPr>
          <w:rStyle w:val="FootnoteAnchor"/>
          <w:rtl w:val="true"/>
        </w:rPr>
        <w:footnoteReference w:id="409"/>
      </w:r>
      <w:r>
        <w:rPr>
          <w:rFonts w:ascii="Amiri" w:hAnsi="Amiri" w:eastAsia="Amiri" w:cs="Amiri"/>
          <w:color w:val="111111"/>
          <w:sz w:val="28"/>
          <w:sz w:val="28"/>
          <w:szCs w:val="28"/>
          <w:rtl w:val="true"/>
          <w:lang w:bidi="ar-SA"/>
        </w:rPr>
        <w:t>أیضاً</w:t>
      </w:r>
      <w:r>
        <w:rPr>
          <w:rStyle w:val="FootnoteAnchor"/>
          <w:rtl w:val="true"/>
        </w:rPr>
        <w:footnoteReference w:id="410"/>
      </w:r>
      <w:r>
        <w:rPr>
          <w:rFonts w:ascii="IRNazanin" w:hAnsi="IRNazanin" w:eastAsia="IRNazanin"/>
          <w:color w:val="111111"/>
          <w:sz w:val="28"/>
          <w:sz w:val="28"/>
          <w:szCs w:val="28"/>
          <w:rtl w:val="true"/>
          <w:lang w:bidi="fa-IR"/>
        </w:rPr>
        <w:t>فی تفریغ ذمّة المنوب عنه، بل لابدّ للمستأجَر أن یُستَأجَرَ مرّةً اُخری فی صورة التعیین، وللأجیر أن یحجّ ثالثاً فی صورة الإطلاق؛ لأنّ الحجّ الأوّل فاسد، والثانی إنّما وجب للإفساد عقوبةً فیجب ثالث؛ إذ التداخل خلاف الأصل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إذا لم یکن الحجّ فی القابل بالعنوان الأوّل، والظاهر من الأخبار</w:t>
      </w:r>
      <w:r>
        <w:rPr>
          <w:rStyle w:val="FootnoteAnchor"/>
          <w:rtl w:val="true"/>
        </w:rPr>
        <w:footnoteReference w:id="411"/>
      </w:r>
      <w:r>
        <w:rPr>
          <w:rFonts w:ascii="IRNazanin" w:hAnsi="IRNazanin" w:eastAsia="IRNazanin"/>
          <w:color w:val="111111"/>
          <w:sz w:val="28"/>
          <w:sz w:val="28"/>
          <w:szCs w:val="28"/>
          <w:rtl w:val="true"/>
          <w:lang w:bidi="fa-IR"/>
        </w:rPr>
        <w:t>علی القول بعدم صحّة الأوّل وجوب إعادة الأوّل، وبذلک العنوان، فیکفی فی التفریغ، ولا یکون من باب التداخل، فلیس الإفساد عنواناً مستقلاًّ، نعم، إنّما یلزم ذلک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الإفساد موجب لحجٍّ مستقلٍّ لا علی نحو الأوّل، وهو خلاف ظاهر</w:t>
      </w:r>
      <w:r>
        <w:rPr>
          <w:rStyle w:val="FootnoteAnchor"/>
          <w:rtl w:val="true"/>
        </w:rPr>
        <w:footnoteReference w:id="412"/>
      </w:r>
      <w:r>
        <w:rPr>
          <w:rFonts w:ascii="IRNazanin" w:hAnsi="IRNazanin" w:eastAsia="IRNazanin"/>
          <w:color w:val="111111"/>
          <w:sz w:val="28"/>
          <w:sz w:val="28"/>
          <w:szCs w:val="28"/>
          <w:rtl w:val="true"/>
          <w:lang w:bidi="fa-IR"/>
        </w:rPr>
        <w:t>الأخبار، وقد یقال فی صورة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الأوّل إذا کان فاسداً وانفسخت الإجارة یکون لنفسه، فقضاوءه فی العام القابل أیضاً یکون لنفسه، ولا یکون مبرئاً لذمّة المنوب عنه، فیجب علی المستأجَر استئجار حجّ آخر، وفیه أیضاً ما عرفت</w:t>
      </w:r>
      <w:r>
        <w:rPr>
          <w:rStyle w:val="FootnoteAnchor"/>
          <w:rtl w:val="true"/>
        </w:rPr>
        <w:footnoteReference w:id="413"/>
      </w:r>
      <w:r>
        <w:rPr>
          <w:rFonts w:ascii="IRNazanin" w:hAnsi="IRNazanin" w:eastAsia="IRNazanin"/>
          <w:color w:val="111111"/>
          <w:sz w:val="28"/>
          <w:sz w:val="28"/>
          <w:szCs w:val="28"/>
          <w:rtl w:val="true"/>
          <w:lang w:bidi="fa-IR"/>
        </w:rPr>
        <w:t xml:space="preserve">من أنّ الثانی واجب </w:t>
      </w:r>
      <w:bookmarkStart w:id="191" w:name="pg13284_130588"/>
    </w:p>
    <w:p>
      <w:pPr>
        <w:pStyle w:val="BookText"/>
        <w:rPr/>
      </w:pPr>
      <w:bookmarkEnd w:id="191"/>
      <w:r>
        <w:rPr>
          <w:rFonts w:ascii="IRNazanin" w:hAnsi="IRNazanin" w:eastAsia="IRNazanin"/>
          <w:color w:val="111111"/>
          <w:sz w:val="28"/>
          <w:sz w:val="28"/>
          <w:szCs w:val="28"/>
          <w:rtl w:val="true"/>
          <w:lang w:bidi="fa-IR"/>
        </w:rPr>
        <w:t>بعنوان إعادة الأوّل، وکون الأوّل بعد انفساخ الإجارة بالنسبة إلیه</w:t>
      </w:r>
      <w:r>
        <w:rPr>
          <w:rStyle w:val="FootnoteAnchor"/>
          <w:rtl w:val="true"/>
        </w:rPr>
        <w:footnoteReference w:id="414"/>
      </w:r>
      <w:r>
        <w:rPr>
          <w:rFonts w:ascii="IRNazanin" w:hAnsi="IRNazanin" w:eastAsia="IRNazanin"/>
          <w:color w:val="111111"/>
          <w:sz w:val="28"/>
          <w:sz w:val="28"/>
          <w:szCs w:val="28"/>
          <w:rtl w:val="true"/>
          <w:lang w:bidi="fa-IR"/>
        </w:rPr>
        <w:t>لنفسه لا یقتضی کون الثانی له وإن کان بدلاً عنه؛ لأ نّه بدل عنه بالعنوان المنویّ، لا بما صار إلیه بعد الفسخ، هذا، والظاهر عدم الفرق فی الأحکام المذکورة بین کون الحجّ الأوّل المستأجَر علیه واجباً أو مندوباً، بل الظاهر جریان حکم وجوب الإتمام والإعادة فی النیابة تبرّعاً أیضاً، وإن کان لا یستحقّ الاُجرة أصلاً</w:t>
      </w:r>
      <w:r>
        <w:rPr>
          <w:rFonts w:eastAsia="IRNazanin" w:cs="IRNazanin"/>
          <w:color w:val="111111"/>
          <w:sz w:val="28"/>
          <w:szCs w:val="28"/>
          <w:rtl w:val="true"/>
          <w:lang w:bidi="fa-IR"/>
        </w:rPr>
        <w:t>.</w:t>
      </w:r>
    </w:p>
    <w:p>
      <w:pPr>
        <w:pStyle w:val="Heading4"/>
        <w:numPr>
          <w:ilvl w:val="3"/>
          <w:numId w:val="1"/>
        </w:numPr>
        <w:rPr/>
      </w:pPr>
      <w:bookmarkStart w:id="192" w:name="__RefHeading___Toc2055641_2322387425"/>
      <w:bookmarkStart w:id="193" w:name="_Toc70"/>
      <w:bookmarkEnd w:id="192"/>
      <w:r>
        <w:rPr>
          <w:rtl w:val="true"/>
        </w:rPr>
        <w:t>زمان ملکیّة الأجیر الاُجرة</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الأجیر الاُجرة بمجرّد العقد، لکن لا یجب تسلیمها</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سبق منه أنّ بمجرّد الإجارة لا تفرغ ذمّة المنوب عنه وإن لم یأت الأجیر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بعد العمل إذا لم یشترط التعجیل ولم تکن قرینة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الظاهر أنّ القرینة موجودة فی نیابة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إرادته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انصرافٍ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غیره، ولا فرق فی عدم وجوب التسلیم بین أن تکون عیناً أو دَیناً، لکن إذا کانت عیناً ونمت کان النماء للأجیر، وعلی ما ذکر من عدم وجوب التسلیم قبل العمل إذا کان المستأجِر وصیّاً أو وکیلاً وسلّمها</w:t>
      </w:r>
    </w:p>
    <w:p>
      <w:pPr>
        <w:pStyle w:val="BookText"/>
        <w:rPr/>
      </w:pPr>
      <w:r>
        <w:rPr>
          <w:rFonts w:ascii="IRNazanin" w:hAnsi="IRNazanin" w:eastAsia="IRNazanin"/>
          <w:color w:val="111111"/>
          <w:sz w:val="28"/>
          <w:sz w:val="28"/>
          <w:szCs w:val="28"/>
          <w:rtl w:val="true"/>
          <w:lang w:bidi="fa-IR"/>
        </w:rPr>
        <w:t>قبله کان ضامناً</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الضمان علی الوصیّ فهو موقوف علی صدق عدم کون التصرّف بتسلیم الاُجرة للأجیر تصرّفاً ولائیّاً مأذوناً فیه شرعاً، فلو راعی المصلحة فی التسلیم لم یکن ضامناً، وأمّا الوکیل فضمانه وعدم ضمانه موقوف علی سِعَة دائرة وکالته وضیقها، فلو کان مفوّضاً لم یضمن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التعدّی وعدم وجود عذر شرعیّ فی البین، کما أشرنا إلیه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المتعارف التسلیم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تعذّر الإستئجار إلاّ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یفرض مصلحةً فی ذلک ولو مثل تعسّر الاستئجار أو زیادة الاُجرة إذا أخّرها إلی ما بعد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وصیّا، أو وکیلاً فی ذاک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تعذّر الاستئجار بغیر ذلک، أو کان وصیّاً، أو وکیلاً فی التسلیم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إذ لو تعارف إعطاء الاُجرة سابقاً ـ کما سیذکره الماتن قدس‌سره ـ أو تعذّرت الإجارة بدون التعجیل ونحو ذلک لم یضمن؛ لعدم التفریط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تقدیر عدم العمل من المؤجَر، أو کون عمله باطلاً، ولا یجوز لهما اشتراط التعجیل من دون إذن الموکِّل أو الوارث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لإذن الوارث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لإذن الوارث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لإذن الوارث، إلاّ إذا کان هو المستأجَر حقیقةً تبرّعاً، أو من جهة أداء دَین المورّث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مدخلیّة لإذن الوارث، اللهمّ إلاّ أن تکون وصایته فی الثلث، فلو أراد إخراج الحجّ من الأصل یلزمه مراجعة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لتوهّم دخالة إذن الوارث فیما لا یرتبط به، اللهمّ إلاّ أن یکون المراد من إذن الوارث إذنه فی تسلیم الاُجرة للأجیر ممّا یختصّ به، وهو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دخل لإذن الوارث فیه، وأمّا الوصیّ فیجوز له الاشتراط إذا تعذّر بغیر ذلک، ولا ضمان علیه مع التسلیم إذا تعذّر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أثر لإذن الوارث، إلاّ إذا کانت الترکة زائدةً علی مقدار مؤونة الحجّ بمقدار یکفی للاستئجار مرّةً اُخری، فیلزم علیهم الاستئجار ثانیاً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له مدخلیّة فی اُمور المیّت ولو بنحو النظارة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وصیّاً فی التلف فقط وأراد إخراج الحجّ الواجب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مدخلیّة لإذن الوارث إلاّ فی بعض الفروض، والتفصیل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وجه اعتبار إذن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یقدر الأجیر علی العمل مع عدم تسلیم الاُجرة کان له الفسخ</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قدرته لا یوجب کون الفسخ له إذا لم یکن عدم التسلیم علی خلاف المتعارف، ومعه له الفسخ، کان قادراً أو لم یقدر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لخیار الأجیر، بل للمستأجَر خیار تعذّر التسلیم، نعم، لو بقی علی هذا الحال حتّی انقضی وقت الحجّ فالظاهر انفساخ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لازم عدم القدرة علی التسلیم الانفساخ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یبطل العقد؛ لعدم القدرة علی 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قدرة الأجیر لا یجوّز له الفسخ، نعم، مع اشتراط التقدیم ولو من انصراف إطلاق العقد إلیه لتعارف التقدیم له الفسخ مع التخلّف وإن کان قادراً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عدم القدرة یوجب الانفساخ مع ضیق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انفساخ عقد الإجارة؛ لعدم المنفعة الّتی تقع الإجارة بلحاظها، أمّا المستأجَر فله أن یدفع الاُجرة فیمکّن الأجیر من العمل، وله أن لا یدفعها فیعجز الأجیر وینفسخ عقد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ویلزم تقییده بما إذا لم یتمکّن الأجیر من العمل بغیره، أو تمکّن ولکن کان إطلاق العقد منزّلاً علی المتعارف، وهو إعطاء الاُجرة قبل العمل، ونحو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w:t>
      </w:r>
      <w:bookmarkStart w:id="194" w:name="pg13284_130591"/>
    </w:p>
    <w:p>
      <w:pPr>
        <w:pStyle w:val="BookText"/>
        <w:rPr/>
      </w:pPr>
      <w:bookmarkEnd w:id="194"/>
      <w:r>
        <w:rPr>
          <w:rFonts w:ascii="Amiri" w:hAnsi="Amiri" w:eastAsia="Amiri" w:cs="Amiri"/>
          <w:color w:val="111111"/>
          <w:sz w:val="28"/>
          <w:sz w:val="28"/>
          <w:szCs w:val="28"/>
          <w:rtl w:val="true"/>
          <w:lang w:bidi="ar-SA"/>
        </w:rPr>
        <w:t>للمستأجِر</w:t>
      </w:r>
      <w:r>
        <w:rPr>
          <w:rStyle w:val="FootnoteAnchor"/>
          <w:rtl w:val="true"/>
        </w:rPr>
        <w:footnoteReference w:id="418"/>
      </w:r>
      <w:r>
        <w:rPr>
          <w:rFonts w:ascii="IRNazanin" w:hAnsi="IRNazanin" w:eastAsia="IRNazanin"/>
          <w:color w:val="111111"/>
          <w:sz w:val="28"/>
          <w:sz w:val="28"/>
          <w:szCs w:val="28"/>
          <w:rtl w:val="true"/>
          <w:lang w:bidi="fa-IR"/>
        </w:rPr>
        <w:t>، لکن لمّا کان المتعارف تسلیمها أو نصفها قبل المشی یستحقّ الأجیر المطالبة فی صورة الإطلاق</w:t>
      </w:r>
      <w:r>
        <w:rPr>
          <w:rStyle w:val="FootnoteAnchor"/>
          <w:rtl w:val="true"/>
        </w:rPr>
        <w:footnoteReference w:id="419"/>
      </w:r>
      <w:r>
        <w:rPr>
          <w:rFonts w:ascii="IRNazanin" w:hAnsi="IRNazanin" w:eastAsia="IRNazanin"/>
          <w:color w:val="111111"/>
          <w:sz w:val="28"/>
          <w:sz w:val="28"/>
          <w:szCs w:val="28"/>
          <w:rtl w:val="true"/>
          <w:lang w:bidi="fa-IR"/>
        </w:rPr>
        <w:t>، ویجوز للوکیل والوصیّ دفعها</w:t>
      </w:r>
      <w:r>
        <w:rPr>
          <w:rStyle w:val="FootnoteAnchor"/>
          <w:rtl w:val="true"/>
        </w:rPr>
        <w:footnoteReference w:id="420"/>
      </w:r>
      <w:r>
        <w:rPr>
          <w:rFonts w:ascii="IRNazanin" w:hAnsi="IRNazanin" w:eastAsia="IRNazanin"/>
          <w:color w:val="111111"/>
          <w:sz w:val="28"/>
          <w:sz w:val="28"/>
          <w:szCs w:val="28"/>
          <w:rtl w:val="true"/>
          <w:lang w:bidi="fa-IR"/>
        </w:rPr>
        <w:t>من غیر ضمان</w:t>
      </w:r>
      <w:r>
        <w:rPr>
          <w:rFonts w:eastAsia="IRNazanin" w:cs="IRNazanin"/>
          <w:color w:val="111111"/>
          <w:sz w:val="28"/>
          <w:szCs w:val="28"/>
          <w:rtl w:val="true"/>
          <w:lang w:bidi="fa-IR"/>
        </w:rPr>
        <w:t>.</w:t>
      </w:r>
    </w:p>
    <w:p>
      <w:pPr>
        <w:pStyle w:val="Heading4"/>
        <w:numPr>
          <w:ilvl w:val="3"/>
          <w:numId w:val="1"/>
        </w:numPr>
        <w:rPr/>
      </w:pPr>
      <w:bookmarkStart w:id="195" w:name="__RefHeading___Toc2055643_2322387425"/>
      <w:bookmarkStart w:id="196" w:name="_Toc71"/>
      <w:bookmarkEnd w:id="195"/>
      <w:r>
        <w:rPr>
          <w:rtl w:val="true"/>
        </w:rPr>
        <w:t>إقتضاء الإجارة المباشرة</w:t>
      </w:r>
      <w:bookmarkEnd w:id="1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الإجارة یقتضی المباشرة، فلا یجوز للأجیر أن یستأجِر غیره إلاّ مع الإذن صریحاً أو ظاهراً</w:t>
      </w:r>
      <w:r>
        <w:rPr>
          <w:rStyle w:val="FootnoteAnchor"/>
          <w:rtl w:val="true"/>
        </w:rPr>
        <w:footnoteReference w:id="421"/>
      </w:r>
      <w:r>
        <w:rPr>
          <w:rFonts w:ascii="IRNazanin" w:hAnsi="IRNazanin" w:eastAsia="IRNazanin"/>
          <w:color w:val="111111"/>
          <w:sz w:val="28"/>
          <w:sz w:val="28"/>
          <w:szCs w:val="28"/>
          <w:rtl w:val="true"/>
          <w:lang w:bidi="fa-IR"/>
        </w:rPr>
        <w:t xml:space="preserve">، </w:t>
      </w:r>
      <w:bookmarkStart w:id="197" w:name="pg13284_130592"/>
    </w:p>
    <w:p>
      <w:pPr>
        <w:pStyle w:val="BookText"/>
        <w:rPr/>
      </w:pPr>
      <w:bookmarkEnd w:id="197"/>
      <w:r>
        <w:rPr>
          <w:rFonts w:ascii="IRNazanin" w:hAnsi="IRNazanin" w:eastAsia="IRNazanin"/>
          <w:color w:val="111111"/>
          <w:sz w:val="28"/>
          <w:sz w:val="28"/>
          <w:szCs w:val="28"/>
          <w:rtl w:val="true"/>
          <w:lang w:bidi="fa-IR"/>
        </w:rPr>
        <w:t>والروایة</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 روایة عثمان بن عیسی الرواسی المرویة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5/417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الجواز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ظهور للروایة علی الجواز فی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صورة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الحمل بعید فی نفسه، والعمدة عدم الاعتماد بما انفرد به عثمان بن عیسی، وعدم العلم بالعمل به إلاّ من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یکشف عن وقوع الإجارة علی الأعمّ من نفسه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المستأجِر</w:t>
      </w:r>
      <w:r>
        <w:rPr>
          <w:rFonts w:eastAsia="IRNazanin" w:cs="IRNazanin"/>
          <w:color w:val="111111"/>
          <w:sz w:val="28"/>
          <w:szCs w:val="28"/>
          <w:rtl w:val="true"/>
          <w:lang w:bidi="fa-IR"/>
        </w:rPr>
        <w:t>.</w:t>
      </w:r>
    </w:p>
    <w:p>
      <w:pPr>
        <w:pStyle w:val="Heading4"/>
        <w:numPr>
          <w:ilvl w:val="3"/>
          <w:numId w:val="1"/>
        </w:numPr>
        <w:rPr/>
      </w:pPr>
      <w:bookmarkStart w:id="198" w:name="__RefHeading___Toc2055645_2322387425"/>
      <w:bookmarkStart w:id="199" w:name="_Toc72"/>
      <w:bookmarkEnd w:id="198"/>
      <w:r>
        <w:rPr>
          <w:rtl w:val="true"/>
        </w:rPr>
        <w:t>استئجار من ضاق وقته عن إتمام حجّ التمتّع</w:t>
      </w:r>
      <w:bookmarkEnd w:id="19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استئجار من ضاق وقته عن إتمام الحجّ تمتّعاً، وکانت وظیفته العدول إلی حجّ الإفراد عمّن علیه حجّ التمتّع، ولو استأجره مع سِعَةِ الوقت فنوی التمتّع ثمّ اتّفق ضیق الوقت فهل یجوز له العدول ویجزی عن المنوب عنه، أوْ لا؟ وجهان</w:t>
      </w:r>
      <w:r>
        <w:rPr>
          <w:rStyle w:val="FootnoteAnchor"/>
          <w:rtl w:val="true"/>
        </w:rPr>
        <w:footnoteReference w:id="423"/>
      </w:r>
      <w:r>
        <w:rPr>
          <w:rFonts w:ascii="IRNazanin" w:hAnsi="IRNazanin" w:eastAsia="IRNazanin"/>
          <w:color w:val="111111"/>
          <w:sz w:val="28"/>
          <w:sz w:val="28"/>
          <w:szCs w:val="28"/>
          <w:rtl w:val="true"/>
          <w:lang w:bidi="fa-IR"/>
        </w:rPr>
        <w:t xml:space="preserve">، من إطلاق أخبار العدول، ومن </w:t>
      </w:r>
    </w:p>
    <w:p>
      <w:pPr>
        <w:pStyle w:val="BookText"/>
        <w:rPr/>
      </w:pPr>
      <w:r>
        <w:rPr>
          <w:rFonts w:ascii="IRNazanin" w:hAnsi="IRNazanin" w:eastAsia="IRNazanin"/>
          <w:color w:val="111111"/>
          <w:sz w:val="28"/>
          <w:sz w:val="28"/>
          <w:szCs w:val="28"/>
          <w:rtl w:val="true"/>
          <w:lang w:bidi="fa-IR"/>
        </w:rPr>
        <w:t>انصرافها</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الانصراف لا وجه له بعد سوق الروایات لتصحیح الحجّ، وحینئذٍ یجب علیه العدول ویجزی عن المنوب عنه، وأمّا استحقاق الاُجرة فهو موقوف علی کونه أجیراً لمطلق الحجّ، أو علی تفریغ عهدة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بدویّ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الحاجّ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والأقوی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 وإجزائه عن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العدول والإجزاء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لعدم جواز العدول، والأقوی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العدول وإجزاؤه عن المیّت المنوب عنه، وإن کان الأحوط عدم جواز العدول، وعدم إجزائه عن المنوب عنه، وعدم استحقاقه للاُجرة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 ، ولا یبعد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لزوم العدول، وأمّا الإجزاء عن المنوب عنه فمحلّ تأمّل، والأحوط عدم 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الجواز والإجزاء بالعدول، هذا بالنسبة إلی أصل الإجزاء عن المنوب عنه، وأمّا بالنسبة إلی استحقاق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الإجارة علی تفریغ الذمّة استحقّ الاُجرة، وإن کانت علی نفس العمل الخاصّ فلا یستحقّها إلاّ بالنسبة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 وإجزاوءه عن المنوب عنه، وفی استحقاق الاُجرة وجهان، والأوّل أوفق بالقواعد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هو الجواز والإجزاء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 والإجزاء عن المنوب عنه، واستحقاق الاُجرة إذا کانت الإجارة علی تفریغ ذمّة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 والکفایة عن المنوب عنه، واستحقاق الأجیر الاُجرة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جوازه وإجزاؤه عن المنوب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جواز العدول، ویترتّب علیه الإجزاء عن المیّت واستحقاق الاُجرة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تقدیره</w:t>
      </w:r>
      <w:r>
        <w:rPr>
          <w:rStyle w:val="FootnoteAnchor"/>
          <w:rtl w:val="true"/>
        </w:rPr>
        <w:footnoteReference w:id="425"/>
      </w:r>
      <w:r>
        <w:rPr>
          <w:rFonts w:ascii="IRNazanin" w:hAnsi="IRNazanin" w:eastAsia="IRNazanin"/>
          <w:color w:val="111111"/>
          <w:sz w:val="28"/>
          <w:sz w:val="28"/>
          <w:szCs w:val="28"/>
          <w:rtl w:val="true"/>
          <w:lang w:bidi="fa-IR"/>
        </w:rPr>
        <w:t>فالأقوی</w:t>
      </w:r>
      <w:r>
        <w:rPr>
          <w:rStyle w:val="FootnoteAnchor"/>
          <w:rtl w:val="true"/>
        </w:rPr>
        <w:footnoteReference w:id="426"/>
      </w:r>
      <w:r>
        <w:rPr>
          <w:rFonts w:ascii="IRNazanin" w:hAnsi="IRNazanin" w:eastAsia="IRNazanin"/>
          <w:color w:val="111111"/>
          <w:sz w:val="28"/>
          <w:sz w:val="28"/>
          <w:szCs w:val="28"/>
          <w:rtl w:val="true"/>
          <w:lang w:bidi="fa-IR"/>
        </w:rPr>
        <w:t>عدم إجزائه</w:t>
      </w:r>
      <w:r>
        <w:rPr>
          <w:rStyle w:val="FootnoteAnchor"/>
          <w:rtl w:val="true"/>
        </w:rPr>
        <w:footnoteReference w:id="427"/>
      </w:r>
      <w:r>
        <w:rPr>
          <w:rFonts w:ascii="IRNazanin" w:hAnsi="IRNazanin" w:eastAsia="IRNazanin"/>
          <w:color w:val="111111"/>
          <w:sz w:val="28"/>
          <w:sz w:val="28"/>
          <w:szCs w:val="28"/>
          <w:rtl w:val="true"/>
          <w:lang w:bidi="fa-IR"/>
        </w:rPr>
        <w:t>عن المیّت، وعدم استحقاق الاُجرة علیه؛ لأ نّه غیر ما علی المیّت</w:t>
      </w:r>
      <w:r>
        <w:rPr>
          <w:rStyle w:val="FootnoteAnchor"/>
          <w:rtl w:val="true"/>
        </w:rPr>
        <w:footnoteReference w:id="428"/>
      </w:r>
      <w:r>
        <w:rPr>
          <w:rFonts w:ascii="IRNazanin" w:hAnsi="IRNazanin" w:eastAsia="IRNazanin"/>
          <w:color w:val="111111"/>
          <w:sz w:val="28"/>
          <w:sz w:val="28"/>
          <w:szCs w:val="28"/>
          <w:rtl w:val="true"/>
          <w:lang w:bidi="fa-IR"/>
        </w:rPr>
        <w:t>ولأ نّه غیرالعمل المستأجَر علیه</w:t>
      </w:r>
      <w:r>
        <w:rPr>
          <w:rFonts w:eastAsia="IRNazanin" w:cs="IRNazanin"/>
          <w:color w:val="111111"/>
          <w:sz w:val="28"/>
          <w:szCs w:val="28"/>
          <w:rtl w:val="true"/>
          <w:lang w:bidi="fa-IR"/>
        </w:rPr>
        <w:t xml:space="preserve">. </w:t>
      </w:r>
      <w:bookmarkStart w:id="200" w:name="pg13284_130595"/>
    </w:p>
    <w:p>
      <w:pPr>
        <w:pStyle w:val="Heading4"/>
        <w:numPr>
          <w:ilvl w:val="3"/>
          <w:numId w:val="1"/>
        </w:numPr>
        <w:rPr/>
      </w:pPr>
      <w:bookmarkStart w:id="201" w:name="__RefHeading___Toc2055647_2322387425"/>
      <w:bookmarkStart w:id="202" w:name="_Toc73"/>
      <w:bookmarkEnd w:id="200"/>
      <w:bookmarkEnd w:id="201"/>
      <w:r>
        <w:rPr>
          <w:rtl w:val="true"/>
        </w:rPr>
        <w:t>التبرّع بالحجّ عن المیّت والحیّ</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التبرّع عن المیّت فی الحجّ الواجب أیِّ واجب کان والمندوب، بل یجوز التبرّع</w:t>
      </w:r>
      <w:r>
        <w:rPr>
          <w:rStyle w:val="FootnoteAnchor"/>
          <w:rtl w:val="true"/>
        </w:rPr>
        <w:footnoteReference w:id="429"/>
      </w:r>
      <w:r>
        <w:rPr>
          <w:rFonts w:ascii="IRNazanin" w:hAnsi="IRNazanin" w:eastAsia="IRNazanin"/>
          <w:color w:val="111111"/>
          <w:sz w:val="28"/>
          <w:sz w:val="28"/>
          <w:szCs w:val="28"/>
          <w:rtl w:val="true"/>
          <w:lang w:bidi="fa-IR"/>
        </w:rPr>
        <w:t>عنه</w:t>
      </w:r>
      <w:r>
        <w:rPr>
          <w:rStyle w:val="FootnoteAnchor"/>
          <w:rtl w:val="true"/>
        </w:rPr>
        <w:footnoteReference w:id="430"/>
      </w:r>
      <w:r>
        <w:rPr>
          <w:rFonts w:ascii="IRNazanin" w:hAnsi="IRNazanin" w:eastAsia="IRNazanin"/>
          <w:color w:val="111111"/>
          <w:sz w:val="28"/>
          <w:sz w:val="28"/>
          <w:szCs w:val="28"/>
          <w:rtl w:val="true"/>
          <w:lang w:bidi="fa-IR"/>
        </w:rPr>
        <w:t>بالمندوب وإن کانت ذمّته مشغولة بالواجب</w:t>
      </w:r>
      <w:r>
        <w:rPr>
          <w:rStyle w:val="FootnoteAnchor"/>
          <w:rtl w:val="true"/>
        </w:rPr>
        <w:footnoteReference w:id="431"/>
      </w:r>
      <w:r>
        <w:rPr>
          <w:rFonts w:ascii="IRNazanin" w:hAnsi="IRNazanin" w:eastAsia="IRNazanin"/>
          <w:color w:val="111111"/>
          <w:sz w:val="28"/>
          <w:sz w:val="28"/>
          <w:szCs w:val="28"/>
          <w:rtl w:val="true"/>
          <w:lang w:bidi="fa-IR"/>
        </w:rPr>
        <w:t>ولو قبل الاستئجار عنه للواجب، وکذا یجوز الاستئجار عنه فی المندوب کذلک، وأمّا الحیّ فلا یجوز التبرّع عنه فی الواجب إلاّ إذا کان معذوراً فی المباشرة لمرضٍ أو هِرَم</w:t>
      </w:r>
      <w:r>
        <w:rPr>
          <w:rStyle w:val="FootnoteAnchor"/>
          <w:rtl w:val="true"/>
        </w:rPr>
        <w:footnoteReference w:id="432"/>
      </w:r>
      <w:r>
        <w:rPr>
          <w:rFonts w:ascii="Amiri" w:hAnsi="Amiri" w:eastAsia="Amiri" w:cs="Amiri"/>
          <w:color w:val="111111"/>
          <w:sz w:val="28"/>
          <w:sz w:val="28"/>
          <w:szCs w:val="28"/>
          <w:rtl w:val="true"/>
          <w:lang w:bidi="ar-SA"/>
        </w:rPr>
        <w:t>فإنّه یجوز التبرّع</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التبرّع عنه وسقوط وجوب الاستنابة عنه بذلک محلّ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التبرّع عنه وسقوط وجوب الاستنابة عنه محلّ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مشکل، کما تقدّم منّا فی المسألة الحادیة والسبعین من فصل شرائط وجوب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الاستنابة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الأقوی،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بتسبیب منه،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وأمّا الحجّ المندوب فیجوز التبرّع عنه، کما یجوز له أن یستأجِر له حتّی إذا کان علیه حجّ واجب لا یتمکّن من أدائه فعلاً، وأمّا إن تمکّن منه فالاستئجار للمندوب قبل أدائه مشکل</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التبرّع عنه والاستئجار له، والإشکال فیهما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التبرّع عنه حینئذٍ أیضاً 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السبزواری،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 وفی الاستئجار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إشکال فیه، احتمل بعض الأعاظم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المقام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التالیة بُدِّل مکانهما من قلم الناسخ، وهو احتمال حسن قریب إلی الذهن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إلاّ انحصار الأمر الفعلی المتوجّه إلی المنوب للأمر الوجوبی، فکیف یتحقّق عن النائب قصد القربة ـ أی قصد امتثال الأمر الندبی المتوجّه إلیه ـ ولکن مع فرض محبوبیّة العمل له وعدم لزوم قصد النائب امتثال أمر المنوب عنه ، بل لا یمکن، کما حُقِّق فی محلّه، فیرتفع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الصحّة، بل جواز الاستئجار للمندوب قبل أداء الواجب إذا لم یُخِلَّ بالواجب لا یخلو من قوّة، والظاهر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النسّاخ، ولعلّ الأصل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مربوطاً بالمسألة الآتیة،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مربوطاً بهذه المسألة فقلبهما الناسخ، کما احتمله بعض الأجِلّة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جواز الاستئجار للمندوب والتبرّع به قبل تأدیة الواجب بشرط عدم انسلاب القدرة علی إتیان الواجب، وعدم الإخلال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فیه الصحّة، بل وکذا فی استئجار المندوب،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لها فی هذا الموضع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لا إشکال فیه، وفی الاستئجار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الحجّ الواجب</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 نّه لا موقع لذکر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کما لا وقع لذکر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التالیة، بل الصحیح هو عکس ذلک، ولعلّه من سهو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یتصوّر لها معنی محصّل، کما أنّ قوله فی السطر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یتصوّر له وجه، والظنّ الغالب هو أنّ کلاًّ منهما کان فی موضع الآخر فقلبهما قلم الناسخ؛ فإنّ التبرّع بالمندوب عمّن علیه واجب موضع لتقویة الصحّة، لا جواز النیابة عن أکثر، وکذا عدم جواز النیابة عن أکثر من واحدٍ لابدّ أن یقیَّد بالحجّ الواجب؛ لجوازها فی المندوب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الکلمة ممّا لا مورد لها، والظاهر أ نّها من عثرة القلم، ویمکن توجیهها بتکلّف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الجملة موضعها فی المسألة الآتیة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فموقعه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الجملة لا وجه لها فی المقام، کما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الآتیة لا وجه لها أیضاً، والظاهر وقوع التحریف، فحقّ الجملة الاُولی أن تُذکر مکان الثانیة، والثانیة مکان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قوله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أبدل الناسخ أحدهما مکان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3284_130598"/>
    </w:p>
    <w:p>
      <w:pPr>
        <w:pStyle w:val="Heading4"/>
        <w:numPr>
          <w:ilvl w:val="3"/>
          <w:numId w:val="1"/>
        </w:numPr>
        <w:rPr/>
      </w:pPr>
      <w:bookmarkStart w:id="204" w:name="__RefHeading___Toc2055649_2322387425"/>
      <w:bookmarkStart w:id="205" w:name="_Toc74"/>
      <w:bookmarkEnd w:id="203"/>
      <w:bookmarkEnd w:id="204"/>
      <w:r>
        <w:rPr>
          <w:rtl w:val="true"/>
        </w:rPr>
        <w:t>نیابة شخص عن اثنین أو أزید فی عام واحد</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ینوب واحد عن اثنین أو أزید فی عام واحد، وإن کان</w:t>
      </w:r>
      <w:r>
        <w:rPr>
          <w:rStyle w:val="FootnoteAnchor"/>
          <w:rtl w:val="true"/>
        </w:rPr>
        <w:footnoteReference w:id="436"/>
      </w:r>
      <w:r>
        <w:rPr>
          <w:rFonts w:ascii="IRNazanin" w:hAnsi="IRNazanin" w:eastAsia="IRNazanin"/>
          <w:color w:val="111111"/>
          <w:sz w:val="28"/>
          <w:sz w:val="28"/>
          <w:szCs w:val="28"/>
          <w:rtl w:val="true"/>
          <w:lang w:bidi="fa-IR"/>
        </w:rPr>
        <w:t>الأقوی</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مستدرک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لعدم مساعدة الدلیل، والظاهر أنّ الاستثناء راجع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فیه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جملة معترضة، ویحتمل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سهواً من الناسخ، فلا إشکال حینئذٍ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عن نفسه، 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العبارة غیر ملتئمة مع المقام، والمظنون هو اشتباه قلم الناسخ، وأنّ موضعها ذیل المسألة السابقة، کما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فی ذیل المسألة السابقة مناسب لهذا الموضع، بدل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بقرینة جوازه فی الحجّ المندوب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زائد، إلاّ أن یکون المقصود الصحّة عن نفسه، وإن کانت أیضاً محلّ التأمّل والإشکال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مورد لهذه العبارة، والظاهر أ نّها من سهو الناسخ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بظاهره غیر منسجم، فلابدّ إمّا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وجعل المراد الحکم بصحّة النیابة عن اثنین إذا کان الواجب علیهما فرداً من الحجّ، أو جعل المراد من الصحّة صحّة الحجّ عن نفسه وإن لم یقع عن المنوب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الصحّة، وقد مرّ أنّ العبارة مغلوطة، والشاهد علیها عدم تناسب الاستثناء، وعدم مرجعٍ لضمیر وجوبه، وأمّا إذا وضع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صارت العبارة سلیمة، والحکم صحیحاً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مشوّشة غیر مناسبةٍ للمقام، ولعلّه من عثرات الیرَاع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یصحّ فی الواجب، وفتواه بصحّته بعید، ولعلّ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السابقة، وهی بالعکس، والتحریف من الکاتب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زیادة هذه الجملة، ووضع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یصلح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فیه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من سهو قلم النسّاخ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زیادة هذه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 وجوبه علیهما علی نحو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الشرکة، کما إذا نذر کلّ منهما أن یشترک مع الآخر فی تحصیل الحجّ، وأمّا فی الحجّ المندوب فیجوز حجّ واحد عن جماعة بعنوان النیابة، کما یجوز بعنوان إهداء الثواب؛ لجملةٍ من الأخبار</w:t>
      </w:r>
      <w:r>
        <w:rPr>
          <w:rStyle w:val="FootnoteAnchor"/>
          <w:rtl w:val="true"/>
        </w:rPr>
        <w:footnoteReference w:id="438"/>
      </w:r>
      <w:r>
        <w:rPr>
          <w:rFonts w:ascii="IRNazanin" w:hAnsi="IRNazanin" w:eastAsia="IRNazanin"/>
          <w:color w:val="111111"/>
          <w:sz w:val="28"/>
          <w:sz w:val="28"/>
          <w:szCs w:val="28"/>
          <w:rtl w:val="true"/>
          <w:lang w:bidi="fa-IR"/>
        </w:rPr>
        <w:t xml:space="preserve">الظاهرة فی جواز النیابة أیضاً، فلا داعی </w:t>
      </w:r>
      <w:bookmarkStart w:id="206" w:name="pg13284_130600"/>
    </w:p>
    <w:p>
      <w:pPr>
        <w:pStyle w:val="BookText"/>
        <w:rPr/>
      </w:pPr>
      <w:bookmarkEnd w:id="206"/>
      <w:r>
        <w:rPr>
          <w:rFonts w:ascii="IRNazanin" w:hAnsi="IRNazanin" w:eastAsia="IRNazanin"/>
          <w:color w:val="111111"/>
          <w:sz w:val="28"/>
          <w:sz w:val="28"/>
          <w:szCs w:val="28"/>
          <w:rtl w:val="true"/>
          <w:lang w:bidi="fa-IR"/>
        </w:rPr>
        <w:t>لحملها علی خصوص إهداء الثواب</w:t>
      </w:r>
      <w:r>
        <w:rPr>
          <w:rFonts w:eastAsia="IRNazanin" w:cs="IRNazanin"/>
          <w:color w:val="111111"/>
          <w:sz w:val="28"/>
          <w:szCs w:val="28"/>
          <w:rtl w:val="true"/>
          <w:lang w:bidi="fa-IR"/>
        </w:rPr>
        <w:t>.</w:t>
      </w:r>
    </w:p>
    <w:p>
      <w:pPr>
        <w:pStyle w:val="Heading4"/>
        <w:numPr>
          <w:ilvl w:val="3"/>
          <w:numId w:val="1"/>
        </w:numPr>
        <w:rPr/>
      </w:pPr>
      <w:bookmarkStart w:id="207" w:name="__RefHeading___Toc2055651_2322387425"/>
      <w:bookmarkStart w:id="208" w:name="_Toc75"/>
      <w:bookmarkEnd w:id="207"/>
      <w:r>
        <w:rPr>
          <w:rtl w:val="true"/>
        </w:rPr>
        <w:t>نیابة جماعة عن المیّت أو الحیّ فی عامٍ واحد</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ینوب جماعة عن المیّت أو الحیّ فی عام واحد فی الحجّ المندوب تبرّعاً أو بالإجارة، بل یجوز ذلک فی الواجب أیضاً، کما إذا کان علی المیّت والحیّ الّذی لا یتمکّن من المباشرة لعذر</w:t>
      </w:r>
      <w:r>
        <w:rPr>
          <w:rStyle w:val="FootnoteAnchor"/>
          <w:rtl w:val="true"/>
        </w:rPr>
        <w:footnoteReference w:id="439"/>
      </w:r>
      <w:r>
        <w:rPr>
          <w:rFonts w:ascii="IRNazanin" w:hAnsi="IRNazanin" w:eastAsia="IRNazanin"/>
          <w:color w:val="111111"/>
          <w:sz w:val="28"/>
          <w:sz w:val="28"/>
          <w:szCs w:val="28"/>
          <w:rtl w:val="true"/>
          <w:lang w:bidi="fa-IR"/>
        </w:rPr>
        <w:t>حجّان مختلفان نوعاً کحجّة الإسلام والنذر</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وجوب الاستنابة فی الحجّ النذریّ عن الحیّ المعذور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متّحدان من حیث النوع کحجّتین للنذر، فیجوز أن یستأجِر أجیرین لهما فی عام واحد، وکذا یجوز إذا کان أحدهما واجباً والآخر مستحبّاً، بل یجوز أن یستأجِر أجیرین لحجّ واجب واحد کحجّة الإسلام فی عام واحد احتیاطاً؛ لاحتمال بطلان حجّ أحدهما، بل وکذا مع العلم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بصحّة الحجّ من کلٍّ منهما وکلاهما آتٍ بالحجّ الواجب، وإن کان إحرام أحدهما قبل إحرام</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441"/>
      </w:r>
      <w:r>
        <w:rPr>
          <w:rFonts w:ascii="IRNazanin" w:hAnsi="IRNazanin" w:eastAsia="IRNazanin"/>
          <w:color w:val="111111"/>
          <w:sz w:val="28"/>
          <w:sz w:val="28"/>
          <w:szCs w:val="28"/>
          <w:rtl w:val="true"/>
          <w:lang w:bidi="fa-IR"/>
        </w:rPr>
        <w:t>، فهو مثل ما إذا صلّی جماعةً علی المیّت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سبق أحدهما</w:t>
      </w:r>
      <w:r>
        <w:rPr>
          <w:rStyle w:val="FootnoteAnchor"/>
          <w:rtl w:val="true"/>
        </w:rPr>
        <w:footnoteReference w:id="442"/>
      </w:r>
      <w:r>
        <w:rPr>
          <w:rFonts w:ascii="IRNazanin" w:hAnsi="IRNazanin" w:eastAsia="IRNazanin"/>
          <w:color w:val="111111"/>
          <w:sz w:val="28"/>
          <w:sz w:val="28"/>
          <w:szCs w:val="28"/>
          <w:rtl w:val="true"/>
          <w:lang w:bidi="fa-IR"/>
        </w:rPr>
        <w:t>بوجوب الآخر؛ فإنّ الذمّة مشغولة مالم یتمّ العمل، فیصحّ قصد الوجوب من کلٍّ منهما ولو کان أحدهما أسبقَ شروعاً</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لا یکون أحدهما أسبق ختاماً من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یصحّ حجّهما معاً إذا لم یسبِق أحدهما علی الآخر فی إتمام العمل، وإذا أتمّ أحدهما أعماله قبل صاحبه فالظاهر بطلان حجّ المتأخِّر مع العلم بصحّة حجّ السابق، وأمّا مع عدم العلم بالصحّة کما فی الفرض الأوّل فللثانی أن یُتِمَّ أعماله من باب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3284_130602"/>
    </w:p>
    <w:p>
      <w:pPr>
        <w:pStyle w:val="Heading3"/>
        <w:numPr>
          <w:ilvl w:val="2"/>
          <w:numId w:val="1"/>
        </w:numPr>
        <w:rPr/>
      </w:pPr>
      <w:bookmarkStart w:id="210" w:name="__RefHeading___Toc2055653_2322387425"/>
      <w:bookmarkStart w:id="211" w:name="_Toc76"/>
      <w:bookmarkEnd w:id="209"/>
      <w:bookmarkEnd w:id="210"/>
      <w:r>
        <w:rPr>
          <w:rtl w:val="true"/>
        </w:rPr>
        <w:t>فصل</w:t>
      </w:r>
      <w:r>
        <w:rPr>
          <w:rtl w:val="true"/>
        </w:rPr>
        <w:t xml:space="preserve">: </w:t>
      </w:r>
      <w:r>
        <w:rPr>
          <w:rtl w:val="true"/>
        </w:rPr>
        <w:t>فی الوصیّة بالحجّ</w:t>
      </w:r>
      <w:bookmarkEnd w:id="211"/>
    </w:p>
    <w:p>
      <w:pPr>
        <w:pStyle w:val="Heading4"/>
        <w:numPr>
          <w:ilvl w:val="3"/>
          <w:numId w:val="1"/>
        </w:numPr>
        <w:rPr/>
      </w:pPr>
      <w:bookmarkStart w:id="212" w:name="__RefHeading___Toc2055655_2322387425"/>
      <w:bookmarkStart w:id="213" w:name="_Toc77"/>
      <w:bookmarkEnd w:id="212"/>
      <w:r>
        <w:rPr>
          <w:rtl w:val="true"/>
        </w:rPr>
        <w:t>إخراج الحجّ الموصی به من الأصل أو الثلث</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أ نّه واجب اُخرج من أصل الترکة</w:t>
      </w:r>
      <w:r>
        <w:rPr>
          <w:rStyle w:val="FootnoteAnchor"/>
          <w:rtl w:val="true"/>
        </w:rPr>
        <w:footnoteReference w:id="444"/>
      </w:r>
      <w:r>
        <w:rPr>
          <w:rFonts w:ascii="IRNazanin" w:hAnsi="IRNazanin" w:eastAsia="IRNazanin"/>
          <w:color w:val="111111"/>
          <w:sz w:val="28"/>
          <w:sz w:val="28"/>
          <w:szCs w:val="28"/>
          <w:rtl w:val="true"/>
          <w:lang w:bidi="fa-IR"/>
        </w:rPr>
        <w:t>وإن کان بعنوان الوصیّة،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کونه بعنوانها خروجه من الثلث</w:t>
      </w:r>
      <w:r>
        <w:rPr>
          <w:rStyle w:val="FootnoteAnchor"/>
          <w:rtl w:val="true"/>
        </w:rPr>
        <w:footnoteReference w:id="445"/>
      </w:r>
      <w:r>
        <w:rPr>
          <w:rFonts w:ascii="IRNazanin" w:hAnsi="IRNazanin" w:eastAsia="IRNazanin"/>
          <w:color w:val="111111"/>
          <w:sz w:val="28"/>
          <w:sz w:val="28"/>
          <w:szCs w:val="28"/>
          <w:rtl w:val="true"/>
          <w:lang w:bidi="fa-IR"/>
        </w:rPr>
        <w:t>، نعم، لو صرّح بإخراجه من الثلث اُخرِج منه، فإن وفی به وإلاّ یکون الزائد من الأصل، ولا فرق فی الخروج من الأصل بین حجّة الإسلام</w:t>
      </w:r>
      <w:r>
        <w:rPr>
          <w:rStyle w:val="FootnoteAnchor"/>
          <w:rtl w:val="true"/>
        </w:rPr>
        <w:footnoteReference w:id="446"/>
      </w:r>
      <w:r>
        <w:rPr>
          <w:rFonts w:ascii="IRNazanin" w:hAnsi="IRNazanin" w:eastAsia="IRNazanin"/>
          <w:color w:val="111111"/>
          <w:sz w:val="28"/>
          <w:sz w:val="28"/>
          <w:szCs w:val="28"/>
          <w:rtl w:val="true"/>
          <w:lang w:bidi="fa-IR"/>
        </w:rPr>
        <w:t>والحجّ النذری</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الفرق بینها وبینهما إشکال، وفی صغری القیاس وکونها مشمولةً لعقد الإجماع تأمّل، وفی دلالة الخبر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والإفسادیّ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الحجّ الإفسادی إشکال، ومثله الواجب بالعهد والیمین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 نّه بأقسامه واجب مالیّ،</w:t>
      </w:r>
    </w:p>
    <w:p>
      <w:pPr>
        <w:pStyle w:val="BookText"/>
        <w:rPr/>
      </w:pPr>
      <w:r>
        <w:rPr>
          <w:rFonts w:ascii="Amiri" w:hAnsi="Amiri" w:eastAsia="Amiri" w:cs="Amiri"/>
          <w:color w:val="111111"/>
          <w:sz w:val="28"/>
          <w:sz w:val="28"/>
          <w:szCs w:val="28"/>
          <w:rtl w:val="true"/>
          <w:lang w:bidi="ar-SA"/>
        </w:rPr>
        <w:t>وإجماعهم قائم علی خروج کلّ واجبٍ مالیٍّ من</w:t>
      </w:r>
      <w:r>
        <w:rPr>
          <w:rStyle w:val="FootnoteAnchor"/>
          <w:rtl w:val="true"/>
        </w:rPr>
        <w:footnoteReference w:id="448"/>
      </w:r>
      <w:r>
        <w:rPr>
          <w:rFonts w:ascii="IRNazanin" w:hAnsi="IRNazanin" w:eastAsia="IRNazanin"/>
          <w:color w:val="111111"/>
          <w:sz w:val="28"/>
          <w:sz w:val="28"/>
          <w:szCs w:val="28"/>
          <w:rtl w:val="true"/>
          <w:lang w:bidi="fa-IR"/>
        </w:rPr>
        <w:t>الأصل، مع أنّ فی بعض الأخبار أنَّ الحجّ بمنزلة الدَین، ومن المعلوم خروجه من الأصل، بل الأقوی</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رجحنا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غیر الدیون وغیر حجّة الإسلام خروجه من الثلث مع الوصیة ومرّ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خروج الواجبات البدنیّة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خروج البدنیّ من الثلث، کما مرّ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البدنیّ خروجه من الثلث ، فإذا لا ینطبق علیه الدَین فالمدار علی عنوان الدَین وعدمه ، لا علی المالیّ والبدنیّ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خروج البدنیّ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خروج البدنیّ الموصی به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منّا أنّ الأقوی فیه خروجه من الثلث إذا أوصی به، فراجع المسألة الثامنة من فصل حجّ النذر، والمسألة الثانیة عشرة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14" w:name="pg13284_130604"/>
    </w:p>
    <w:p>
      <w:pPr>
        <w:pStyle w:val="BookText"/>
        <w:rPr/>
      </w:pPr>
      <w:bookmarkEnd w:id="214"/>
      <w:r>
        <w:rPr>
          <w:rFonts w:ascii="Amiri" w:hAnsi="Amiri" w:eastAsia="Amiri" w:cs="Amiri"/>
          <w:color w:val="111111"/>
          <w:sz w:val="28"/>
          <w:sz w:val="28"/>
          <w:szCs w:val="28"/>
          <w:rtl w:val="true"/>
          <w:lang w:bidi="ar-SA"/>
        </w:rPr>
        <w:t>کما مرّ سابقاً</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فی الحواشی السابقة تضعیفه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منعه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4"/>
        <w:numPr>
          <w:ilvl w:val="3"/>
          <w:numId w:val="1"/>
        </w:numPr>
        <w:rPr/>
      </w:pPr>
      <w:bookmarkStart w:id="215" w:name="__RefHeading___Toc2055657_2322387425"/>
      <w:bookmarkStart w:id="216" w:name="_Toc78"/>
      <w:bookmarkEnd w:id="215"/>
      <w:r>
        <w:rPr>
          <w:rtl w:val="true"/>
        </w:rPr>
        <w:t>الشکّ فی الموصی به</w:t>
      </w:r>
      <w:bookmarkEnd w:id="2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عُلِمَ أ نّه ندبیّ فلا إشکال فی خروجه من الثلث، وإن لم یُعلَم أحد الأمرین ففی خروجه من الأصل أو الثلث وجهان، یظهر من سیّد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من الأصل، حیث إنّه وجّه کلام الصدوق الظاهر فی کون جمیع الوصایا من الأصل بأنّ مراده ما إذا لم یُعلَم کون الموصی به واجباً أو لا؛ فإنّ مقتضی عمومات وجوب العمل بالوصیّة خروجها من الأصل، خرج عنها صورة العلم بکونها ندبیّاً، وحمل الخبر الدالّ</w:t>
      </w:r>
      <w:r>
        <w:rPr>
          <w:rStyle w:val="FootnoteAnchor"/>
          <w:rtl w:val="true"/>
        </w:rPr>
        <w:footnoteReference w:id="451"/>
      </w:r>
      <w:r>
        <w:rPr>
          <w:rFonts w:ascii="IRNazanin" w:hAnsi="IRNazanin" w:eastAsia="IRNazanin"/>
          <w:color w:val="111111"/>
          <w:sz w:val="28"/>
          <w:sz w:val="28"/>
          <w:szCs w:val="28"/>
          <w:rtl w:val="true"/>
          <w:lang w:bidi="fa-IR"/>
        </w:rPr>
        <w:t>بظاهره علی ما عن الصدوق أیضاً علی ذلک، لکنّه مشکل</w:t>
      </w:r>
      <w:r>
        <w:rPr>
          <w:rStyle w:val="FootnoteAnchor"/>
          <w:rtl w:val="true"/>
        </w:rPr>
        <w:footnoteReference w:id="452"/>
      </w:r>
      <w:r>
        <w:rPr>
          <w:rFonts w:ascii="Amiri" w:hAnsi="Amiri" w:eastAsia="Amiri" w:cs="Amiri"/>
          <w:color w:val="111111"/>
          <w:sz w:val="28"/>
          <w:sz w:val="28"/>
          <w:szCs w:val="28"/>
          <w:rtl w:val="true"/>
          <w:lang w:bidi="ar-SA"/>
        </w:rPr>
        <w:t xml:space="preserve">فإنّ العمومات مخصّصة بما دلّ </w:t>
      </w:r>
    </w:p>
    <w:p>
      <w:pPr>
        <w:pStyle w:val="BookText"/>
        <w:rPr/>
      </w:pPr>
      <w:r>
        <w:rPr>
          <w:rFonts w:ascii="IRNazanin" w:hAnsi="IRNazanin" w:eastAsia="IRNazanin"/>
          <w:color w:val="111111"/>
          <w:sz w:val="28"/>
          <w:sz w:val="28"/>
          <w:szCs w:val="28"/>
          <w:rtl w:val="true"/>
          <w:lang w:bidi="fa-IR"/>
        </w:rPr>
        <w:t>علی أنّ الوصیّة بأزید من الثلث تردّ إلیه، إلاّ مع إجازة الورثة، هذا مع أنّ الشبهة</w:t>
      </w:r>
      <w:r>
        <w:rPr>
          <w:rStyle w:val="FootnoteAnchor"/>
          <w:rtl w:val="true"/>
        </w:rPr>
        <w:footnoteReference w:id="453"/>
      </w:r>
      <w:r>
        <w:rPr>
          <w:rFonts w:ascii="IRNazanin" w:hAnsi="IRNazanin" w:eastAsia="IRNazanin"/>
          <w:color w:val="111111"/>
          <w:sz w:val="28"/>
          <w:sz w:val="28"/>
          <w:szCs w:val="28"/>
          <w:rtl w:val="true"/>
          <w:lang w:bidi="fa-IR"/>
        </w:rPr>
        <w:t>مصداقیّة، والتمسّک بالعمومات فیها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الخبر المشار إلیه، وهو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Style w:val="FootnoteAnchor"/>
          <w:rtl w:val="true"/>
        </w:rPr>
        <w:footnoteReference w:id="454"/>
      </w:r>
      <w:r>
        <w:rPr>
          <w:rFonts w:ascii="IRNazanin" w:hAnsi="IRNazanin" w:eastAsia="IRNazanin"/>
          <w:color w:val="111111"/>
          <w:sz w:val="28"/>
          <w:sz w:val="28"/>
          <w:szCs w:val="28"/>
          <w:rtl w:val="true"/>
          <w:lang w:bidi="fa-IR"/>
        </w:rPr>
        <w:t>أحقّ بمالِه مادام فیه الروح، إن أوصی به کلّه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الوصایا، 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موهون</w:t>
      </w:r>
      <w:r>
        <w:rPr>
          <w:rStyle w:val="FootnoteAnchor"/>
          <w:rtl w:val="true"/>
        </w:rPr>
        <w:footnoteReference w:id="455"/>
      </w:r>
      <w:r>
        <w:rPr>
          <w:rFonts w:ascii="IRNazanin" w:hAnsi="IRNazanin" w:eastAsia="IRNazanin"/>
          <w:color w:val="111111"/>
          <w:sz w:val="28"/>
          <w:sz w:val="28"/>
          <w:szCs w:val="28"/>
          <w:rtl w:val="true"/>
          <w:lang w:bidi="fa-IR"/>
        </w:rPr>
        <w:t>بإعراض العلماء</w:t>
      </w:r>
      <w:r>
        <w:rPr>
          <w:rStyle w:val="FootnoteAnchor"/>
          <w:rtl w:val="true"/>
        </w:rPr>
        <w:footnoteReference w:id="456"/>
      </w:r>
      <w:r>
        <w:rPr>
          <w:rFonts w:ascii="IRNazanin" w:hAnsi="IRNazanin" w:eastAsia="IRNazanin"/>
          <w:color w:val="111111"/>
          <w:sz w:val="28"/>
          <w:sz w:val="28"/>
          <w:szCs w:val="28"/>
          <w:rtl w:val="true"/>
          <w:lang w:bidi="fa-IR"/>
        </w:rPr>
        <w:t>عن العمل بظاهره، ویمکن أن یکون</w:t>
      </w:r>
      <w:r>
        <w:rPr>
          <w:rStyle w:val="FootnoteAnchor"/>
          <w:rtl w:val="true"/>
        </w:rPr>
        <w:footnoteReference w:id="457"/>
      </w:r>
      <w:r>
        <w:rPr>
          <w:rFonts w:ascii="IRNazanin" w:hAnsi="IRNazanin" w:eastAsia="IRNazanin"/>
          <w:color w:val="111111"/>
          <w:sz w:val="28"/>
          <w:sz w:val="28"/>
          <w:szCs w:val="28"/>
          <w:rtl w:val="true"/>
          <w:lang w:bidi="fa-IR"/>
        </w:rPr>
        <w:t>المراد بماله هو الثلث الّذی أمْرُهُ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یقال</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إطلاقه إشکال؛ لتعارف الوصیّة بالحجّ الاحتیاطی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الأزمنة بالنسبة إلی هذه الأمکنة البعیدة عن</w:t>
      </w:r>
    </w:p>
    <w:p>
      <w:pPr>
        <w:pStyle w:val="BookText"/>
        <w:rPr/>
      </w:pP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قول الموصِی</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حجّة الإسلام الواجبة</w:t>
      </w:r>
      <w:r>
        <w:rPr>
          <w:rStyle w:val="FootnoteAnchor"/>
          <w:rtl w:val="true"/>
        </w:rPr>
        <w:footnoteReference w:id="460"/>
      </w:r>
      <w:r>
        <w:rPr>
          <w:rFonts w:ascii="IRNazanin" w:hAnsi="IRNazanin" w:eastAsia="IRNazanin"/>
          <w:color w:val="111111"/>
          <w:sz w:val="28"/>
          <w:sz w:val="28"/>
          <w:szCs w:val="28"/>
          <w:rtl w:val="true"/>
          <w:lang w:bidi="fa-IR"/>
        </w:rPr>
        <w:t>لعدم تعارف الحجّ</w:t>
      </w:r>
      <w:r>
        <w:rPr>
          <w:rStyle w:val="FootnoteAnchor"/>
          <w:rtl w:val="true"/>
        </w:rPr>
        <w:footnoteReference w:id="461"/>
      </w:r>
      <w:r>
        <w:rPr>
          <w:rFonts w:ascii="IRNazanin" w:hAnsi="IRNazanin" w:eastAsia="IRNazanin"/>
          <w:color w:val="111111"/>
          <w:sz w:val="28"/>
          <w:sz w:val="28"/>
          <w:szCs w:val="28"/>
          <w:rtl w:val="true"/>
          <w:lang w:bidi="fa-IR"/>
        </w:rPr>
        <w:t>المستحبّی فی هذه الأزمنة والأمکنة، فیُحمَل علی أ نّه واجب من جهة هذا الظهور والانصراف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کذا مقداراً خمساً أو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ینصرف إلی الواجب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فی صورة الشکّ فی کون الموصی به واجباً حتّی یخرج من أصل الترکة</w:t>
      </w:r>
      <w:r>
        <w:rPr>
          <w:rStyle w:val="FootnoteAnchor"/>
          <w:rtl w:val="true"/>
        </w:rPr>
        <w:footnoteReference w:id="462"/>
      </w:r>
      <w:r>
        <w:rPr>
          <w:rFonts w:ascii="IRNazanin" w:hAnsi="IRNazanin" w:eastAsia="IRNazanin"/>
          <w:color w:val="111111"/>
          <w:sz w:val="28"/>
          <w:sz w:val="28"/>
          <w:szCs w:val="28"/>
          <w:rtl w:val="true"/>
          <w:lang w:bidi="fa-IR"/>
        </w:rPr>
        <w:t>، أو لا حتّی یکون من الثلث مقتضی الأصل الخروج من الثلث</w:t>
      </w:r>
      <w:r>
        <w:rPr>
          <w:rStyle w:val="FootnoteAnchor"/>
          <w:rtl w:val="true"/>
        </w:rPr>
        <w:footnoteReference w:id="463"/>
      </w:r>
      <w:r>
        <w:rPr>
          <w:rFonts w:ascii="IRNazanin" w:hAnsi="IRNazanin" w:eastAsia="IRNazanin"/>
          <w:color w:val="111111"/>
          <w:sz w:val="28"/>
          <w:sz w:val="28"/>
          <w:szCs w:val="28"/>
          <w:rtl w:val="true"/>
          <w:lang w:bidi="fa-IR"/>
        </w:rPr>
        <w:t>لأنّ الخروج من الأصل موقوف علی کونه واجباًوهو غیر معلوم، بل الأصل عدمه</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الثلث وافیاً بالحجّ فیجب الوفاء بالوصیّة؛ لأنّ تعلّق الوصیّة بالترکة حینئذٍ مقطوع به، کان الحجّ واجباً أم مندوباً، وإذا لم یکن الثلث وافیاً به فالأصل عدم تعلّق الوصیّة بالترکة؛ لأنّ کونه واجباً غیر معلوم حسب الفرض، وکونه مندوباً مستلزم لعدم مخرجیة الترکة له حسب فرض عدم وفاء الثلث بالحجّ، فتدبّر فإنّه دقیق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إذا کان هناک انصراف، کما فی مثل الوصیّة بالخمس</w:t>
      </w:r>
      <w:bookmarkStart w:id="217" w:name="pg13284_130607"/>
    </w:p>
    <w:p>
      <w:pPr>
        <w:pStyle w:val="BookText"/>
        <w:rPr/>
      </w:pPr>
      <w:bookmarkEnd w:id="217"/>
      <w:r>
        <w:rPr>
          <w:rFonts w:ascii="IRNazanin" w:hAnsi="IRNazanin" w:eastAsia="IRNazanin"/>
          <w:color w:val="111111"/>
          <w:sz w:val="28"/>
          <w:sz w:val="28"/>
          <w:szCs w:val="28"/>
          <w:rtl w:val="true"/>
          <w:lang w:bidi="fa-IR"/>
        </w:rPr>
        <w:t>أو الزکاة أو الحجّ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الحالة السابقة فیه هو الوجوب کما إذا عُلِمَ وجوب الحجّ علیه سابقاً ولم یعلم أ نّه أتی به أوْ لا فالظاهر جریان الاستصحاب والإخراج من الأصل </w:t>
      </w:r>
      <w:r>
        <w:rPr>
          <w:rFonts w:eastAsia="IRNazanin" w:cs="IRNazanin"/>
          <w:color w:val="111111"/>
          <w:sz w:val="28"/>
          <w:szCs w:val="28"/>
          <w:rtl w:val="true"/>
          <w:lang w:bidi="fa-IR"/>
        </w:rPr>
        <w:t>.</w:t>
      </w:r>
    </w:p>
    <w:p>
      <w:pPr>
        <w:pStyle w:val="Heading4"/>
        <w:numPr>
          <w:ilvl w:val="3"/>
          <w:numId w:val="1"/>
        </w:numPr>
        <w:rPr/>
      </w:pPr>
      <w:bookmarkStart w:id="218" w:name="__RefHeading___Toc2055659_2322387425"/>
      <w:bookmarkStart w:id="219" w:name="_Toc79"/>
      <w:bookmarkEnd w:id="218"/>
      <w:r>
        <w:rPr>
          <w:rtl w:val="true"/>
        </w:rPr>
        <w:t>العلم بالوجوب والشکّ فی الأداء</w:t>
      </w:r>
      <w:bookmarkEnd w:id="219"/>
    </w:p>
    <w:p>
      <w:pPr>
        <w:pStyle w:val="BookText"/>
        <w:rPr/>
      </w:pPr>
      <w:r>
        <w:rPr>
          <w:rFonts w:ascii="IRNazanin" w:hAnsi="IRNazanin" w:eastAsia="IRNazanin"/>
          <w:color w:val="111111"/>
          <w:sz w:val="28"/>
          <w:sz w:val="28"/>
          <w:szCs w:val="28"/>
          <w:rtl w:val="true"/>
          <w:lang w:bidi="fa-IR"/>
        </w:rPr>
        <w:t>ودعوی أنّ ذلک موقوف علی ثبوت الوجوب علیه، وهو فرع شکّه لا شکّ الوصیّ أو الوارث، ولا یُعلَم أ نّه کان شاکّاً حین موته أو عالماً بأحد الأمرین مدفوعة</w:t>
      </w:r>
      <w:r>
        <w:rPr>
          <w:rStyle w:val="FootnoteAnchor"/>
          <w:rtl w:val="true"/>
        </w:rPr>
        <w:footnoteReference w:id="465"/>
      </w:r>
      <w:r>
        <w:rPr>
          <w:rFonts w:ascii="IRNazanin" w:hAnsi="IRNazanin" w:eastAsia="IRNazanin"/>
          <w:color w:val="111111"/>
          <w:sz w:val="28"/>
          <w:sz w:val="28"/>
          <w:szCs w:val="28"/>
          <w:rtl w:val="true"/>
          <w:lang w:bidi="fa-IR"/>
        </w:rPr>
        <w:t>بمنع اعتبار شکّه، بل یکفی</w:t>
      </w:r>
      <w:r>
        <w:rPr>
          <w:rStyle w:val="FootnoteAnchor"/>
          <w:rtl w:val="true"/>
        </w:rPr>
        <w:footnoteReference w:id="466"/>
      </w:r>
      <w:r>
        <w:rPr>
          <w:rFonts w:ascii="Amiri" w:hAnsi="Amiri" w:eastAsia="Amiri" w:cs="Amiri"/>
          <w:color w:val="111111"/>
          <w:sz w:val="28"/>
          <w:sz w:val="28"/>
          <w:szCs w:val="28"/>
          <w:rtl w:val="true"/>
          <w:lang w:bidi="ar-SA"/>
        </w:rPr>
        <w:t>شکّ الوصیّ</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فی مباحث الزکاة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المسائل المتفرّقة ما لعلّه ینافی هذا،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منه قدس‌سره ما ینافی ذلک فی المسألة الخامسة من ختام الزکاة، والکلام فی المقام هو الکلام فی تلک المسألة،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ولعلّه یرجع عن ما أفاده فی کتاب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ولکن تقدّم منه رحمه‌الله فی المسألة الخامسة من ختام الزکاة خلاف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یلائم ما أفاده فی المسألة الخامسة من مسائل ختام کتاب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ینافی ما ذکره فی کتاب الزکاة، وقد مرّ أنّ ما ذکره هناک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الوارث</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ینافی ما تقدّم منه قدس‌سره فی خاتمة کتاب الزکاة فی الخامسة من مسائلها الّذی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منه قدس‌سره ما ینافی ذلک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ختام الزکاة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وما أفاده هنا یخالف ما ذکره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ولا فرق فی ذلک بین ما إذا أوصی أو لم یُوصِ، فإنّ مقتضی أصالة بقاء اشتغال ذمّته بذلک الواجب عدم انتقال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یقابله من الترکة إلی الوارث، ولکنّه یشکل علی ذلک الأمر فی کثیر من الموارد؛ لحصول العلم غالباً بأنّ المیّت کان مشغولَ الذمّة بدَین أو خمس أو زکاة أو حجّ أو نحو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أن یدفع الحمل علی 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ظاهر حال المسلم الإتیان بما وجب علیه، لکنّه 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الواجبات الموسّعة، بل فی غیرها أیضاً فی غیرالموقّتة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هو الأقوی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 محمّد رضا الگلپایگانی</w:t>
      </w:r>
      <w:r>
        <w:rPr>
          <w:rFonts w:eastAsia="IRNazanin" w:cs="IRNazanin"/>
          <w:color w:val="111111"/>
          <w:sz w:val="28"/>
          <w:szCs w:val="28"/>
          <w:rtl w:val="true"/>
          <w:lang w:bidi="fa-IR"/>
        </w:rPr>
        <w:t>).</w:t>
      </w:r>
      <w:bookmarkStart w:id="220" w:name="pg13284_130609"/>
    </w:p>
    <w:p>
      <w:pPr>
        <w:pStyle w:val="BookText"/>
        <w:rPr/>
      </w:pPr>
      <w:bookmarkEnd w:id="220"/>
      <w:r>
        <w:rPr>
          <w:rFonts w:ascii="IRNazanin" w:hAnsi="IRNazanin" w:eastAsia="IRNazanin"/>
          <w:color w:val="111111"/>
          <w:sz w:val="28"/>
          <w:sz w:val="28"/>
          <w:szCs w:val="28"/>
          <w:rtl w:val="true"/>
          <w:lang w:bidi="fa-IR"/>
        </w:rPr>
        <w:t>فی هذه</w:t>
      </w:r>
      <w:r>
        <w:rPr>
          <w:rStyle w:val="FootnoteAnchor"/>
          <w:rtl w:val="true"/>
        </w:rPr>
        <w:footnoteReference w:id="469"/>
      </w:r>
      <w:r>
        <w:rPr>
          <w:rFonts w:ascii="Amiri" w:hAnsi="Amiri" w:eastAsia="Amiri" w:cs="Amiri"/>
          <w:color w:val="111111"/>
          <w:sz w:val="28"/>
          <w:sz w:val="28"/>
          <w:szCs w:val="28"/>
          <w:rtl w:val="true"/>
          <w:lang w:bidi="ar-SA"/>
        </w:rPr>
        <w:t>الصورة</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أحوط مطلقاً محلّ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فیما إذا عُلِمَ بکون الحقّ ثابتاً فی ذمّته وشُکّ فی أدائه، وکذلک فیما إذا عُلِمَ بتعلّق الحقّ بالعین وکانت باقیة، وأمّا مع تلفها فالأصل یقتضی البراءة من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ذلک أحوط مطلقاً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2055661_2322387425"/>
      <w:bookmarkStart w:id="222" w:name="_Toc80"/>
      <w:bookmarkEnd w:id="221"/>
      <w:r>
        <w:rPr>
          <w:rtl w:val="true"/>
        </w:rPr>
        <w:t>کفایة المیقاتیّة مع إطلاق الوصیّة بالحجّ</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المیقاتیّة</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یُعتدَّ بالانصراف إلی البلدیّ، سواء کان الموصی به واجباً أم مندوباً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إذا أوصی بالحجّ ولم یعیّن شیئاً، وقد تقدّم بیان ما هو المختار فی المسألة السابعة والثمانین من الفصل الأوّل، فلتُراجَع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فی الحجّ الإسلامیّ الموصی به أن یکون من البلد، واحتساب الزائد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مع الإطلاق تجب البلدیّة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الحجّ الموصی به</w:t>
      </w:r>
      <w:bookmarkStart w:id="223" w:name="pg13284_130610"/>
    </w:p>
    <w:p>
      <w:pPr>
        <w:pStyle w:val="BookText"/>
        <w:rPr/>
      </w:pPr>
      <w:bookmarkEnd w:id="223"/>
      <w:r>
        <w:rPr>
          <w:rFonts w:ascii="Amiri" w:hAnsi="Amiri" w:eastAsia="Amiri" w:cs="Amiri"/>
          <w:color w:val="111111"/>
          <w:sz w:val="28"/>
          <w:sz w:val="28"/>
          <w:szCs w:val="28"/>
          <w:rtl w:val="true"/>
          <w:lang w:bidi="ar-SA"/>
        </w:rPr>
        <w:t>واجباً</w:t>
      </w:r>
      <w:r>
        <w:rPr>
          <w:rStyle w:val="FootnoteAnchor"/>
          <w:rtl w:val="true"/>
        </w:rPr>
        <w:footnoteReference w:id="472"/>
      </w:r>
      <w:r>
        <w:rPr>
          <w:rFonts w:ascii="Amiri" w:hAnsi="Amiri" w:eastAsia="Amiri" w:cs="Amiri"/>
          <w:color w:val="111111"/>
          <w:sz w:val="28"/>
          <w:sz w:val="28"/>
          <w:szCs w:val="28"/>
          <w:rtl w:val="true"/>
          <w:lang w:bidi="ar-SA"/>
        </w:rPr>
        <w:t>أم مندوباً</w:t>
      </w:r>
      <w:r>
        <w:rPr>
          <w:rStyle w:val="FootnoteAnchor"/>
          <w:rtl w:val="true"/>
        </w:rPr>
        <w:footnoteReference w:id="473"/>
      </w:r>
      <w:r>
        <w:rPr>
          <w:rFonts w:ascii="IRNazanin" w:hAnsi="IRNazanin" w:eastAsia="IRNazanin"/>
          <w:color w:val="111111"/>
          <w:sz w:val="28"/>
          <w:sz w:val="28"/>
          <w:szCs w:val="28"/>
          <w:rtl w:val="true"/>
          <w:lang w:bidi="fa-IR"/>
        </w:rPr>
        <w:t>، ویخرج الأوّل من الأصل</w:t>
      </w:r>
      <w:r>
        <w:rPr>
          <w:rStyle w:val="FootnoteAnchor"/>
          <w:rtl w:val="true"/>
        </w:rPr>
        <w:footnoteReference w:id="474"/>
      </w:r>
      <w:r>
        <w:rPr>
          <w:rFonts w:ascii="IRNazanin" w:hAnsi="IRNazanin" w:eastAsia="IRNazanin"/>
          <w:color w:val="111111"/>
          <w:sz w:val="28"/>
          <w:sz w:val="28"/>
          <w:szCs w:val="28"/>
          <w:rtl w:val="true"/>
          <w:lang w:bidi="fa-IR"/>
        </w:rPr>
        <w:t>، والثانی من الثلث، إلاّ إذا أوصی بالبلدیّة</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قیّدها بها، أو کان إطلاقها منصرفاً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جهة الانصراف من کلامه من جهة التعارف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بانصراف إطلاق کلامه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وحینئذٍ فالزائد عن اُجرة المیقاتیّة فی الأوّل من الثلث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الأحوط علی غیر القاصرین من الورثة الإخراج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 نّه من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تمام الاُجرة فی الثانی منه</w:t>
      </w:r>
      <w:r>
        <w:rPr>
          <w:rFonts w:eastAsia="IRNazanin" w:cs="IRNazanin"/>
          <w:color w:val="111111"/>
          <w:sz w:val="28"/>
          <w:szCs w:val="28"/>
          <w:rtl w:val="true"/>
          <w:lang w:bidi="fa-IR"/>
        </w:rPr>
        <w:t>.</w:t>
      </w:r>
    </w:p>
    <w:p>
      <w:pPr>
        <w:pStyle w:val="Heading4"/>
        <w:numPr>
          <w:ilvl w:val="3"/>
          <w:numId w:val="1"/>
        </w:numPr>
        <w:rPr/>
      </w:pPr>
      <w:bookmarkStart w:id="224" w:name="__RefHeading___Toc2055663_2322387425"/>
      <w:bookmarkStart w:id="225" w:name="_Toc81"/>
      <w:bookmarkEnd w:id="224"/>
      <w:r>
        <w:rPr>
          <w:rtl w:val="true"/>
        </w:rPr>
        <w:t>تعیین اُجرة الحجّ الموصی به</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یعیّن الاُجرة فاللازم</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الوصیّ مع عدم رضا الورثة، أو صِغرهم، وکذا فی وجوب استئجار الأقلّ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 علی اُجرة المثل للانصراف إلیها، ولکن إذا کان هناک مَن یرضی بالأقلّ منها وجب استئجاره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 لأنّ الواجب علیه هو الجامع المنطبق علی الأقلّ والأکثر، فله اختیار أیِّهما شاء، ثمّ علی فرض وجوب الأقلّ لازمه وجوب الفحص؛ لأصالة حرمة الأموال بالنسبة إلی الزائد عن المأذون فیه،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یرض الورثة بالزائد أو کانوا صغاراً،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لم یرضَ الورثة بالزائد، أو کانوا صغاراً،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صورتَی وجود صغیرٍ فی الورثة، أو عدم رضا الکبیر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إشکال، والتعلیل لا یقتضی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صحّة الاستئجار باُجرة المثل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الانصراف إلی اُجرة المثل إنّما هو نفی الأزید فقط، وهل</w:t>
      </w:r>
    </w:p>
    <w:p>
      <w:pPr>
        <w:pStyle w:val="BookText"/>
        <w:rPr/>
      </w:pPr>
      <w:r>
        <w:rPr>
          <w:rFonts w:ascii="IRNazanin" w:hAnsi="IRNazanin" w:eastAsia="IRNazanin"/>
          <w:color w:val="111111"/>
          <w:sz w:val="28"/>
          <w:sz w:val="28"/>
          <w:szCs w:val="28"/>
          <w:rtl w:val="true"/>
          <w:lang w:bidi="fa-IR"/>
        </w:rPr>
        <w:t>یجب الفحص عنه لو احتمل وجوده؟ الأحوط</w:t>
      </w:r>
      <w:r>
        <w:rPr>
          <w:rStyle w:val="FootnoteAnchor"/>
          <w:rtl w:val="true"/>
        </w:rPr>
        <w:footnoteReference w:id="477"/>
      </w:r>
      <w:r>
        <w:rPr>
          <w:rFonts w:ascii="IRNazanin" w:hAnsi="IRNazanin" w:eastAsia="IRNazanin"/>
          <w:color w:val="111111"/>
          <w:sz w:val="28"/>
          <w:sz w:val="28"/>
          <w:szCs w:val="28"/>
          <w:rtl w:val="true"/>
          <w:lang w:bidi="fa-IR"/>
        </w:rPr>
        <w:t>ذلک</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إلی حدٍّ لا یستلزم الحرج، وتأخیر أداء الواجب، ونحوه من المحاذیر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الأظهر ما لم یکن ضَرَرِیّاً أو حَرَجِیّاً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الورثة، خصوصاً مع الظنّ بوجوده، وإن کان فی وجوبه إشکال</w:t>
      </w:r>
      <w:r>
        <w:rPr>
          <w:rStyle w:val="FootnoteAnchor"/>
          <w:rtl w:val="true"/>
        </w:rPr>
        <w:footnoteReference w:id="479"/>
      </w:r>
      <w:r>
        <w:rPr>
          <w:rFonts w:ascii="IRNazanin" w:hAnsi="IRNazanin" w:eastAsia="IRNazanin"/>
          <w:color w:val="111111"/>
          <w:sz w:val="28"/>
          <w:sz w:val="28"/>
          <w:szCs w:val="28"/>
          <w:rtl w:val="true"/>
          <w:lang w:bidi="fa-IR"/>
        </w:rPr>
        <w:t>، خصوصاً مع الظنّ بالعدم، ولو وجدَ من یرید أن یتبرّع فالظاهر جواز</w:t>
      </w:r>
      <w:r>
        <w:rPr>
          <w:rStyle w:val="FootnoteAnchor"/>
          <w:rtl w:val="true"/>
        </w:rPr>
        <w:footnoteReference w:id="480"/>
      </w:r>
      <w:r>
        <w:rPr>
          <w:rFonts w:ascii="IRNazanin" w:hAnsi="IRNazanin" w:eastAsia="IRNazanin"/>
          <w:color w:val="111111"/>
          <w:sz w:val="28"/>
          <w:sz w:val="28"/>
          <w:szCs w:val="28"/>
          <w:rtl w:val="true"/>
          <w:lang w:bidi="fa-IR"/>
        </w:rPr>
        <w:t>الاکتفاء</w:t>
      </w:r>
      <w:r>
        <w:rPr>
          <w:rStyle w:val="FootnoteAnchor"/>
          <w:rtl w:val="true"/>
        </w:rPr>
        <w:footnoteReference w:id="481"/>
      </w:r>
      <w:r>
        <w:rPr>
          <w:rFonts w:ascii="IRNazanin" w:hAnsi="IRNazanin" w:eastAsia="IRNazanin"/>
          <w:color w:val="111111"/>
          <w:sz w:val="28"/>
          <w:sz w:val="28"/>
          <w:szCs w:val="28"/>
          <w:rtl w:val="true"/>
          <w:lang w:bidi="fa-IR"/>
        </w:rPr>
        <w:t>به</w:t>
      </w:r>
      <w:r>
        <w:rPr>
          <w:rStyle w:val="FootnoteAnchor"/>
          <w:rtl w:val="true"/>
        </w:rPr>
        <w:footnoteReference w:id="482"/>
      </w:r>
      <w:r>
        <w:rPr>
          <w:rFonts w:ascii="IRNazanin" w:hAnsi="IRNazanin" w:eastAsia="IRNazanin"/>
          <w:color w:val="111111"/>
          <w:sz w:val="28"/>
          <w:sz w:val="28"/>
          <w:szCs w:val="28"/>
          <w:rtl w:val="true"/>
          <w:lang w:bidi="fa-IR"/>
        </w:rPr>
        <w:t>، بمعنی عدم وجوب المبادرة إلی الاستئجار، بل هو المتعیّن</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 یظهر وجهه ممّا تقدّم، فتدبّر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 ضیاء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تعیّنه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التعیّن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عبداللّه الشیرازی،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هو الأحوط مع وجود قاصرٍ فی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الحجّ الموصی به واجباً، وأمّا إذا کان حجّاً مندوباً فالظاهر أ نّه لا یُکتفی بحجّ المتبرّع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تعیّن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بل الأظهر عدم التعیّن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توفیراً علی الورثة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أتی به صحیحاً کفی، وإلاّ وجب الاستئجار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یوجد</w:t>
      </w:r>
    </w:p>
    <w:p>
      <w:pPr>
        <w:pStyle w:val="BookText"/>
        <w:rPr/>
      </w:pPr>
      <w:r>
        <w:rPr>
          <w:rFonts w:ascii="IRNazanin" w:hAnsi="IRNazanin" w:eastAsia="IRNazanin"/>
          <w:color w:val="111111"/>
          <w:sz w:val="28"/>
          <w:sz w:val="28"/>
          <w:szCs w:val="28"/>
          <w:rtl w:val="true"/>
          <w:lang w:bidi="fa-IR"/>
        </w:rPr>
        <w:t>مَن یرضی باُجرة المثل فالظاهر وجوب دفع الأزید</w:t>
      </w:r>
      <w:r>
        <w:rPr>
          <w:rStyle w:val="FootnoteAnchor"/>
          <w:rtl w:val="true"/>
        </w:rPr>
        <w:footnoteReference w:id="484"/>
      </w:r>
      <w:r>
        <w:rPr>
          <w:rFonts w:ascii="IRNazanin" w:hAnsi="IRNazanin" w:eastAsia="IRNazanin"/>
          <w:color w:val="111111"/>
          <w:sz w:val="28"/>
          <w:sz w:val="28"/>
          <w:szCs w:val="28"/>
          <w:rtl w:val="true"/>
          <w:lang w:bidi="fa-IR"/>
        </w:rPr>
        <w:t>إذا کان الحجّ واجباً، بل وإن کان مندوباً أیضاً مع وفاء الثلث، ولا یجب الصبر إلی العام القابل ولو مع العلم بوجود من یرضی باُجرة المثل أو أقلّ، بل لا یجوز؛ لوجوب</w:t>
      </w:r>
      <w:r>
        <w:rPr>
          <w:rStyle w:val="FootnoteAnchor"/>
          <w:rtl w:val="true"/>
        </w:rPr>
        <w:footnoteReference w:id="485"/>
      </w:r>
      <w:r>
        <w:rPr>
          <w:rFonts w:ascii="Amiri" w:hAnsi="Amiri" w:eastAsia="Amiri" w:cs="Amiri"/>
          <w:color w:val="111111"/>
          <w:sz w:val="28"/>
          <w:sz w:val="28"/>
          <w:szCs w:val="28"/>
          <w:rtl w:val="true"/>
          <w:lang w:bidi="ar-SA"/>
        </w:rPr>
        <w:t>المبادرة</w:t>
      </w:r>
      <w:r>
        <w:rPr>
          <w:rStyle w:val="FootnoteAnchor"/>
          <w:rtl w:val="true"/>
        </w:rPr>
        <w:footnoteReference w:id="486"/>
      </w:r>
      <w:r>
        <w:rPr>
          <w:rFonts w:ascii="IRNazanin" w:hAnsi="IRNazanin" w:eastAsia="IRNazanin"/>
          <w:color w:val="111111"/>
          <w:sz w:val="28"/>
          <w:sz w:val="28"/>
          <w:szCs w:val="28"/>
          <w:rtl w:val="true"/>
          <w:lang w:bidi="fa-IR"/>
        </w:rPr>
        <w:t>إلی تفریغ</w:t>
      </w:r>
      <w:r>
        <w:rPr>
          <w:rStyle w:val="FootnoteAnchor"/>
          <w:rtl w:val="true"/>
        </w:rPr>
        <w:footnoteReference w:id="487"/>
      </w:r>
      <w:r>
        <w:rPr>
          <w:rFonts w:ascii="IRNazanin" w:hAnsi="IRNazanin" w:eastAsia="IRNazanin"/>
          <w:color w:val="111111"/>
          <w:sz w:val="28"/>
          <w:sz w:val="28"/>
          <w:szCs w:val="28"/>
          <w:rtl w:val="true"/>
          <w:lang w:bidi="fa-IR"/>
        </w:rPr>
        <w:t>ذمّة المیّت فی الواجب، والعمل</w:t>
      </w:r>
      <w:r>
        <w:rPr>
          <w:rStyle w:val="FootnoteAnchor"/>
          <w:rtl w:val="true"/>
        </w:rPr>
        <w:footnoteReference w:id="488"/>
      </w:r>
      <w:r>
        <w:rPr>
          <w:rFonts w:ascii="IRNazanin" w:hAnsi="IRNazanin" w:eastAsia="IRNazanin"/>
          <w:color w:val="111111"/>
          <w:sz w:val="28"/>
          <w:sz w:val="28"/>
          <w:szCs w:val="28"/>
          <w:rtl w:val="true"/>
          <w:lang w:bidi="fa-IR"/>
        </w:rPr>
        <w:t>بمقتضی</w:t>
      </w:r>
      <w:r>
        <w:rPr>
          <w:rStyle w:val="FootnoteAnchor"/>
          <w:rtl w:val="true"/>
        </w:rPr>
        <w:footnoteReference w:id="489"/>
      </w:r>
      <w:r>
        <w:rPr>
          <w:rFonts w:ascii="Amiri" w:hAnsi="Amiri" w:eastAsia="Amiri" w:cs="Amiri"/>
          <w:color w:val="111111"/>
          <w:sz w:val="28"/>
          <w:sz w:val="28"/>
          <w:szCs w:val="28"/>
          <w:rtl w:val="true"/>
          <w:lang w:bidi="ar-SA"/>
        </w:rPr>
        <w:t>الوصیّة</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المبادرة فی الوصایا للاُمور المندوبة المطلقة محلّ منع، إلاّ فی الحجّ فإنّه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المبادرة غیر معلومٍ مع عدم الوصیّة بها ولو بانصرافٍ من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تکن موسَّعةً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إطلاق الوصیّة وجوب التعجیل لا دلیل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المندوب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عَیَّن الموصی مقداراً للاُجرة تعیّن وخرج</w:t>
      </w:r>
      <w:bookmarkStart w:id="226" w:name="pg13284_130614"/>
    </w:p>
    <w:p>
      <w:pPr>
        <w:pStyle w:val="BookText"/>
        <w:rPr/>
      </w:pPr>
      <w:bookmarkEnd w:id="226"/>
      <w:r>
        <w:rPr>
          <w:rFonts w:ascii="IRNazanin" w:hAnsi="IRNazanin" w:eastAsia="IRNazanin"/>
          <w:color w:val="111111"/>
          <w:sz w:val="28"/>
          <w:sz w:val="28"/>
          <w:szCs w:val="28"/>
          <w:rtl w:val="true"/>
          <w:lang w:bidi="fa-IR"/>
        </w:rPr>
        <w:t>من الأصل فی الواجب إن لم یزد علی اُجرة المثل</w:t>
      </w:r>
      <w:r>
        <w:rPr>
          <w:rStyle w:val="FootnoteAnchor"/>
          <w:rtl w:val="true"/>
        </w:rPr>
        <w:footnoteReference w:id="491"/>
      </w:r>
      <w:r>
        <w:rPr>
          <w:rFonts w:ascii="IRNazanin" w:hAnsi="IRNazanin" w:eastAsia="IRNazanin"/>
          <w:color w:val="111111"/>
          <w:sz w:val="28"/>
          <w:sz w:val="28"/>
          <w:szCs w:val="28"/>
          <w:rtl w:val="true"/>
          <w:lang w:bidi="fa-IR"/>
        </w:rPr>
        <w:t>، وإلاّ فالزیادة من الثلث، کما أنّ فی المندوب کلّه من الثلث</w:t>
      </w:r>
      <w:r>
        <w:rPr>
          <w:rFonts w:eastAsia="IRNazanin" w:cs="IRNazanin"/>
          <w:color w:val="111111"/>
          <w:sz w:val="28"/>
          <w:szCs w:val="28"/>
          <w:rtl w:val="true"/>
          <w:lang w:bidi="fa-IR"/>
        </w:rPr>
        <w:t>.</w:t>
      </w:r>
    </w:p>
    <w:p>
      <w:pPr>
        <w:pStyle w:val="Heading4"/>
        <w:numPr>
          <w:ilvl w:val="3"/>
          <w:numId w:val="1"/>
        </w:numPr>
        <w:rPr/>
      </w:pPr>
      <w:bookmarkStart w:id="227" w:name="__RefHeading___Toc2055665_2322387425"/>
      <w:bookmarkStart w:id="228" w:name="_Toc82"/>
      <w:bookmarkEnd w:id="227"/>
      <w:r>
        <w:rPr>
          <w:rtl w:val="true"/>
        </w:rPr>
        <w:t>ملاحظة شأن المیّت فی الاستئجار للحجّ</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اللازم فی تعیین اُجرة المثل الاقتصار علی أقلّ الناس</w:t>
      </w:r>
      <w:r>
        <w:rPr>
          <w:rStyle w:val="FootnoteAnchor"/>
          <w:rtl w:val="true"/>
        </w:rPr>
        <w:footnoteReference w:id="492"/>
      </w:r>
      <w:r>
        <w:rPr>
          <w:rFonts w:ascii="IRNazanin" w:hAnsi="IRNazanin" w:eastAsia="IRNazanin"/>
          <w:color w:val="111111"/>
          <w:sz w:val="28"/>
          <w:sz w:val="28"/>
          <w:szCs w:val="28"/>
          <w:rtl w:val="true"/>
          <w:lang w:bidi="fa-IR"/>
        </w:rPr>
        <w:t>اُجرةً، أو یُلاحظ اُجرة من یناسب شأن المیّت فی شرفه وضعته؟ لا یبعد الثانی</w:t>
      </w:r>
      <w:r>
        <w:rPr>
          <w:rStyle w:val="FootnoteAnchor"/>
          <w:rtl w:val="true"/>
        </w:rPr>
        <w:footnoteReference w:id="493"/>
      </w:r>
      <w:r>
        <w:rPr>
          <w:rFonts w:ascii="IRNazanin" w:hAnsi="IRNazanin" w:eastAsia="IRNazanin"/>
          <w:color w:val="111111"/>
          <w:sz w:val="28"/>
          <w:sz w:val="28"/>
          <w:szCs w:val="28"/>
          <w:rtl w:val="true"/>
          <w:lang w:bidi="fa-IR"/>
        </w:rPr>
        <w:t>، والأحوط</w:t>
      </w:r>
      <w:r>
        <w:rPr>
          <w:rStyle w:val="FootnoteAnchor"/>
          <w:rtl w:val="true"/>
        </w:rPr>
        <w:footnoteReference w:id="494"/>
      </w:r>
      <w:r>
        <w:rPr>
          <w:rFonts w:ascii="IRNazanin" w:hAnsi="IRNazanin" w:eastAsia="IRNazanin"/>
          <w:color w:val="111111"/>
          <w:sz w:val="28"/>
          <w:sz w:val="28"/>
          <w:szCs w:val="28"/>
          <w:rtl w:val="true"/>
          <w:lang w:bidi="fa-IR"/>
        </w:rPr>
        <w:t>الأظهر</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أظهریة للأوّل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قابلة للمنع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الأحوط فنعم، وأمّا الأظهر فلا، وکذلک الکلام فی الکفن، بل الأظهر رعایة 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منه ما یخالف ذلک، ومنّا ما یوافقه، وفرض المسألة وجود قاصرٍ أو غیر راضٍ فی الورثة، وقد مرّ حکم الکفن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ممنوعة،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أظهریّة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الأظهریّة منع، کما مرّ الحکم فی الکفن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الأظهریة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التخییر إذا کان الجمع اُجرة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ومثل هذا الکلام یجری أیضاً</w:t>
      </w:r>
      <w:bookmarkStart w:id="229" w:name="pg13284_130615"/>
    </w:p>
    <w:p>
      <w:pPr>
        <w:pStyle w:val="BookText"/>
        <w:rPr/>
      </w:pPr>
      <w:bookmarkEnd w:id="229"/>
      <w:r>
        <w:rPr>
          <w:rFonts w:ascii="IRNazanin" w:hAnsi="IRNazanin" w:eastAsia="IRNazanin"/>
          <w:color w:val="111111"/>
          <w:sz w:val="28"/>
          <w:sz w:val="28"/>
          <w:szCs w:val="28"/>
          <w:rtl w:val="true"/>
          <w:lang w:bidi="fa-IR"/>
        </w:rPr>
        <w:t>فی الکفن الخارج من الأصل أیضاً</w:t>
      </w:r>
      <w:r>
        <w:rPr>
          <w:rFonts w:eastAsia="IRNazanin" w:cs="IRNazanin"/>
          <w:color w:val="111111"/>
          <w:sz w:val="28"/>
          <w:szCs w:val="28"/>
          <w:rtl w:val="true"/>
          <w:lang w:bidi="fa-IR"/>
        </w:rPr>
        <w:t>.</w:t>
      </w:r>
    </w:p>
    <w:p>
      <w:pPr>
        <w:pStyle w:val="Heading4"/>
        <w:numPr>
          <w:ilvl w:val="3"/>
          <w:numId w:val="1"/>
        </w:numPr>
        <w:rPr/>
      </w:pPr>
      <w:bookmarkStart w:id="230" w:name="__RefHeading___Toc2055667_2322387425"/>
      <w:bookmarkStart w:id="231" w:name="_Toc83"/>
      <w:bookmarkEnd w:id="230"/>
      <w:r>
        <w:rPr>
          <w:rtl w:val="true"/>
        </w:rPr>
        <w:t>الوصیّة بالحجّ بعدد معیّن وبلا عدد</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أوصی بالحجّ وعیّن المرّة أو التکرار بعددٍ مُعیّن تَعَیّن، وإن لم یُعَیِّن کفی حجّ واحد، إلاّ أن یُعلَم أ نّه أراد التکرار، وعلیه یُحمَل ماورد فی الأخبار من أ نّه یحجّ عنه مادام له مال، کما فی خَبَرَین</w:t>
      </w:r>
      <w:r>
        <w:rPr>
          <w:rStyle w:val="FootnoteAnchor"/>
          <w:rtl w:val="true"/>
        </w:rPr>
        <w:footnoteReference w:id="496"/>
      </w:r>
      <w:r>
        <w:rPr>
          <w:rFonts w:ascii="IRNazanin" w:hAnsi="IRNazanin" w:eastAsia="IRNazanin"/>
          <w:color w:val="111111"/>
          <w:sz w:val="28"/>
          <w:sz w:val="28"/>
          <w:szCs w:val="28"/>
          <w:rtl w:val="true"/>
          <w:lang w:bidi="fa-IR"/>
        </w:rPr>
        <w:t>، أو ما بقی من ثلثه شیء، کما فی ثالث</w:t>
      </w:r>
      <w:r>
        <w:rPr>
          <w:rStyle w:val="FootnoteAnchor"/>
          <w:rtl w:val="true"/>
        </w:rPr>
        <w:footnoteReference w:id="497"/>
      </w:r>
      <w:r>
        <w:rPr>
          <w:rFonts w:ascii="IRNazanin" w:hAnsi="IRNazanin" w:eastAsia="IRNazanin"/>
          <w:color w:val="111111"/>
          <w:sz w:val="28"/>
          <w:sz w:val="28"/>
          <w:szCs w:val="28"/>
          <w:rtl w:val="true"/>
          <w:lang w:bidi="fa-IR"/>
        </w:rPr>
        <w:t xml:space="preserve">، بعد حمل الأوّلَین علی الأخیر من إرادة الثلث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عن الشیخ وجماعة من وجوب التکرار مادام الثلث باقیاً ضعیف</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ضعفه تأمّل، 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هذا هو الأحوط بملاحظة النصوص، وکذا إذا أوصی بالحجّ مکرّراً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أ نّه یمکن أن یکون المراد من الأخبار أ نّه یجب الحجّ مادام</w:t>
      </w:r>
    </w:p>
    <w:p>
      <w:pPr>
        <w:pStyle w:val="BookText"/>
        <w:rPr/>
      </w:pPr>
      <w:r>
        <w:rPr>
          <w:rFonts w:ascii="IRNazanin" w:hAnsi="IRNazanin" w:eastAsia="IRNazanin"/>
          <w:color w:val="111111"/>
          <w:sz w:val="28"/>
          <w:sz w:val="28"/>
          <w:szCs w:val="28"/>
          <w:rtl w:val="true"/>
          <w:lang w:bidi="fa-IR"/>
        </w:rPr>
        <w:t>یمکن الإتیان به ببقاء شیء من الثلث بعد العمل بوصایا اُخر، وعلی فرض ظهورها فی إرادة التکرار ولو مع عدم العلم بإرادته لابدّ من طرحها لإعراض المشهور</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إعراض المشهور من القدماء الواقفین علی مذاق أصحاب الائمة علیهم‌السلام ، وإعراض المتأخّرین غیر قادح، کما حقّقنا ذلک فی باب التعادل والترجیح من الاُصول، وفی علم الدرایة فی باب عِلل الضعف، هذا، ولکنّ اشتمال السند علی المجهول یکفی فی عدم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الإعراض غیر 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 ینبغی الإشکال فی کفایة حجّ واحد مع عدم العلم بإرادة التکرار، نعم، لو أوصی بإخراج الثلث ولم یذکر إلاّ الحجّ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ظهور للفظ الوصیّة بذلک،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بوجوب صرف تمامه فی الحجّ، کما لو لم یذکر إلاّ المظالم أو إلاّ</w:t>
      </w:r>
      <w:bookmarkStart w:id="232" w:name="pg13284_130617"/>
    </w:p>
    <w:p>
      <w:pPr>
        <w:pStyle w:val="BookText"/>
        <w:rPr/>
      </w:pPr>
      <w:bookmarkEnd w:id="232"/>
      <w:r>
        <w:rPr>
          <w:rFonts w:ascii="Amiri" w:hAnsi="Amiri" w:eastAsia="Amiri" w:cs="Amiri"/>
          <w:color w:val="111111"/>
          <w:sz w:val="28"/>
          <w:sz w:val="28"/>
          <w:szCs w:val="28"/>
          <w:rtl w:val="true"/>
          <w:lang w:bidi="ar-SA"/>
        </w:rPr>
        <w:t>الزکاة أو إلاّ الخمس، ولو أوصی أن یحجّ عنه مکرّراً کفی مرّتان</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 هناک ما یشعر إلی التکرار ما بقی المال وأمکن الإحجاج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التکرار 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2055669_2322387425"/>
      <w:bookmarkStart w:id="234" w:name="_Toc84"/>
      <w:bookmarkEnd w:id="233"/>
      <w:r>
        <w:rPr>
          <w:rtl w:val="true"/>
        </w:rPr>
        <w:t>الوصیّة بالحجّ سنین متعدّدة مع عدم وفاء الاُجرة</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أوصی بصرف مقدارٍ معیّنٍ فی الحجّ سنینَ معیّنة وعیّن لکلّ سنةٍ مقداراً معیّناً، واتّفق عدم کفایة ذلک المقدار لکلّ سَنَةٍ صُرِفَ نصیب سنتَین فی سنة، أو ثلاث سنینَ فی سنتَین مثلاً، وهکذا، لا لقاعدة المیسور؛ لعدم جریانها</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القاعدة فی نفسها غیر تامّة، وعلی تقدیر تمامیتها تجری فی المقامَین من غیر فرق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مجعولات الشارع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لأنّ 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من‌حال الموصی إرادة صرف ذلک المقدار فی الحجّ، وکون تعیین مقدار کلّ سنة بتخیّل کفایته، ویدلّ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الحضینی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وخبر</w:t>
      </w:r>
    </w:p>
    <w:p>
      <w:pPr>
        <w:pStyle w:val="BookText"/>
        <w:rPr/>
      </w:pPr>
      <w:r>
        <w:rPr>
          <w:rFonts w:ascii="IRNazanin" w:hAnsi="IRNazanin" w:eastAsia="IRNazanin"/>
          <w:color w:val="111111"/>
          <w:sz w:val="28"/>
          <w:sz w:val="28"/>
          <w:szCs w:val="28"/>
          <w:rtl w:val="true"/>
          <w:lang w:bidi="fa-IR"/>
        </w:rPr>
        <w:t>إبراهیم بن مهزیار، ففی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النیابة فی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حجّتَین فی حجّة، وفی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النیابة فی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تُجعل ثلاث حجج فی حجّتَین، وکلاهما من باب المثال،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ولو فضل من السنین فَضلة لا تفی بحجّةٍ</w:t>
      </w:r>
      <w:r>
        <w:rPr>
          <w:rStyle w:val="FootnoteAnchor"/>
          <w:rtl w:val="true"/>
        </w:rPr>
        <w:footnoteReference w:id="502"/>
      </w:r>
      <w:r>
        <w:rPr>
          <w:rFonts w:ascii="IRNazanin" w:hAnsi="IRNazanin" w:eastAsia="IRNazanin"/>
          <w:color w:val="111111"/>
          <w:sz w:val="28"/>
          <w:sz w:val="28"/>
          <w:szCs w:val="28"/>
          <w:rtl w:val="true"/>
          <w:lang w:bidi="fa-IR"/>
        </w:rPr>
        <w:t>فهل ترجع میراثاً، أو فی وجوه</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أوسطها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تُجعل فی وجوه البِرّ؛ لِمصحّح علیّ بن مزید السابری علی ما فی الفقیه والتهذیب، أو علی بن فرقد علی ما فی الکافی من الحکم بعدم ضمان الوصیّ إذا تصدّق بما لا یکفی حتّی للحجّ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وإن کان مجهولاً إلاّ أنّ الراوی عن زید الراوی عنه هو ابن أبی عمیر، فیکون الخبر من قسم المصحّح المعتبر عند العقلاء؛ ولصحیح محمّد بن الریان علی الأصحّ بالنسبة إلی سهل الآدمیّ الراوی عنه، وقد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إجعلها فی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التعدّی عن المورد بالمناط المنقح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أقواها أوسطها، ویأتی ذلک منه قدس‌سره أیضاً فی المسألة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الأخیر، إلاّ أن یظهر الفضل بعد الاستئجار فیتصدّق به احتیاطاً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أقوی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تُزاد علی اُجرة بعض السنین؟</w:t>
      </w:r>
    </w:p>
    <w:p>
      <w:pPr>
        <w:pStyle w:val="BookText"/>
        <w:rPr/>
      </w:pPr>
      <w:r>
        <w:rPr>
          <w:rFonts w:ascii="IRNazanin" w:hAnsi="IRNazanin" w:eastAsia="IRNazanin"/>
          <w:color w:val="111111"/>
          <w:sz w:val="28"/>
          <w:sz w:val="28"/>
          <w:szCs w:val="28"/>
          <w:rtl w:val="true"/>
          <w:lang w:bidi="fa-IR"/>
        </w:rPr>
        <w:t>وجوه</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خیرُها أوسطُها، إلاّ إذا اقتضت الاُجرة الزائدة فی حجّه بلحاظ الاشتمال علیمستحبّاته، فلا یبعد حینئذٍ تعیّن الأخیر من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صدرالدین الصدر،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أوسطُها، کما أنّ الأوجه فی الفرع اللاحق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أوجهها ثانیها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أقواها أ نّها تُصرف فی وجوه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البجنوردی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صرفها فی وجوه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أظهرها أوسطها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کان الموصی به الحجّ من البلد ودار الأمر بین جعل اُجرة سنتَین مثلاً لسَنَةٍ، وبین الاستئجار بذلک المقدار من المیقات لکلّ سَنَةٍ ففی تعیین الأوّل أو الثانی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یبعد 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أولویّة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تعیّنه؛ لِما رواه عبداللّه بن بکیر، عن أبی عبداللّه علیه‌السلام أ نّه سُئل عن رجلٍ أوصی بماله فی الحجّ، فکان لا یبلغ ما یحجّ به من بلاده؟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فیُعطی فی الموضع الّذی یُحَجّ 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بإطلاقه حاکم علی الخبرَین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أنّ مقتضی إطلاق</w:t>
      </w:r>
    </w:p>
    <w:p>
      <w:pPr>
        <w:pStyle w:val="BookText"/>
        <w:rPr/>
      </w:pPr>
      <w:r>
        <w:rPr>
          <w:rFonts w:ascii="Amiri" w:hAnsi="Amiri" w:eastAsia="Amiri" w:cs="Amiri"/>
          <w:color w:val="111111"/>
          <w:sz w:val="28"/>
          <w:sz w:val="28"/>
          <w:szCs w:val="28"/>
          <w:rtl w:val="true"/>
          <w:lang w:bidi="ar-SA"/>
        </w:rPr>
        <w:t>الخبرَین</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الأولی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ویتعیّن العمل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وعلیهما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یُناقش فی الصَرور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والعمل بهما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إطلاق الأوّل وظهور الثانی لو لم یکن نصّاً، وعلیهما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إن لم یکن أقوی بعد تسلّم انصراف الموصی به إلی البلدیّ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هذا کلّه إذا لم یُعلم من الموصی إرادة الحجّ بذلک المقدار علی وجه التقیید، وإلاّ فتبطل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لزوم الصرف فی وجوه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مجرّد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لإطلاق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یُرجَ إمکان ذلک</w:t>
      </w:r>
      <w:bookmarkStart w:id="235" w:name="pg13284_130621"/>
    </w:p>
    <w:p>
      <w:pPr>
        <w:pStyle w:val="BookText"/>
        <w:rPr/>
      </w:pPr>
      <w:bookmarkEnd w:id="235"/>
      <w:r>
        <w:rPr>
          <w:rFonts w:ascii="IRNazanin" w:hAnsi="IRNazanin" w:eastAsia="IRNazanin"/>
          <w:color w:val="111111"/>
          <w:sz w:val="28"/>
          <w:sz w:val="28"/>
          <w:szCs w:val="28"/>
          <w:rtl w:val="true"/>
          <w:lang w:bidi="fa-IR"/>
        </w:rPr>
        <w:t>بالتأخیر</w:t>
      </w:r>
      <w:r>
        <w:rPr>
          <w:rStyle w:val="FootnoteAnchor"/>
          <w:rtl w:val="true"/>
        </w:rPr>
        <w:footnoteReference w:id="506"/>
      </w:r>
      <w:r>
        <w:rPr>
          <w:rFonts w:ascii="IRNazanin" w:hAnsi="IRNazanin" w:eastAsia="IRNazanin"/>
          <w:color w:val="111111"/>
          <w:sz w:val="28"/>
          <w:sz w:val="28"/>
          <w:szCs w:val="28"/>
          <w:rtl w:val="true"/>
          <w:lang w:bidi="fa-IR"/>
        </w:rPr>
        <w:t>، أو کانت</w:t>
      </w:r>
      <w:r>
        <w:rPr>
          <w:rStyle w:val="FootnoteAnchor"/>
          <w:rtl w:val="true"/>
        </w:rPr>
        <w:footnoteReference w:id="507"/>
      </w:r>
      <w:r>
        <w:rPr>
          <w:rFonts w:ascii="Amiri" w:hAnsi="Amiri" w:eastAsia="Amiri" w:cs="Amiri"/>
          <w:color w:val="111111"/>
          <w:sz w:val="28"/>
          <w:sz w:val="28"/>
          <w:szCs w:val="28"/>
          <w:rtl w:val="true"/>
          <w:lang w:bidi="ar-SA"/>
        </w:rPr>
        <w:t>الوصیّة مقیّدَةً بسنین معیّنة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055671_2322387425"/>
      <w:bookmarkStart w:id="237" w:name="_Toc85"/>
      <w:bookmarkEnd w:id="236"/>
      <w:r>
        <w:rPr>
          <w:rtl w:val="true"/>
        </w:rPr>
        <w:t>الوصیّة بالحجّ بمقدار من الاُجرة</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وعَیّن الاُجرة فی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الحجّ واجباً ولم یزد ذلک المقدار عن اُجرة المثل، أو زاد وخرجت الزیادة من الثلث</w:t>
      </w:r>
      <w:r>
        <w:rPr>
          <w:rStyle w:val="FootnoteAnchor"/>
          <w:rtl w:val="true"/>
        </w:rPr>
        <w:footnoteReference w:id="508"/>
      </w:r>
      <w:r>
        <w:rPr>
          <w:rFonts w:ascii="IRNazanin" w:hAnsi="IRNazanin" w:eastAsia="IRNazanin"/>
          <w:color w:val="111111"/>
          <w:sz w:val="28"/>
          <w:sz w:val="28"/>
          <w:szCs w:val="28"/>
          <w:rtl w:val="true"/>
          <w:lang w:bidi="fa-IR"/>
        </w:rPr>
        <w:t>تعیّن، وإن زاد ولم تخرج الزیادة من الثلث بطلت الوصیّة</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تُجِزِ الورثة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الإصفهانی،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إجازة الورثة،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تُجِزها الورثة،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الوصیّة هنا وفی الفرع الآتی منوط بعدم إجازة الوارث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تُجِزِ الورثة،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إجازة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إجازة الورثة، وکذا فی نظائر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تُجِزها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یُجِزها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یُجِز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إمضاء کبار الورثة من سهامهم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تُجِزها الورثة، وکذا فی الفروع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إجازة الورثة، وکذا فی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238" w:name="pg13284_130622"/>
    </w:p>
    <w:p>
      <w:pPr>
        <w:pStyle w:val="BookText"/>
        <w:rPr/>
      </w:pPr>
      <w:bookmarkEnd w:id="238"/>
      <w:r>
        <w:rPr>
          <w:rFonts w:ascii="IRNazanin" w:hAnsi="IRNazanin" w:eastAsia="IRNazanin"/>
          <w:color w:val="111111"/>
          <w:sz w:val="28"/>
          <w:sz w:val="28"/>
          <w:szCs w:val="28"/>
          <w:rtl w:val="true"/>
          <w:lang w:bidi="fa-IR"/>
        </w:rPr>
        <w:t>ویرجع</w:t>
      </w:r>
      <w:r>
        <w:rPr>
          <w:rStyle w:val="FootnoteAnchor"/>
          <w:rtl w:val="true"/>
        </w:rPr>
        <w:footnoteReference w:id="510"/>
      </w:r>
      <w:r>
        <w:rPr>
          <w:rFonts w:ascii="IRNazanin" w:hAnsi="IRNazanin" w:eastAsia="IRNazanin"/>
          <w:color w:val="111111"/>
          <w:sz w:val="28"/>
          <w:sz w:val="28"/>
          <w:szCs w:val="28"/>
          <w:rtl w:val="true"/>
          <w:lang w:bidi="fa-IR"/>
        </w:rPr>
        <w:t>إلی اُجرة المثل، وإن کان الحجّ مندوباً فکذلک تعیّن أیضاً مع وفاء الثلث بذلک المقدار، وإلاّ فبقدر وفاء الثلث، مع عدم کون التعیین</w:t>
      </w:r>
      <w:r>
        <w:rPr>
          <w:rStyle w:val="FootnoteAnchor"/>
          <w:rtl w:val="true"/>
        </w:rPr>
        <w:footnoteReference w:id="511"/>
      </w:r>
      <w:r>
        <w:rPr>
          <w:rFonts w:ascii="IRNazanin" w:hAnsi="IRNazanin" w:eastAsia="IRNazanin"/>
          <w:color w:val="111111"/>
          <w:sz w:val="28"/>
          <w:sz w:val="28"/>
          <w:szCs w:val="28"/>
          <w:rtl w:val="true"/>
          <w:lang w:bidi="fa-IR"/>
        </w:rPr>
        <w:t>علی وجه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 الثلث بالحجّ</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من أقرب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التعیین علی وجه التقیید بطلت 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وسقط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2055673_2322387425"/>
      <w:bookmarkStart w:id="240" w:name="_Toc86"/>
      <w:bookmarkEnd w:id="239"/>
      <w:r>
        <w:rPr>
          <w:rtl w:val="true"/>
        </w:rPr>
        <w:t>الوصیّة بالحجّ بتعیین أجیر معیّن</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أوصی بالحجِّ</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الواجب، وفی المندوب یخرج تمامه من الثلث، کما مرّ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وعیّن أجیراً معیّناً تعیّن استئجاره باُجرة المثل، وإن لم یقبل إلاّ بالأزید، فإن خرجت الزیادة من الثلث تعیّن أیضاً، وإلاّ بطلت الوصیّة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واستُؤجِر غیره باُجرة المثل فی الواجب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فی المندوب إذا وفی به الثلث ولم یکن علی وجه التقیید، وکذا إذا لم یقبل أصلاً</w:t>
      </w:r>
      <w:r>
        <w:rPr>
          <w:rFonts w:eastAsia="IRNazanin" w:cs="IRNazanin"/>
          <w:color w:val="111111"/>
          <w:sz w:val="28"/>
          <w:szCs w:val="28"/>
          <w:rtl w:val="true"/>
          <w:lang w:bidi="fa-IR"/>
        </w:rPr>
        <w:t>.</w:t>
      </w:r>
      <w:bookmarkStart w:id="241" w:name="pg13284_130623"/>
    </w:p>
    <w:p>
      <w:pPr>
        <w:pStyle w:val="Heading4"/>
        <w:numPr>
          <w:ilvl w:val="3"/>
          <w:numId w:val="1"/>
        </w:numPr>
        <w:rPr/>
      </w:pPr>
      <w:bookmarkStart w:id="242" w:name="__RefHeading___Toc2055675_2322387425"/>
      <w:bookmarkStart w:id="243" w:name="_Toc87"/>
      <w:bookmarkEnd w:id="241"/>
      <w:bookmarkEnd w:id="242"/>
      <w:r>
        <w:rPr>
          <w:rtl w:val="true"/>
        </w:rPr>
        <w:t>حکم تعیین اُجرة لا یرغب فیها راغب</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عیّن للحجّ اُجرةً لا یرغب فیها</w:t>
      </w:r>
      <w:r>
        <w:rPr>
          <w:rStyle w:val="FootnoteAnchor"/>
          <w:rtl w:val="true"/>
        </w:rPr>
        <w:footnoteReference w:id="514"/>
      </w:r>
      <w:r>
        <w:rPr>
          <w:rFonts w:ascii="IRNazanin" w:hAnsi="IRNazanin" w:eastAsia="IRNazanin"/>
          <w:color w:val="111111"/>
          <w:sz w:val="28"/>
          <w:sz w:val="28"/>
          <w:szCs w:val="28"/>
          <w:rtl w:val="true"/>
          <w:lang w:bidi="fa-IR"/>
        </w:rPr>
        <w:t>أحد</w:t>
      </w:r>
      <w:r>
        <w:rPr>
          <w:rStyle w:val="FootnoteAnchor"/>
          <w:rtl w:val="true"/>
        </w:rPr>
        <w:footnoteReference w:id="515"/>
      </w:r>
      <w:r>
        <w:rPr>
          <w:rFonts w:ascii="Amiri" w:hAnsi="Amiri" w:eastAsia="Amiri" w:cs="Amiri"/>
          <w:color w:val="111111"/>
          <w:sz w:val="28"/>
          <w:sz w:val="28"/>
          <w:szCs w:val="28"/>
          <w:rtl w:val="true"/>
          <w:lang w:bidi="ar-SA"/>
        </w:rPr>
        <w:t>وکان الحجّ مستحبّاً بطلت الوصیّة</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یَفِ بالمیقاتی أیضاً، وإلاّ فیجب الاستئجار من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وفاء الاُجرة بالحجّ من بلدٍ آخر أقرب إلی مکّة تعیّن، ومع عدم الوفاء تعیّن المیقاتی، ومع عدم وفائها به أیضاً تُصرف فی وجوه البِرّ، من غیر فرقٍ بین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یُرجَ وجود راغب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إمضاء الورثة، وعدم الکفایة من المیقات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حتّی من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وحینئذٍ فهل ترجع میراثاً، أو تُصرَف فی وجوه البِرّ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یفصّل بین ما إذا کان کذلک من الأوّل فترجع میراثاً، أو کان الراغب موجوداً ثمّ طرأ التعذّر؟ وجوه، والأقوی هو الصرف فی وجوه البِرّ، لا لقاعدة المیسور بدعوی أنّ الفصل إذا تعذّر یبقی الجنس؛ لأ نّها قاعدة شرعیّة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وإنّما</w:t>
      </w:r>
    </w:p>
    <w:p>
      <w:pPr>
        <w:pStyle w:val="BookText"/>
        <w:rPr/>
      </w:pPr>
      <w:r>
        <w:rPr>
          <w:rFonts w:ascii="IRNazanin" w:hAnsi="IRNazanin" w:eastAsia="IRNazanin"/>
          <w:color w:val="111111"/>
          <w:sz w:val="28"/>
          <w:sz w:val="28"/>
          <w:szCs w:val="28"/>
          <w:rtl w:val="true"/>
          <w:lang w:bidi="fa-IR"/>
        </w:rPr>
        <w:t>تجری فی الأحکام الشرعیّة المجعولة للشارع، ولا مسرح لها فی مجعولات الناس</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وهی مأخوذة من صمیم ارتکاز العرف؟ نعم، الإشکال إنّما هو فی استظهار تعدّد المطلوب، أو تعدّد مراتب المطلوبیة من مجعولاتهم، ولکنّه موکول إلی القرائن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أشرنا إلیه سابقاً، مع أنّ الجنس لا یُعدّ میسوراً للنوع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فمحلّها المرکّبات الخارجیّة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تعذّر بعض أجزائها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کانت ارتباطیّة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بملاحظة ما ورد من الأخبار فی نظائر المقام أنّ هذا حکم تعبّدیّ شرعیّ فی باب الأوقاف والوصایا والنذور؛ حیث إنّ الشارع قد أمضاها علی نحو تعدّد المطلوب، فلا یلاحظ فیها حال الواقف والموصی والناذر حتّی یختلف الحکم باختلاف الأشخاص والحالات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الظاهر بملاحظة ما ورد من الأخبار الکثیرة فی باب الوصایا والأوقاف والنذور کون وجوب صرف ما تعذّر مصرفه منها فی وجوه البِرّ حکماً کلّیّاً تعبّدیّاً، غنیّاً فی إثباته عن إحراز تعدّد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بملاحظة ما ورد من الأخبار فی نظائر المقام أنّ هذا حکم تعبّدیّ شرعیّ فی باب الأوقاف والنذور والوصایا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بملاحظة ما ورد من الأخبار فی نظائر المقام أنّ هذا حکم تعبّدی شرعیّ فی باب الأوقاف والوصایا والنذور ، ولا یحتاج إلی التکلّفات المذکورة وربّما کان منشؤه عند الشارع قاعدة المیسور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الظهور موجوداً فی جمیع الموارد، وإن تحقّق فی مورد فهو کاشف عن کونه موضوعاً لقاعدة المیسور الّتی أنکرها فی مجعولات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لِما ورد فی الوصیّة بالحجّ بنفقةٍ لا تفی بالبلدیّة، أو نفقةٍ لا تفی بأصل الحجّ، کما فی مفروض المسألة، والوصیّة بعتق العبد المسلم، والوصیّة المجهول مصرفها لنسیان الوصی، وما ورد فی نذر الحجّ ماشیاً حافیاً مع طریان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الأحری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طُرُوء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أصل الفعل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ورد فی الوقف المجهول المصرف، فإنّه یستفاد من جمیع ذلک وجوب صرف ما تعذّر مصرفه من الوصیّة والأوقاف والنذور فی وجوه البِرّ، مراعیاً للأقرب إلی نظر الجاعل وإن لم یستظهر من حاله تعدّد المطلوب، بل وإن استظهر خلافه، نعم، مع العلم بالتقیید فی عالم اللبّ فالحکم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الصرف فی وجوه البِرّ یُستفاد من أخبار کثیرة وردت فی أبوابٍ متفرّقة، ولا یبعد کونه من مُرتَکَزات المتشرّعة أیضاً ما لم یعلم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استفادة هذه الکلّیّة فی باب الوقف والوصیّة من النصوص الواردة فی البابَین بلا حاجة إلی إحراز تعدّد المطلوب، مع أ نّه یشهد له خبر علیّ بن سوید المذکور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518"/>
      </w:r>
      <w:r>
        <w:rPr>
          <w:rFonts w:ascii="IRNazanin" w:hAnsi="IRNazanin" w:eastAsia="IRNazanin"/>
          <w:color w:val="111111"/>
          <w:sz w:val="28"/>
          <w:sz w:val="28"/>
          <w:szCs w:val="28"/>
          <w:rtl w:val="true"/>
          <w:lang w:bidi="fa-IR"/>
        </w:rPr>
        <w:t>حال الموصی</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ذلک من حال الموصی غالباً، ولو سُلِّم فلا دلیل علی وجوب العمل بأغراض الموصی بعد عدم صدق الوصیّة علیه، وإنّما الدلیل علی الحکم الأخبار الکثیرة الواردة فی الأبواب المتفرّقة، وعلیه فلا فرق بین تعدّد المطلوب والتقیید یعنی وحدة المطلوب، ففی کلتا الصورتَین یُصرف فی وجوه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أمثال المقام إرادة عمل ینفعه، وإنّما عَیّن عملاً خاصّاً لکونه أنفع فی نظره من غیره، فیکون تعیینه لمثل الحجّ علی وجه تعدّد المطلوب وإن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متذکّراً لذلک حین الوصیّة، نعم، لو علم فی مقام کونه علی وجه التقیید فی عالم اللُبِّ أیضاً یکون الحکم فیه الرجوع إلی الورثة، ولا فرق فی الصورتَین بین کون التعذّر طارئاً أو من الأوّل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ویوءیّد ما ذکرنا</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w:t>
      </w:r>
      <w:r>
        <w:rPr>
          <w:rFonts w:eastAsia="IRNazanin" w:cs="IRNazanin"/>
          <w:color w:val="111111"/>
          <w:sz w:val="28"/>
          <w:szCs w:val="28"/>
          <w:rtl w:val="true"/>
          <w:lang w:bidi="fa-IR"/>
        </w:rPr>
        <w:t xml:space="preserve">. . . . . . </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521"/>
      </w:r>
      <w:r>
        <w:rPr>
          <w:rFonts w:ascii="IRNazanin" w:hAnsi="IRNazanin" w:eastAsia="IRNazanin"/>
          <w:color w:val="111111"/>
          <w:sz w:val="28"/>
          <w:sz w:val="28"/>
          <w:szCs w:val="28"/>
          <w:rtl w:val="true"/>
          <w:lang w:bidi="fa-IR"/>
        </w:rPr>
        <w:t>فی نظائر المقام، بل یدلّ علیه خبر علیّ بن سوید</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المرویّ فی الکافی والفقیه والتهذیب عن مولانا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علیّ بن مزید، أو علیّ بن فرقد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فأوصی بترکته أن أحجّ بها عنه، فنظرت فی ذلک فلم تکفِ للحجّ، فسألت مَنْ عندنا مِنَ الفقهاء؟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بها،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إلاّ أن لا تکون تبلغ أن یُحجّ بها من مکّة، فإن کانت تبلغ أن یُحجّ بها من مکّة فأنت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الوصایا، ح</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ویظهر ممّا ذکرنا حال سائر الموارد الّتی تُبطِل الوصیّة لجهةٍ من الجهات</w:t>
      </w:r>
      <w:r>
        <w:rPr>
          <w:rStyle w:val="FootnoteAnchor"/>
          <w:rtl w:val="true"/>
        </w:rPr>
        <w:footnoteReference w:id="523"/>
      </w:r>
      <w:r>
        <w:rPr>
          <w:rFonts w:ascii="IRNazanin" w:hAnsi="IRNazanin" w:eastAsia="IRNazanin"/>
          <w:color w:val="111111"/>
          <w:sz w:val="28"/>
          <w:sz w:val="28"/>
          <w:szCs w:val="28"/>
          <w:rtl w:val="true"/>
          <w:lang w:bidi="fa-IR"/>
        </w:rPr>
        <w:t>، هذا فی غیر ما إذا أوصی</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فرق فی الصورتَین؛ إذ لیست الوصیّة العهدیّة بالثلث إخراجاً له عن ملک الورثة، کیف ولو تبرّع متبرّع بما أوصی به إذا لم یکن مقیّداً بالمباشرة ولا بمخرجیّة الثلث له کان الثلث موروثاً حسب السهام؟ نعم، الثلث مخرج للوصایا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بالثلث وعَیّن له مصارف وتعذّر</w:t>
      </w:r>
      <w:bookmarkStart w:id="244" w:name="pg13284_130628"/>
    </w:p>
    <w:p>
      <w:pPr>
        <w:pStyle w:val="BookText"/>
        <w:rPr/>
      </w:pPr>
      <w:bookmarkEnd w:id="244"/>
      <w:r>
        <w:rPr>
          <w:rFonts w:ascii="IRNazanin" w:hAnsi="IRNazanin" w:eastAsia="IRNazanin"/>
          <w:color w:val="111111"/>
          <w:sz w:val="28"/>
          <w:sz w:val="28"/>
          <w:szCs w:val="28"/>
          <w:rtl w:val="true"/>
          <w:lang w:bidi="fa-IR"/>
        </w:rPr>
        <w:t>بعضها، وأمّا فیه فالأمر أوضح؛ لأ نّه بتعیینه الثلث لنفسه أخرجه عن ملک الوارث بذلک فلا یعود إلیه</w:t>
      </w:r>
      <w:r>
        <w:rPr>
          <w:rFonts w:eastAsia="IRNazanin" w:cs="IRNazanin"/>
          <w:color w:val="111111"/>
          <w:sz w:val="28"/>
          <w:szCs w:val="28"/>
          <w:rtl w:val="true"/>
          <w:lang w:bidi="fa-IR"/>
        </w:rPr>
        <w:t>.</w:t>
      </w:r>
    </w:p>
    <w:p>
      <w:pPr>
        <w:pStyle w:val="Heading4"/>
        <w:numPr>
          <w:ilvl w:val="3"/>
          <w:numId w:val="1"/>
        </w:numPr>
        <w:rPr/>
      </w:pPr>
      <w:bookmarkStart w:id="245" w:name="__RefHeading___Toc2055677_2322387425"/>
      <w:bookmarkStart w:id="246" w:name="_Toc88"/>
      <w:bookmarkEnd w:id="245"/>
      <w:r>
        <w:rPr>
          <w:rtl w:val="true"/>
        </w:rPr>
        <w:t>حکم ما صالح علیه بشرط الحجّ عنه بعد موته</w:t>
      </w:r>
      <w:bookmarkEnd w:id="24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صالحه داره مثلاً وشرط علیه أن یحجّ عنه بعد موته صحّ ولزم، وخرج من أصل الترکة</w:t>
      </w:r>
      <w:r>
        <w:rPr>
          <w:rStyle w:val="FootnoteAnchor"/>
          <w:rtl w:val="true"/>
        </w:rPr>
        <w:footnoteReference w:id="525"/>
      </w:r>
      <w:r>
        <w:rPr>
          <w:rFonts w:ascii="IRNazanin" w:hAnsi="IRNazanin" w:eastAsia="IRNazanin"/>
          <w:color w:val="111111"/>
          <w:sz w:val="28"/>
          <w:sz w:val="28"/>
          <w:szCs w:val="28"/>
          <w:rtl w:val="true"/>
          <w:lang w:bidi="fa-IR"/>
        </w:rPr>
        <w:t>وإن کان الحجّ ندبیّاً، ولا یلحقه حکم الوصیّة، ویظهر من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 للمیرزا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قدس‌سره </w:t>
      </w:r>
      <w:r>
        <w:rPr>
          <w:rStyle w:val="FootnoteAnchor"/>
          <w:rtl w:val="true"/>
        </w:rPr>
        <w:footnoteReference w:id="526"/>
      </w:r>
      <w:r>
        <w:rPr>
          <w:rFonts w:ascii="IRNazanin" w:hAnsi="IRNazanin" w:eastAsia="IRNazanin"/>
          <w:color w:val="111111"/>
          <w:sz w:val="28"/>
          <w:sz w:val="28"/>
          <w:szCs w:val="28"/>
          <w:rtl w:val="true"/>
          <w:lang w:bidi="fa-IR"/>
        </w:rPr>
        <w:t>فی نظیر المقام إجراء حکم الوصیّة علیه، بدعوی أ نّه بهذا الشرط ملک علیه الحجّ</w:t>
      </w:r>
      <w:r>
        <w:rPr>
          <w:rStyle w:val="FootnoteAnchor"/>
          <w:rtl w:val="true"/>
        </w:rPr>
        <w:footnoteReference w:id="527"/>
      </w:r>
      <w:r>
        <w:rPr>
          <w:rFonts w:ascii="IRNazanin" w:hAnsi="IRNazanin" w:eastAsia="IRNazanin"/>
          <w:color w:val="111111"/>
          <w:sz w:val="28"/>
          <w:sz w:val="28"/>
          <w:szCs w:val="28"/>
          <w:rtl w:val="true"/>
          <w:lang w:bidi="fa-IR"/>
        </w:rPr>
        <w:t>، وهو عمل له اُجرة، فیُحسَب مقدار اُجرة المثل لهذا العمل، فإن کانت زائدة عن الثلث توقّف علی إمضاء الورثة،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w:t>
      </w:r>
      <w:r>
        <w:rPr>
          <w:rStyle w:val="FootnoteAnchor"/>
          <w:rtl w:val="true"/>
        </w:rPr>
        <w:footnoteReference w:id="528"/>
      </w:r>
      <w:r>
        <w:rPr>
          <w:rFonts w:ascii="Amiri" w:hAnsi="Amiri" w:eastAsia="Amiri" w:cs="Amiri"/>
          <w:color w:val="111111"/>
          <w:sz w:val="28"/>
          <w:sz w:val="28"/>
          <w:szCs w:val="28"/>
          <w:rtl w:val="true"/>
          <w:lang w:bidi="ar-SA"/>
        </w:rPr>
        <w:t xml:space="preserve">لم یملک علیه الحجّ مطلقاً فی ذمّته، ثمّ أوصی أن </w:t>
      </w:r>
    </w:p>
    <w:p>
      <w:pPr>
        <w:pStyle w:val="BookText"/>
        <w:rPr/>
      </w:pPr>
      <w:r>
        <w:rPr>
          <w:rFonts w:ascii="IRNazanin" w:hAnsi="IRNazanin" w:eastAsia="IRNazanin"/>
          <w:color w:val="111111"/>
          <w:sz w:val="28"/>
          <w:sz w:val="28"/>
          <w:szCs w:val="28"/>
          <w:rtl w:val="true"/>
          <w:lang w:bidi="fa-IR"/>
        </w:rPr>
        <w:t>یجعله عنه، بل إنّما ملک بالشرط الحجّ عنه، وهذا لیس مالاً تملکه الورثة</w:t>
      </w:r>
      <w:r>
        <w:rPr>
          <w:rStyle w:val="FootnoteAnchor"/>
          <w:rtl w:val="true"/>
        </w:rPr>
        <w:footnoteReference w:id="529"/>
      </w:r>
      <w:r>
        <w:rPr>
          <w:rFonts w:ascii="Amiri" w:hAnsi="Amiri" w:eastAsia="Amiri" w:cs="Amiri"/>
          <w:color w:val="111111"/>
          <w:sz w:val="28"/>
          <w:sz w:val="28"/>
          <w:szCs w:val="28"/>
          <w:rtl w:val="true"/>
          <w:lang w:bidi="ar-SA"/>
        </w:rPr>
        <w:t>، فلیس تملیکاً ووصیّةً، وإنّما هو تملیک</w:t>
      </w:r>
      <w:r>
        <w:rPr>
          <w:rStyle w:val="FootnoteAnchor"/>
          <w:rtl w:val="true"/>
        </w:rPr>
        <w:footnoteReference w:id="530"/>
      </w:r>
      <w:r>
        <w:rPr>
          <w:rFonts w:ascii="Amiri" w:hAnsi="Amiri" w:eastAsia="Amiri" w:cs="Amiri"/>
          <w:color w:val="111111"/>
          <w:sz w:val="28"/>
          <w:sz w:val="28"/>
          <w:szCs w:val="28"/>
          <w:rtl w:val="true"/>
          <w:lang w:bidi="ar-SA"/>
        </w:rPr>
        <w:t>علی نحوٍ خاصٍّ</w:t>
      </w:r>
      <w:r>
        <w:rPr>
          <w:rStyle w:val="FootnoteAnchor"/>
          <w:rtl w:val="true"/>
        </w:rPr>
        <w:footnoteReference w:id="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تملیک وشرط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تملیک خاصّ علی نحوٍ خاصّ، بمعنی أ نّه غیر قابل للتصرّفات غیر کونه حجّاً عن المیّت، وهذا لا یمنع من الانتقال إلی الورثة کما کان لمورثهم، فلهم إسقاطه والمصالحة علیه، ولکنّه لیس من الوصیّة لیفتقر إلی إجازة الورثة إذا زادت اُجرة المثل علی الثلث، وکذا فی الفرض الأخیر وهو ما إذا ملّکه الدار بشرط أن یبیعها ویصرف ثمنها فی الحجّ عنه إذا قلنا بصحّة هذا الشرط، أمّا إذا ملّکه الدار بثمن وشرط علیه أن یصرف ذلک الثمن فی الحجّ عنه بعد موته فالظاهر أ نّه من الوصیّة، کما أفاد المحقّق، فلابدّ من إجازة الورثة إذا زاد علی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ینتقل إلی الورثة، وکذا الحال إذا ملّکه</w:t>
      </w:r>
      <w:r>
        <w:rPr>
          <w:rStyle w:val="FootnoteAnchor"/>
          <w:rtl w:val="true"/>
        </w:rPr>
        <w:footnoteReference w:id="5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کالصلح المشروط بالحجّ أو التملیک بشرطٍ بیع العین وصرف الثمن فی الحجّ؛ وذلک فإنّ مائة تومانٍ فی المثال ملک للشارط حال حیاته، وقد شرط علی مَن ملّکه الدار أن یصرفها فی الحجّ، فإن کان بمقدار ثلثه نفذت الوصیّة، وإلاّ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الأقرب صحّة ما أفاده المحقّق القمّی فی هذه الصورة، وأنّ المورد من الوصایا العهدیّة فی خصوصِ مالٍ ثابت فی ذمّة المُتملِّک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من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بمائة تومانٍ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هذا المثال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تمامیة ما أفاده المحقّق القمّی رحمه‌الله فی هذه الصورة؛ فإنّ المائة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عُملة إیرانیّة تعادل عشرة ریالات إیرانیّة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تکون فی ذمّة المشتری تکون للمُوصِی وقد عهد بأن یصرفها فی الحجّ عنه بعد موته فتکون وصیّة، نعم، ما أفاده سیّد العروة یتمّ فی الفرع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بشرط أن یصرفها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المثال یفترق مع الأوّل والثالث؛ إذ فی هذا یترک المیّت مائة تومان وإن کانت فی ذمّة المُتصالِح وشرط صرفها فی الحجّ لا ینفذ فی غیر الثلث؛ لانقطاع سلطنة الشخص عن ماله إلاّ بمقدار الثلث، فحکمه حکم الوصیّة، لا أ نّه عینها کما تُوهِّم من أنّ هذا الشرط عهد منه إلی المُتصالِح، کما أنّ تَوَهُّم أنّ هذا الشرط استیفاء منه فی حیاته فینفذ فی ما زاد علی الثلث مدفوع، مضافاً إلی أنّ الشرط التزام، لا استیفاء بأنّ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سلطنة، وهی محدودة بحکم الشارع بعد الموت بالثلث فقط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هذا الشرط وصیّة إن کان المقصود الصَرف فی الحجّ بعد الموت؛ حیث إنّه عَهَدَ إلی المُتصالِح لیَصرف بعد موته ماله فی الحجّ، فالأقوی فیه ما علیه المحقّق القمّی رحمه‌الله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الحجّ</w:t>
      </w:r>
      <w:r>
        <w:rPr>
          <w:rStyle w:val="FootnoteAnchor"/>
          <w:rtl w:val="true"/>
        </w:rPr>
        <w:footnoteReference w:id="533"/>
      </w:r>
      <w:r>
        <w:rPr>
          <w:rFonts w:ascii="IRNazanin" w:hAnsi="IRNazanin" w:eastAsia="IRNazanin"/>
          <w:color w:val="111111"/>
          <w:sz w:val="28"/>
          <w:sz w:val="28"/>
          <w:szCs w:val="28"/>
          <w:rtl w:val="true"/>
          <w:lang w:bidi="fa-IR"/>
        </w:rPr>
        <w:t>عنه</w:t>
      </w:r>
      <w:r>
        <w:rPr>
          <w:rStyle w:val="FootnoteAnchor"/>
          <w:rtl w:val="true"/>
        </w:rPr>
        <w:footnoteReference w:id="534"/>
      </w:r>
      <w:r>
        <w:rPr>
          <w:rFonts w:ascii="IRNazanin" w:hAnsi="IRNazanin" w:eastAsia="IRNazanin"/>
          <w:color w:val="111111"/>
          <w:sz w:val="28"/>
          <w:sz w:val="28"/>
          <w:szCs w:val="28"/>
          <w:rtl w:val="true"/>
          <w:lang w:bidi="fa-IR"/>
        </w:rPr>
        <w:t>أو عن غیره، أو ملّکه إیّاها</w:t>
      </w:r>
      <w:r>
        <w:rPr>
          <w:rStyle w:val="FootnoteAnchor"/>
          <w:rtl w:val="true"/>
        </w:rPr>
        <w:footnoteReference w:id="535"/>
      </w:r>
      <w:r>
        <w:rPr>
          <w:rFonts w:ascii="IRNazanin" w:hAnsi="IRNazanin" w:eastAsia="IRNazanin"/>
          <w:color w:val="111111"/>
          <w:sz w:val="28"/>
          <w:sz w:val="28"/>
          <w:szCs w:val="28"/>
          <w:rtl w:val="true"/>
          <w:lang w:bidi="fa-IR"/>
        </w:rPr>
        <w:t>أن یبیعها</w:t>
      </w:r>
      <w:r>
        <w:rPr>
          <w:rStyle w:val="FootnoteAnchor"/>
          <w:rtl w:val="true"/>
        </w:rPr>
        <w:footnoteReference w:id="5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قلنا بنفوذ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قیل بصحّة 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یناقش فی صحّة هذا الشرط، وأ نّه منافٍ لسلطنة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ویصرف ثمنها فی الحجّ أو نحوه، فجمیع ذلک صحیح لازم من الأصل</w:t>
      </w:r>
      <w:r>
        <w:rPr>
          <w:rStyle w:val="FootnoteAnchor"/>
          <w:rtl w:val="true"/>
        </w:rPr>
        <w:footnoteReference w:id="537"/>
      </w:r>
      <w:r>
        <w:rPr>
          <w:rFonts w:ascii="IRNazanin" w:hAnsi="IRNazanin" w:eastAsia="IRNazanin"/>
          <w:color w:val="111111"/>
          <w:sz w:val="28"/>
          <w:sz w:val="28"/>
          <w:szCs w:val="28"/>
          <w:rtl w:val="true"/>
          <w:lang w:bidi="fa-IR"/>
        </w:rPr>
        <w:t>، وإن کان العمل المشروط علیه ندبیّاً، نعم، له الخیار</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الخیار مع التمکّن من إلزام المشروط علیه علی الوفاء إشکال، ولا اختصاص لهذه فی المقام، بل یجری فی کلّیّة موارد التخلّف عن الشرط الّذی فی وفائه یجب إجبارُه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وفاؤه تحت 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نعم، للحاکم الشرعیّ الفسخ، وعلیه العمل بالشرط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الإجبار علی العمل ولو بالرجوع إلی الحاکم العرفیّ، مع عدم الإمکان بوجهٍ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تخلّف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وهذا ینتقل إلی الوارث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بمعنی أنّ حقّ</w:t>
      </w:r>
    </w:p>
    <w:p>
      <w:pPr>
        <w:pStyle w:val="BookText"/>
        <w:rPr/>
      </w:pPr>
      <w:r>
        <w:rPr>
          <w:rFonts w:ascii="IRNazanin" w:hAnsi="IRNazanin" w:eastAsia="IRNazanin"/>
          <w:color w:val="111111"/>
          <w:sz w:val="28"/>
          <w:sz w:val="28"/>
          <w:szCs w:val="28"/>
          <w:rtl w:val="true"/>
          <w:lang w:bidi="fa-IR"/>
        </w:rPr>
        <w:t>الشرط</w:t>
      </w:r>
      <w:r>
        <w:rPr>
          <w:rStyle w:val="FootnoteAnchor"/>
          <w:rtl w:val="true"/>
        </w:rPr>
        <w:footnoteReference w:id="539"/>
      </w:r>
      <w:r>
        <w:rPr>
          <w:rFonts w:ascii="IRNazanin" w:hAnsi="IRNazanin" w:eastAsia="IRNazanin"/>
          <w:color w:val="111111"/>
          <w:sz w:val="28"/>
          <w:sz w:val="28"/>
          <w:szCs w:val="28"/>
          <w:rtl w:val="true"/>
          <w:lang w:bidi="fa-IR"/>
        </w:rPr>
        <w:t>ینتقل إلی الوارث، فلو لم یعمل</w:t>
      </w:r>
      <w:r>
        <w:rPr>
          <w:rStyle w:val="FootnoteAnchor"/>
          <w:rtl w:val="true"/>
        </w:rPr>
        <w:footnoteReference w:id="540"/>
      </w:r>
      <w:r>
        <w:rPr>
          <w:rFonts w:ascii="IRNazanin" w:hAnsi="IRNazanin" w:eastAsia="IRNazanin"/>
          <w:color w:val="111111"/>
          <w:sz w:val="28"/>
          <w:sz w:val="28"/>
          <w:szCs w:val="28"/>
          <w:rtl w:val="true"/>
          <w:lang w:bidi="fa-IR"/>
        </w:rPr>
        <w:t>المشروط علیه بما شرط علیه یجوز للوارث أن یفسخ</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صرف الدار بعد الفسخ فی الحجّ من غیر حصّة القاصر من الوارث، بل الأحوط کون الفسخ بإذن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 نّه حیث لا تمکّن من الإجبار، والأحوط أن یکون فسخ الوارث بإذن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یکون فسخ الوارث بالإذن من الحاکم الشرعیّ، وأن یصرف الدار بعد الفسخ بمقتضی الوصیّة، والزائد فی وجوه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تعذّر الشرط، وعدم التمکّن من الإجبار، وفی هذه الصورة فی کون الخیار للورثة أو للحاکم إشکال، وبعد الفسخ فی انتقال المال إلی الورثة أو بقائه فی ملک المیّت فیُصرف فیما أوصی به أیضاً إشکال، والأظهر أنّ الخیار للحاکم الشرعیّ، ولزوم صرف المال فیما أوصی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إلزامه حتّی من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الإجبار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فسخ الوارث بإذنٍ من الحاکم، وصرف الدار فی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للورثة الرجوع إلی الحاکم الشرعیّ، کما أنّ الأحوط لهم صرف المال فیما عیّنه المورِث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یتمکّن من الإجبار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3284_130634"/>
    </w:p>
    <w:p>
      <w:pPr>
        <w:pStyle w:val="Heading4"/>
        <w:numPr>
          <w:ilvl w:val="3"/>
          <w:numId w:val="1"/>
        </w:numPr>
        <w:rPr/>
      </w:pPr>
      <w:bookmarkStart w:id="248" w:name="__RefHeading___Toc2055679_2322387425"/>
      <w:bookmarkStart w:id="249" w:name="_Toc89"/>
      <w:bookmarkEnd w:id="247"/>
      <w:bookmarkEnd w:id="248"/>
      <w:r>
        <w:rPr>
          <w:rtl w:val="true"/>
        </w:rPr>
        <w:t>حکم الوصیّة بالحجّ عنه ماشیاً أو حافیاً </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أوصی بأن یُحَجَّ عنه ماشیاً أو حافیاً صحّ، واعتُبِر خروجه من الثلث إن کان ندبیّاً، وخروج الزائد</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ما به التفاوت بین اُجرة الحجّ ماشیاً أو حافیاً، واُجرته لا کذلک، إلاّ أن یکون الواجب علیه کذلک ولو بالنذر أو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الکلپایگانی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مع عدم إجازة الوارث، کما هو کذلک بالنسبة إلی ما به التفاوت بینهما وبین الحجّ بغیرهما 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التفاوت بین اُجرة الحجّ ماشیاً أو حافیاً، وبین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والتفاوت بین اُجرة الحجّ ماشیاً أو حافیاً، وبین اُجرة غیرهما لو کان هناک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المیقاتیّة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التفاوت بین اُجرة الحجّ ماشیاً أو حافیاً،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التفاوت بین اُجرة الحجّ ماشیاً، واُجرته غیر ماشٍ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الزیادة لأجل المشی أو الحفاء، أو الخصوصیّات الاُخر التی أوصی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به التفاوت مطلقاً إن کان فی البَیْن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المیقاتیّة العادیة، فالطریق والتفاوت داخلان فی الزائد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البلدیّة کما تقدّم، واعتبر خروج الزائد من جهة المشی أو الحفاء فیخرج من الثلث، وکذلک کلّ خصوصیّة یوصی بها المیّت زائدة علی أصل الواجب فإنّها تخرج من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التفاوت بین اُجرة الحجّ ماشیاً أو حافیاً، وبین اُجرته غیر ماشٍ أو حافٍ إن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543"/>
      </w:r>
      <w:r>
        <w:rPr>
          <w:rFonts w:ascii="IRNazanin" w:hAnsi="IRNazanin" w:eastAsia="IRNazanin"/>
          <w:color w:val="111111"/>
          <w:sz w:val="28"/>
          <w:sz w:val="28"/>
          <w:szCs w:val="28"/>
          <w:rtl w:val="true"/>
          <w:lang w:bidi="fa-IR"/>
        </w:rPr>
        <w:t>إن کان واجباً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نذر فی حال حیاته أن یحجّ ماشیاً أو حافیاً ولم یأتِ به حتّی مات، وأوصی به أو لم یوصِ وجب الاستئجار</w:t>
      </w:r>
      <w:r>
        <w:rPr>
          <w:rStyle w:val="FootnoteAnchor"/>
          <w:rtl w:val="true"/>
        </w:rPr>
        <w:footnoteReference w:id="545"/>
      </w:r>
      <w:r>
        <w:rPr>
          <w:rFonts w:ascii="IRNazanin" w:hAnsi="IRNazanin" w:eastAsia="IRNazanin"/>
          <w:color w:val="111111"/>
          <w:sz w:val="28"/>
          <w:sz w:val="28"/>
          <w:szCs w:val="28"/>
          <w:rtl w:val="true"/>
          <w:lang w:bidi="fa-IR"/>
        </w:rPr>
        <w:t>عنه من أصل الترکة</w:t>
      </w:r>
      <w:r>
        <w:rPr>
          <w:rStyle w:val="FootnoteAnchor"/>
          <w:rtl w:val="true"/>
        </w:rPr>
        <w:footnoteReference w:id="546"/>
      </w:r>
      <w:r>
        <w:rPr>
          <w:rFonts w:ascii="IRNazanin" w:hAnsi="IRNazanin" w:eastAsia="IRNazanin"/>
          <w:color w:val="111111"/>
          <w:sz w:val="28"/>
          <w:sz w:val="28"/>
          <w:szCs w:val="28"/>
          <w:rtl w:val="true"/>
          <w:lang w:bidi="fa-IR"/>
        </w:rPr>
        <w:t>کذلک، نعم، لو کان نذره مقیّداً بالمشی</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وحدة المطلوب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ببدنه أمکن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الاستئجار عنه؛ لأنّ المنذور هو مشیه ببدنه فیسقط بموته؛ لأنّ مشی الأجیر لیس ببدنه، ففرق بین کون المباشرة قیداً فی المأمور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مورداً</w:t>
      </w:r>
      <w:r>
        <w:rPr>
          <w:rFonts w:eastAsia="Amiri" w:cs="Amiri" w:ascii="Amiri" w:hAnsi="Amiri"/>
          <w:color w:val="111111"/>
          <w:sz w:val="28"/>
          <w:szCs w:val="28"/>
          <w:rtl w:val="true"/>
          <w:lang w:bidi="ar-SA"/>
        </w:rPr>
        <w:t>.</w:t>
      </w:r>
      <w:bookmarkStart w:id="250" w:name="pg13284_130636"/>
    </w:p>
    <w:p>
      <w:pPr>
        <w:pStyle w:val="Heading4"/>
        <w:numPr>
          <w:ilvl w:val="3"/>
          <w:numId w:val="1"/>
        </w:numPr>
        <w:rPr/>
      </w:pPr>
      <w:bookmarkStart w:id="251" w:name="__RefHeading___Toc2055681_2322387425"/>
      <w:bookmarkStart w:id="252" w:name="_Toc90"/>
      <w:bookmarkEnd w:id="250"/>
      <w:bookmarkEnd w:id="251"/>
      <w:r>
        <w:rPr>
          <w:rtl w:val="true"/>
        </w:rPr>
        <w:t>حکم الوصیّة بحجّتین أو أزید وأنّها واجبة علیه</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بحجّتین أو أزید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واجبة علیه صُدِّقَ، وتخرج من أصل الترکة</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الإخراج من الأصل فی غیر حجّة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إقراره بالوجوب علیه فی مرض الموت وکان متّهماً، فی إقراره فالظاهر أ نّه کالإقرار بالدَین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فیه فی خروجه من الثلث إذا کان متّهماً، علی ما هو الأقوی</w:t>
      </w:r>
      <w:r>
        <w:rPr>
          <w:rFonts w:eastAsia="IRNazanin" w:cs="IRNazanin"/>
          <w:color w:val="111111"/>
          <w:sz w:val="28"/>
          <w:szCs w:val="28"/>
          <w:rtl w:val="true"/>
          <w:lang w:bidi="fa-IR"/>
        </w:rPr>
        <w:t>.</w:t>
      </w:r>
    </w:p>
    <w:p>
      <w:pPr>
        <w:pStyle w:val="Heading4"/>
        <w:numPr>
          <w:ilvl w:val="3"/>
          <w:numId w:val="1"/>
        </w:numPr>
        <w:rPr/>
      </w:pPr>
      <w:bookmarkStart w:id="253" w:name="__RefHeading___Toc2055683_2322387425"/>
      <w:bookmarkStart w:id="254" w:name="_Toc91"/>
      <w:bookmarkEnd w:id="253"/>
      <w:r>
        <w:rPr>
          <w:rtl w:val="true"/>
        </w:rPr>
        <w:t>الشکّ بعد موت الوصی فی تنفیذه الوصیّة</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الوصیّ بعد ما قبض من الترکة اُجرة الاستئجار وشکّ فی أ نّه استأجر الحجّ قبل موته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مضت مدّة یمکن الاستئجار فیها فالظاهر</w:t>
      </w:r>
      <w:r>
        <w:rPr>
          <w:rStyle w:val="FootnoteAnchor"/>
          <w:rtl w:val="true"/>
        </w:rPr>
        <w:footnoteReference w:id="549"/>
      </w:r>
      <w:r>
        <w:rPr>
          <w:rFonts w:ascii="IRNazanin" w:hAnsi="IRNazanin" w:eastAsia="IRNazanin"/>
          <w:color w:val="111111"/>
          <w:sz w:val="28"/>
          <w:sz w:val="28"/>
          <w:szCs w:val="28"/>
          <w:rtl w:val="true"/>
          <w:lang w:bidi="fa-IR"/>
        </w:rPr>
        <w:t>حمل</w:t>
      </w:r>
      <w:r>
        <w:rPr>
          <w:rStyle w:val="FootnoteAnchor"/>
          <w:rtl w:val="true"/>
        </w:rPr>
        <w:footnoteReference w:id="550"/>
      </w:r>
      <w:r>
        <w:rPr>
          <w:rFonts w:ascii="IRNazanin" w:hAnsi="IRNazanin" w:eastAsia="IRNazanin"/>
          <w:color w:val="111111"/>
          <w:sz w:val="28"/>
          <w:sz w:val="28"/>
          <w:szCs w:val="28"/>
          <w:rtl w:val="true"/>
          <w:lang w:bidi="fa-IR"/>
        </w:rPr>
        <w:t>أمره</w:t>
      </w:r>
      <w:r>
        <w:rPr>
          <w:rStyle w:val="FootnoteAnchor"/>
          <w:rtl w:val="true"/>
        </w:rPr>
        <w:footnoteReference w:id="551"/>
      </w:r>
      <w:r>
        <w:rPr>
          <w:rFonts w:ascii="Amiri" w:hAnsi="Amiri" w:eastAsia="Amiri" w:cs="Amiri"/>
          <w:color w:val="111111"/>
          <w:sz w:val="28"/>
          <w:sz w:val="28"/>
          <w:szCs w:val="28"/>
          <w:rtl w:val="true"/>
          <w:lang w:bidi="ar-SA"/>
        </w:rPr>
        <w:t>علی الصحّة</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انطباق قاعدة الحمل علی الصحّة لِمِثل المقام إشکال، مثل ما إذا مات وشکّ فی أداء دَینه الحالّ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تجری أصالة الصحّة فی المقام؛ لأنّ الشکّ فی أصل العمل لا فی صحّته، نعم، ما ذکره صحیح؛ لأنّ المدار فی باب الامتثال علی الطرق المتعارفة، ومن المعلوم أنّ الورثة عملوا بوظیفتهم، وهی إعطاء ما یقابل الحجّ بِیَدِ مَن له السلطنة وهو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فی الحواشی السابقة الإشکال فی جریان القاعدة فی أمثال هذه الموارد،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انطباق قاعدة الصحّة فی المقام وأمثاله، فلابدّ من الاستئجار من بقیّة الترکة إذا کان الحجّ واجباً، ومن بقیّة الثلث إذا کان الحجّ مندوباً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کون الوجوب فوریّاً</w:t>
      </w:r>
    </w:p>
    <w:p>
      <w:pPr>
        <w:pStyle w:val="BookText"/>
        <w:rPr/>
      </w:pPr>
      <w:r>
        <w:rPr>
          <w:rFonts w:ascii="IRNazanin" w:hAnsi="IRNazanin" w:eastAsia="IRNazanin"/>
          <w:color w:val="111111"/>
          <w:sz w:val="28"/>
          <w:sz w:val="28"/>
          <w:szCs w:val="28"/>
          <w:rtl w:val="true"/>
          <w:lang w:bidi="fa-IR"/>
        </w:rPr>
        <w:t>منه، ومع کونه موسّعاً إشکال</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بحکم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وجوب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الاستئجار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لابدّ من الاستئجار للحجّ،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حمل أمره أیضاً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تمضِ مدّة یمکن الاستئجار فیها وجب الاستئجار من بقیّة الترکة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الحجّ واجباً، ومن بقیّة الثلث إذا کان مندوباً، وفی ضمانه لِما قبض وعدمه لاحتمال تلفه عنده بلا ضمان</w:t>
      </w:r>
    </w:p>
    <w:p>
      <w:pPr>
        <w:pStyle w:val="BookText"/>
        <w:rPr/>
      </w:pPr>
      <w:r>
        <w:rPr>
          <w:rFonts w:ascii="IRNazanin" w:hAnsi="IRNazanin" w:eastAsia="IRNazanin"/>
          <w:color w:val="111111"/>
          <w:sz w:val="28"/>
          <w:sz w:val="28"/>
          <w:szCs w:val="28"/>
          <w:rtl w:val="true"/>
          <w:lang w:bidi="fa-IR"/>
        </w:rPr>
        <w:t>وجهان</w:t>
      </w:r>
      <w:r>
        <w:rPr>
          <w:rStyle w:val="FootnoteAnchor"/>
          <w:rtl w:val="true"/>
        </w:rPr>
        <w:footnoteReference w:id="5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أقواهما عدم الضمان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تلف ما قبضه وشُکّ فی الضمان وعدمه فالظاهر العدم، وأمّا إذا شُکّ فی التلف مع الضمان أو عدمه وعدم التلف فالظاهر الحکم بوجود المال، ویترتّب علیه أثره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الضمان؛ لأنّ ید الوصیّ ید أمانة، ومع الشکّ فی التعدّی والتفریط تجری أصالة البراءة عن اشتغال ذمّته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لضمانه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الضمان، وسیأتی منه فی المسألة التالیة عدمه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الضمان، ولا یبعد عدم أخذ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أظهرهما 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کان المال المقبوض موجوداً اُخذ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عامل معه معاملة الملکیّة فی حال حیاته أو عامل الورثة کذلک لا یبعد عدم جواز الأخذ علی إشکال، خصوصاً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فی الصورة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عدم التبرّع وعدم الحجّ، وإلاّ فلابدّ من مراجعة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احتمل أن یکون استأجر من مال نفسه إذا کان ممّا یحتاج إلی</w:t>
      </w:r>
      <w:bookmarkStart w:id="255" w:name="pg13284_130639"/>
    </w:p>
    <w:p>
      <w:pPr>
        <w:pStyle w:val="BookText"/>
        <w:rPr/>
      </w:pPr>
      <w:bookmarkEnd w:id="255"/>
      <w:r>
        <w:rPr>
          <w:rFonts w:ascii="IRNazanin" w:hAnsi="IRNazanin" w:eastAsia="IRNazanin"/>
          <w:color w:val="111111"/>
          <w:sz w:val="28"/>
          <w:sz w:val="28"/>
          <w:szCs w:val="28"/>
          <w:rtl w:val="true"/>
          <w:lang w:bidi="fa-IR"/>
        </w:rPr>
        <w:t>بیعه وصرفه فی الاُجرة، وتملّک ذلک المال بدلاً عمّا جعله اُجرة؛ لأصالة بقاء ذلک المال</w:t>
      </w:r>
      <w:r>
        <w:rPr>
          <w:rStyle w:val="FootnoteAnchor"/>
          <w:rtl w:val="true"/>
        </w:rPr>
        <w:footnoteReference w:id="555"/>
      </w:r>
      <w:r>
        <w:rPr>
          <w:rFonts w:ascii="IRNazanin" w:hAnsi="IRNazanin" w:eastAsia="IRNazanin"/>
          <w:color w:val="111111"/>
          <w:sz w:val="28"/>
          <w:sz w:val="28"/>
          <w:szCs w:val="28"/>
          <w:rtl w:val="true"/>
          <w:lang w:bidi="fa-IR"/>
        </w:rPr>
        <w:t>علی ملک المیّت</w:t>
      </w:r>
      <w:r>
        <w:rPr>
          <w:rFonts w:eastAsia="IRNazanin" w:cs="IRNazanin"/>
          <w:color w:val="111111"/>
          <w:sz w:val="28"/>
          <w:szCs w:val="28"/>
          <w:rtl w:val="true"/>
          <w:lang w:bidi="fa-IR"/>
        </w:rPr>
        <w:t>.</w:t>
      </w:r>
    </w:p>
    <w:p>
      <w:pPr>
        <w:pStyle w:val="Heading4"/>
        <w:numPr>
          <w:ilvl w:val="3"/>
          <w:numId w:val="1"/>
        </w:numPr>
        <w:rPr/>
      </w:pPr>
      <w:bookmarkStart w:id="256" w:name="__RefHeading___Toc2055685_2322387425"/>
      <w:bookmarkStart w:id="257" w:name="_Toc92"/>
      <w:bookmarkEnd w:id="256"/>
      <w:r>
        <w:rPr>
          <w:rtl w:val="true"/>
        </w:rPr>
        <w:t>حکم تلف اُجرة الحجّ فی ید الوصیّ من دون تقصیر</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الوصیّ الاُجرة وتلف فی یده بلا تقصیر لم یکن ضامناً، ووجب الاستئجار من بقیّة الترکة، أو بقیّة الثلث، وإن اقتسمت علیالورثة اسْتُرجِع منهم، وإن شُکّ فی کون التلف عن تقصیر أوْ لا فالظاهر عدم الضمان</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استظهار عدم الضمان هنا لا یلائم التردّد فیه فی المسألة السابقة، والفرق بمعلومیّة التلف هنا وعدمها فی السابقة غیر فارق، وکذا الحال فی لزوم الاستئجار من ترکة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وکذا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استأجر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ومات الأجیر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 یکن له ترکة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لم یمکن الأخذ من ورثته</w:t>
      </w:r>
      <w:r>
        <w:rPr>
          <w:rFonts w:eastAsia="IRNazanin" w:cs="IRNazanin"/>
          <w:color w:val="111111"/>
          <w:sz w:val="28"/>
          <w:szCs w:val="28"/>
          <w:rtl w:val="true"/>
          <w:lang w:bidi="fa-IR"/>
        </w:rPr>
        <w:t>.</w:t>
      </w:r>
      <w:bookmarkStart w:id="258" w:name="pg13284_130640"/>
    </w:p>
    <w:p>
      <w:pPr>
        <w:pStyle w:val="Heading4"/>
        <w:numPr>
          <w:ilvl w:val="3"/>
          <w:numId w:val="1"/>
        </w:numPr>
        <w:rPr/>
      </w:pPr>
      <w:bookmarkStart w:id="259" w:name="__RefHeading___Toc2055687_2322387425"/>
      <w:bookmarkStart w:id="260" w:name="_Toc93"/>
      <w:bookmarkEnd w:id="258"/>
      <w:bookmarkEnd w:id="259"/>
      <w:r>
        <w:rPr>
          <w:rtl w:val="true"/>
        </w:rPr>
        <w:t>الشکّ فی المال الموصی به للحجّ أنّه من الثلث أو لا؟</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بما عنده من المال للحجّ ندباً ولم یعلم أ نّه یخرج من الثلث أوْ لا لم یَجُزْ صرف جمیعه</w:t>
      </w:r>
      <w:r>
        <w:rPr>
          <w:rStyle w:val="FootnoteAnchor"/>
          <w:rtl w:val="true"/>
        </w:rPr>
        <w:footnoteReference w:id="557"/>
      </w:r>
      <w:r>
        <w:rPr>
          <w:rFonts w:ascii="Amiri" w:hAnsi="Amiri" w:eastAsia="Amiri" w:cs="Amiri"/>
          <w:color w:val="111111"/>
          <w:sz w:val="28"/>
          <w:sz w:val="28"/>
          <w:szCs w:val="28"/>
          <w:rtl w:val="true"/>
          <w:lang w:bidi="ar-SA"/>
        </w:rPr>
        <w:t>، نعم، لو ادّعی أنّ عند الورثة ضِعف هذا، أو أ نّه أوصی سابقاً بذلک والورثة أجازوا وصیّته ففی سماعِ دَعواهُ</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السماع؛ لأ نّه إخبار عمّا فی یده، ولکن بمعنی جواز تنفیذ الوصیّة فیما إذا لم تکن معارضة من الورثة، لا بمعنی عدم سماع کلام الورثة المنکرِین لها لو 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السماع إذا کان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السماع والعمل علیها فی غیر مورد التنازع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العدم مع إنکار الورثة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السماع؛ للحجیّة العقلائیة غیر المردوعة شرعاً لقول صاحب الید، ثمّ إنّ المقام لیس مقام الدعوی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سماع دعواه بما هو المعهود فی باب الدعاوی، لا بمعنی إنفاذ قوله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عدم 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موکول إلی نظر الحاکم الشرعی، وکیفیة تقریر الدعوی لدیه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السماع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3284_130641"/>
    </w:p>
    <w:p>
      <w:pPr>
        <w:pStyle w:val="Heading4"/>
        <w:numPr>
          <w:ilvl w:val="3"/>
          <w:numId w:val="1"/>
        </w:numPr>
        <w:rPr/>
      </w:pPr>
      <w:bookmarkStart w:id="262" w:name="__RefHeading___Toc2055689_2322387425"/>
      <w:bookmarkStart w:id="263" w:name="_Toc94"/>
      <w:bookmarkEnd w:id="261"/>
      <w:bookmarkEnd w:id="262"/>
      <w:r>
        <w:rPr>
          <w:rtl w:val="true"/>
        </w:rPr>
        <w:t>استحباب الطواف ومشروعیّته مستقلّاً</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الطواف مستحبّ مستقلاًّ من غیر أن یکون فی ضمن الحجّ، ویجوز النیابة فیه عن المیّت، وکذا عن الحیّ إذا کان غائباً</w:t>
      </w:r>
      <w:r>
        <w:rPr>
          <w:rStyle w:val="FootnoteAnchor"/>
          <w:rtl w:val="true"/>
        </w:rPr>
        <w:footnoteReference w:id="559"/>
      </w:r>
      <w:r>
        <w:rPr>
          <w:rFonts w:ascii="IRNazanin" w:hAnsi="IRNazanin" w:eastAsia="IRNazanin"/>
          <w:color w:val="111111"/>
          <w:sz w:val="28"/>
          <w:sz w:val="28"/>
          <w:szCs w:val="28"/>
          <w:rtl w:val="true"/>
          <w:lang w:bidi="fa-IR"/>
        </w:rPr>
        <w:t>عن مکّة، أو حاضراً وکان معذوراً فی الطواف بنفسه</w:t>
      </w:r>
      <w:r>
        <w:rPr>
          <w:rStyle w:val="FootnoteAnchor"/>
          <w:rtl w:val="true"/>
        </w:rPr>
        <w:footnoteReference w:id="560"/>
      </w:r>
      <w:r>
        <w:rPr>
          <w:rFonts w:ascii="IRNazanin" w:hAnsi="IRNazanin" w:eastAsia="IRNazanin"/>
          <w:color w:val="111111"/>
          <w:sz w:val="28"/>
          <w:sz w:val="28"/>
          <w:szCs w:val="28"/>
          <w:rtl w:val="true"/>
          <w:lang w:bidi="fa-IR"/>
        </w:rPr>
        <w:t>، وأمّا مع کونه حاضراً وغیر معذورٍ فلا تصحّ النیابة عنه، أمّا سائر أفعال الحجّ فاستحبابها مستقلاًّ غیر معلوم</w:t>
      </w:r>
      <w:r>
        <w:rPr>
          <w:rStyle w:val="FootnoteAnchor"/>
          <w:rtl w:val="true"/>
        </w:rPr>
        <w:footnoteReference w:id="561"/>
      </w:r>
      <w:r>
        <w:rPr>
          <w:rFonts w:ascii="IRNazanin" w:hAnsi="IRNazanin" w:eastAsia="IRNazanin"/>
          <w:color w:val="111111"/>
          <w:sz w:val="28"/>
          <w:sz w:val="28"/>
          <w:szCs w:val="28"/>
          <w:rtl w:val="true"/>
          <w:lang w:bidi="fa-IR"/>
        </w:rPr>
        <w:t>، حتّی مثل السعی</w:t>
      </w:r>
      <w:r>
        <w:rPr>
          <w:rStyle w:val="FootnoteAnchor"/>
          <w:rtl w:val="true"/>
        </w:rPr>
        <w:footnoteReference w:id="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خَبَری أبی بصیر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السعی، ح</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قیس عن الباقر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السعی،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مطلوبیة السعی نفساً، ولو لم تنضم إلیه بقیّة الأفعال فی العملَین الحجّ والعمرة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الصفا والمروة</w:t>
      </w:r>
      <w:r>
        <w:rPr>
          <w:rFonts w:eastAsia="IRNazanin" w:cs="IRNazanin"/>
          <w:color w:val="111111"/>
          <w:sz w:val="28"/>
          <w:szCs w:val="28"/>
          <w:rtl w:val="true"/>
          <w:lang w:bidi="fa-IR"/>
        </w:rPr>
        <w:t>.</w:t>
      </w:r>
    </w:p>
    <w:p>
      <w:pPr>
        <w:pStyle w:val="Heading4"/>
        <w:numPr>
          <w:ilvl w:val="3"/>
          <w:numId w:val="1"/>
        </w:numPr>
        <w:rPr/>
      </w:pPr>
      <w:bookmarkStart w:id="264" w:name="__RefHeading___Toc2055691_2322387425"/>
      <w:bookmarkStart w:id="265" w:name="_Toc95"/>
      <w:bookmarkEnd w:id="264"/>
      <w:r>
        <w:rPr>
          <w:rtl w:val="true"/>
        </w:rPr>
        <w:t>حکم الودیعة إذا مات صاحبها وعلیه حجّة الإسلام</w:t>
      </w:r>
      <w:bookmarkEnd w:id="26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 شخص ودیعة ومات صاحبها وکان علیه حجّة </w:t>
      </w:r>
    </w:p>
    <w:p>
      <w:pPr>
        <w:pStyle w:val="BookText"/>
        <w:rPr/>
      </w:pPr>
      <w:r>
        <w:rPr>
          <w:rFonts w:ascii="Amiri" w:hAnsi="Amiri" w:eastAsia="Amiri" w:cs="Amiri"/>
          <w:color w:val="111111"/>
          <w:sz w:val="28"/>
          <w:sz w:val="28"/>
          <w:szCs w:val="28"/>
          <w:rtl w:val="true"/>
          <w:lang w:bidi="ar-SA"/>
        </w:rPr>
        <w:t>الإسلام، وعَلِمَ</w:t>
      </w:r>
      <w:r>
        <w:rPr>
          <w:rStyle w:val="FootnoteAnchor"/>
          <w:rtl w:val="true"/>
        </w:rPr>
        <w:footnoteReference w:id="563"/>
      </w:r>
      <w:r>
        <w:rPr>
          <w:rFonts w:ascii="Amiri" w:hAnsi="Amiri" w:eastAsia="Amiri" w:cs="Amiri"/>
          <w:color w:val="111111"/>
          <w:sz w:val="28"/>
          <w:sz w:val="28"/>
          <w:szCs w:val="28"/>
          <w:rtl w:val="true"/>
          <w:lang w:bidi="ar-SA"/>
        </w:rPr>
        <w:t>أو ظَنّ</w:t>
      </w:r>
      <w:r>
        <w:rPr>
          <w:rStyle w:val="FootnoteAnchor"/>
          <w:rtl w:val="true"/>
        </w:rPr>
        <w:footnoteReference w:id="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ومع الشکّ أیضاً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الورثة لا یوءدُّون عنه إن ردّها إلیهم جاز بل وجب علیه أن یحجّ بها عنه، وإن زادت عن اُجرة الحجّ ردّ الزیادة إلیهم؛ لصحیحة برید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استودعنی مالاً فهلک ولیس لوارثه شیء، ولم یحجَّ حجّة الإسلام،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عنه، وما فَضُل فأعطِهِم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وإن کانت مطلقةً إلاّ أنّ الأصحاب قیّدوها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بما إذا عَلِمَ أو ظَنّ بعدم تأدیتهم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ظنّاً معتبراً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دفعها إلیهم، ومقتضی إطلاقها عدم الحاجة إلی الاستئذان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الحاکم الشرعیّ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ذلک للإذن من الإمام علیه‌السلام ـ کما تری ـ لأنّ الظاهر من کلام الإمام علیه‌السلام بیان الحکم الشرعیّ، ففی مورد الصحیحة لاحاجة إلی الإذن</w:t>
      </w:r>
      <w:r>
        <w:rPr>
          <w:rStyle w:val="FootnoteAnchor"/>
          <w:rtl w:val="true"/>
        </w:rPr>
        <w:footnoteReference w:id="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أحوط استحباباً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إذنه فیما کانت القضیة مَعرَضاً للخصومة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والظاهر عدم الاختصاص بما إذا لم یکن للورثة شیء، وکذا عدم الاختصاص بحجّ الودعیّ بنفسه؛ لانفهام الأعمّ من ذلک منها، وهل یلحق بحجّة الإسلام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ذلک بحجّ الإسلام والحجّ النذری، وبالواجبات المالیّة من خمسٍ وزکاةٍ ومظالمٍ ودیونٍ، ولا یعمّ الکفّارات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أقسام الحجّ الواجب أو غیر الحجّ من سائر ما یجب علیه مثل الخمس والزکاة والمظالم والکفّارات والدَین، أوْ لا؟ وکذا هل یلحق بالودیعة غیرها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 العاریة والعین المستأجرة والمغصوبة والدَین فی ذمّته، أوْ لا؟ وجهان، قد یقال بالثانی؛ لأنّ الحکم علی خلاف القاعدة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الترکة مع الدَین تنتقل إلی الوارث وإن کانوا مکلّفین بأداء الدَین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ومحجورین عن التصرّف قبله، بل وکذا علی القول ببقائها معه علی حکم مال المیّت؛ لأنّ أمر الوفاء إلیهم، فلعلّهم أرادوا الوفاء من غیر هذا المال، أو أرادوا أن یباشروا العمل الّذی علی المیّت بأنفسهم،</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566"/>
      </w:r>
      <w:r>
        <w:rPr>
          <w:rFonts w:ascii="IRNazanin" w:hAnsi="IRNazanin" w:eastAsia="IRNazanin"/>
          <w:color w:val="111111"/>
          <w:sz w:val="28"/>
          <w:sz w:val="28"/>
          <w:szCs w:val="28"/>
          <w:rtl w:val="true"/>
          <w:lang w:bidi="fa-IR"/>
        </w:rPr>
        <w:t>مع العلم</w:t>
      </w:r>
      <w:r>
        <w:rPr>
          <w:rStyle w:val="FootnoteAnchor"/>
          <w:rtl w:val="true"/>
        </w:rPr>
        <w:footnoteReference w:id="567"/>
      </w:r>
      <w:r>
        <w:rPr>
          <w:rFonts w:ascii="Amiri" w:hAnsi="Amiri" w:eastAsia="Amiri" w:cs="Amiri"/>
          <w:color w:val="111111"/>
          <w:sz w:val="28"/>
          <w:sz w:val="28"/>
          <w:szCs w:val="28"/>
          <w:rtl w:val="true"/>
          <w:lang w:bidi="ar-SA"/>
        </w:rPr>
        <w:t>بأنّ الورثة لا یوءدّون، بل مع الظنّ</w:t>
      </w:r>
      <w:r>
        <w:rPr>
          <w:rStyle w:val="FootnoteAnchor"/>
          <w:rtl w:val="true"/>
        </w:rPr>
        <w:footnoteReference w:id="568"/>
      </w:r>
      <w:r>
        <w:rPr>
          <w:rFonts w:ascii="Amiri" w:hAnsi="Amiri" w:eastAsia="Amiri" w:cs="Amiri"/>
          <w:color w:val="111111"/>
          <w:sz w:val="28"/>
          <w:sz w:val="28"/>
          <w:szCs w:val="28"/>
          <w:rtl w:val="true"/>
          <w:lang w:bidi="ar-SA"/>
        </w:rPr>
        <w:t>القویّ أیضاً جواز الصَرف فیما علیه</w:t>
      </w:r>
      <w:r>
        <w:rPr>
          <w:rStyle w:val="FootnoteAnchor"/>
          <w:rtl w:val="true"/>
        </w:rPr>
        <w:footnoteReference w:id="569"/>
      </w:r>
      <w:r>
        <w:rPr>
          <w:rFonts w:ascii="IRNazanin" w:hAnsi="IRNazanin" w:eastAsia="IRNazanin"/>
          <w:color w:val="111111"/>
          <w:sz w:val="28"/>
          <w:sz w:val="28"/>
          <w:szCs w:val="28"/>
          <w:rtl w:val="true"/>
          <w:lang w:bidi="fa-IR"/>
        </w:rPr>
        <w:t>، لا لِما ذکره فی المستند من أنّ وفاء ما علی المیّت من الدَین أو نحوه واجب کفائیّ</w:t>
      </w:r>
      <w:r>
        <w:rPr>
          <w:rStyle w:val="FootnoteAnchor"/>
          <w:rtl w:val="true"/>
        </w:rPr>
        <w:footnoteReference w:id="570"/>
      </w:r>
      <w:r>
        <w:rPr>
          <w:rFonts w:ascii="IRNazanin" w:hAnsi="IRNazanin" w:eastAsia="IRNazanin"/>
          <w:color w:val="111111"/>
          <w:sz w:val="28"/>
          <w:sz w:val="28"/>
          <w:szCs w:val="28"/>
          <w:rtl w:val="true"/>
          <w:lang w:bidi="fa-IR"/>
        </w:rPr>
        <w:t>علی کلّ مَن قَدِرَ علی ذلک، وأولویّة الورثة بالترکة إنّما هی مادامت موجودة، وأمّا إذا بادر أحد إلی صرف المال فیما علیه لا یبقی مال حتّی تکون الورثة أولی به؛ إذ هذه الدعوی فاسدة جدّاً، بل لإمکان فهم المثال</w:t>
      </w:r>
      <w:r>
        <w:rPr>
          <w:rStyle w:val="FootnoteAnchor"/>
          <w:rtl w:val="true"/>
        </w:rPr>
        <w:footnoteReference w:id="571"/>
      </w:r>
      <w:r>
        <w:rPr>
          <w:rFonts w:ascii="IRNazanin" w:hAnsi="IRNazanin" w:eastAsia="IRNazanin"/>
          <w:color w:val="111111"/>
          <w:sz w:val="28"/>
          <w:sz w:val="28"/>
          <w:szCs w:val="28"/>
          <w:rtl w:val="true"/>
          <w:lang w:bidi="fa-IR"/>
        </w:rPr>
        <w:t>من الصحیحة، أو دعوی تنقیح المناط، أو أنّ المال</w:t>
      </w:r>
      <w:r>
        <w:rPr>
          <w:rStyle w:val="FootnoteAnchor"/>
          <w:rtl w:val="true"/>
        </w:rPr>
        <w:footnoteReference w:id="572"/>
      </w:r>
      <w:r>
        <w:rPr>
          <w:rFonts w:ascii="IRNazanin" w:hAnsi="IRNazanin" w:eastAsia="IRNazanin"/>
          <w:color w:val="111111"/>
          <w:sz w:val="28"/>
          <w:sz w:val="28"/>
          <w:szCs w:val="28"/>
          <w:rtl w:val="true"/>
          <w:lang w:bidi="fa-IR"/>
        </w:rPr>
        <w:t>إذا کان بحکم مال المیّت</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الوجه هو الصحیح، لکنّه یختصّ بما إذا کان المیّت لا یملک مالاً آخر یفی باُجرة الحجّ؛ فإنّه مع الملک لا یتعیّن صرف خصوص ما عند الودعیّ ونحوه فی الدین، بل الواجب صرف الجامع بینه وبین مالٍ آخر، والباقی فی ملک المیّت حینئذٍ هو الکلّی، وأمّا شخص المال فهو للوارث فیجری فیه ما یجری فی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فی فرض وجوب الصرف فی الدَین ونحوه وعدم جواز دفعه إلی الوارث لم تثبت ولایة لمن عنده المال علی الصرف، فلابدّ من الاستجازة من الحاکم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الّذی یظهر من الأدلّة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صَرفه علیه، ولا یجوز</w:t>
      </w:r>
    </w:p>
    <w:p>
      <w:pPr>
        <w:pStyle w:val="BookText"/>
        <w:rPr/>
      </w:pPr>
      <w:r>
        <w:rPr>
          <w:rFonts w:ascii="IRNazanin" w:hAnsi="IRNazanin" w:eastAsia="IRNazanin"/>
          <w:color w:val="111111"/>
          <w:sz w:val="28"/>
          <w:sz w:val="28"/>
          <w:szCs w:val="28"/>
          <w:rtl w:val="true"/>
          <w:lang w:bidi="fa-IR"/>
        </w:rPr>
        <w:t>دفعه إلی مَن لا یصرفه علیه، بل وکذا علی القول بالانتقال إلی الورثة؛ حیث إنّه یجب صَرفه فی دینه، فمن باب الحِسبة یجب</w:t>
      </w:r>
      <w:r>
        <w:rPr>
          <w:rStyle w:val="FootnoteAnchor"/>
          <w:rtl w:val="true"/>
        </w:rPr>
        <w:footnoteReference w:id="574"/>
      </w:r>
      <w:r>
        <w:rPr>
          <w:rFonts w:ascii="IRNazanin" w:hAnsi="IRNazanin" w:eastAsia="IRNazanin"/>
          <w:color w:val="111111"/>
          <w:sz w:val="28"/>
          <w:sz w:val="28"/>
          <w:szCs w:val="28"/>
          <w:rtl w:val="true"/>
          <w:lang w:bidi="fa-IR"/>
        </w:rPr>
        <w:t>علی مَن عنده صَرفه علیه، ویضمن</w:t>
      </w:r>
      <w:r>
        <w:rPr>
          <w:rStyle w:val="FootnoteAnchor"/>
          <w:rtl w:val="true"/>
        </w:rPr>
        <w:footnoteReference w:id="575"/>
      </w:r>
      <w:r>
        <w:rPr>
          <w:rFonts w:ascii="IRNazanin" w:hAnsi="IRNazanin" w:eastAsia="IRNazanin"/>
          <w:color w:val="111111"/>
          <w:sz w:val="28"/>
          <w:sz w:val="28"/>
          <w:szCs w:val="28"/>
          <w:rtl w:val="true"/>
          <w:lang w:bidi="fa-IR"/>
        </w:rPr>
        <w:t>لو دفعه</w:t>
      </w:r>
      <w:r>
        <w:rPr>
          <w:rStyle w:val="FootnoteAnchor"/>
          <w:rtl w:val="true"/>
        </w:rPr>
        <w:footnoteReference w:id="576"/>
      </w:r>
      <w:r>
        <w:rPr>
          <w:rFonts w:ascii="IRNazanin" w:hAnsi="IRNazanin" w:eastAsia="IRNazanin"/>
          <w:color w:val="111111"/>
          <w:sz w:val="28"/>
          <w:sz w:val="28"/>
          <w:szCs w:val="28"/>
          <w:rtl w:val="true"/>
          <w:lang w:bidi="fa-IR"/>
        </w:rPr>
        <w:t>إلی الوارث لتفویته علی المیّت، نعم، یجب</w:t>
      </w:r>
      <w:r>
        <w:rPr>
          <w:rStyle w:val="FootnoteAnchor"/>
          <w:rtl w:val="true"/>
        </w:rPr>
        <w:footnoteReference w:id="577"/>
      </w:r>
      <w:r>
        <w:rPr>
          <w:rFonts w:ascii="IRNazanin" w:hAnsi="IRNazanin" w:eastAsia="IRNazanin"/>
          <w:color w:val="111111"/>
          <w:sz w:val="28"/>
          <w:sz w:val="28"/>
          <w:szCs w:val="28"/>
          <w:rtl w:val="true"/>
          <w:lang w:bidi="fa-IR"/>
        </w:rPr>
        <w:t>الاستیذان</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الاحتمال الأخیر الّذی ضعّفناه، وکیف کان فلیس المورد من موارد الرجوع إلی الحاکم، بل هو منافٍ لِما اعترف به فی صدر المسألة بعدم الحاجة إلی الاستئذان من الحاکم الشرعی، بناءً علی فهم المثال من الصحیحة، أو تنقیح المناط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مقتضی الوجهَین الأوّلَین المذکورَین فی المتن للتعدّی عدم لزوم الاستئذان، فالأقوی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 نّه ولیّ مَن لا ولیّ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ویکفی الإذن</w:t>
      </w:r>
      <w:bookmarkStart w:id="266" w:name="pg13284_130646"/>
    </w:p>
    <w:p>
      <w:pPr>
        <w:pStyle w:val="BookText"/>
        <w:rPr/>
      </w:pPr>
      <w:bookmarkEnd w:id="266"/>
      <w:r>
        <w:rPr>
          <w:rFonts w:ascii="Amiri" w:hAnsi="Amiri" w:eastAsia="Amiri" w:cs="Amiri"/>
          <w:color w:val="111111"/>
          <w:sz w:val="28"/>
          <w:sz w:val="28"/>
          <w:szCs w:val="28"/>
          <w:rtl w:val="true"/>
          <w:lang w:bidi="ar-SA"/>
        </w:rPr>
        <w:t>الإجمالیّ</w:t>
      </w:r>
      <w:r>
        <w:rPr>
          <w:rStyle w:val="FootnoteAnchor"/>
          <w:rtl w:val="true"/>
        </w:rPr>
        <w:footnoteReference w:id="579"/>
      </w:r>
      <w:r>
        <w:rPr>
          <w:rFonts w:ascii="IRNazanin" w:hAnsi="IRNazanin" w:eastAsia="IRNazanin"/>
          <w:color w:val="111111"/>
          <w:sz w:val="28"/>
          <w:sz w:val="28"/>
          <w:szCs w:val="28"/>
          <w:rtl w:val="true"/>
          <w:lang w:bidi="fa-IR"/>
        </w:rPr>
        <w:t>، فلا یحتاج إلی إثبات وجوب</w:t>
      </w:r>
      <w:r>
        <w:rPr>
          <w:rStyle w:val="FootnoteAnchor"/>
          <w:rtl w:val="true"/>
        </w:rPr>
        <w:footnoteReference w:id="580"/>
      </w:r>
      <w:r>
        <w:rPr>
          <w:rFonts w:ascii="IRNazanin" w:hAnsi="IRNazanin" w:eastAsia="IRNazanin"/>
          <w:color w:val="111111"/>
          <w:sz w:val="28"/>
          <w:sz w:val="28"/>
          <w:szCs w:val="28"/>
          <w:rtl w:val="true"/>
          <w:lang w:bidi="fa-IR"/>
        </w:rPr>
        <w:t>ذلک الواجب</w:t>
      </w:r>
      <w:r>
        <w:rPr>
          <w:rStyle w:val="FootnoteAnchor"/>
          <w:rtl w:val="true"/>
        </w:rPr>
        <w:footnoteReference w:id="581"/>
      </w:r>
      <w:r>
        <w:rPr>
          <w:rFonts w:ascii="IRNazanin" w:hAnsi="IRNazanin" w:eastAsia="IRNazanin"/>
          <w:color w:val="111111"/>
          <w:sz w:val="28"/>
          <w:sz w:val="28"/>
          <w:szCs w:val="28"/>
          <w:rtl w:val="true"/>
          <w:lang w:bidi="fa-IR"/>
        </w:rPr>
        <w:t>علیه</w:t>
      </w:r>
      <w:r>
        <w:rPr>
          <w:rStyle w:val="FootnoteAnchor"/>
          <w:rtl w:val="true"/>
        </w:rPr>
        <w:footnoteReference w:id="582"/>
      </w:r>
      <w:r>
        <w:rPr>
          <w:rFonts w:ascii="IRNazanin" w:hAnsi="IRNazanin" w:eastAsia="IRNazanin"/>
          <w:color w:val="111111"/>
          <w:sz w:val="28"/>
          <w:sz w:val="28"/>
          <w:szCs w:val="28"/>
          <w:rtl w:val="true"/>
          <w:lang w:bidi="fa-IR"/>
        </w:rPr>
        <w:t>، کما قد یتخیّل، نعم، لو لم یعلم ولم یظنَّ عدم تأدیة الوارث لا یجب الدفع إلیه، بل لو کان الوارث منکِراً</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سقوط حقّ الورثة فی أمثال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ممتنعاً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موجبیّة الامتناع لسقوط أولویّة الوارث، فلا یجوز دفعه إلیه إذا لم یکن إجباره ممکناً، وکذا إنکاره إذا کان لتضییع حقّ المیّت، بل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وأمکن إثبات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 الحاکم، أو أمکن إجباره علیه لم یَجُزْ لمن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یصرفه بنفسه</w:t>
      </w:r>
      <w:r>
        <w:rPr>
          <w:rFonts w:eastAsia="IRNazanin" w:cs="IRNazanin"/>
          <w:color w:val="111111"/>
          <w:sz w:val="28"/>
          <w:szCs w:val="28"/>
          <w:rtl w:val="true"/>
          <w:lang w:bidi="fa-IR"/>
        </w:rPr>
        <w:t>.</w:t>
      </w:r>
    </w:p>
    <w:p>
      <w:pPr>
        <w:pStyle w:val="Heading4"/>
        <w:numPr>
          <w:ilvl w:val="3"/>
          <w:numId w:val="1"/>
        </w:numPr>
        <w:rPr/>
      </w:pPr>
      <w:bookmarkStart w:id="267" w:name="__RefHeading___Toc2055693_2322387425"/>
      <w:bookmarkStart w:id="268" w:name="_Toc96"/>
      <w:bookmarkEnd w:id="267"/>
      <w:r>
        <w:rPr>
          <w:rtl w:val="true"/>
        </w:rPr>
        <w:t>جواز طواف النائب عن نفسه بعد الفراغ وعن غیره</w:t>
      </w:r>
      <w:bookmarkEnd w:id="26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للنائب بعد الفراغ عن الأعمال للمنوب عنه أن یطوف عن نفسه وعن غیره، وکذا یجوز له أن یأتی بالعمرة المفردة عن نفسه</w:t>
      </w:r>
      <w:r>
        <w:rPr>
          <w:rStyle w:val="FootnoteAnchor"/>
          <w:rtl w:val="true"/>
        </w:rPr>
        <w:footnoteReference w:id="584"/>
      </w:r>
      <w:r>
        <w:rPr>
          <w:rFonts w:ascii="IRNazanin" w:hAnsi="IRNazanin" w:eastAsia="IRNazanin"/>
          <w:color w:val="111111"/>
          <w:sz w:val="28"/>
          <w:sz w:val="28"/>
          <w:szCs w:val="28"/>
          <w:rtl w:val="true"/>
          <w:lang w:bidi="fa-IR"/>
        </w:rPr>
        <w:t>وعن غیره</w:t>
      </w:r>
      <w:r>
        <w:rPr>
          <w:rFonts w:eastAsia="IRNazanin" w:cs="IRNazanin"/>
          <w:color w:val="111111"/>
          <w:sz w:val="28"/>
          <w:szCs w:val="28"/>
          <w:rtl w:val="true"/>
          <w:lang w:bidi="fa-IR"/>
        </w:rPr>
        <w:t xml:space="preserve">. </w:t>
      </w:r>
      <w:bookmarkStart w:id="269" w:name="pg13284_130647"/>
    </w:p>
    <w:p>
      <w:pPr>
        <w:pStyle w:val="Heading4"/>
        <w:numPr>
          <w:ilvl w:val="3"/>
          <w:numId w:val="1"/>
        </w:numPr>
        <w:rPr/>
      </w:pPr>
      <w:bookmarkStart w:id="270" w:name="__RefHeading___Toc2055695_2322387425"/>
      <w:bookmarkStart w:id="271" w:name="_Toc97"/>
      <w:bookmarkEnd w:id="269"/>
      <w:bookmarkEnd w:id="270"/>
      <w:r>
        <w:rPr>
          <w:rtl w:val="true"/>
        </w:rPr>
        <w:t>جواز مباشرة الحجّ من قِبَل الآخذ للمال بنفسه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لمن أعطاه رجل مالاً لاستئجار الحجّ أن یحجّ بنفسه ما لم یعلم</w:t>
      </w:r>
      <w:r>
        <w:rPr>
          <w:rStyle w:val="FootnoteAnchor"/>
          <w:rtl w:val="true"/>
        </w:rPr>
        <w:footnoteReference w:id="585"/>
      </w:r>
      <w:r>
        <w:rPr>
          <w:rFonts w:ascii="IRNazanin" w:hAnsi="IRNazanin" w:eastAsia="IRNazanin"/>
          <w:color w:val="111111"/>
          <w:sz w:val="28"/>
          <w:sz w:val="28"/>
          <w:szCs w:val="28"/>
          <w:rtl w:val="true"/>
          <w:lang w:bidi="fa-IR"/>
        </w:rPr>
        <w:t>أ نّه أراد الاستئجار من الغیر، والأحوط عدم مباشرته</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العلم بأنّ مراد المُعطِی حصول الحجّ فی الخارج، وإذا عیّن شخصاً تعیّن، إلاّ إذا علم عدم أهلیّته، وأنّ المُعطی مشتبه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تعیینه، أو أنّ ذکره من باب أحد الأفراد</w:t>
      </w:r>
      <w:r>
        <w:rPr>
          <w:rFonts w:eastAsia="IRNazanin" w:cs="IRNazanin"/>
          <w:color w:val="111111"/>
          <w:sz w:val="28"/>
          <w:szCs w:val="28"/>
          <w:rtl w:val="true"/>
          <w:lang w:bidi="fa-IR"/>
        </w:rPr>
        <w:t>.</w:t>
      </w:r>
      <w:bookmarkStart w:id="272" w:name="pg13284_130648"/>
    </w:p>
    <w:p>
      <w:pPr>
        <w:pStyle w:val="Heading3"/>
        <w:numPr>
          <w:ilvl w:val="2"/>
          <w:numId w:val="1"/>
        </w:numPr>
        <w:rPr/>
      </w:pPr>
      <w:bookmarkStart w:id="273" w:name="__RefHeading___Toc2055697_2322387425"/>
      <w:bookmarkStart w:id="274" w:name="_Toc98"/>
      <w:bookmarkEnd w:id="272"/>
      <w:bookmarkEnd w:id="273"/>
      <w:r>
        <w:rPr>
          <w:rtl w:val="true"/>
        </w:rPr>
        <w:t>فصل</w:t>
      </w:r>
      <w:r>
        <w:rPr>
          <w:rtl w:val="true"/>
        </w:rPr>
        <w:t xml:space="preserve">: </w:t>
      </w:r>
      <w:r>
        <w:rPr>
          <w:rtl w:val="true"/>
        </w:rPr>
        <w:t>فی الحجّ المندوب</w:t>
      </w:r>
      <w:bookmarkEnd w:id="274"/>
    </w:p>
    <w:p>
      <w:pPr>
        <w:pStyle w:val="Heading4"/>
        <w:numPr>
          <w:ilvl w:val="3"/>
          <w:numId w:val="1"/>
        </w:numPr>
        <w:rPr/>
      </w:pPr>
      <w:bookmarkStart w:id="275" w:name="__RefHeading___Toc2055699_2322387425"/>
      <w:bookmarkStart w:id="276" w:name="_Toc99"/>
      <w:bookmarkEnd w:id="275"/>
      <w:r>
        <w:rPr>
          <w:rtl w:val="true"/>
        </w:rPr>
        <w:t>استحباب الحجّ من فاقد الشرائط وکراهة الترک</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لفاقد الشرائط من البلوغ والاستطاعة وغیرهما أن یحجّ مهما أمکن، بل وکذا من أتی بوظیفته من الحجّ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تکرار الحجّ، بل یستحبّ تکراره</w:t>
      </w:r>
      <w:r>
        <w:rPr>
          <w:rStyle w:val="FootnoteAnchor"/>
          <w:rtl w:val="true"/>
        </w:rPr>
        <w:footnoteReference w:id="587"/>
      </w:r>
      <w:r>
        <w:rPr>
          <w:rFonts w:ascii="Amiri" w:hAnsi="Amiri" w:eastAsia="Amiri" w:cs="Amiri"/>
          <w:color w:val="111111"/>
          <w:sz w:val="28"/>
          <w:sz w:val="28"/>
          <w:szCs w:val="28"/>
          <w:rtl w:val="true"/>
          <w:lang w:bidi="ar-SA"/>
        </w:rPr>
        <w:t>فی کلّ سنة، بل یُکرَه ترکه</w:t>
      </w:r>
      <w:r>
        <w:rPr>
          <w:rStyle w:val="FootnoteAnchor"/>
          <w:rtl w:val="true"/>
        </w:rPr>
        <w:footnoteReference w:id="588"/>
      </w:r>
      <w:r>
        <w:rPr>
          <w:rFonts w:ascii="IRNazanin" w:hAnsi="IRNazanin" w:eastAsia="IRNazanin"/>
          <w:color w:val="111111"/>
          <w:sz w:val="28"/>
          <w:sz w:val="28"/>
          <w:szCs w:val="28"/>
          <w:rtl w:val="true"/>
          <w:lang w:bidi="fa-IR"/>
        </w:rPr>
        <w:t>خمس سنین</w:t>
      </w:r>
      <w:r>
        <w:rPr>
          <w:rStyle w:val="FootnoteAnchor"/>
          <w:rtl w:val="true"/>
        </w:rPr>
        <w:footnoteReference w:id="589"/>
      </w:r>
      <w:r>
        <w:rPr>
          <w:rFonts w:ascii="IRNazanin" w:hAnsi="IRNazanin" w:eastAsia="IRNazanin"/>
          <w:color w:val="111111"/>
          <w:sz w:val="28"/>
          <w:sz w:val="28"/>
          <w:szCs w:val="28"/>
          <w:rtl w:val="true"/>
          <w:lang w:bidi="fa-IR"/>
        </w:rPr>
        <w:t>متوالیة، وفی بعض الأخبار</w:t>
      </w:r>
      <w:r>
        <w:rPr>
          <w:rStyle w:val="FootnoteAnchor"/>
          <w:rtl w:val="true"/>
        </w:rPr>
        <w:footnoteReference w:id="590"/>
      </w:r>
      <w:r>
        <w:rPr>
          <w:rFonts w:ascii="Amiri" w:hAnsi="Amiri" w:eastAsia="Amiri" w:cs="Amiri"/>
          <w:color w:val="111111"/>
          <w:sz w:val="28"/>
          <w:sz w:val="28"/>
          <w:szCs w:val="28"/>
          <w:rtl w:val="true"/>
          <w:lang w:bidi="ar-SA"/>
        </w:rPr>
        <w:t>من حجّ ثلاث حجّاتٍ لم یُصِبه فقر أبداً</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2055701_2322387425"/>
      <w:bookmarkStart w:id="278" w:name="_Toc100"/>
      <w:bookmarkEnd w:id="277"/>
      <w:r>
        <w:rPr>
          <w:rtl w:val="true"/>
        </w:rPr>
        <w:t>استحباب نیّة العود عند الخروج من مکّة</w:t>
      </w:r>
      <w:bookmarkEnd w:id="27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نیّة العَود إلی الحجّ عند الخروج من مکّة، 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توجب الزیادة</w:t>
      </w:r>
      <w:r>
        <w:rPr>
          <w:rStyle w:val="FootnoteAnchor"/>
          <w:rtl w:val="true"/>
        </w:rPr>
        <w:footnoteReference w:id="591"/>
      </w:r>
      <w:r>
        <w:rPr>
          <w:rFonts w:ascii="Amiri" w:hAnsi="Amiri" w:eastAsia="Amiri" w:cs="Amiri"/>
          <w:color w:val="111111"/>
          <w:sz w:val="28"/>
          <w:sz w:val="28"/>
          <w:szCs w:val="28"/>
          <w:rtl w:val="true"/>
          <w:lang w:bidi="ar-SA"/>
        </w:rPr>
        <w:t>فی العُمُر، ویُکره نیّة عدم العود،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w:t>
      </w:r>
      <w:bookmarkStart w:id="279" w:name="pg13284_130649"/>
    </w:p>
    <w:p>
      <w:pPr>
        <w:pStyle w:val="BookText"/>
        <w:rPr/>
      </w:pPr>
      <w:bookmarkEnd w:id="279"/>
      <w:r>
        <w:rPr>
          <w:rFonts w:ascii="Amiri" w:hAnsi="Amiri" w:eastAsia="Amiri" w:cs="Amiri"/>
          <w:color w:val="111111"/>
          <w:sz w:val="28"/>
          <w:sz w:val="28"/>
          <w:szCs w:val="28"/>
          <w:rtl w:val="true"/>
          <w:lang w:bidi="ar-SA"/>
        </w:rPr>
        <w:t>تُوجِب النقص فی العمر</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2055703_2322387425"/>
      <w:bookmarkStart w:id="281" w:name="_Toc101"/>
      <w:bookmarkEnd w:id="280"/>
      <w:r>
        <w:rPr>
          <w:rtl w:val="true"/>
        </w:rPr>
        <w:t>استحباب التبرّع بالحجّ عن الغیر</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التبرّع</w:t>
      </w:r>
      <w:r>
        <w:rPr>
          <w:rStyle w:val="FootnoteAnchor"/>
          <w:rtl w:val="true"/>
        </w:rPr>
        <w:footnoteReference w:id="593"/>
      </w:r>
      <w:r>
        <w:rPr>
          <w:rFonts w:ascii="IRNazanin" w:hAnsi="IRNazanin" w:eastAsia="IRNazanin"/>
          <w:color w:val="111111"/>
          <w:sz w:val="28"/>
          <w:sz w:val="28"/>
          <w:szCs w:val="28"/>
          <w:rtl w:val="true"/>
          <w:lang w:bidi="fa-IR"/>
        </w:rPr>
        <w:t>بالحجّ عن الأقارب وغیرهم أحیاءً وأمواتاً، وکذا عن المعصومین علیهم‌السلام أحیاءً وأمواتاً، وکذا یُستحبّ الطواف عن الغیر وعن المعصومین علیهم‌السلام أمواتاً وأحیاءً مع عدم حضورهم فی مکّة، أو کونهم معذورین</w:t>
      </w:r>
      <w:r>
        <w:rPr>
          <w:rFonts w:eastAsia="IRNazanin" w:cs="IRNazanin"/>
          <w:color w:val="111111"/>
          <w:sz w:val="28"/>
          <w:szCs w:val="28"/>
          <w:rtl w:val="true"/>
          <w:lang w:bidi="fa-IR"/>
        </w:rPr>
        <w:t>.</w:t>
      </w:r>
    </w:p>
    <w:p>
      <w:pPr>
        <w:pStyle w:val="Heading4"/>
        <w:numPr>
          <w:ilvl w:val="3"/>
          <w:numId w:val="1"/>
        </w:numPr>
        <w:rPr/>
      </w:pPr>
      <w:bookmarkStart w:id="282" w:name="__RefHeading___Toc2055705_2322387425"/>
      <w:bookmarkStart w:id="283" w:name="_Toc102"/>
      <w:bookmarkEnd w:id="282"/>
      <w:r>
        <w:rPr>
          <w:rtl w:val="true"/>
        </w:rPr>
        <w:t>استحباب الاستقراض للحجّ مع الوثوق بالوفاء</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لیس له زاد وراحلة أن یستقرض ویحجّ إذا کان واثقاً بالوفاء بعد ذلک</w:t>
      </w:r>
      <w:r>
        <w:rPr>
          <w:rFonts w:eastAsia="IRNazanin" w:cs="IRNazanin"/>
          <w:color w:val="111111"/>
          <w:sz w:val="28"/>
          <w:szCs w:val="28"/>
          <w:rtl w:val="true"/>
          <w:lang w:bidi="fa-IR"/>
        </w:rPr>
        <w:t>.</w:t>
      </w:r>
    </w:p>
    <w:p>
      <w:pPr>
        <w:pStyle w:val="Heading4"/>
        <w:numPr>
          <w:ilvl w:val="3"/>
          <w:numId w:val="1"/>
        </w:numPr>
        <w:rPr/>
      </w:pPr>
      <w:bookmarkStart w:id="284" w:name="__RefHeading___Toc2055707_2322387425"/>
      <w:bookmarkStart w:id="285" w:name="_Toc103"/>
      <w:bookmarkEnd w:id="284"/>
      <w:r>
        <w:rPr>
          <w:rtl w:val="true"/>
        </w:rPr>
        <w:t>استحباب إحجاج غیر المستطیع</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إحجاج</w:t>
      </w:r>
      <w:r>
        <w:rPr>
          <w:rStyle w:val="FootnoteAnchor"/>
          <w:rtl w:val="true"/>
        </w:rPr>
        <w:footnoteReference w:id="594"/>
      </w:r>
      <w:r>
        <w:rPr>
          <w:rFonts w:ascii="Amiri" w:hAnsi="Amiri" w:eastAsia="Amiri" w:cs="Amiri"/>
          <w:color w:val="111111"/>
          <w:sz w:val="28"/>
          <w:sz w:val="28"/>
          <w:szCs w:val="28"/>
          <w:rtl w:val="true"/>
          <w:lang w:bidi="ar-SA"/>
        </w:rPr>
        <w:t>مَن لا استطاعةَ 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2055709_2322387425"/>
      <w:bookmarkStart w:id="287" w:name="_Toc104"/>
      <w:bookmarkEnd w:id="286"/>
      <w:r>
        <w:rPr>
          <w:rtl w:val="true"/>
        </w:rPr>
        <w:t>جواز إعطاء الزکاة من لا یستطیع الحجّ</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إعطاء الزکاة لمن لا یستطیع</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تعمیم السبیل وشموله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لیحجّ بها</w:t>
      </w:r>
      <w:r>
        <w:rPr>
          <w:rFonts w:eastAsia="IRNazanin" w:cs="IRNazanin"/>
          <w:color w:val="111111"/>
          <w:sz w:val="28"/>
          <w:szCs w:val="28"/>
          <w:rtl w:val="true"/>
          <w:lang w:bidi="fa-IR"/>
        </w:rPr>
        <w:t>.</w:t>
      </w:r>
    </w:p>
    <w:p>
      <w:pPr>
        <w:pStyle w:val="Heading4"/>
        <w:numPr>
          <w:ilvl w:val="3"/>
          <w:numId w:val="1"/>
        </w:numPr>
        <w:rPr/>
      </w:pPr>
      <w:bookmarkStart w:id="288" w:name="__RefHeading___Toc2055711_2322387425"/>
      <w:bookmarkStart w:id="289" w:name="_Toc105"/>
      <w:bookmarkEnd w:id="288"/>
      <w:r>
        <w:rPr>
          <w:rtl w:val="true"/>
        </w:rPr>
        <w:t>أفضلیّة الحجّ من الصدقة بنفقته</w:t>
      </w:r>
      <w:bookmarkEnd w:id="28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w:t>
      </w:r>
      <w:r>
        <w:rPr>
          <w:rStyle w:val="FootnoteAnchor"/>
          <w:rtl w:val="true"/>
        </w:rPr>
        <w:footnoteReference w:id="59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 . . . </w:t>
      </w:r>
      <w:bookmarkStart w:id="290" w:name="pg13284_130650"/>
    </w:p>
    <w:p>
      <w:pPr>
        <w:pStyle w:val="BookText"/>
        <w:rPr/>
      </w:pPr>
      <w:bookmarkEnd w:id="290"/>
      <w:r>
        <w:rPr>
          <w:rFonts w:ascii="Amiri" w:hAnsi="Amiri" w:eastAsia="Amiri" w:cs="Amiri"/>
          <w:color w:val="111111"/>
          <w:sz w:val="28"/>
          <w:sz w:val="28"/>
          <w:szCs w:val="28"/>
          <w:rtl w:val="true"/>
          <w:lang w:bidi="ar-SA"/>
        </w:rPr>
        <w:t>الصدقة</w:t>
      </w:r>
      <w:r>
        <w:rPr>
          <w:rStyle w:val="FootnoteAnchor"/>
          <w:rtl w:val="true"/>
        </w:rPr>
        <w:footnoteReference w:id="598"/>
      </w:r>
      <w:r>
        <w:rPr>
          <w:rFonts w:ascii="IRNazanin" w:hAnsi="IRNazanin" w:eastAsia="IRNazanin"/>
          <w:color w:val="111111"/>
          <w:sz w:val="28"/>
          <w:sz w:val="28"/>
          <w:szCs w:val="28"/>
          <w:rtl w:val="true"/>
          <w:lang w:bidi="fa-IR"/>
        </w:rPr>
        <w:t>بنفقته</w:t>
      </w:r>
      <w:r>
        <w:rPr>
          <w:rFonts w:eastAsia="IRNazanin" w:cs="IRNazanin"/>
          <w:color w:val="111111"/>
          <w:sz w:val="28"/>
          <w:szCs w:val="28"/>
          <w:rtl w:val="true"/>
          <w:lang w:bidi="fa-IR"/>
        </w:rPr>
        <w:t>.</w:t>
      </w:r>
    </w:p>
    <w:p>
      <w:pPr>
        <w:pStyle w:val="Heading4"/>
        <w:numPr>
          <w:ilvl w:val="3"/>
          <w:numId w:val="1"/>
        </w:numPr>
        <w:rPr/>
      </w:pPr>
      <w:bookmarkStart w:id="291" w:name="__RefHeading___Toc2055713_2322387425"/>
      <w:bookmarkStart w:id="292" w:name="_Toc106"/>
      <w:bookmarkEnd w:id="291"/>
      <w:r>
        <w:rPr>
          <w:rtl w:val="true"/>
        </w:rPr>
        <w:t>استحباب کثرة الانفاق فی الحجّ</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کثرة الإنفاق فی الحجّ، 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یبغض الإسراف، إلاّ بالحجّ</w:t>
      </w:r>
      <w:r>
        <w:rPr>
          <w:rStyle w:val="FootnoteAnchor"/>
          <w:rtl w:val="true"/>
        </w:rPr>
        <w:footnoteReference w:id="599"/>
      </w:r>
      <w:r>
        <w:rPr>
          <w:rFonts w:ascii="Amiri" w:hAnsi="Amiri" w:eastAsia="Amiri" w:cs="Amiri"/>
          <w:color w:val="111111"/>
          <w:sz w:val="28"/>
          <w:sz w:val="28"/>
          <w:szCs w:val="28"/>
          <w:rtl w:val="true"/>
          <w:lang w:bidi="ar-SA"/>
        </w:rPr>
        <w:t>والعمرة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2055715_2322387425"/>
      <w:bookmarkStart w:id="294" w:name="_Toc107"/>
      <w:bookmarkEnd w:id="293"/>
      <w:r>
        <w:rPr>
          <w:rtl w:val="true"/>
        </w:rPr>
        <w:t>حکم الحجّ بالمال المشتبة والمال الحرام</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الحجّ بالمال المشتَبَه ،کجوائز الظَلَمة</w:t>
      </w:r>
      <w:r>
        <w:rPr>
          <w:rStyle w:val="FootnoteAnchor"/>
          <w:rtl w:val="true"/>
        </w:rPr>
        <w:footnoteReference w:id="601"/>
      </w:r>
      <w:r>
        <w:rPr>
          <w:rFonts w:ascii="Amiri" w:hAnsi="Amiri" w:eastAsia="Amiri" w:cs="Amiri"/>
          <w:color w:val="111111"/>
          <w:sz w:val="28"/>
          <w:sz w:val="28"/>
          <w:szCs w:val="28"/>
          <w:rtl w:val="true"/>
          <w:lang w:bidi="ar-SA"/>
        </w:rPr>
        <w:t>مع عدم العلم بِحُرمتها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الحجّ بالمال الحرام، لکن لا یبطل الحجّ</w:t>
      </w:r>
      <w:r>
        <w:rPr>
          <w:rStyle w:val="FootnoteAnchor"/>
          <w:rtl w:val="true"/>
        </w:rPr>
        <w:footnoteReference w:id="602"/>
      </w:r>
      <w:r>
        <w:rPr>
          <w:rFonts w:ascii="IRNazanin" w:hAnsi="IRNazanin" w:eastAsia="IRNazanin"/>
          <w:color w:val="111111"/>
          <w:sz w:val="28"/>
          <w:sz w:val="28"/>
          <w:szCs w:val="28"/>
          <w:rtl w:val="true"/>
          <w:lang w:bidi="fa-IR"/>
        </w:rPr>
        <w:t>إذا کان</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اللباس وثمن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إحرامه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یبطل الحجّ إذا لم یکن لباس إحرامه من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وطوافه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وثمن هَدْیِهِ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الکلام فیه، وما هو الحریّ بأن یختار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bookmarkStart w:id="295" w:name="pg13284_130651"/>
    </w:p>
    <w:p>
      <w:pPr>
        <w:pStyle w:val="BookText"/>
        <w:rPr/>
      </w:pPr>
      <w:bookmarkEnd w:id="295"/>
      <w:r>
        <w:rPr>
          <w:rFonts w:ascii="IRNazanin" w:hAnsi="IRNazanin" w:eastAsia="IRNazanin"/>
          <w:color w:val="111111"/>
          <w:sz w:val="28"/>
          <w:sz w:val="28"/>
          <w:szCs w:val="28"/>
          <w:rtl w:val="true"/>
          <w:lang w:bidi="fa-IR"/>
        </w:rPr>
        <w:t>من حلال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2055717_2322387425"/>
      <w:bookmarkStart w:id="297" w:name="_Toc108"/>
      <w:bookmarkEnd w:id="296"/>
      <w:r>
        <w:rPr>
          <w:rtl w:val="true"/>
        </w:rPr>
        <w:t>فی بعض شرائط الحجّ الندبی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w:t>
      </w:r>
      <w:r>
        <w:rPr>
          <w:rStyle w:val="FootnoteAnchor"/>
          <w:rtl w:val="true"/>
        </w:rPr>
        <w:footnoteReference w:id="605"/>
      </w:r>
      <w:r>
        <w:rPr>
          <w:rFonts w:ascii="Amiri" w:hAnsi="Amiri" w:eastAsia="Amiri" w:cs="Amiri"/>
          <w:color w:val="111111"/>
          <w:sz w:val="28"/>
          <w:sz w:val="28"/>
          <w:szCs w:val="28"/>
          <w:rtl w:val="true"/>
          <w:lang w:bidi="ar-SA"/>
        </w:rPr>
        <w:t>فی الحجّ</w:t>
      </w:r>
      <w:r>
        <w:rPr>
          <w:rStyle w:val="FootnoteAnchor"/>
          <w:rtl w:val="true"/>
        </w:rPr>
        <w:footnoteReference w:id="606"/>
      </w:r>
      <w:r>
        <w:rPr>
          <w:rFonts w:ascii="IRNazanin" w:hAnsi="IRNazanin" w:eastAsia="IRNazanin"/>
          <w:color w:val="111111"/>
          <w:sz w:val="28"/>
          <w:sz w:val="28"/>
          <w:szCs w:val="28"/>
          <w:rtl w:val="true"/>
          <w:lang w:bidi="fa-IR"/>
        </w:rPr>
        <w:t>الندبیّ إذن الزوج والمولی، بل الأبوین</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السفر موجباً لأذیتهما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ویُشترط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لا یکون علیه حجّ واجب مضیَّق، لکن لو عصی وحجّ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تفصیله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الإشکال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ذلک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النیابة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مالٍ یَصلُح أن یحجّ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تقدّم فی المسألة المائة والتاسعة من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ما یتعلّق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3284_130652"/>
    </w:p>
    <w:p>
      <w:pPr>
        <w:pStyle w:val="Heading4"/>
        <w:numPr>
          <w:ilvl w:val="3"/>
          <w:numId w:val="1"/>
        </w:numPr>
        <w:rPr/>
      </w:pPr>
      <w:bookmarkStart w:id="299" w:name="__RefHeading___Toc2055719_2322387425"/>
      <w:bookmarkStart w:id="300" w:name="_Toc109"/>
      <w:bookmarkEnd w:id="298"/>
      <w:bookmarkEnd w:id="299"/>
      <w:r>
        <w:rPr>
          <w:rtl w:val="true"/>
        </w:rPr>
        <w:t>إهداء ثواب الحجّ</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إهداء ثواب الحجّ إلی الغیر بعد الفراغ</w:t>
      </w:r>
      <w:r>
        <w:rPr>
          <w:rStyle w:val="FootnoteAnchor"/>
          <w:rtl w:val="true"/>
        </w:rPr>
        <w:footnoteReference w:id="608"/>
      </w:r>
      <w:r>
        <w:rPr>
          <w:rFonts w:ascii="IRNazanin" w:hAnsi="IRNazanin" w:eastAsia="IRNazanin"/>
          <w:color w:val="111111"/>
          <w:sz w:val="28"/>
          <w:sz w:val="28"/>
          <w:szCs w:val="28"/>
          <w:rtl w:val="true"/>
          <w:lang w:bidi="fa-IR"/>
        </w:rPr>
        <w:t>عنه، کما یجوز أن یکون ذلک من نیّته قبل الشروع فیه</w:t>
      </w:r>
      <w:r>
        <w:rPr>
          <w:rFonts w:eastAsia="IRNazanin" w:cs="IRNazanin"/>
          <w:color w:val="111111"/>
          <w:sz w:val="28"/>
          <w:szCs w:val="28"/>
          <w:rtl w:val="true"/>
          <w:lang w:bidi="fa-IR"/>
        </w:rPr>
        <w:t>.</w:t>
      </w:r>
    </w:p>
    <w:p>
      <w:pPr>
        <w:pStyle w:val="Heading4"/>
        <w:numPr>
          <w:ilvl w:val="3"/>
          <w:numId w:val="1"/>
        </w:numPr>
        <w:rPr/>
      </w:pPr>
      <w:bookmarkStart w:id="301" w:name="__RefHeading___Toc2055721_2322387425"/>
      <w:bookmarkStart w:id="302" w:name="_Toc110"/>
      <w:bookmarkEnd w:id="301"/>
      <w:r>
        <w:rPr>
          <w:rtl w:val="true"/>
        </w:rPr>
        <w:t>ما یستحبّ لمن لا مال له</w:t>
      </w:r>
      <w:bookmarkEnd w:id="30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لا مال له یحجّ به أن یأتی به ولو بإجارة نفسه عن غیره، وفی بعض الأخبار</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للأجیر من الثواب تسعاً، وللمنوب عنه واحداً</w:t>
      </w:r>
      <w:r>
        <w:rPr>
          <w:rFonts w:eastAsia="IRNazanin" w:cs="IRNazanin"/>
          <w:color w:val="111111"/>
          <w:sz w:val="28"/>
          <w:szCs w:val="28"/>
          <w:rtl w:val="true"/>
          <w:lang w:bidi="fa-IR"/>
        </w:rPr>
        <w:t>.</w:t>
      </w:r>
      <w:bookmarkStart w:id="303" w:name="pg13284_130653"/>
    </w:p>
    <w:p>
      <w:pPr>
        <w:pStyle w:val="Heading3"/>
        <w:numPr>
          <w:ilvl w:val="2"/>
          <w:numId w:val="1"/>
        </w:numPr>
        <w:rPr/>
      </w:pPr>
      <w:bookmarkStart w:id="304" w:name="__RefHeading___Toc2055723_2322387425"/>
      <w:bookmarkStart w:id="305" w:name="_Toc111"/>
      <w:bookmarkEnd w:id="303"/>
      <w:bookmarkEnd w:id="304"/>
      <w:r>
        <w:rPr>
          <w:rtl w:val="true"/>
        </w:rPr>
        <w:t>فصل</w:t>
      </w:r>
      <w:r>
        <w:rPr>
          <w:rtl w:val="true"/>
        </w:rPr>
        <w:t xml:space="preserve">: </w:t>
      </w:r>
      <w:r>
        <w:rPr>
          <w:rtl w:val="true"/>
        </w:rPr>
        <w:t>فی أقسام العمرة</w:t>
      </w:r>
      <w:bookmarkEnd w:id="305"/>
    </w:p>
    <w:p>
      <w:pPr>
        <w:pStyle w:val="Heading4"/>
        <w:numPr>
          <w:ilvl w:val="3"/>
          <w:numId w:val="1"/>
        </w:numPr>
        <w:rPr/>
      </w:pPr>
      <w:bookmarkStart w:id="306" w:name="__RefHeading___Toc2055725_2322387425"/>
      <w:bookmarkStart w:id="307" w:name="_Toc112"/>
      <w:bookmarkEnd w:id="306"/>
      <w:r>
        <w:rPr>
          <w:rtl w:val="true"/>
        </w:rPr>
        <w:t>وجوب العمرة بشرائط الحجّ</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العمرة کالحجّ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أصلیٍّ وعرضیٍّ ومندوب، تجب بأصل الشرع علی کلّ مکلّف بالشرائط المعتبرة فی الحجّ فی العمر مرّة بالکتاب والسنّة والإجماع، ففی صحیحة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 علی الخلق بمنزلة الحجّ، فإنّ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العمرة،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وفی صحیحة الفضیل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مفروضان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وجوب الحجّ وشرائطه، 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العمرة،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ووجوبها بعد تحقّق الشرائط فوریّ کالحجّ</w:t>
      </w:r>
      <w:r>
        <w:rPr>
          <w:rStyle w:val="FootnoteAnchor"/>
          <w:rtl w:val="true"/>
        </w:rPr>
        <w:footnoteReference w:id="6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عدم جواز التأخیر عن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یشترط فی وجوبها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استطاعة </w:t>
      </w:r>
      <w:r>
        <w:rPr>
          <w:rFonts w:eastAsia="Amiri" w:cs="Amiri" w:ascii="Amiri" w:hAnsi="Amiri"/>
          <w:color w:val="111111"/>
          <w:sz w:val="28"/>
          <w:szCs w:val="28"/>
          <w:rtl w:val="true"/>
          <w:lang w:bidi="ar-SA"/>
        </w:rPr>
        <w:t>. . . . . .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13284_130655"/>
      <w:bookmarkStart w:id="309" w:name="pg13284_130655"/>
      <w:bookmarkEnd w:id="309"/>
    </w:p>
    <w:p>
      <w:pPr>
        <w:pStyle w:val="BookText"/>
        <w:rPr/>
      </w:pPr>
      <w:bookmarkStart w:id="310" w:name="pg13284_130655"/>
      <w:bookmarkEnd w:id="310"/>
      <w:r>
        <w:rPr>
          <w:rFonts w:ascii="Amiri" w:hAnsi="Amiri" w:eastAsia="Amiri" w:cs="Amiri"/>
          <w:color w:val="111111"/>
          <w:sz w:val="28"/>
          <w:sz w:val="28"/>
          <w:szCs w:val="28"/>
          <w:rtl w:val="true"/>
          <w:lang w:bidi="ar-SA"/>
        </w:rPr>
        <w:t>الحجّ</w:t>
      </w:r>
      <w:r>
        <w:rPr>
          <w:rStyle w:val="FootnoteAnchor"/>
          <w:rtl w:val="true"/>
        </w:rPr>
        <w:footnoteReference w:id="611"/>
      </w:r>
      <w:r>
        <w:rPr>
          <w:rFonts w:ascii="IRNazanin" w:hAnsi="IRNazanin" w:eastAsia="IRNazanin"/>
          <w:color w:val="111111"/>
          <w:sz w:val="28"/>
          <w:sz w:val="28"/>
          <w:szCs w:val="28"/>
          <w:rtl w:val="true"/>
          <w:lang w:bidi="fa-IR"/>
        </w:rPr>
        <w:t>، بل تکفی استطاعتها فی وجوبها، وإن لم تتحقّق استطاعة الحجّ، کما أنّ العکس کذلک، فلو استطاع للحجّ دونها وجب دونها، والقول باعتبار الاستطاعتَین فی وجوب کلٍّ منهما وأ نّهما مرتبطان ضعیف، کالقول باستقلال الحجّ فی الوجوب دون العمرة</w:t>
      </w:r>
      <w:r>
        <w:rPr>
          <w:rFonts w:eastAsia="IRNazanin" w:cs="IRNazanin"/>
          <w:color w:val="111111"/>
          <w:sz w:val="28"/>
          <w:szCs w:val="28"/>
          <w:rtl w:val="true"/>
          <w:lang w:bidi="fa-IR"/>
        </w:rPr>
        <w:t>.</w:t>
      </w:r>
    </w:p>
    <w:p>
      <w:pPr>
        <w:pStyle w:val="Heading4"/>
        <w:numPr>
          <w:ilvl w:val="3"/>
          <w:numId w:val="1"/>
        </w:numPr>
        <w:rPr/>
      </w:pPr>
      <w:bookmarkStart w:id="311" w:name="__RefHeading___Toc2055727_2322387425"/>
      <w:bookmarkStart w:id="312" w:name="_Toc113"/>
      <w:bookmarkEnd w:id="311"/>
      <w:r>
        <w:rPr>
          <w:rtl w:val="true"/>
        </w:rPr>
        <w:t>إجزاء عمرة التمتّع عن العمرة المفردة</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العمرة المتمتّع بها عن العمرة المفردة بالإجماع والأخبار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العمرة،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تجب علی مَن وظیفته حجّ التمتّع إذا استطاع لها ولم یکن مستطیعاً للحجّ؟ المشهور عدمه، بل أرسله بعضهم إرسال المسلّمات، وهو الأقوی</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 بل الأحوط الإتیان بها للمستطیع لها وحدها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فلا تجب علی الأجیر بعد فراغه عن عمل النیابة وإن کان مستطیعاً لها وهو فی مکّة، وکذا لا تجب علی مَن تمکّن منها ولم یتمکّن من الحجّ لمانع،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 خروجاً عن شبهة الخلاف، وإتیاناً بما هو راجح عند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المرعشی</w:t>
      </w:r>
      <w:r>
        <w:rPr>
          <w:rFonts w:eastAsia="IRNazanin" w:cs="IRNazanin"/>
          <w:color w:val="111111"/>
          <w:sz w:val="28"/>
          <w:szCs w:val="28"/>
          <w:rtl w:val="true"/>
          <w:lang w:bidi="fa-IR"/>
        </w:rPr>
        <w:t>).</w:t>
      </w:r>
      <w:bookmarkStart w:id="313" w:name="pg13284_130656"/>
    </w:p>
    <w:p>
      <w:pPr>
        <w:pStyle w:val="BookText"/>
        <w:rPr/>
      </w:pPr>
      <w:bookmarkEnd w:id="313"/>
      <w:r>
        <w:rPr>
          <w:rFonts w:ascii="IRNazanin" w:hAnsi="IRNazanin" w:eastAsia="IRNazanin"/>
          <w:color w:val="111111"/>
          <w:sz w:val="28"/>
          <w:sz w:val="28"/>
          <w:szCs w:val="28"/>
          <w:rtl w:val="true"/>
          <w:lang w:bidi="fa-IR"/>
        </w:rPr>
        <w:t>الإتیان بها</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ینبغی أن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Heading4"/>
        <w:numPr>
          <w:ilvl w:val="3"/>
          <w:numId w:val="1"/>
        </w:numPr>
        <w:rPr/>
      </w:pPr>
      <w:bookmarkStart w:id="314" w:name="__RefHeading___Toc2055729_2322387425"/>
      <w:bookmarkStart w:id="315" w:name="_Toc114"/>
      <w:bookmarkEnd w:id="314"/>
      <w:r>
        <w:rPr>
          <w:rtl w:val="true"/>
        </w:rPr>
        <w:t>موارد من العمرة الواجبة</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تجب العمرة بالنَذر</w:t>
      </w:r>
      <w:r>
        <w:rPr>
          <w:rStyle w:val="FootnoteAnchor"/>
          <w:rtl w:val="true"/>
        </w:rPr>
        <w:footnoteReference w:id="614"/>
      </w:r>
      <w:r>
        <w:rPr>
          <w:rFonts w:ascii="IRNazanin" w:hAnsi="IRNazanin" w:eastAsia="IRNazanin"/>
          <w:color w:val="111111"/>
          <w:sz w:val="28"/>
          <w:sz w:val="28"/>
          <w:szCs w:val="28"/>
          <w:rtl w:val="true"/>
          <w:lang w:bidi="fa-IR"/>
        </w:rPr>
        <w:t>والحِلف والعَهد والشرط فی ضمن العقد والإجارة والإفساد، وتجب أیضاً لدخول مکّة</w:t>
      </w:r>
      <w:r>
        <w:rPr>
          <w:rStyle w:val="FootnoteAnchor"/>
          <w:rtl w:val="true"/>
        </w:rPr>
        <w:footnoteReference w:id="615"/>
      </w:r>
      <w:r>
        <w:rPr>
          <w:rFonts w:ascii="IRNazanin" w:hAnsi="IRNazanin" w:eastAsia="IRNazanin"/>
          <w:color w:val="111111"/>
          <w:sz w:val="28"/>
          <w:sz w:val="28"/>
          <w:szCs w:val="28"/>
          <w:rtl w:val="true"/>
          <w:lang w:bidi="fa-IR"/>
        </w:rPr>
        <w:t>بمعنی حرمته</w:t>
      </w:r>
      <w:r>
        <w:rPr>
          <w:rStyle w:val="FootnoteAnchor"/>
          <w:rtl w:val="true"/>
        </w:rPr>
        <w:footnoteReference w:id="616"/>
      </w:r>
      <w:r>
        <w:rPr>
          <w:rFonts w:ascii="Amiri" w:hAnsi="Amiri" w:eastAsia="Amiri" w:cs="Amiri"/>
          <w:color w:val="111111"/>
          <w:sz w:val="28"/>
          <w:sz w:val="28"/>
          <w:szCs w:val="28"/>
          <w:rtl w:val="true"/>
          <w:lang w:bidi="ar-SA"/>
        </w:rPr>
        <w:t>بدونها، فإنّه لا یجوز دخولها إلاّ مُحرِماً، إلاّ بالنسبة</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وإلاّ الخارج منها بعد ما کان مُحرِماً وأحلّ بإتیان ما علیه من المناسک إذا عاد إلیها قبل مُضِیِّ شهر علی الخلاف فی مبدأ الشهر، وإلاّ المریض والمبطون ونحوهما من موارد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یتکرّر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دخوله</w:t>
      </w:r>
      <w:r>
        <w:rPr>
          <w:rStyle w:val="FootnoteAnchor"/>
          <w:rtl w:val="true"/>
        </w:rPr>
        <w:footnoteReference w:id="618"/>
      </w:r>
      <w:r>
        <w:rPr>
          <w:rFonts w:ascii="IRNazanin" w:hAnsi="IRNazanin" w:eastAsia="IRNazanin"/>
          <w:color w:val="111111"/>
          <w:sz w:val="28"/>
          <w:sz w:val="28"/>
          <w:szCs w:val="28"/>
          <w:rtl w:val="true"/>
          <w:lang w:bidi="fa-IR"/>
        </w:rPr>
        <w:t>وخروجه</w:t>
      </w:r>
      <w:r>
        <w:rPr>
          <w:rStyle w:val="FootnoteAnchor"/>
          <w:rtl w:val="true"/>
        </w:rPr>
        <w:footnoteReference w:id="619"/>
      </w:r>
      <w:r>
        <w:rPr>
          <w:rFonts w:ascii="Amiri" w:hAnsi="Amiri" w:eastAsia="Amiri" w:cs="Amiri"/>
          <w:color w:val="111111"/>
          <w:sz w:val="28"/>
          <w:sz w:val="28"/>
          <w:szCs w:val="28"/>
          <w:rtl w:val="true"/>
          <w:lang w:bidi="ar-SA"/>
        </w:rPr>
        <w:t>کالحطّاب والحشّاش</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لِمَن دخلها قبل مُضِیّ ثلاثین یوماً من إحرامٍ أتمّ نسکه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دلّ النصّ علی استثنائه هو الحطابة والمجتلبة، وفی غیرهما لا یخلو الحکم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وما عدا ما ذکر مندوب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ویُستحبّ تکرارها کالحجّ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فی مقدار الفصل بین العمرتَین،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شهر،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w:t>
      </w:r>
      <w:r>
        <w:rPr>
          <w:rStyle w:val="FootnoteAnchor"/>
          <w:rtl w:val="true"/>
        </w:rPr>
        <w:footnoteReference w:id="621"/>
      </w:r>
      <w:r>
        <w:rPr>
          <w:rFonts w:ascii="IRNazanin" w:hAnsi="IRNazanin" w:eastAsia="IRNazanin"/>
          <w:color w:val="111111"/>
          <w:sz w:val="28"/>
          <w:sz w:val="28"/>
          <w:szCs w:val="28"/>
          <w:rtl w:val="true"/>
          <w:lang w:bidi="fa-IR"/>
        </w:rPr>
        <w:t>، والأقوی</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ما دون الشهر الإتیان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بأقلّ من الشهر أن یأتی بها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اعتبار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الأحوط استحباباً فَصل عشرة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فیجوز إتیانها کلّ یوم، وتفصیل المطلب موکول إلی محلّه</w:t>
      </w:r>
      <w:r>
        <w:rPr>
          <w:rFonts w:eastAsia="IRNazanin" w:cs="IRNazanin"/>
          <w:color w:val="111111"/>
          <w:sz w:val="28"/>
          <w:szCs w:val="28"/>
          <w:rtl w:val="true"/>
          <w:lang w:bidi="fa-IR"/>
        </w:rPr>
        <w:t>.</w:t>
      </w:r>
      <w:bookmarkStart w:id="316" w:name="pg13284_130658"/>
    </w:p>
    <w:p>
      <w:pPr>
        <w:pStyle w:val="Heading3"/>
        <w:numPr>
          <w:ilvl w:val="2"/>
          <w:numId w:val="1"/>
        </w:numPr>
        <w:rPr/>
      </w:pPr>
      <w:bookmarkStart w:id="317" w:name="__RefHeading___Toc2055731_2322387425"/>
      <w:bookmarkStart w:id="318" w:name="_Toc115"/>
      <w:bookmarkEnd w:id="316"/>
      <w:bookmarkEnd w:id="317"/>
      <w:r>
        <w:rPr>
          <w:rtl w:val="true"/>
        </w:rPr>
        <w:t>فصل</w:t>
      </w:r>
      <w:r>
        <w:rPr>
          <w:rtl w:val="true"/>
        </w:rPr>
        <w:t xml:space="preserve">: </w:t>
      </w:r>
      <w:r>
        <w:rPr>
          <w:rtl w:val="true"/>
        </w:rPr>
        <w:t>فی أقسام الحجّ</w:t>
      </w:r>
      <w:bookmarkEnd w:id="318"/>
    </w:p>
    <w:p>
      <w:pPr>
        <w:pStyle w:val="Heading4"/>
        <w:numPr>
          <w:ilvl w:val="3"/>
          <w:numId w:val="1"/>
        </w:numPr>
        <w:rPr/>
      </w:pPr>
      <w:bookmarkStart w:id="319" w:name="__RefHeading___Toc2055733_2322387425"/>
      <w:bookmarkStart w:id="320" w:name="_Toc116"/>
      <w:bookmarkEnd w:id="319"/>
      <w:r>
        <w:rPr>
          <w:rtl w:val="true"/>
        </w:rPr>
        <w:t>إختصاص النائی بالتمتّع والحاضر بالقِران والإفراد</w:t>
      </w:r>
      <w:bookmarkEnd w:id="320"/>
    </w:p>
    <w:p>
      <w:pPr>
        <w:pStyle w:val="BookText"/>
        <w:rPr/>
      </w:pPr>
      <w:r>
        <w:rPr>
          <w:rFonts w:ascii="IRNazanin" w:hAnsi="IRNazanin" w:eastAsia="IRNazanin"/>
          <w:color w:val="111111"/>
          <w:sz w:val="28"/>
          <w:sz w:val="28"/>
          <w:szCs w:val="28"/>
          <w:rtl w:val="true"/>
          <w:lang w:bidi="fa-IR"/>
        </w:rPr>
        <w:t>وهی ثلاثة بالإجماع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وقِران وإفراد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فرض مَن کان بعیداً عن مکّة، والآخران فرض مَن کان حاضراً، أی غیر بعید</w:t>
      </w:r>
      <w:r>
        <w:rPr>
          <w:rFonts w:eastAsia="IRNazanin" w:cs="IRNazanin"/>
          <w:color w:val="111111"/>
          <w:sz w:val="28"/>
          <w:szCs w:val="28"/>
          <w:rtl w:val="true"/>
          <w:lang w:bidi="fa-IR"/>
        </w:rPr>
        <w:t>.</w:t>
      </w:r>
    </w:p>
    <w:p>
      <w:pPr>
        <w:pStyle w:val="Heading4"/>
        <w:numPr>
          <w:ilvl w:val="3"/>
          <w:numId w:val="1"/>
        </w:numPr>
        <w:rPr/>
      </w:pPr>
      <w:bookmarkStart w:id="321" w:name="__RefHeading___Toc2055735_2322387425"/>
      <w:bookmarkStart w:id="322" w:name="_Toc117"/>
      <w:bookmarkEnd w:id="321"/>
      <w:r>
        <w:rPr>
          <w:rtl w:val="true"/>
        </w:rPr>
        <w:t>حدّ البعد الموجب للتمتّع</w:t>
      </w:r>
      <w:bookmarkEnd w:id="32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 البعد الموجب للأوّل ثمانیة وأربعون میلاً من کلّ جانب علی المشهور</w:t>
      </w:r>
      <w:r>
        <w:rPr>
          <w:rStyle w:val="FootnoteAnchor"/>
          <w:rtl w:val="true"/>
        </w:rPr>
        <w:footnoteReference w:id="623"/>
      </w:r>
      <w:r>
        <w:rPr>
          <w:rFonts w:ascii="Amiri" w:hAnsi="Amiri" w:eastAsia="Amiri" w:cs="Amiri"/>
          <w:color w:val="111111"/>
          <w:sz w:val="28"/>
          <w:sz w:val="28"/>
          <w:szCs w:val="28"/>
          <w:rtl w:val="true"/>
          <w:lang w:bidi="ar-SA"/>
        </w:rPr>
        <w:t>الأقوی؛ لصحیحة زرارة، عن أبی جعفر علیه‌السلام ،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لِمَن لَمْ یَکُنْ أَهْلُهُ حَاضِرِی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أهل مکّة لیس علیهم متعة، کلّ مَن کان أهله دون ثمانیة وأربعین میلاً، ذات عرق</w:t>
      </w:r>
      <w:r>
        <w:rPr>
          <w:rStyle w:val="FootnoteAnchor"/>
          <w:rtl w:val="true"/>
        </w:rPr>
        <w:footnoteReference w:id="624"/>
      </w:r>
      <w:r>
        <w:rPr>
          <w:rFonts w:ascii="IRNazanin" w:hAnsi="IRNazanin" w:eastAsia="IRNazanin"/>
          <w:color w:val="111111"/>
          <w:sz w:val="28"/>
          <w:sz w:val="28"/>
          <w:szCs w:val="28"/>
          <w:rtl w:val="true"/>
          <w:lang w:bidi="fa-IR"/>
        </w:rPr>
        <w:t>وعسفان، کما یدور حول مکّة فهو ممّن دخل فی هذه الآیة، وکلّ مَن کان أهله وراء ذلک فعلیه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لأهل مکّة، لیس لهم متعة، ولا علیهم 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وأربعون میلاً من جمیع نواحی مکّة، دون عسفان وذات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ویُستفاد أیضاً من جملةٍ</w:t>
      </w:r>
      <w:r>
        <w:rPr>
          <w:rStyle w:val="FootnoteAnchor"/>
          <w:rtl w:val="true"/>
        </w:rPr>
        <w:footnoteReference w:id="625"/>
      </w:r>
      <w:r>
        <w:rPr>
          <w:rFonts w:ascii="IRNazanin" w:hAnsi="IRNazanin" w:eastAsia="IRNazanin"/>
          <w:color w:val="111111"/>
          <w:sz w:val="28"/>
          <w:sz w:val="28"/>
          <w:szCs w:val="28"/>
          <w:rtl w:val="true"/>
          <w:lang w:bidi="fa-IR"/>
        </w:rPr>
        <w:t>من أخبارٍ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بأنّ حدّه اثنا عشر میلاً من کلّ جانب ـ کما علیه جماعة ـ ضعیف، لا دلیل علیه إلاّ الأصل</w:t>
      </w:r>
      <w:r>
        <w:rPr>
          <w:rStyle w:val="FootnoteAnchor"/>
          <w:rtl w:val="true"/>
        </w:rPr>
        <w:footnoteReference w:id="626"/>
      </w:r>
      <w:r>
        <w:rPr>
          <w:rFonts w:ascii="IRNazanin" w:hAnsi="IRNazanin" w:eastAsia="IRNazanin"/>
          <w:color w:val="111111"/>
          <w:sz w:val="28"/>
          <w:sz w:val="28"/>
          <w:szCs w:val="28"/>
          <w:rtl w:val="true"/>
          <w:lang w:bidi="fa-IR"/>
        </w:rPr>
        <w:t>، فإنّ مقتضی جملة من الأخبار وجوب التمتّع علی کلِّ أحد</w:t>
      </w:r>
      <w:r>
        <w:rPr>
          <w:rStyle w:val="FootnoteAnchor"/>
          <w:rtl w:val="true"/>
        </w:rPr>
        <w:footnoteReference w:id="6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الأخبار بأسرها ناظرة إلی بیان مصداق الآیة، وهو مَن لم یکن أهله حاضِرِی المسجد الحرام، فلا عموم لها للحاضرین حتّی توجب المتعة علیکلّ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والقدر المتیقّن الخارج منها مَن کان دون الحدّ المذکور، وهو مقطوع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 أنّ الحاضر مقابل للمسافر، والسفر أربعة فراسخ، وهو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دعوی أنّ الحاضر المعلّق علیه وجوب غیر التمتّع أمر عرفیّ، والعرف لا یساعد علی أزید من اثنی عشر میلاً، وهذا أیضاً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ثمانیة وأربعین التوزیع علی الجهات الأربع، فیکون من کلّ جهةٍ اثنا عشر میلاً منافیة لظاهر تلک الأخبار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حدّ البعد ثمانیة عشر میلاً فلا عامل بها، کما لا عامل</w:t>
      </w:r>
      <w:r>
        <w:rPr>
          <w:rStyle w:val="FootnoteAnchor"/>
          <w:rtl w:val="true"/>
        </w:rPr>
        <w:footnoteReference w:id="628"/>
      </w:r>
      <w:r>
        <w:rPr>
          <w:rFonts w:ascii="IRNazanin" w:hAnsi="IRNazanin" w:eastAsia="IRNazanin"/>
          <w:color w:val="111111"/>
          <w:sz w:val="28"/>
          <w:sz w:val="28"/>
          <w:szCs w:val="28"/>
          <w:rtl w:val="true"/>
          <w:lang w:bidi="fa-IR"/>
        </w:rPr>
        <w:t>بصحَیحتی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الدالّتین علی </w:t>
      </w:r>
      <w:bookmarkStart w:id="323" w:name="pg13284_130660"/>
    </w:p>
    <w:p>
      <w:pPr>
        <w:pStyle w:val="BookText"/>
        <w:rPr/>
      </w:pPr>
      <w:bookmarkEnd w:id="323"/>
      <w:r>
        <w:rPr>
          <w:rFonts w:ascii="IRNazanin" w:hAnsi="IRNazanin" w:eastAsia="IRNazanin"/>
          <w:color w:val="111111"/>
          <w:sz w:val="28"/>
          <w:sz w:val="28"/>
          <w:szCs w:val="28"/>
          <w:rtl w:val="true"/>
          <w:lang w:bidi="fa-IR"/>
        </w:rPr>
        <w:t>أنّ الحاضر من کان دون المواقیت</w:t>
      </w:r>
      <w:r>
        <w:rPr>
          <w:rStyle w:val="FootnoteAnchor"/>
          <w:rtl w:val="true"/>
        </w:rPr>
        <w:footnoteReference w:id="629"/>
      </w:r>
      <w:r>
        <w:rPr>
          <w:rFonts w:ascii="Amiri" w:hAnsi="Amiri" w:eastAsia="Amiri" w:cs="Amiri"/>
          <w:color w:val="111111"/>
          <w:sz w:val="28"/>
          <w:sz w:val="28"/>
          <w:szCs w:val="28"/>
          <w:rtl w:val="true"/>
          <w:lang w:bidi="ar-SA"/>
        </w:rPr>
        <w:t>إلی مکّة</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2055737_2322387425"/>
      <w:bookmarkStart w:id="325" w:name="_Toc118"/>
      <w:bookmarkEnd w:id="324"/>
      <w:r>
        <w:rPr>
          <w:rtl w:val="true"/>
        </w:rPr>
        <w:t>وظیفة من منزله علی نفس الحدّ ومن شکّ فی منزله</w:t>
      </w:r>
      <w:bookmarkEnd w:id="325"/>
    </w:p>
    <w:p>
      <w:pPr>
        <w:pStyle w:val="BookText"/>
        <w:rPr/>
      </w:pPr>
      <w:r>
        <w:rPr>
          <w:rFonts w:ascii="IRNazanin" w:hAnsi="IRNazanin" w:eastAsia="IRNazanin"/>
          <w:color w:val="111111"/>
          <w:sz w:val="28"/>
          <w:sz w:val="28"/>
          <w:szCs w:val="28"/>
          <w:rtl w:val="true"/>
          <w:lang w:bidi="fa-IR"/>
        </w:rPr>
        <w:t>وهل یعتبر الحدّ المذکور من مکّة، أو من المسجد؟ وجهان</w:t>
      </w:r>
      <w:r>
        <w:rPr>
          <w:rStyle w:val="FootnoteAnchor"/>
          <w:rtl w:val="true"/>
        </w:rPr>
        <w:footnoteReference w:id="630"/>
      </w:r>
      <w:r>
        <w:rPr>
          <w:rFonts w:ascii="IRNazanin" w:hAnsi="IRNazanin" w:eastAsia="IRNazanin"/>
          <w:color w:val="111111"/>
          <w:sz w:val="28"/>
          <w:sz w:val="28"/>
          <w:szCs w:val="28"/>
          <w:rtl w:val="true"/>
          <w:lang w:bidi="fa-IR"/>
        </w:rPr>
        <w:t>، أقربهما الأوّل</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علی نفس الحدّ</w:t>
      </w:r>
      <w:r>
        <w:rPr>
          <w:rStyle w:val="FootnoteAnchor"/>
          <w:rtl w:val="true"/>
        </w:rPr>
        <w:footnoteReference w:id="632"/>
      </w:r>
      <w:r>
        <w:rPr>
          <w:rFonts w:ascii="IRNazanin" w:hAnsi="IRNazanin" w:eastAsia="IRNazanin"/>
          <w:color w:val="111111"/>
          <w:sz w:val="28"/>
          <w:sz w:val="28"/>
          <w:szCs w:val="28"/>
          <w:rtl w:val="true"/>
          <w:lang w:bidi="fa-IR"/>
        </w:rPr>
        <w:t>فالظاهر أنّ وظیفته التمتّع</w:t>
      </w:r>
      <w:r>
        <w:rPr>
          <w:rStyle w:val="FootnoteAnchor"/>
          <w:rtl w:val="true"/>
        </w:rPr>
        <w:footnoteReference w:id="633"/>
      </w:r>
      <w:r>
        <w:rPr>
          <w:rFonts w:ascii="IRNazanin" w:hAnsi="IRNazanin" w:eastAsia="IRNazanin"/>
          <w:color w:val="111111"/>
          <w:sz w:val="28"/>
          <w:sz w:val="28"/>
          <w:szCs w:val="28"/>
          <w:rtl w:val="true"/>
          <w:lang w:bidi="fa-IR"/>
        </w:rPr>
        <w:t>لتعلیق حکم الإفراد والقِران علی مادون الحدّ، ولو شکّ فی کون منزله فی الحدّ أو خارجه وجب علیه الفحص</w:t>
      </w:r>
      <w:r>
        <w:rPr>
          <w:rStyle w:val="FootnoteAnchor"/>
          <w:rtl w:val="true"/>
        </w:rPr>
        <w:footnoteReference w:id="6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له حالة سابقة، وإلاّ بنی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 تمکّنه یراعی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فیأتی بالعمرة بقصد القربة المطلقة وبعد التقصیر یحرم للحجّ من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والقیاس علی المسافة مع الفارق؛ لجریان الأصل الموضوعیّ والحکمیّ فیها دون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ولیس هذا نظیر الشکّ فی مسافة القصر؛ فإنّ موضوع وجوب الإتمام ـ وهو عدم المسافرة إلی ثمانیة فراسخ ـ مستصحب هناک، بخلافه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ظاهر، وقیاسه مع الفارق، بل المقام أسوء حالاً من التمسّک بالعامّ فی الشبهة المصداقیّة؛ لِما مرّ من الإشکال فی ثبوت عامٍّ خالٍ عن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فإنّ التمسّک بالعموم فی المقامَین تمسّک بالعامّ فی الشبهة المصداقیّة، وأمّا فی الشکّ فی المسافة فاستصحاب التمام حکماً أو موضوعاً جارٍ بلا مانع، ولا ربط له بالمقام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وقیاس المقام بالشکّ فی المسافة مع الفارق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 لا سبیل إلی مقایسة المقام بالشکّ فی المسافة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بل منع؛ إذ لیس هذا نظیر الشکّ فی مسافة القصر؛ فإنّ استصحاب الموضوع أو حکم التمام جارٍ فی الشکّ فی مسافة القصر دون ما نحن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المقام علی الشکّ فی المسافة مع الفارق؛ إذ یجری فیه استصحاب عدم السفر موضوعاً أو حکماً، بخلاف المقام، والتمسّک بالعموم تمسّک فی الشبهة المصداقیّة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الصحیح، وعلیه فلا یجب الفحص مع الشکّ، کما لا یجب الاحتیاط مع عدم التمکّن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 . . . . . .</w:t>
      </w:r>
    </w:p>
    <w:p>
      <w:pPr>
        <w:pStyle w:val="BookText"/>
        <w:rPr/>
      </w:pPr>
      <w:r>
        <w:rPr>
          <w:rFonts w:ascii="Amiri" w:hAnsi="Amiri" w:eastAsia="Amiri" w:cs="Amiri"/>
          <w:color w:val="111111"/>
          <w:sz w:val="28"/>
          <w:sz w:val="28"/>
          <w:szCs w:val="28"/>
          <w:rtl w:val="true"/>
          <w:lang w:bidi="ar-SA"/>
        </w:rPr>
        <w:t>بأ نّه</w:t>
      </w:r>
      <w:r>
        <w:rPr>
          <w:rStyle w:val="FootnoteAnchor"/>
          <w:rtl w:val="true"/>
        </w:rPr>
        <w:footnoteReference w:id="636"/>
      </w:r>
      <w:r>
        <w:rPr>
          <w:rFonts w:ascii="IRNazanin" w:hAnsi="IRNazanin" w:eastAsia="IRNazanin"/>
          <w:color w:val="111111"/>
          <w:sz w:val="28"/>
          <w:sz w:val="28"/>
          <w:szCs w:val="28"/>
          <w:rtl w:val="true"/>
          <w:lang w:bidi="fa-IR"/>
        </w:rPr>
        <w:t>یجری علیه حکم الخارج</w:t>
      </w:r>
      <w:r>
        <w:rPr>
          <w:rStyle w:val="FootnoteAnchor"/>
          <w:rtl w:val="true"/>
        </w:rPr>
        <w:footnoteReference w:id="637"/>
      </w:r>
      <w:r>
        <w:rPr>
          <w:rFonts w:ascii="Amiri" w:hAnsi="Amiri" w:eastAsia="Amiri" w:cs="Amiri"/>
          <w:color w:val="111111"/>
          <w:sz w:val="28"/>
          <w:sz w:val="28"/>
          <w:szCs w:val="28"/>
          <w:rtl w:val="true"/>
          <w:lang w:bidi="ar-SA"/>
        </w:rPr>
        <w:t>فیجب علیه التمتّع؛ لأنّ غیره معلّق</w:t>
      </w:r>
      <w:r>
        <w:rPr>
          <w:rStyle w:val="FootnoteAnchor"/>
          <w:rtl w:val="true"/>
        </w:rPr>
        <w:footnoteReference w:id="638"/>
      </w:r>
      <w:r>
        <w:rPr>
          <w:rFonts w:ascii="IRNazanin" w:hAnsi="IRNazanin" w:eastAsia="IRNazanin"/>
          <w:color w:val="111111"/>
          <w:sz w:val="28"/>
          <w:sz w:val="28"/>
          <w:szCs w:val="28"/>
          <w:rtl w:val="true"/>
          <w:lang w:bidi="fa-IR"/>
        </w:rPr>
        <w:t>علی عنوان الحاضر</w:t>
      </w:r>
      <w:r>
        <w:rPr>
          <w:rStyle w:val="FootnoteAnchor"/>
          <w:rtl w:val="true"/>
        </w:rPr>
        <w:footnoteReference w:id="639"/>
      </w:r>
      <w:r>
        <w:rPr>
          <w:rFonts w:ascii="IRNazanin" w:hAnsi="IRNazanin" w:eastAsia="IRNazanin"/>
          <w:color w:val="111111"/>
          <w:sz w:val="28"/>
          <w:sz w:val="28"/>
          <w:szCs w:val="28"/>
          <w:rtl w:val="true"/>
          <w:lang w:bidi="fa-IR"/>
        </w:rPr>
        <w:t>، وهو مشکوک، فیکون کما لو شکّ</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له حالة 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المسافة ثمانیة فراسخ أوْ لا، فإنّه یصلّی تماماً؛ لأنّ القصر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السفر وهو</w:t>
      </w:r>
      <w:bookmarkStart w:id="326" w:name="pg13284_130663"/>
    </w:p>
    <w:p>
      <w:pPr>
        <w:pStyle w:val="BookText"/>
        <w:rPr/>
      </w:pPr>
      <w:bookmarkEnd w:id="326"/>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pStyle w:val="Heading4"/>
        <w:numPr>
          <w:ilvl w:val="3"/>
          <w:numId w:val="1"/>
        </w:numPr>
        <w:rPr/>
      </w:pPr>
      <w:bookmarkStart w:id="327" w:name="__RefHeading___Toc2055739_2322387425"/>
      <w:bookmarkStart w:id="328" w:name="_Toc119"/>
      <w:bookmarkEnd w:id="327"/>
      <w:r>
        <w:rPr>
          <w:rtl w:val="true"/>
        </w:rPr>
        <w:t>إجزاء الأقسام الثلاثة فی الحجّ الندبی</w:t>
      </w:r>
      <w:bookmarkEnd w:id="328"/>
    </w:p>
    <w:p>
      <w:pPr>
        <w:pStyle w:val="BookText"/>
        <w:rPr/>
      </w:pPr>
      <w:r>
        <w:rPr>
          <w:rFonts w:ascii="IRNazanin" w:hAnsi="IRNazanin" w:eastAsia="IRNazanin"/>
          <w:color w:val="111111"/>
          <w:sz w:val="28"/>
          <w:sz w:val="28"/>
          <w:szCs w:val="28"/>
          <w:rtl w:val="true"/>
          <w:lang w:bidi="fa-IR"/>
        </w:rPr>
        <w:t>ثمّ ما ذکر إنّما هو بالنسبة إلی حجّة الإسلام حیث لا یجزی للبعید إلاّ التمتّع، ولا للحاضر إلاّ الإفراد أو القِران، وأمّا بالنسبة إلی الحجّ الندبیّ فیجوز لکلٍّ من البعید والحاضر کلّ من الأقسام الثلاثة بلا إشکال، وإن کان الأفضل</w:t>
      </w:r>
      <w:r>
        <w:rPr>
          <w:rStyle w:val="FootnoteAnchor"/>
          <w:rtl w:val="true"/>
        </w:rPr>
        <w:footnoteReference w:id="641"/>
      </w:r>
      <w:r>
        <w:rPr>
          <w:rFonts w:ascii="IRNazanin" w:hAnsi="IRNazanin" w:eastAsia="IRNazanin"/>
          <w:color w:val="111111"/>
          <w:sz w:val="28"/>
          <w:sz w:val="28"/>
          <w:szCs w:val="28"/>
          <w:rtl w:val="true"/>
          <w:lang w:bidi="fa-IR"/>
        </w:rPr>
        <w:t>اختیار التمتّع، وکذا بالنسبة إلی الواجب غیر حجّة الإسلام کالحجّ النذری</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له نذر أیّ قسمٍ شاء، وکذا حال شقیقَیه، وهو المراد من غیره، لا الإفسادی؛ لأ نّه تابع لِما أفسده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ما کان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نذره مطلقاً، وأمّا إذا کان معیّناً فلابدّ له من الإتیان بما عیّن، وکذلک العهد والیمین، أمّا الحجّ الواجب بالإفساد فلابدّ من مطابقته للواجب الّذی أفسده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أطلق النذر، وکذا شبه النذر، والقضاء تابع لِما أفسده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الإطلاق، والقضاء تابع للأداء، والإفسادیّ لِما أفسده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نذر الحجّ من دون تقیید بکونه من أحد أقسام الثلاثة، وإلاّ تابع لکیفیّة نذره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الواجب بالإفساد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أمثال الحجّ النذریّ، وأمّا الحجّ القضائیّ فیجب مطابقته لما أفسده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2055741_2322387425"/>
      <w:bookmarkStart w:id="330" w:name="_Toc120"/>
      <w:bookmarkEnd w:id="329"/>
      <w:r>
        <w:rPr>
          <w:rtl w:val="true"/>
        </w:rPr>
        <w:t>حکم من کان له وطنان</w:t>
      </w:r>
      <w:bookmarkEnd w:id="33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فی الحدّ، والآخر فی خارجه </w:t>
      </w:r>
      <w:bookmarkStart w:id="331" w:name="pg13284_130664"/>
    </w:p>
    <w:p>
      <w:pPr>
        <w:pStyle w:val="BookText"/>
        <w:rPr/>
      </w:pPr>
      <w:bookmarkEnd w:id="331"/>
      <w:r>
        <w:rPr>
          <w:rFonts w:ascii="IRNazanin" w:hAnsi="IRNazanin" w:eastAsia="IRNazanin"/>
          <w:color w:val="111111"/>
          <w:sz w:val="28"/>
          <w:sz w:val="28"/>
          <w:szCs w:val="28"/>
          <w:rtl w:val="true"/>
          <w:lang w:bidi="fa-IR"/>
        </w:rPr>
        <w:t>لزمه فرض</w:t>
      </w:r>
      <w:r>
        <w:rPr>
          <w:rStyle w:val="FootnoteAnchor"/>
          <w:rtl w:val="true"/>
        </w:rPr>
        <w:footnoteReference w:id="643"/>
      </w:r>
      <w:r>
        <w:rPr>
          <w:rFonts w:ascii="IRNazanin" w:hAnsi="IRNazanin" w:eastAsia="IRNazanin"/>
          <w:color w:val="111111"/>
          <w:sz w:val="28"/>
          <w:sz w:val="28"/>
          <w:szCs w:val="28"/>
          <w:rtl w:val="true"/>
          <w:lang w:bidi="fa-IR"/>
        </w:rPr>
        <w:t>أغلبهما</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أقام بمکّة سنتین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ولا متعة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إن کان له أهل بالعراق وأهل بمکّة؟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أیّهما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تساویا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مستطیعاً من کلٍّ منهما تخیّر بین الوظیفتین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الإتیان بالإفراد، أو القِران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الأفضل اختیار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مستطیعاً من أحدهما دون الآخر لزمه فرض وطن الاستطاعة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الحجّ کما یتنوّع بحسب الکیفیّة یتنوّع بحسب الاستطاعة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فرض الوطن الّذی یستطیع فرضه، سواء کان فیه أم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التخییر فی هذا الفرض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التخییر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التخییر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2055743_2322387425"/>
      <w:bookmarkStart w:id="333" w:name="_Toc121"/>
      <w:bookmarkEnd w:id="332"/>
      <w:r>
        <w:rPr>
          <w:rtl w:val="true"/>
        </w:rPr>
        <w:t>وظیفة المکّی الخارج إلی بعض الأمصار</w:t>
      </w:r>
      <w:bookmarkEnd w:id="33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من أهل مکّة وخرج إلی بعض الأمصار ثمّ رجع إلیها </w:t>
      </w:r>
    </w:p>
    <w:p>
      <w:pPr>
        <w:pStyle w:val="BookText"/>
        <w:rPr/>
      </w:pPr>
      <w:r>
        <w:rPr>
          <w:rFonts w:ascii="IRNazanin" w:hAnsi="IRNazanin" w:eastAsia="IRNazanin"/>
          <w:color w:val="111111"/>
          <w:sz w:val="28"/>
          <w:sz w:val="28"/>
          <w:szCs w:val="28"/>
          <w:rtl w:val="true"/>
          <w:lang w:bidi="fa-IR"/>
        </w:rPr>
        <w:t xml:space="preserve">فالمشهور جواز حجّ التمتّع له، وکونه مخیّراً بین الوظیفتین، واستدلّوا بصحیحة عبدالرحمان بن الحجّاج،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من أهل مکّة یخرج إلی بعض الأمصار، ثمّ یرجع إلی مکّة فیمرّ ببعض المواقیت، أ لَهُ أن یتمتّع؟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أزعَمُ أنّ ذلک لیس له لو فعل، وکان الإهلال أحبّ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ونحوها صحیحة اُخری عنه وعن عبدالرحمان بن أعین عن أبی الحسن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أبی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ذلک، وأ نّه یتعیّن علیه فرض المکّیّ إذا کان الحجّ واجباً علیه، وتبعه جماعة؛ لِما دلّ من الأخبار علی أ نّه لا متعة لأهل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وحملوا الخبرین</w:t>
      </w:r>
      <w:r>
        <w:rPr>
          <w:rStyle w:val="FootnoteAnchor"/>
          <w:rtl w:val="true"/>
        </w:rPr>
        <w:footnoteReference w:id="645"/>
      </w:r>
      <w:r>
        <w:rPr>
          <w:rFonts w:ascii="IRNazanin" w:hAnsi="IRNazanin" w:eastAsia="IRNazanin"/>
          <w:color w:val="111111"/>
          <w:sz w:val="28"/>
          <w:sz w:val="28"/>
          <w:szCs w:val="28"/>
          <w:rtl w:val="true"/>
          <w:lang w:bidi="fa-IR"/>
        </w:rPr>
        <w:t>علی الحجّ الندبیّ بقرینة ذیل</w:t>
      </w:r>
      <w:r>
        <w:rPr>
          <w:rStyle w:val="FootnoteAnchor"/>
          <w:rtl w:val="true"/>
        </w:rPr>
        <w:footnoteReference w:id="646"/>
      </w:r>
      <w:r>
        <w:rPr>
          <w:rFonts w:ascii="IRNazanin" w:hAnsi="IRNazanin" w:eastAsia="IRNazanin"/>
          <w:color w:val="111111"/>
          <w:sz w:val="28"/>
          <w:sz w:val="28"/>
          <w:szCs w:val="28"/>
          <w:rtl w:val="true"/>
          <w:lang w:bidi="fa-IR"/>
        </w:rPr>
        <w:t>الخبر الثانی، ولایبعد قوّة هذا</w:t>
      </w:r>
      <w:r>
        <w:rPr>
          <w:rStyle w:val="FootnoteAnchor"/>
          <w:rtl w:val="true"/>
        </w:rPr>
        <w:footnoteReference w:id="647"/>
      </w:r>
      <w:bookmarkStart w:id="334" w:name="pg13284_130666"/>
    </w:p>
    <w:p>
      <w:pPr>
        <w:pStyle w:val="BookText"/>
        <w:rPr/>
      </w:pPr>
      <w:bookmarkEnd w:id="334"/>
      <w:r>
        <w:rPr>
          <w:rFonts w:ascii="IRNazanin" w:hAnsi="IRNazanin" w:eastAsia="IRNazanin"/>
          <w:color w:val="111111"/>
          <w:sz w:val="28"/>
          <w:sz w:val="28"/>
          <w:szCs w:val="28"/>
          <w:rtl w:val="true"/>
          <w:lang w:bidi="fa-IR"/>
        </w:rPr>
        <w:t>القول</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إشکال، وکذا فی تعلیله، نعم، هو الأحوط،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 نّه أحوط؛ لأنّ الأمر دائر 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التخییر والتعیین، ومقتضی الاشتغال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إذا کان مستطیعاً حال کونه فی مکّة فخرج قبل الإتیان بالحجّ، بل یمکن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کلامهم صورة حصول الاستطاعة بعد الخروج عنها، وأمّا إذا کان مستطیعاً فیها قبل خروجه منها فیتعیّن علیه فرض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2055745_2322387425"/>
      <w:bookmarkStart w:id="336" w:name="_Toc122"/>
      <w:bookmarkEnd w:id="335"/>
      <w:r>
        <w:rPr>
          <w:rtl w:val="true"/>
        </w:rPr>
        <w:t>حکم المقیم بمکّة من أهل الآفاق</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الآفاقیّ إذا صار مقیماً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بعد استطاعته ووجوب التمتّع علیه فلا إشکال فی بقاء حکمه</w:t>
      </w:r>
      <w:r>
        <w:rPr>
          <w:rStyle w:val="FootnoteAnchor"/>
          <w:rtl w:val="true"/>
        </w:rPr>
        <w:footnoteReference w:id="649"/>
      </w:r>
      <w:r>
        <w:rPr>
          <w:rFonts w:ascii="IRNazanin" w:hAnsi="IRNazanin" w:eastAsia="IRNazanin"/>
          <w:color w:val="111111"/>
          <w:sz w:val="28"/>
          <w:sz w:val="28"/>
          <w:szCs w:val="28"/>
          <w:rtl w:val="true"/>
          <w:lang w:bidi="fa-IR"/>
        </w:rPr>
        <w:t>، سواء کانت إقامته بقصد التوطّن</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فلابدّ من مراعاة الاحتیاط ما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بِتَبَدّل الموضوع یَتَبَدّل الحکم، ولکن فی المقام الأحوط الجمع بإتیان الحجّ بین عُمرَتَین، ونحو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المجاورة ولو بأزید من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مستطیعاً ثمّ</w:t>
      </w:r>
      <w:bookmarkStart w:id="337" w:name="pg13284_130667"/>
    </w:p>
    <w:p>
      <w:pPr>
        <w:pStyle w:val="BookText"/>
        <w:rPr/>
      </w:pPr>
      <w:bookmarkEnd w:id="337"/>
      <w:r>
        <w:rPr>
          <w:rFonts w:ascii="IRNazanin" w:hAnsi="IRNazanin" w:eastAsia="IRNazanin"/>
          <w:color w:val="111111"/>
          <w:sz w:val="28"/>
          <w:sz w:val="28"/>
          <w:szCs w:val="28"/>
          <w:rtl w:val="true"/>
          <w:lang w:bidi="fa-IR"/>
        </w:rPr>
        <w:t xml:space="preserve">استطاع بعد إقامته فی مکّة فلا إشکال فی انقلاب فرضه إلی فرض المکّی فی الجملة، کما لا إشکال فی عدم الانقلاب بمجرّد الإقامة، وإنّما الکلام فی الحدّ الّذی به یتحقّق الانقلاب، فالأقوی ما هو المشهور من أ نّه بعد الدخول فی السنة الثالثة؛ لصحیحة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أقام بمکّة سنتین فهو من أهل مکّة ولا متعة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4"/>
        <w:numPr>
          <w:ilvl w:val="3"/>
          <w:numId w:val="1"/>
        </w:numPr>
        <w:rPr/>
      </w:pPr>
      <w:bookmarkStart w:id="338" w:name="__RefHeading___Toc2055747_2322387425"/>
      <w:bookmarkStart w:id="339" w:name="_Toc123"/>
      <w:bookmarkEnd w:id="338"/>
      <w:r>
        <w:rPr>
          <w:rtl w:val="true"/>
        </w:rPr>
        <w:t>الحدّ الموجب للانقلاب</w:t>
      </w:r>
      <w:bookmarkEnd w:id="339"/>
    </w:p>
    <w:p>
      <w:pPr>
        <w:pStyle w:val="BookText"/>
        <w:rPr/>
      </w:pPr>
      <w:r>
        <w:rPr>
          <w:rFonts w:ascii="IRNazanin" w:hAnsi="IRNazanin" w:eastAsia="IRNazanin"/>
          <w:color w:val="111111"/>
          <w:sz w:val="28"/>
          <w:sz w:val="28"/>
          <w:szCs w:val="28"/>
          <w:rtl w:val="true"/>
          <w:lang w:bidi="fa-IR"/>
        </w:rPr>
        <w:t xml:space="preserve">وصحیحة عمر بن یزید،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یتمتّع بالعمرة إلی الحجّ إلی سنتین، فإذا جاور سنتین کان قاطناً، ولیس له أن یتمتّع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بأ نّه بعد الدخول فی الثانیة لجملة من الأخبار، وهو ضعیف؛ لضعفها بإعراض المشهور</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أنّی له قدس‌سره إثبات إعراض المشهور القدمائیّ الّذی مرّت الإشارة إلیه فی الحواشی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مع أنّ القول الأوّل موافق للأصل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بأ نّه بعد تمام ثلاث سنین فلا دلیل علیه إلاّ الأصل المقطوع بما ذکر، مع أنّ القول به غیر محقّق؛ لاحتمال إرجاعه إلی القول المشهور بإرادة الدخول فی السنة الثالثة</w:t>
      </w:r>
      <w:r>
        <w:rPr>
          <w:rFonts w:eastAsia="IRNazanin" w:cs="IRNazanin"/>
          <w:color w:val="111111"/>
          <w:sz w:val="28"/>
          <w:szCs w:val="28"/>
          <w:rtl w:val="true"/>
          <w:lang w:bidi="fa-IR"/>
        </w:rPr>
        <w:t>.</w:t>
      </w:r>
      <w:bookmarkStart w:id="340" w:name="pg13284_130668"/>
    </w:p>
    <w:p>
      <w:pPr>
        <w:pStyle w:val="Heading4"/>
        <w:numPr>
          <w:ilvl w:val="3"/>
          <w:numId w:val="1"/>
        </w:numPr>
        <w:rPr/>
      </w:pPr>
      <w:bookmarkStart w:id="341" w:name="__RefHeading___Toc2055749_2322387425"/>
      <w:bookmarkStart w:id="342" w:name="_Toc124"/>
      <w:bookmarkEnd w:id="340"/>
      <w:bookmarkEnd w:id="341"/>
      <w:r>
        <w:rPr>
          <w:rtl w:val="true"/>
        </w:rPr>
        <w:t>حکم المکّی المقیم فی بلد آخر</w:t>
      </w:r>
      <w:bookmarkEnd w:id="342"/>
    </w:p>
    <w:p>
      <w:pPr>
        <w:pStyle w:val="BookText"/>
        <w:rPr/>
      </w:pPr>
      <w:r>
        <w:rPr>
          <w:rFonts w:ascii="IRNazanin" w:hAnsi="IRNazanin" w:eastAsia="IRNazanin"/>
          <w:color w:val="111111"/>
          <w:sz w:val="28"/>
          <w:sz w:val="28"/>
          <w:szCs w:val="28"/>
          <w:rtl w:val="true"/>
          <w:lang w:bidi="fa-IR"/>
        </w:rPr>
        <w:t>وأمّا الأخبار الدالّة علی أ نّه بعد ستّة أشهر أو بعد خمسة أشهر فلا عامل بها</w:t>
      </w:r>
      <w:r>
        <w:rPr>
          <w:rStyle w:val="FootnoteAnchor"/>
          <w:rtl w:val="true"/>
        </w:rPr>
        <w:footnoteReference w:id="652"/>
      </w:r>
      <w:r>
        <w:rPr>
          <w:rFonts w:ascii="IRNazanin" w:hAnsi="IRNazanin" w:eastAsia="IRNazanin"/>
          <w:color w:val="111111"/>
          <w:sz w:val="28"/>
          <w:sz w:val="28"/>
          <w:szCs w:val="28"/>
          <w:rtl w:val="true"/>
          <w:lang w:bidi="fa-IR"/>
        </w:rPr>
        <w:t>، مع احتمال صدورها تقیّة، وإمکان حملها علی محامل اُخر، والظاهر من الصحیحین اختصاص الحکم بما إذا کانت الإقامة بقصد المجاورة، فلو کانت بقصد التوطّن فینقلب بعد قصده من الأوّل</w:t>
      </w:r>
      <w:r>
        <w:rPr>
          <w:rStyle w:val="FootnoteAnchor"/>
          <w:rtl w:val="true"/>
        </w:rPr>
        <w:footnoteReference w:id="653"/>
      </w:r>
      <w:r>
        <w:rPr>
          <w:rFonts w:ascii="IRNazanin" w:hAnsi="IRNazanin" w:eastAsia="IRNazanin"/>
          <w:color w:val="111111"/>
          <w:sz w:val="28"/>
          <w:sz w:val="28"/>
          <w:szCs w:val="28"/>
          <w:rtl w:val="true"/>
          <w:lang w:bidi="fa-IR"/>
        </w:rPr>
        <w:t>، فما یظهر من بعضهم من کونها أعمّ لاوجه له</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الغریب ما عن آخر من الاختصاص بما إذا کانت بقصد التوطّن، ثمّ الظاهر أنّ فی صورة الانقلاب</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صورة عدم الانقلاب تکفی الاستطاعة من مکّة، لکن بمقدار حجّ التمتّع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غیرها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یلحقه حکم المکّیّ بالنسبة إلی الاستطاعة أیضاً، فیکفی فی 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الحجّ الاستطاعة من 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ذلک بین الصورتَین، فیکفی فی وجوب التمتّع قبل الانقلاب أیضاً استطاعته لحجّ التمتّع من مکّة، وإنّما تظهر الثمرة بین القولَین فی مؤونة الرجوع بعد الانقلاب مع العزم علیه، فیعتبر علی مختار الجواهر دون الماتن، والاعتبار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یُشترط فیه</w:t>
      </w:r>
      <w:r>
        <w:rPr>
          <w:rStyle w:val="FootnoteAnchor"/>
          <w:rtl w:val="true"/>
        </w:rPr>
        <w:footnoteReference w:id="656"/>
      </w:r>
      <w:r>
        <w:rPr>
          <w:rFonts w:ascii="Amiri" w:hAnsi="Amiri" w:eastAsia="Amiri" w:cs="Amiri"/>
          <w:color w:val="111111"/>
          <w:sz w:val="28"/>
          <w:sz w:val="28"/>
          <w:szCs w:val="28"/>
          <w:rtl w:val="true"/>
          <w:lang w:bidi="ar-SA"/>
        </w:rPr>
        <w:t>حصول الاستطاعة من بلده</w:t>
      </w:r>
      <w:r>
        <w:rPr>
          <w:rStyle w:val="FootnoteAnchor"/>
          <w:rtl w:val="true"/>
        </w:rPr>
        <w:footnoteReference w:id="657"/>
      </w:r>
      <w:r>
        <w:rPr>
          <w:rFonts w:ascii="IRNazanin" w:hAnsi="IRNazanin" w:eastAsia="IRNazanin"/>
          <w:color w:val="111111"/>
          <w:sz w:val="28"/>
          <w:sz w:val="28"/>
          <w:szCs w:val="28"/>
          <w:rtl w:val="true"/>
          <w:lang w:bidi="fa-IR"/>
        </w:rPr>
        <w:t>، فلا وجه لِما یظهر</w:t>
      </w:r>
      <w:r>
        <w:rPr>
          <w:rStyle w:val="FootnoteAnchor"/>
          <w:rtl w:val="true"/>
        </w:rPr>
        <w:footnoteReference w:id="658"/>
      </w:r>
      <w:r>
        <w:rPr>
          <w:rFonts w:ascii="IRNazanin" w:hAnsi="IRNazanin" w:eastAsia="IRNazanin"/>
          <w:color w:val="111111"/>
          <w:sz w:val="28"/>
          <w:sz w:val="28"/>
          <w:szCs w:val="28"/>
          <w:rtl w:val="true"/>
          <w:lang w:bidi="fa-IR"/>
        </w:rPr>
        <w:t>من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استطاعة النائی فی وجوبه لعموم أدلّتها، وأنّ الانقلاب إنّما أوجب تغییر نوع الحجّ، وأمّا الشرط فعلی ما علیه فیعتبر بالنسبة إلی التمتّع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ولو حصلت الاستطاعة</w:t>
      </w:r>
      <w:r>
        <w:rPr>
          <w:rStyle w:val="FootnoteAnchor"/>
          <w:rtl w:val="true"/>
        </w:rPr>
        <w:footnoteReference w:id="659"/>
      </w:r>
      <w:r>
        <w:rPr>
          <w:rFonts w:ascii="IRNazanin" w:hAnsi="IRNazanin" w:eastAsia="IRNazanin"/>
          <w:color w:val="111111"/>
          <w:sz w:val="28"/>
          <w:sz w:val="28"/>
          <w:szCs w:val="28"/>
          <w:rtl w:val="true"/>
          <w:lang w:bidi="fa-IR"/>
        </w:rPr>
        <w:t>بعد الإقامة فی مکّة لکن قبل مضیِّ السنتین</w:t>
      </w:r>
      <w:r>
        <w:rPr>
          <w:rStyle w:val="FootnoteAnchor"/>
          <w:rtl w:val="true"/>
        </w:rPr>
        <w:footnoteReference w:id="660"/>
      </w:r>
      <w:r>
        <w:rPr>
          <w:rFonts w:ascii="IRNazanin" w:hAnsi="IRNazanin" w:eastAsia="IRNazanin"/>
          <w:color w:val="111111"/>
          <w:sz w:val="28"/>
          <w:sz w:val="28"/>
          <w:szCs w:val="28"/>
          <w:rtl w:val="true"/>
          <w:lang w:bidi="fa-IR"/>
        </w:rPr>
        <w:t>فالظاهر أ نّه</w:t>
      </w:r>
      <w:r>
        <w:rPr>
          <w:rStyle w:val="FootnoteAnchor"/>
          <w:rtl w:val="true"/>
        </w:rPr>
        <w:footnoteReference w:id="661"/>
      </w:r>
      <w:r>
        <w:rPr>
          <w:rFonts w:ascii="IRNazanin" w:hAnsi="IRNazanin" w:eastAsia="IRNazanin"/>
          <w:color w:val="111111"/>
          <w:sz w:val="28"/>
          <w:sz w:val="28"/>
          <w:szCs w:val="28"/>
          <w:rtl w:val="true"/>
          <w:lang w:bidi="fa-IR"/>
        </w:rPr>
        <w:t>کما لو حصلت فی بلده فیجب علیه التمتّع</w:t>
      </w:r>
      <w:r>
        <w:rPr>
          <w:rStyle w:val="FootnoteAnchor"/>
          <w:rtl w:val="true"/>
        </w:rPr>
        <w:footnoteReference w:id="6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الحجّ الواجب بها علی فرض المبادرة إلیه یقع قبل التجاوز عن السنتین، وأمّا إذا کان یقع بعد السنتین لا محالة فالظاهر وجوب القِران، أو الإفراد، وإن کان قد وجب بالاستطاعة الحاصلة قبلهما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أمکن له الحجّ قبل تجاوز السنتین من جهة سِعَةِ الوقت، وإلاّ فیجب علیه القِران، أو الإفراد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التمتّع فرع وقوع الحجّ علی فرض المبادرة إلیه قبل تجاوز السنتین، فالمدار علی نفس الحجّ فی سَنة أوّل الاستطاعة، لا علی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بُودِرَ إلی الحجّ قبل اختتام السنتین، وإلاّ فالواجب القِران، أو الإفراد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کون المدار علی الفعل، لا حال الاستطاعة، وکذا فی الفرع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وقوع الحجّ علی فرض المبادرة إلیه قبل سنتین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w:t>
      </w:r>
      <w:r>
        <w:rPr>
          <w:rStyle w:val="FootnoteAnchor"/>
          <w:rtl w:val="true"/>
        </w:rPr>
        <w:footnoteReference w:id="663"/>
      </w:r>
      <w:r>
        <w:rPr>
          <w:rFonts w:ascii="IRNazanin" w:hAnsi="IRNazanin" w:eastAsia="IRNazanin"/>
          <w:color w:val="111111"/>
          <w:sz w:val="28"/>
          <w:sz w:val="28"/>
          <w:szCs w:val="28"/>
          <w:rtl w:val="true"/>
          <w:lang w:bidi="fa-IR"/>
        </w:rPr>
        <w:t>إلی السنة الثالثة</w:t>
      </w:r>
      <w:r>
        <w:rPr>
          <w:rStyle w:val="FootnoteAnchor"/>
          <w:rtl w:val="true"/>
        </w:rPr>
        <w:footnoteReference w:id="664"/>
      </w:r>
      <w:r>
        <w:rPr>
          <w:rFonts w:ascii="IRNazanin" w:hAnsi="IRNazanin" w:eastAsia="IRNazanin"/>
          <w:color w:val="111111"/>
          <w:sz w:val="28"/>
          <w:sz w:val="28"/>
          <w:szCs w:val="28"/>
          <w:rtl w:val="true"/>
          <w:lang w:bidi="fa-IR"/>
        </w:rPr>
        <w:t>أو أزید فالمدار علی حصولها</w:t>
      </w:r>
      <w:r>
        <w:rPr>
          <w:rStyle w:val="FootnoteAnchor"/>
          <w:rtl w:val="true"/>
        </w:rPr>
        <w:footnoteReference w:id="665"/>
      </w:r>
      <w:r>
        <w:rPr>
          <w:rFonts w:ascii="IRNazanin" w:hAnsi="IRNazanin" w:eastAsia="IRNazanin"/>
          <w:color w:val="111111"/>
          <w:sz w:val="28"/>
          <w:sz w:val="28"/>
          <w:szCs w:val="28"/>
          <w:rtl w:val="true"/>
          <w:lang w:bidi="fa-IR"/>
        </w:rPr>
        <w:t>بعد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المکّیّ إذا خرج إلی سائر الأمصار مقیماً بها فلا یلحقه حکمها فی تعیّن التمتّع علیه؛ لعدم الدلیل، وبطلان القیاس، إلاّ إذا کانت الإقامة فیها بقصد التوطّن وحصلت الاستطاعة بعده، فإنّه یتعیّن علیه التمتّع بمقتضی القاعدة ولو فی السنة الاُولی، وأمّا إذا کانت بقصد المجاورة أو کانت الاستطاعة</w:t>
      </w:r>
      <w:r>
        <w:rPr>
          <w:rStyle w:val="FootnoteAnchor"/>
          <w:rtl w:val="true"/>
        </w:rPr>
        <w:footnoteReference w:id="666"/>
      </w:r>
      <w:bookmarkStart w:id="343" w:name="pg13284_130671"/>
    </w:p>
    <w:p>
      <w:pPr>
        <w:pStyle w:val="BookText"/>
        <w:rPr/>
      </w:pPr>
      <w:bookmarkEnd w:id="343"/>
      <w:r>
        <w:rPr>
          <w:rFonts w:ascii="IRNazanin" w:hAnsi="IRNazanin" w:eastAsia="IRNazanin"/>
          <w:color w:val="111111"/>
          <w:sz w:val="28"/>
          <w:sz w:val="28"/>
          <w:szCs w:val="28"/>
          <w:rtl w:val="true"/>
          <w:lang w:bidi="fa-IR"/>
        </w:rPr>
        <w:t>حاصلة فی مکّة فلا</w:t>
      </w:r>
      <w:r>
        <w:rPr>
          <w:rStyle w:val="FootnoteAnchor"/>
          <w:rtl w:val="true"/>
        </w:rPr>
        <w:footnoteReference w:id="667"/>
      </w:r>
      <w:r>
        <w:rPr>
          <w:rFonts w:ascii="IRNazanin" w:hAnsi="IRNazanin" w:eastAsia="IRNazanin"/>
          <w:color w:val="111111"/>
          <w:sz w:val="28"/>
          <w:sz w:val="28"/>
          <w:szCs w:val="28"/>
          <w:rtl w:val="true"/>
          <w:lang w:bidi="fa-IR"/>
        </w:rPr>
        <w:t>، نعم، الظاهر دخوله حینئذٍ فی المسألة السابقة</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قصد التوطّن خرج عن کونه مکّیّاً، فلا یکون من المسألة السابقة وإن کانت استطاعته حاصلة فی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القول بالتخییر فیها ـ کما عن المشهور ـ یتخیّر، وعلی قول ابن أبی عقیل یتعیّن علیه وظیفة المکّی</w:t>
      </w:r>
      <w:r>
        <w:rPr>
          <w:rFonts w:eastAsia="IRNazanin" w:cs="IRNazanin"/>
          <w:color w:val="111111"/>
          <w:sz w:val="28"/>
          <w:szCs w:val="28"/>
          <w:rtl w:val="true"/>
          <w:lang w:bidi="fa-IR"/>
        </w:rPr>
        <w:t>.</w:t>
      </w:r>
    </w:p>
    <w:p>
      <w:pPr>
        <w:pStyle w:val="Heading4"/>
        <w:numPr>
          <w:ilvl w:val="3"/>
          <w:numId w:val="1"/>
        </w:numPr>
        <w:rPr/>
      </w:pPr>
      <w:bookmarkStart w:id="344" w:name="__RefHeading___Toc2055751_2322387425"/>
      <w:bookmarkStart w:id="345" w:name="_Toc125"/>
      <w:bookmarkEnd w:id="344"/>
      <w:r>
        <w:rPr>
          <w:rtl w:val="true"/>
        </w:rPr>
        <w:t>میقات المقیم فی مکّة إذا تمتّع</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فی مکّة إذا وجب علیه التمتّع ـ کما إذا کانت استطاعته فی بلده أو استطاع فی مکّة قبل انقلاب فرضه ـ فالواجب علیه الخروج إلی المیقات لإحرام عمرة التمتّع، واختلفوا فی تعیین میقاته علی أقوال</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مُهَلّ</w:t>
      </w:r>
      <w:r>
        <w:rPr>
          <w:rStyle w:val="FootnoteAnchor"/>
          <w:rtl w:val="true"/>
        </w:rPr>
        <w:footnoteReference w:id="669"/>
      </w:r>
      <w:r>
        <w:rPr>
          <w:rFonts w:ascii="IRNazanin" w:hAnsi="IRNazanin" w:eastAsia="IRNazanin"/>
          <w:color w:val="111111"/>
          <w:sz w:val="28"/>
          <w:sz w:val="28"/>
          <w:szCs w:val="28"/>
          <w:rtl w:val="true"/>
          <w:lang w:bidi="fa-IR"/>
        </w:rPr>
        <w:t>أرضه</w:t>
      </w:r>
      <w:r>
        <w:rPr>
          <w:rStyle w:val="FootnoteAnchor"/>
          <w:rtl w:val="true"/>
        </w:rPr>
        <w:footnoteReference w:id="670"/>
      </w:r>
      <w:r>
        <w:rPr>
          <w:rFonts w:ascii="IRNazanin" w:hAnsi="IRNazanin" w:eastAsia="IRNazanin"/>
          <w:color w:val="111111"/>
          <w:sz w:val="28"/>
          <w:sz w:val="28"/>
          <w:szCs w:val="28"/>
          <w:rtl w:val="true"/>
          <w:lang w:bidi="fa-IR"/>
        </w:rPr>
        <w:t xml:space="preserve">، ذهب إلیه جماعة، بل ربّما یُسند إلی المشهور کما فی الحدائق؛ لخبر سماعة، عن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المجاور أ لَهُ أن یتمتّع بالعمرة إلی الحجّ؟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یخرج إلی مُهَلِّ أرضه، فلیُلَبِّ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المعتَضَد بجملةٍ من الأخبار الواردة فی الجاهل والناسی، </w:t>
      </w:r>
    </w:p>
    <w:p>
      <w:pPr>
        <w:pStyle w:val="BookText"/>
        <w:rPr/>
      </w:pPr>
      <w:r>
        <w:rPr>
          <w:rFonts w:ascii="IRNazanin" w:hAnsi="IRNazanin" w:eastAsia="IRNazanin"/>
          <w:color w:val="111111"/>
          <w:sz w:val="28"/>
          <w:sz w:val="28"/>
          <w:szCs w:val="28"/>
          <w:rtl w:val="true"/>
          <w:lang w:bidi="fa-IR"/>
        </w:rPr>
        <w:t>الدالّة علی ذلک بدعوی عدم خصوصیّةٍ للجهل والنسیان، وأنّ ذلک لکونه مقتضی حکم التمتّع، وبالأخبار الواردة فی توقیت المواقیت، وتخصیص کلِّ قطرٍ بواحدٍ منها، أو مَن مَرّ علیها، بعد دعوی أنّ الرجوع إلی المیقات غیر المرور علیه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أحد المواقیت المخصوصة مخیّراً بینها، وإلیه ذهب جماعة اُخری؛ لجملةٍ اُخری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موءیّدةٍ بأخبار المواقیت، بدعوی عدم استفادة خصوصیّة کلٍّ بقطر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أدنی الحِلّ، نقل عن الحلبیّ، وتبعه بعض متأخِّرِی المتأخِّرین؛ لجملةٍ ثالثةٍ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للمحقّق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2/799</w:t>
      </w:r>
      <w:r>
        <w:rPr>
          <w:rFonts w:ascii="IRNazanin" w:hAnsi="IRNazanin" w:eastAsia="IRNazanin"/>
          <w:color w:val="111111"/>
          <w:sz w:val="28"/>
          <w:sz w:val="28"/>
          <w:szCs w:val="28"/>
          <w:rtl w:val="true"/>
          <w:lang w:bidi="fa-IR"/>
        </w:rPr>
        <w:t>، الدروس للشهید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مجمع الفائدة للأردبیلی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6/192</w:t>
      </w:r>
      <w:r>
        <w:rPr>
          <w:rFonts w:ascii="IRNazanin" w:hAnsi="IRNazanin" w:eastAsia="IRNazanin"/>
          <w:color w:val="111111"/>
          <w:sz w:val="28"/>
          <w:sz w:val="28"/>
          <w:szCs w:val="28"/>
          <w:rtl w:val="true"/>
          <w:lang w:bidi="fa-IR"/>
        </w:rPr>
        <w:t>، 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7/207</w:t>
      </w:r>
      <w:r>
        <w:rPr>
          <w:rFonts w:ascii="IRNazanin" w:hAnsi="IRNazanin" w:eastAsia="IRNazanin"/>
          <w:color w:val="111111"/>
          <w:sz w:val="28"/>
          <w:sz w:val="28"/>
          <w:szCs w:val="28"/>
          <w:rtl w:val="true"/>
          <w:lang w:bidi="fa-IR"/>
        </w:rPr>
        <w:t>، ذخیرة المعاد للسبزواری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مهما تیسّر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البروجردی، عبداللّه الشیرازی، الشریعتمداری،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 نعم، لو تعذّر علیه الخروج إلی مُهَلِّ أرضه یتخیّر بین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لخبر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یخرج إلی مُهَلِّ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یَهلّ ویرفع صوته بالتلبیة، أی میقات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وعلی فرض تعذّر الخروج یتخیّر بین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الأقوی، والأحوط أن یجدّد نیّة الإحرام والتلبیة فی أدنی الحلِّ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نعم، لو تعذّر مُهَلِّ أرضه تخیّر بین المواقیت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الأحوط الإحرام من المیقات، وتجدیده من أدنی الحِلّ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الأقوی</w:t>
      </w:r>
      <w:bookmarkStart w:id="346" w:name="pg13284_130673"/>
    </w:p>
    <w:p>
      <w:pPr>
        <w:pStyle w:val="BookText"/>
        <w:rPr/>
      </w:pPr>
      <w:bookmarkEnd w:id="346"/>
      <w:r>
        <w:rPr>
          <w:rFonts w:ascii="IRNazanin" w:hAnsi="IRNazanin" w:eastAsia="IRNazanin"/>
          <w:color w:val="111111"/>
          <w:sz w:val="28"/>
          <w:sz w:val="28"/>
          <w:szCs w:val="28"/>
          <w:rtl w:val="true"/>
          <w:lang w:bidi="fa-IR"/>
        </w:rPr>
        <w:t>الثانی</w:t>
      </w:r>
      <w:r>
        <w:rPr>
          <w:rStyle w:val="FootnoteAnchor"/>
          <w:rtl w:val="true"/>
        </w:rPr>
        <w:footnoteReference w:id="673"/>
      </w:r>
      <w:r>
        <w:rPr>
          <w:rFonts w:ascii="IRNazanin" w:hAnsi="IRNazanin" w:eastAsia="IRNazanin"/>
          <w:color w:val="111111"/>
          <w:sz w:val="28"/>
          <w:sz w:val="28"/>
          <w:szCs w:val="28"/>
          <w:rtl w:val="true"/>
          <w:lang w:bidi="fa-IR"/>
        </w:rPr>
        <w:t>لعدم فهم الخصوصیّة</w:t>
      </w:r>
      <w:r>
        <w:rPr>
          <w:rStyle w:val="FootnoteAnchor"/>
          <w:rtl w:val="true"/>
        </w:rPr>
        <w:footnoteReference w:id="674"/>
      </w:r>
      <w:r>
        <w:rPr>
          <w:rFonts w:ascii="IRNazanin" w:hAnsi="IRNazanin" w:eastAsia="IRNazanin"/>
          <w:color w:val="111111"/>
          <w:sz w:val="28"/>
          <w:sz w:val="28"/>
          <w:szCs w:val="28"/>
          <w:rtl w:val="true"/>
          <w:lang w:bidi="fa-IR"/>
        </w:rPr>
        <w:t>من خبر سماعة وأخبار الجاهل والناسی، وأنّ ذکر المُهَلّ من باب أحد الأفراد، ومنع خصوصیّةٍ للمرور فی الأخبار العامّة الدالّة علی المواقیت، وأمّا أخبار القول الثالث فمع ندرة العامل بها مقیّدة</w:t>
      </w:r>
      <w:r>
        <w:rPr>
          <w:rStyle w:val="FootnoteAnchor"/>
          <w:rtl w:val="true"/>
        </w:rPr>
        <w:footnoteReference w:id="675"/>
      </w:r>
      <w:r>
        <w:rPr>
          <w:rFonts w:ascii="IRNazanin" w:hAnsi="IRNazanin" w:eastAsia="IRNazanin"/>
          <w:color w:val="111111"/>
          <w:sz w:val="28"/>
          <w:sz w:val="28"/>
          <w:szCs w:val="28"/>
          <w:rtl w:val="true"/>
          <w:lang w:bidi="fa-IR"/>
        </w:rPr>
        <w:t>بأخبار المواقیت، أو محمولة علی صورة التعذّر، ثمّ الظاهر</w:t>
      </w:r>
      <w:r>
        <w:rPr>
          <w:rStyle w:val="FootnoteAnchor"/>
          <w:rtl w:val="true"/>
        </w:rPr>
        <w:footnoteReference w:id="676"/>
      </w:r>
    </w:p>
    <w:p>
      <w:pPr>
        <w:pStyle w:val="Heading4"/>
        <w:numPr>
          <w:ilvl w:val="3"/>
          <w:numId w:val="1"/>
        </w:numPr>
        <w:rPr/>
      </w:pPr>
      <w:bookmarkStart w:id="347" w:name="__RefHeading___Toc2055753_2322387425"/>
      <w:bookmarkStart w:id="348" w:name="_Toc126"/>
      <w:bookmarkEnd w:id="347"/>
      <w:r>
        <w:rPr>
          <w:rtl w:val="true"/>
        </w:rPr>
        <w:t>حکم من لم یتمکّن من الإحرام من أحد المواقیت </w:t>
      </w:r>
      <w:bookmarkEnd w:id="34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ما </w:t>
      </w:r>
    </w:p>
    <w:p>
      <w:pPr>
        <w:pStyle w:val="BookText"/>
        <w:rPr/>
      </w:pPr>
      <w:r>
        <w:rPr>
          <w:rFonts w:ascii="IRNazanin" w:hAnsi="IRNazanin" w:eastAsia="IRNazanin"/>
          <w:color w:val="111111"/>
          <w:sz w:val="28"/>
          <w:sz w:val="28"/>
          <w:szCs w:val="28"/>
          <w:rtl w:val="true"/>
          <w:lang w:bidi="fa-IR"/>
        </w:rPr>
        <w:t>ذکرنا حکم</w:t>
      </w:r>
      <w:r>
        <w:rPr>
          <w:rStyle w:val="FootnoteAnchor"/>
          <w:rtl w:val="true"/>
        </w:rPr>
        <w:footnoteReference w:id="677"/>
      </w:r>
      <w:r>
        <w:rPr>
          <w:rFonts w:ascii="Amiri" w:hAnsi="Amiri" w:eastAsia="Amiri" w:cs="Amiri"/>
          <w:color w:val="111111"/>
          <w:sz w:val="28"/>
          <w:sz w:val="28"/>
          <w:szCs w:val="28"/>
          <w:rtl w:val="true"/>
          <w:lang w:bidi="ar-SA"/>
        </w:rPr>
        <w:t>کلِّ</w:t>
      </w:r>
      <w:r>
        <w:rPr>
          <w:rStyle w:val="FootnoteAnchor"/>
          <w:rtl w:val="true"/>
        </w:rPr>
        <w:footnoteReference w:id="678"/>
      </w:r>
      <w:r>
        <w:rPr>
          <w:rFonts w:ascii="Amiri" w:hAnsi="Amiri" w:eastAsia="Amiri" w:cs="Amiri"/>
          <w:color w:val="111111"/>
          <w:sz w:val="28"/>
          <w:sz w:val="28"/>
          <w:szCs w:val="28"/>
          <w:rtl w:val="true"/>
          <w:lang w:bidi="ar-SA"/>
        </w:rPr>
        <w:t>مَن کان فی مکّة وأراد الإتیان بالتمتّع ولو مستحبّاً</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إمکان الرجوع إلی المواقیت، وأمّا إذا تعذّر فیکفی الرجوع إلی أدنی الحِلّ، بل الأحوط الرجوع</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تجدید التلبیة فی أدنی الحِلّ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یتمکّن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خارج الحرم ممّا هو دون المیقات، وإن لم یتمکّن من الخروج إلی أدنی الحِلّ أحرم من موضعه،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الخروج إلی ما یتمکّن </w:t>
      </w:r>
      <w:r>
        <w:rPr>
          <w:rFonts w:eastAsia="IRNazanin" w:cs="IRNazanin"/>
          <w:color w:val="111111"/>
          <w:sz w:val="28"/>
          <w:szCs w:val="28"/>
          <w:rtl w:val="true"/>
          <w:lang w:bidi="fa-IR"/>
        </w:rPr>
        <w:t>.</w:t>
      </w:r>
      <w:bookmarkStart w:id="349" w:name="pg13284_130675"/>
    </w:p>
    <w:p>
      <w:pPr>
        <w:pStyle w:val="Heading3"/>
        <w:numPr>
          <w:ilvl w:val="2"/>
          <w:numId w:val="1"/>
        </w:numPr>
        <w:rPr/>
      </w:pPr>
      <w:bookmarkStart w:id="350" w:name="__RefHeading___Toc2055755_2322387425"/>
      <w:bookmarkStart w:id="351" w:name="_Toc127"/>
      <w:bookmarkEnd w:id="349"/>
      <w:bookmarkEnd w:id="350"/>
      <w:r>
        <w:rPr>
          <w:rtl w:val="true"/>
        </w:rPr>
        <w:t>فصل</w:t>
      </w:r>
      <w:r>
        <w:rPr>
          <w:rtl w:val="true"/>
        </w:rPr>
        <w:t xml:space="preserve">: </w:t>
      </w:r>
      <w:r>
        <w:rPr>
          <w:rtl w:val="true"/>
        </w:rPr>
        <w:t>فی صورة حجّ التمتّع</w:t>
      </w:r>
      <w:bookmarkEnd w:id="351"/>
    </w:p>
    <w:p>
      <w:pPr>
        <w:pStyle w:val="Heading4"/>
        <w:numPr>
          <w:ilvl w:val="3"/>
          <w:numId w:val="1"/>
        </w:numPr>
        <w:rPr/>
      </w:pPr>
      <w:bookmarkStart w:id="352" w:name="__RefHeading___Toc2055757_2322387425"/>
      <w:bookmarkStart w:id="353" w:name="_Toc128"/>
      <w:bookmarkEnd w:id="352"/>
      <w:r>
        <w:rPr>
          <w:rtl w:val="true"/>
        </w:rPr>
        <w:t>صورة حجّ التمتّع وشرائطه</w:t>
      </w:r>
      <w:bookmarkEnd w:id="353"/>
    </w:p>
    <w:p>
      <w:pPr>
        <w:pStyle w:val="BookText"/>
        <w:rPr/>
      </w:pPr>
      <w:r>
        <w:rPr>
          <w:rFonts w:ascii="Amiri" w:hAnsi="Amiri" w:eastAsia="Amiri" w:cs="Amiri"/>
          <w:color w:val="111111"/>
          <w:sz w:val="28"/>
          <w:sz w:val="28"/>
          <w:szCs w:val="28"/>
          <w:rtl w:val="true"/>
          <w:lang w:bidi="ar-SA"/>
        </w:rPr>
        <w:t>صورة حجّ</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اطرست للعمرة اجعل نهج أو وار نحط رس طر مر 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وفی مجمع البحرین للطریحی</w:t>
      </w:r>
      <w:r>
        <w:rPr>
          <w:rFonts w:eastAsia="IRNazanin" w:cs="IRNazanin"/>
          <w:color w:val="111111"/>
          <w:sz w:val="28"/>
          <w:szCs w:val="28"/>
          <w:rtl w:val="true"/>
          <w:lang w:bidi="fa-IR"/>
        </w:rPr>
        <w:t xml:space="preserve">: </w:t>
      </w:r>
      <w:r>
        <w:rPr>
          <w:rFonts w:eastAsia="IRNazanin" w:cs="IRNazanin"/>
          <w:color w:val="111111"/>
          <w:sz w:val="28"/>
          <w:szCs w:val="28"/>
          <w:lang w:bidi="fa-IR"/>
        </w:rPr>
        <w:t>4/167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اُطُر سِتّ للعمرةِ اجعل 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وأمر نحط رست طر مر 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التمتّع 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فی أشهر الحجّ من المیقات بالعمرة المتمتَّع بها إلی الحجّ، ثمّ یدخل مکّة فیطوف فیها بالبیت سبعاً، ویصلّی رکعتین فی المقام، ثمّ یسعی لها بین الصفا والمروة سبعاً، ثمّ یطوف للنساء احتیاطاً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ضعیف ولا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الأصحّ 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ویقصّر، ثمّ ینشئ</w:t>
      </w:r>
    </w:p>
    <w:p>
      <w:pPr>
        <w:pStyle w:val="BookText"/>
        <w:rPr/>
      </w:pPr>
      <w:r>
        <w:rPr>
          <w:rFonts w:ascii="IRNazanin" w:hAnsi="IRNazanin" w:eastAsia="IRNazanin"/>
          <w:color w:val="111111"/>
          <w:sz w:val="28"/>
          <w:sz w:val="28"/>
          <w:szCs w:val="28"/>
          <w:rtl w:val="true"/>
          <w:lang w:bidi="fa-IR"/>
        </w:rPr>
        <w:t>إحراماً للحجّ من مکّة فی وقت یعلم أ نّه یدرک الوقوف بعرفة، والأفضل إیقاعه یوم الترویة</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عقیب الصلاة المفروضة، سیّما الظهر أو المندوبة، کما یُستفاد من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یمضی إلی عرفات فیقف بها من الزوال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بالتأخیر من الزوال بمقدار 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الغروب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یوم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یُفیض ویمضی منها إلی المَشعَر، فیبیت فیه ویقف به بعد طلوع الفجر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حتی بعد طلوع الفجر إلی طلوع الشمس فی یوم النحر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طلوع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یوم النحر، وکذا أعمال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ثمّ یمضی إلی مِنی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فیرمی جمرة العقبة، ثمّ ینحر أو یذبح هَدیَهُ ویأکل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لا یجب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ویتصدّق ببعضه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أیضاً أن یتصدّق بثلثه ویهدی بثلثه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ثمّ</w:t>
      </w:r>
    </w:p>
    <w:p>
      <w:pPr>
        <w:pStyle w:val="BookText"/>
        <w:rPr/>
      </w:pPr>
      <w:r>
        <w:rPr>
          <w:rFonts w:ascii="Amiri" w:hAnsi="Amiri" w:eastAsia="Amiri" w:cs="Amiri"/>
          <w:color w:val="111111"/>
          <w:sz w:val="28"/>
          <w:sz w:val="28"/>
          <w:szCs w:val="28"/>
          <w:rtl w:val="true"/>
          <w:lang w:bidi="ar-SA"/>
        </w:rPr>
        <w:t>یُحلِق</w:t>
      </w:r>
      <w:r>
        <w:rPr>
          <w:rStyle w:val="FootnoteAnchor"/>
          <w:rtl w:val="true"/>
        </w:rPr>
        <w:footnoteReference w:id="683"/>
      </w:r>
      <w:r>
        <w:rPr>
          <w:rFonts w:ascii="Amiri" w:hAnsi="Amiri" w:eastAsia="Amiri" w:cs="Amiri"/>
          <w:color w:val="111111"/>
          <w:sz w:val="28"/>
          <w:sz w:val="28"/>
          <w:szCs w:val="28"/>
          <w:rtl w:val="true"/>
          <w:lang w:bidi="ar-SA"/>
        </w:rPr>
        <w:t>أو یقصّر</w:t>
      </w:r>
      <w:r>
        <w:rPr>
          <w:rStyle w:val="FootnoteAnchor"/>
          <w:rtl w:val="true"/>
        </w:rPr>
        <w:footnoteReference w:id="684"/>
      </w:r>
      <w:r>
        <w:rPr>
          <w:rFonts w:ascii="IRNazanin" w:hAnsi="IRNazanin" w:eastAsia="IRNazanin"/>
          <w:color w:val="111111"/>
          <w:sz w:val="28"/>
          <w:sz w:val="28"/>
          <w:szCs w:val="28"/>
          <w:rtl w:val="true"/>
          <w:lang w:bidi="fa-IR"/>
        </w:rPr>
        <w:t>، فیحِلّ من کلّ شیءٍ إلاّ النساء والطیب، والأحوط اجتناب الصید</w:t>
      </w:r>
      <w:r>
        <w:rPr>
          <w:rStyle w:val="FootnoteAnchor"/>
          <w:rtl w:val="true"/>
        </w:rPr>
        <w:footnoteReference w:id="685"/>
      </w:r>
      <w:r>
        <w:rPr>
          <w:rFonts w:ascii="IRNazanin" w:hAnsi="IRNazanin" w:eastAsia="IRNazanin"/>
          <w:color w:val="111111"/>
          <w:sz w:val="28"/>
          <w:sz w:val="28"/>
          <w:szCs w:val="28"/>
          <w:rtl w:val="true"/>
          <w:lang w:bidi="fa-IR"/>
        </w:rPr>
        <w:t>أیضاً، وإن کان الأقوی عدم حرمته علیه من</w:t>
      </w:r>
      <w:r>
        <w:rPr>
          <w:rStyle w:val="FootnoteAnchor"/>
          <w:rtl w:val="true"/>
        </w:rPr>
        <w:footnoteReference w:id="686"/>
      </w:r>
      <w:r>
        <w:rPr>
          <w:rFonts w:ascii="IRNazanin" w:hAnsi="IRNazanin" w:eastAsia="IRNazanin"/>
          <w:color w:val="111111"/>
          <w:sz w:val="28"/>
          <w:sz w:val="28"/>
          <w:szCs w:val="28"/>
          <w:rtl w:val="true"/>
          <w:lang w:bidi="fa-IR"/>
        </w:rPr>
        <w:t>حیث الإحرام</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حیث حرمة الحرم فحرام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من حیث حرمة الحرم فمحرم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حرم من حیث 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هو مخیّر بین أن یأتی إلی مکّة لیومه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فیطوف طواف الحجّ ویصلّی رکعتیه ویسعی سعیه فیحِلّ له الطیب، ثمّ یطوف طواف النساء ویصلّی رَکعتَیه فتَحِلّ له النساء، ثمّ یعود إلی مِنی لرمی الجِمار، فیبیت بها لیالی التشریق،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والثانی عشر والثالث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یرمی فی أیّامها الجِمار الثلاث، وأن لا یأتی إلی مکّة لیومه، بل یُقیم بِمِنی حتّی یرمی جِمارَه الثلاث یوم الحادی عشر، ومثله یوم الثانی عشر، ثمّ یَنفِر بعد الزوال إذا کان قد اتّقی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والصید، وإن أقام إلی النَفْر الثانی ـ وهو</w:t>
      </w:r>
      <w:bookmarkStart w:id="354" w:name="pg13284_130678"/>
    </w:p>
    <w:p>
      <w:pPr>
        <w:pStyle w:val="BookText"/>
        <w:rPr/>
      </w:pPr>
      <w:bookmarkEnd w:id="354"/>
      <w:r>
        <w:rPr>
          <w:rFonts w:ascii="IRNazanin" w:hAnsi="IRNazanin" w:eastAsia="IRNazanin"/>
          <w:color w:val="111111"/>
          <w:sz w:val="28"/>
          <w:sz w:val="28"/>
          <w:szCs w:val="28"/>
          <w:rtl w:val="true"/>
          <w:lang w:bidi="fa-IR"/>
        </w:rPr>
        <w:t>الثالث عشر ـ ولو قبل الزوال لکن بعد الرمی جاز أیضاً، ثمّ عاد إلی مکّة للطَوافَین والسعی، ولا إثم علیه فی شیء من ذلک علی الأصحّ</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الأصحّ الاجتزاء بالطواف والسعی تمام ذی الحجّة، والأفضل الأحوط هو اختیار الأوَّل، بأن یمضی إلی مکّة یوم النَحر بل لا ینبغی التأخیر</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عدم التأخیر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لِغَدِهِ فضلاً عن أیّام التشریق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لعذر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یشکل جواز التأخیر عنها بدون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یُستحبّ التعجیل؛ مخافة الأحداث والمعاریض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2055759_2322387425"/>
      <w:bookmarkStart w:id="356" w:name="_Toc129"/>
      <w:bookmarkEnd w:id="355"/>
      <w:r>
        <w:rPr>
          <w:rtl w:val="true"/>
        </w:rPr>
        <w:t>شروط حجّ التمتّع</w:t>
      </w:r>
      <w:bookmarkEnd w:id="356"/>
    </w:p>
    <w:p>
      <w:pPr>
        <w:pStyle w:val="BookText"/>
        <w:rPr/>
      </w:pPr>
      <w:r>
        <w:rPr>
          <w:rFonts w:ascii="Amiri" w:hAnsi="Amiri" w:eastAsia="Amiri" w:cs="Amiri"/>
          <w:color w:val="111111"/>
          <w:sz w:val="28"/>
          <w:sz w:val="28"/>
          <w:szCs w:val="28"/>
          <w:rtl w:val="true"/>
          <w:lang w:bidi="ar-SA"/>
        </w:rPr>
        <w:t>ویشترط فی حجّ التمتّع اُمور</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055761_2322387425"/>
      <w:bookmarkStart w:id="358" w:name="_Toc130"/>
      <w:bookmarkEnd w:id="357"/>
      <w:r>
        <w:rPr>
          <w:rtl w:val="true"/>
        </w:rPr>
        <w:t>الأوّل</w:t>
      </w:r>
      <w:r>
        <w:rPr>
          <w:rtl w:val="true"/>
        </w:rPr>
        <w:t xml:space="preserve">: </w:t>
      </w:r>
      <w:r>
        <w:rPr>
          <w:rtl w:val="true"/>
        </w:rPr>
        <w:t>النیّة، أی قصد نوع الحجّ</w:t>
      </w:r>
      <w:bookmarkEnd w:id="35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بمعنی قصد الإتیان بهذا النوع من الحجّ حین الشروع فی إحرام العمرة، فلو لم ینوِهِ أو نوی غیره أو تردّد فی نیّته بینه وبین غیره لم یصحَّ، نعم، فی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لو أتی بعمرةٍ مفرَدَةٍ فی أشهر الحجّ جاز أن یتمتّع بها، بل یستحبّ ذلک إذا بقی فی مکّة إلی هلال ذی الحجّة، ویتأکّد إذا بقی إلی یوم الترویة، بل عن القاضی وجوبه حینئذٍ، ولکنّ الظاهر تحقّق الإجماع علی خلافه</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أنّ صحیحة إبراهیم بن عمر الیمانی صریحة 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موثّق سماعة، عن الصادق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 معتمِراً فی شوّال ومن نیّته أن </w:t>
      </w:r>
    </w:p>
    <w:p>
      <w:pPr>
        <w:pStyle w:val="BookText"/>
        <w:rPr/>
      </w:pPr>
      <w:r>
        <w:rPr>
          <w:rFonts w:ascii="IRNazanin" w:hAnsi="IRNazanin" w:eastAsia="IRNazanin"/>
          <w:color w:val="111111"/>
          <w:sz w:val="28"/>
          <w:sz w:val="28"/>
          <w:szCs w:val="28"/>
          <w:rtl w:val="true"/>
          <w:lang w:bidi="fa-IR"/>
        </w:rPr>
        <w:t>یعتمر ویرجع إلی بلاده فلا بأس بذلک، وإن هو أقام إلی الحجّ فهو متمتّع؛ لأنّ 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وذوالقعدة وذوالحجّة، فمن اعتمر فیهنّ فأقام إلی الحجّ فهی متعة، ومن رجع إلی بلاده ولم یُقِم إلی الحجّ فهی عمرة، وإن اعتمر فی شهر رمضان أو قبله فأقام إلی الحجّ فلیس بمتمتّع، وإنّما هو مجاور أفرد العمرة، فإن هو أحبَّ أن یتمتّع فی أشهر الحجّ بالعمرة إلی الحجّ فلیخرج منها حتّی یُجاوِزَ ذات عرق، أو یُجاوز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أضفناه من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متمتّعاً بعمرته إلی الحجّ، فإن هو أحبَّ أن یفرد الحجّ فلیخرج إلی الجِعْرانَة فیلبّی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2937</w:t>
      </w:r>
      <w:r>
        <w:rPr>
          <w:rFonts w:ascii="IRNazanin" w:hAnsi="IRNazanin" w:eastAsia="IRNazanin"/>
          <w:color w:val="111111"/>
          <w:sz w:val="28"/>
          <w:sz w:val="28"/>
          <w:szCs w:val="28"/>
          <w:rtl w:val="true"/>
          <w:lang w:bidi="fa-IR"/>
        </w:rPr>
        <w:t>، مع اختلاف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صحیحة عمر بن یزید،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عُمرةً مفردةً فله أن یخرج إلی أهله، إلاّ أن یدرکه خروج الناس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العمرة، ح</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مع اختلافٍ یسیرٍ فی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قویّةٍ عنه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مکّة معتمراً مفرداً للحجّ</w:t>
      </w:r>
      <w:r>
        <w:rPr>
          <w:rStyle w:val="FootnoteAnchor"/>
          <w:rtl w:val="true"/>
        </w:rPr>
        <w:footnoteReference w:id="691"/>
      </w:r>
      <w:r>
        <w:rPr>
          <w:rFonts w:ascii="IRNazanin" w:hAnsi="IRNazanin" w:eastAsia="IRNazanin"/>
          <w:color w:val="111111"/>
          <w:sz w:val="28"/>
          <w:sz w:val="28"/>
          <w:szCs w:val="28"/>
          <w:rtl w:val="true"/>
          <w:lang w:bidi="fa-IR"/>
        </w:rPr>
        <w:t>فیقضی عمرته کان له ذلک، وإن أقام إلی أن یدرکه الحجّ کانت عمرته 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تکون متعة إلاّ فی أشهر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مع اختلافٍ یسیرٍ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مکّة بعمرة فأقام إلی هلال ذی الحجّة فلیس له أن یخرج حتّی یحجّ مع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مع اختلافٍ یسیرٍ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مرسل موسی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فی أشهر الحجّ فلیتمتّع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باختلافٍ فی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وقد عمل بها جماعة، بل فی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20/460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فیه خلافاً، ومقتضاها صحّة التمتّع مع عدم قصده</w:t>
      </w:r>
      <w:r>
        <w:rPr>
          <w:rStyle w:val="FootnoteAnchor"/>
          <w:rtl w:val="true"/>
        </w:rPr>
        <w:footnoteReference w:id="692"/>
      </w:r>
      <w:r>
        <w:rPr>
          <w:rFonts w:ascii="IRNazanin" w:hAnsi="IRNazanin" w:eastAsia="IRNazanin"/>
          <w:color w:val="111111"/>
          <w:sz w:val="28"/>
          <w:sz w:val="28"/>
          <w:szCs w:val="28"/>
          <w:rtl w:val="true"/>
          <w:lang w:bidi="fa-IR"/>
        </w:rPr>
        <w:t>حین إتیان العمرة، بل الظاهر من بعضها أ نّه یصیر تمتّعاً قهراً</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یتعیّن حمل هذه الأخبار علی نیّة التمتّع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حاجة إلی نیّة التمتّع بها بعدها، بل یمکن أن یستفاد منها أنّ التمتّع هو الحجّ عقیب عمرة وقعت فی أشهر الحجّ بأیّ نحوٍ أتی بها، ولا بأس بالعمل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لکنّ القدر المتیقّن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الروایات مطلقة تشمل مَن وجب علیه الحجّ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للأخذ بالقدر المتیقّن بعد إطلاق النصوص، وإفتاء جمعٍ من الأصحاب بمضمونها علی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الندبیّ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موردها ذلک؛ لأنّ الحجّ الواجب بالنسبة إلی النائی تَمتُّع، فلیس له نیّة الإفراد حتّی یعدل إلی التمتّع، وبالنسبة إلی المکّیّ إفراد، ولیس له متعة، فکیف یعدل إلیها؟ إلاّ أن یقال بشمول الأخبار لِما إذا أتی من وجب علیه الحجّ تمتّعاً بالعمرة المفردة ندباً فی أشهر الحجّ، وأنّها تُحسب عمرته الواجبة علیه، أی العمرة المتمتّع بها إلی الحجّ، فیکشف ذلک عن عدم لزوم قصد التمتّع فی العمرة، المتمتّع بها، ولکنّه مخالف لِما یظهر من جملة من الأخبار ولو بضمّ بعضها إلی بعض لزوم قصد إیصال العمرة إلی الحجّ فی نیّة العمرة المتمتّع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ولقوله علیه‌السلام فی صحیح عمر بن اُذینة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 للعمرة إذا اعتمر ثمّ أقام للحجّ بمکّة کانت عمرته تامّة، وحجّته ناقصة مکّیة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أبواب الحجّ، 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وبمعناه صحیح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 حمران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حجّه مُجزیاً عن الواجب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 ما إذا وجب علیه التمتّع فأتی بعمرةٍ</w:t>
      </w:r>
      <w:bookmarkStart w:id="359" w:name="pg13284_130681"/>
    </w:p>
    <w:p>
      <w:pPr>
        <w:pStyle w:val="BookText"/>
        <w:rPr/>
      </w:pPr>
      <w:bookmarkEnd w:id="359"/>
      <w:r>
        <w:rPr>
          <w:rFonts w:ascii="IRNazanin" w:hAnsi="IRNazanin" w:eastAsia="IRNazanin"/>
          <w:color w:val="111111"/>
          <w:sz w:val="28"/>
          <w:sz w:val="28"/>
          <w:szCs w:val="28"/>
          <w:rtl w:val="true"/>
          <w:lang w:bidi="fa-IR"/>
        </w:rPr>
        <w:t>مفردةٍ ثمّ أراد أن یجعلها عمرة التمتّع یشکل الاجتزاء بذلک عمّا وجب علیه، سواء کان حجّة الإسلام أم غیرها ممّا وجب بالنذر أو الاستئجار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2055763_2322387425"/>
      <w:bookmarkStart w:id="361" w:name="_Toc131"/>
      <w:bookmarkEnd w:id="360"/>
      <w:r>
        <w:rPr>
          <w:rtl w:val="true"/>
        </w:rPr>
        <w:t>الثانی</w:t>
      </w:r>
      <w:r>
        <w:rPr>
          <w:rtl w:val="true"/>
        </w:rPr>
        <w:t xml:space="preserve">: </w:t>
      </w:r>
      <w:r>
        <w:rPr>
          <w:rtl w:val="true"/>
        </w:rPr>
        <w:t>وقوع مجموع عمرته وحجّه فی أشهر الحجّ</w:t>
      </w:r>
      <w:bookmarkEnd w:id="36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عمرته وحجّه فی أشهر الحجّ، فلو أتی بعمرته أو بعضها فی غیرها لم یجزِ له أن یتمتّع بها، وأشهر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وذوالقعدة وذوالحجّة بتمامه علی الأصحّ؛ لظاهر الآیة</w:t>
      </w:r>
      <w:r>
        <w:rPr>
          <w:rStyle w:val="FootnoteAnchor"/>
          <w:rtl w:val="true"/>
        </w:rPr>
        <w:footnoteReference w:id="695"/>
      </w:r>
      <w:r>
        <w:rPr>
          <w:rFonts w:ascii="Amiri" w:hAnsi="Amiri" w:eastAsia="Amiri" w:cs="Amiri"/>
          <w:color w:val="111111"/>
          <w:sz w:val="28"/>
          <w:sz w:val="28"/>
          <w:szCs w:val="28"/>
          <w:rtl w:val="true"/>
          <w:lang w:bidi="ar-SA"/>
        </w:rPr>
        <w:t xml:space="preserve">، وجملة من الأخبار، </w:t>
      </w:r>
      <w:bookmarkStart w:id="362" w:name="pg13284_130682"/>
    </w:p>
    <w:p>
      <w:pPr>
        <w:pStyle w:val="BookText"/>
        <w:rPr/>
      </w:pPr>
      <w:bookmarkEnd w:id="362"/>
      <w:r>
        <w:rPr>
          <w:rFonts w:ascii="IRNazanin" w:hAnsi="IRNazanin" w:eastAsia="IRNazanin"/>
          <w:color w:val="111111"/>
          <w:sz w:val="28"/>
          <w:sz w:val="28"/>
          <w:szCs w:val="28"/>
          <w:rtl w:val="true"/>
          <w:lang w:bidi="fa-IR"/>
        </w:rPr>
        <w:t>کصحیحة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وموثّقة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وخبر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فالقول بأ نّها الشهران الأوّلان مع العشر الاُوَل من ذی الحجّة کما عن بعضٍ، أو مع ثمانیة أیّامٍ کما عن آخر، أو مع تسعة أیّام ولیلة یوم النحر إلی طلوع فجره کما عن ثالث، أو إلی طلوع شمسه کما عن رابعٍ ضعیف، علی أنّ الظاهر أنّ النزاع لفظیّ؛ فإنّه لا إشکال فی جواز إتیان بعض الأعمال</w:t>
      </w:r>
      <w:r>
        <w:rPr>
          <w:rStyle w:val="FootnoteAnchor"/>
          <w:rtl w:val="true"/>
        </w:rPr>
        <w:footnoteReference w:id="696"/>
      </w:r>
      <w:r>
        <w:rPr>
          <w:rFonts w:ascii="IRNazanin" w:hAnsi="IRNazanin" w:eastAsia="IRNazanin"/>
          <w:color w:val="111111"/>
          <w:sz w:val="28"/>
          <w:sz w:val="28"/>
          <w:szCs w:val="28"/>
          <w:rtl w:val="true"/>
          <w:lang w:bidi="fa-IR"/>
        </w:rPr>
        <w:t>إلی آخر ذی الحجّة</w:t>
      </w:r>
      <w:r>
        <w:rPr>
          <w:rStyle w:val="FootnoteAnchor"/>
          <w:rtl w:val="true"/>
        </w:rPr>
        <w:footnoteReference w:id="6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وقت التمتّع فیأتی فی الشرط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أن یکون مرادهم أنّ هذه الأوقات هی آخر الأوقات الّتی یمکن بها إدراک الحجّ</w:t>
      </w:r>
      <w:r>
        <w:rPr>
          <w:rFonts w:eastAsia="IRNazanin" w:cs="IRNazanin"/>
          <w:color w:val="111111"/>
          <w:sz w:val="28"/>
          <w:szCs w:val="28"/>
          <w:rtl w:val="true"/>
          <w:lang w:bidi="fa-IR"/>
        </w:rPr>
        <w:t>.</w:t>
      </w:r>
    </w:p>
    <w:p>
      <w:pPr>
        <w:pStyle w:val="Heading4"/>
        <w:numPr>
          <w:ilvl w:val="3"/>
          <w:numId w:val="1"/>
        </w:numPr>
        <w:rPr/>
      </w:pPr>
      <w:bookmarkStart w:id="363" w:name="__RefHeading___Toc2055765_2322387425"/>
      <w:bookmarkStart w:id="364" w:name="_Toc132"/>
      <w:bookmarkEnd w:id="363"/>
      <w:r>
        <w:rPr>
          <w:rtl w:val="true"/>
        </w:rPr>
        <w:t>حکم الإتیان بعمرة التمتّع قبل أشهر الحجّ</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بالعمرة قبل أشهر الحجّ قاصداً بها التمتّع فقد عرفت عدم صحتّها تمتّعاً، لکن هل تصحّ مفردة، أو تبطل من الأصل؟ قولان، إختار الثانی فی المدارک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8/463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ما نواه لم یقع، والمفردة لم یَنوِها، وبعض اختار الأوّل</w:t>
      </w:r>
      <w:r>
        <w:rPr>
          <w:rStyle w:val="FootnoteAnchor"/>
          <w:rtl w:val="true"/>
        </w:rPr>
        <w:footnoteReference w:id="6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جدّاً، وخبر الأحول لا یکون ظاهراً فیما اختاره هذا البعض، وکذلک خبر الأعرج مضافاً إلی أنّ الأخیر مخالف للأخبار والفتاوی فی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لخبر</w:t>
      </w:r>
      <w:r>
        <w:rPr>
          <w:rStyle w:val="FootnoteAnchor"/>
          <w:rtl w:val="true"/>
        </w:rPr>
        <w:footnoteReference w:id="699"/>
      </w:r>
      <w:r>
        <w:rPr>
          <w:rFonts w:ascii="IRNazanin" w:hAnsi="IRNazanin" w:eastAsia="IRNazanin"/>
          <w:color w:val="111111"/>
          <w:sz w:val="28"/>
          <w:sz w:val="28"/>
          <w:szCs w:val="28"/>
          <w:rtl w:val="true"/>
          <w:lang w:bidi="fa-IR"/>
        </w:rPr>
        <w:t>الأحول</w:t>
      </w:r>
      <w:r>
        <w:rPr>
          <w:rStyle w:val="FootnoteAnchor"/>
          <w:rtl w:val="true"/>
        </w:rPr>
        <w:footnoteReference w:id="700"/>
      </w: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فرض الحجّ فی غیر أشهر الحجّ،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یجعلها 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یُستَشعَر ذلک من خبر سعید الأعرج، 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تمتّع فی أشهر الحجّ ثمّ أقام بمکّة حتّی یحضر الحجّ من قابل فعلیه شاة، وإن تمتّع فی غیر أشهر الحجّ ثمّ جاور حتّی یحضر الحجّ فلیس علیه دم، إنّما هی حجّة مفردة، إنّما الأضحی علی أهل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القاعدة</w:t>
      </w:r>
      <w:r>
        <w:rPr>
          <w:rStyle w:val="FootnoteAnchor"/>
          <w:rtl w:val="true"/>
        </w:rPr>
        <w:footnoteReference w:id="7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الصحّة فی الفرض حسب القاعدة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مقتضی القاعدة صحّتها، ولکنّ الأحوط إتمامها رجاءً، وعدم الاکتفاء بها عن العمرة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ذکره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365" w:name="pg13284_130684"/>
    </w:p>
    <w:p>
      <w:pPr>
        <w:pStyle w:val="BookText"/>
        <w:rPr/>
      </w:pPr>
      <w:bookmarkEnd w:id="365"/>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مدارک الأحکام للآملی</w:t>
      </w:r>
      <w:r>
        <w:rPr>
          <w:rFonts w:eastAsia="IRNazanin" w:cs="IRNazanin"/>
          <w:color w:val="111111"/>
          <w:sz w:val="28"/>
          <w:szCs w:val="28"/>
          <w:rtl w:val="true"/>
          <w:lang w:bidi="fa-IR"/>
        </w:rPr>
        <w:t xml:space="preserve">: </w:t>
      </w:r>
      <w:r>
        <w:rPr>
          <w:rFonts w:eastAsia="IRNazanin" w:cs="IRNazanin"/>
          <w:color w:val="111111"/>
          <w:sz w:val="28"/>
          <w:szCs w:val="28"/>
          <w:lang w:bidi="fa-IR"/>
        </w:rPr>
        <w:t>7/206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المدارک</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مقتضی القاعدة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بأس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بما ذکره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ذلک البعض؛ للخبرَین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الروایتان ضعیفتان، علی أنّ الثانیة لا دلالة لها علی صحّة العمرة الّتی هی محلّ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دلالة الخبرَین غیر واضحة، فلا یُترک الاحتیاط بإتمام العمرة رجاءً، وعدم الاکتفاء بها عن العمرة الواجبة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الخبران ضعیفان سنداً فلا اعتماد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2055767_2322387425"/>
      <w:bookmarkStart w:id="367" w:name="_Toc133"/>
      <w:bookmarkEnd w:id="366"/>
      <w:r>
        <w:rPr>
          <w:rtl w:val="true"/>
        </w:rPr>
        <w:t>الثالث</w:t>
      </w:r>
      <w:r>
        <w:rPr>
          <w:rtl w:val="true"/>
        </w:rPr>
        <w:t xml:space="preserve">: </w:t>
      </w:r>
      <w:r>
        <w:rPr>
          <w:rtl w:val="true"/>
        </w:rPr>
        <w:t>وقوع الحجّ وعمرة التمتّع فی سنة واحدة</w:t>
      </w:r>
      <w:bookmarkEnd w:id="36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الحجّ والعمرة فی سنة</w:t>
      </w:r>
      <w:r>
        <w:rPr>
          <w:rStyle w:val="FootnoteAnchor"/>
          <w:rtl w:val="true"/>
        </w:rPr>
        <w:footnoteReference w:id="703"/>
      </w:r>
      <w:r>
        <w:rPr>
          <w:rFonts w:ascii="IRNazanin" w:hAnsi="IRNazanin" w:eastAsia="IRNazanin"/>
          <w:color w:val="111111"/>
          <w:sz w:val="28"/>
          <w:sz w:val="28"/>
          <w:szCs w:val="28"/>
          <w:rtl w:val="true"/>
          <w:lang w:bidi="fa-IR"/>
        </w:rPr>
        <w:t>واحدة، کما هو المشهور</w:t>
      </w:r>
      <w:r>
        <w:rPr>
          <w:rStyle w:val="FootnoteAnchor"/>
          <w:rtl w:val="true"/>
        </w:rPr>
        <w:footnoteReference w:id="704"/>
      </w:r>
      <w:r>
        <w:rPr>
          <w:rFonts w:ascii="IRNazanin" w:hAnsi="IRNazanin" w:eastAsia="IRNazanin"/>
          <w:color w:val="111111"/>
          <w:sz w:val="28"/>
          <w:sz w:val="28"/>
          <w:szCs w:val="28"/>
          <w:rtl w:val="true"/>
          <w:lang w:bidi="fa-IR"/>
        </w:rPr>
        <w:t>المدّعی علیه الإجماع</w:t>
      </w:r>
      <w:r>
        <w:rPr>
          <w:rStyle w:val="FootnoteAnchor"/>
          <w:rtl w:val="true"/>
        </w:rPr>
        <w:footnoteReference w:id="705"/>
      </w:r>
      <w:r>
        <w:rPr>
          <w:rFonts w:ascii="Amiri" w:hAnsi="Amiri" w:eastAsia="Amiri" w:cs="Amiri"/>
          <w:color w:val="111111"/>
          <w:sz w:val="28"/>
          <w:sz w:val="28"/>
          <w:szCs w:val="28"/>
          <w:rtl w:val="true"/>
          <w:lang w:bidi="ar-SA"/>
        </w:rPr>
        <w:t xml:space="preserve">لأ نّه المتبادر من الأخبار المبیّنة لکیفیّة حجّ </w:t>
      </w:r>
    </w:p>
    <w:p>
      <w:pPr>
        <w:pStyle w:val="BookText"/>
        <w:rPr/>
      </w:pPr>
      <w:r>
        <w:rPr>
          <w:rFonts w:ascii="IRNazanin" w:hAnsi="IRNazanin" w:eastAsia="IRNazanin"/>
          <w:color w:val="111111"/>
          <w:sz w:val="28"/>
          <w:sz w:val="28"/>
          <w:szCs w:val="28"/>
          <w:rtl w:val="true"/>
          <w:lang w:bidi="fa-IR"/>
        </w:rPr>
        <w:t>التمتّع؛ ولقاعدة توقیفیّة العبادات</w:t>
      </w:r>
      <w:r>
        <w:rPr>
          <w:rStyle w:val="FootnoteAnchor"/>
          <w:rtl w:val="true"/>
        </w:rPr>
        <w:footnoteReference w:id="706"/>
      </w:r>
      <w:r>
        <w:rPr>
          <w:rFonts w:ascii="IRNazanin" w:hAnsi="IRNazanin" w:eastAsia="IRNazanin"/>
          <w:color w:val="111111"/>
          <w:sz w:val="28"/>
          <w:sz w:val="28"/>
          <w:szCs w:val="28"/>
          <w:rtl w:val="true"/>
          <w:lang w:bidi="fa-IR"/>
        </w:rPr>
        <w:t>وللأخبار الدالّة علی دخول العمرة فی الحجّ وارتباطها به، والدالّة علی عدم جواز الخروج من مکّة بعد العمرة قبل الإتیان بالحجّ، بل وما دلّ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ذهاب المتعة بزوال یوم الترویة أو یوم عرفة ونحوها، ولا ینافیها خبر سعید الأعرج المتقدّم؛ بدعوی أنّ المراد</w:t>
      </w:r>
      <w:r>
        <w:rPr>
          <w:rStyle w:val="FootnoteAnchor"/>
          <w:rtl w:val="true"/>
        </w:rPr>
        <w:footnoteReference w:id="707"/>
      </w:r>
      <w:r>
        <w:rPr>
          <w:rFonts w:ascii="IRNazanin" w:hAnsi="IRNazanin" w:eastAsia="IRNazanin"/>
          <w:color w:val="111111"/>
          <w:sz w:val="28"/>
          <w:sz w:val="28"/>
          <w:szCs w:val="28"/>
          <w:rtl w:val="true"/>
          <w:lang w:bidi="fa-IR"/>
        </w:rPr>
        <w:t>من القابل فیه العام القابل، فیدلّ علی جواز إیقاع العمرة فی سنة، والحجّ فی اُخری؛ لمنع ذلک</w:t>
      </w:r>
      <w:r>
        <w:rPr>
          <w:rStyle w:val="FootnoteAnchor"/>
          <w:rtl w:val="true"/>
        </w:rPr>
        <w:footnoteReference w:id="708"/>
      </w:r>
      <w:r>
        <w:rPr>
          <w:rFonts w:ascii="IRNazanin" w:hAnsi="IRNazanin" w:eastAsia="IRNazanin"/>
          <w:color w:val="111111"/>
          <w:sz w:val="28"/>
          <w:sz w:val="28"/>
          <w:szCs w:val="28"/>
          <w:rtl w:val="true"/>
          <w:lang w:bidi="fa-IR"/>
        </w:rPr>
        <w:t>، بل المراد منه الشهر القابل؛ علی أ نّه لمعارضة الأدلّة السابقة غیر قابل</w:t>
      </w:r>
      <w:r>
        <w:rPr>
          <w:rStyle w:val="FootnoteAnchor"/>
          <w:rtl w:val="true"/>
        </w:rPr>
        <w:footnoteReference w:id="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الضعف فی 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ضعیف سنداً فلا یصلح للمعارضة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فلو أتی بالعمرة فی عام وأخّر الحجّ إلی العام الآخر لم یصحّ تمتّعاً، سواء أقام فی مکّة إلی العام القابل، أم رجع إلی أهله ثمّ عاد إلیها، وسواء أحلّ من إحرام عمرته أم بقی علیه إلی السنة الاُخری، ولا وجه لِما عن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احتمال الصحّة فی هذه الصورة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المراد من کونهما فی 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یکونا معاً فی أشهر الحجّ من </w:t>
      </w:r>
      <w:bookmarkStart w:id="368" w:name="pg13284_130686"/>
    </w:p>
    <w:p>
      <w:pPr>
        <w:pStyle w:val="BookText"/>
        <w:rPr/>
      </w:pPr>
      <w:bookmarkEnd w:id="368"/>
      <w:r>
        <w:rPr>
          <w:rFonts w:ascii="IRNazanin" w:hAnsi="IRNazanin" w:eastAsia="IRNazanin"/>
          <w:color w:val="111111"/>
          <w:sz w:val="28"/>
          <w:sz w:val="28"/>
          <w:szCs w:val="28"/>
          <w:rtl w:val="true"/>
          <w:lang w:bidi="fa-IR"/>
        </w:rPr>
        <w:t>سنةٍ واحدة، لا أن لا یکون بینهما أزید من اثنی عشر شهراً، وحینئذٍ فلا یصحّ أیضاً لو أتی بعمرة التمتّع فی أواخر ذی الحجّة، وأتی بالحجّ فی ذی الحجّة من العام القابل</w:t>
      </w:r>
      <w:r>
        <w:rPr>
          <w:rFonts w:eastAsia="IRNazanin" w:cs="IRNazanin"/>
          <w:color w:val="111111"/>
          <w:sz w:val="28"/>
          <w:szCs w:val="28"/>
          <w:rtl w:val="true"/>
          <w:lang w:bidi="fa-IR"/>
        </w:rPr>
        <w:t>.</w:t>
      </w:r>
    </w:p>
    <w:p>
      <w:pPr>
        <w:pStyle w:val="Heading4"/>
        <w:numPr>
          <w:ilvl w:val="3"/>
          <w:numId w:val="1"/>
        </w:numPr>
        <w:rPr/>
      </w:pPr>
      <w:bookmarkStart w:id="369" w:name="__RefHeading___Toc2055769_2322387425"/>
      <w:bookmarkStart w:id="370" w:name="_Toc134"/>
      <w:bookmarkEnd w:id="369"/>
      <w:r>
        <w:rPr>
          <w:rtl w:val="true"/>
        </w:rPr>
        <w:t>الرابع</w:t>
      </w:r>
      <w:r>
        <w:rPr>
          <w:rtl w:val="true"/>
        </w:rPr>
        <w:t xml:space="preserve">: </w:t>
      </w:r>
      <w:r>
        <w:rPr>
          <w:rtl w:val="true"/>
        </w:rPr>
        <w:t>الإحرام من بطن مکّة</w:t>
      </w:r>
      <w:bookmarkEnd w:id="37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إحرام حجّه من بطن مکّة مع الاختیار؛ للإجماع والأخبار</w:t>
      </w:r>
      <w:r>
        <w:rPr>
          <w:rStyle w:val="FootnoteAnchor"/>
          <w:rtl w:val="true"/>
        </w:rPr>
        <w:footnoteReference w:id="710"/>
      </w:r>
      <w:r>
        <w:rPr>
          <w:rFonts w:ascii="IRNazanin" w:hAnsi="IRNazanin" w:eastAsia="IRNazanin"/>
          <w:color w:val="111111"/>
          <w:sz w:val="28"/>
          <w:sz w:val="28"/>
          <w:szCs w:val="28"/>
          <w:rtl w:val="true"/>
          <w:lang w:bidi="fa-IR"/>
        </w:rPr>
        <w:t>، وما فی خبر إسحاق، عن أبی الحسن علیه‌السلام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مجاوراً هاهنا فخرج یتلقّی بعض هوءلاء، فلمّا رجع فبلغ ذات عرق أحرم من ذات عرق بالحجّ، ودخل وهو محرم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ربّما یستفاد منه جواز الإحرام بالحجّ من غیر مکّة محمول علی محامل</w:t>
      </w:r>
      <w:r>
        <w:rPr>
          <w:rStyle w:val="FootnoteAnchor"/>
          <w:rtl w:val="true"/>
        </w:rPr>
        <w:footnoteReference w:id="7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بعضها بالتصرّف فی جهة الصدور، وبعضها فی الظهور، وکلّها بمعزلٍ عن التحقیق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أحسنها أنّ المراد بالحجِّ عمرته؛ حیث إنّها أوّل أعماله، نعم، یکفی أیّ موضع منها کان ولو فی سککها؛ للإجماع وخبر عمرو بن حریث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اُهِلُّ بالحجّ؟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من رحلک، وإن شئت من المسجد، وإن شئت 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وأفضل مواضعها المسجد، وأفضل مواضعه المقام أو الحجر،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bookmarkStart w:id="371" w:name="pg13284_130687"/>
    </w:p>
    <w:p>
      <w:pPr>
        <w:pStyle w:val="BookText"/>
        <w:rPr/>
      </w:pPr>
      <w:bookmarkEnd w:id="371"/>
      <w:r>
        <w:rPr>
          <w:rFonts w:ascii="IRNazanin" w:hAnsi="IRNazanin" w:eastAsia="IRNazanin"/>
          <w:color w:val="111111"/>
          <w:sz w:val="28"/>
          <w:sz w:val="28"/>
          <w:szCs w:val="28"/>
          <w:rtl w:val="true"/>
          <w:lang w:bidi="fa-IR"/>
        </w:rPr>
        <w:t>تحت المیزاب</w:t>
      </w:r>
      <w:r>
        <w:rPr>
          <w:rStyle w:val="FootnoteAnchor"/>
          <w:rtl w:val="true"/>
        </w:rPr>
        <w:footnoteReference w:id="7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قد یقال بالتخییر بین المقام وتحت المیزاب، کما عن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التخییر بین المقام وتحت المیزاب الّذی هو جزء من الحجر، فطرفا التخییر هما المقام والحجر، أو المقام وتحت المیزاب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الرکن والمقام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تعذّر الإحرام من مکّة أحرم ممّا یتمکّن</w:t>
      </w:r>
      <w:r>
        <w:rPr>
          <w:rStyle w:val="FootnoteAnchor"/>
          <w:rtl w:val="true"/>
        </w:rPr>
        <w:footnoteReference w:id="713"/>
      </w:r>
      <w:r>
        <w:rPr>
          <w:rFonts w:ascii="IRNazanin" w:hAnsi="IRNazanin" w:eastAsia="IRNazanin"/>
          <w:color w:val="111111"/>
          <w:sz w:val="28"/>
          <w:sz w:val="28"/>
          <w:szCs w:val="28"/>
          <w:rtl w:val="true"/>
          <w:lang w:bidi="fa-IR"/>
        </w:rPr>
        <w:t>، ولو أحرم من غیرها اختیاراً متعمّداً بطل إحرامه، ولو لم یتدارکه بطل حجّه، ولا یکفیه العود إلیها بدون التجدید، بل یجب أن یجدّده؛ لأنّ إحرامه من غیرها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أحرم من غیرها جهلاً أو نسیاناً وجب العود إلیها، والتجدید مع الإمکان، ومع عدمه جدّده فی مکانه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055771_2322387425"/>
      <w:bookmarkStart w:id="373" w:name="_Toc135"/>
      <w:bookmarkEnd w:id="372"/>
      <w:r>
        <w:rPr>
          <w:rtl w:val="true"/>
        </w:rPr>
        <w:t>الخامس</w:t>
      </w:r>
      <w:r>
        <w:rPr>
          <w:rtl w:val="true"/>
        </w:rPr>
        <w:t xml:space="preserve">: </w:t>
      </w:r>
      <w:r>
        <w:rPr>
          <w:rtl w:val="true"/>
        </w:rPr>
        <w:t>أن یکون مجموع عمرته وحجّه من واحد وعن واحد</w:t>
      </w:r>
      <w:bookmarkEnd w:id="373"/>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ولعلّه الأحوط بناءً علی شدّة ارتباط العمرة بالحجّ فی التمتّع، وکونهما عملاً واحداً ارتباطیاً غیر قابل للتبعیض، وما یُتَوَهّم من دلالة بعض الروایات علی جواز التفکیک بینهما لا یُعبَأ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یشترط فیه أن یکون مجموع عمرته وحجّه</w:t>
      </w:r>
    </w:p>
    <w:p>
      <w:pPr>
        <w:pStyle w:val="BookText"/>
        <w:rPr/>
      </w:pPr>
      <w:r>
        <w:rPr>
          <w:rFonts w:ascii="IRNazanin" w:hAnsi="IRNazanin" w:eastAsia="IRNazanin"/>
          <w:color w:val="111111"/>
          <w:sz w:val="28"/>
          <w:sz w:val="28"/>
          <w:szCs w:val="28"/>
          <w:rtl w:val="true"/>
          <w:lang w:bidi="fa-IR"/>
        </w:rPr>
        <w:t>من واحد وعن واحد</w:t>
      </w:r>
      <w:r>
        <w:rPr>
          <w:rStyle w:val="FootnoteAnchor"/>
          <w:rtl w:val="true"/>
        </w:rPr>
        <w:footnoteReference w:id="716"/>
      </w:r>
      <w:r>
        <w:rPr>
          <w:rFonts w:ascii="Amiri" w:hAnsi="Amiri" w:eastAsia="Amiri" w:cs="Amiri"/>
          <w:color w:val="111111"/>
          <w:sz w:val="28"/>
          <w:sz w:val="28"/>
          <w:szCs w:val="28"/>
          <w:rtl w:val="true"/>
          <w:lang w:bidi="ar-SA"/>
        </w:rPr>
        <w:t>، فلو استُؤجِر اثنان لحجّ التمتّع عن میّت أحدهما لعمرته والاُخری لحجّه لم یجزِ عنه، وکذا لو حجّ شخص وجعل عمرته عن شخص وحجّه عن آخر لم یصحّ، ولکنّه محلّ تأمّل</w:t>
      </w:r>
      <w:r>
        <w:rPr>
          <w:rStyle w:val="FootnoteAnchor"/>
          <w:rtl w:val="true"/>
        </w:rPr>
        <w:footnoteReference w:id="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للتأمّل بعد عدم ظهور عامل بالخبر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التأمّل فی عدم الجواز، وعدم صحّة جعل حجّته لشخص وعمرته لشخص آخر نیابة 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استئجار اثنین عن میّتٍ فلا دلیل علی عدم جوازه، إلاّ توهّم قصور أدلّة النیابة، وهو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النیابة أمر اعتباریّ عرفیّ أجراها الشارع فی الشرعیات، والعرف یساعد علی صحّتها فی المثال، أو توهّم أنّ وزان العمرة والحجّ وزان رکعتَی الصبح، وهو باطل أیضاً، وأمّا صحّة إتیان العمرة لشخصٍ والحجّ لآخر فهی متفرّعة علی مشروعیّة کلّ واحدٍ منهما مستقلاًّ، وعدم ارتباطهما فی عالَم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لاوجه للتأمّل فیه، والخبر غیر واضح الدلالة مع عدم ظهور عامل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التأمّل بعد ما أشرنا إلیه من المبنی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 نّه أحوط، والخبر لم تتّضح دلالته، ولم یظهر عامل به علی تقدیر وضوح الدلالة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ربّما یظهر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خبر محمّد بن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الإجماع علی خلافه لا وجه لاعتباره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یثبت وجود عاملٍ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أبی جعفر علیه‌السلام صحّة الثانی،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bookmarkStart w:id="374" w:name="pg13284_130689"/>
    </w:p>
    <w:p>
      <w:pPr>
        <w:pStyle w:val="BookText"/>
        <w:rPr/>
      </w:pPr>
      <w:bookmarkEnd w:id="374"/>
      <w:r>
        <w:rPr>
          <w:rFonts w:ascii="IRNazanin" w:hAnsi="IRNazanin" w:eastAsia="IRNazanin"/>
          <w:color w:val="111111"/>
          <w:sz w:val="28"/>
          <w:sz w:val="28"/>
          <w:szCs w:val="28"/>
          <w:rtl w:val="true"/>
          <w:lang w:bidi="fa-IR"/>
        </w:rPr>
        <w:t>رجلٍ یحجّ عن أبیه، أیتمتّع؟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المتعة له، والحجّ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النیابة فی الحجّ،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75" w:name="__RefHeading___Toc2055773_2322387425"/>
      <w:bookmarkStart w:id="376" w:name="_Toc136"/>
      <w:bookmarkEnd w:id="375"/>
      <w:r>
        <w:rPr>
          <w:rtl w:val="true"/>
        </w:rPr>
        <w:t>حکم خروج المعتمر من مکّة</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 نّه لا یجوز الخروج</w:t>
      </w:r>
      <w:r>
        <w:rPr>
          <w:rStyle w:val="FootnoteAnchor"/>
          <w:rtl w:val="true"/>
        </w:rPr>
        <w:footnoteReference w:id="718"/>
      </w:r>
      <w:r>
        <w:rPr>
          <w:rFonts w:ascii="Amiri" w:hAnsi="Amiri" w:eastAsia="Amiri" w:cs="Amiri"/>
          <w:color w:val="111111"/>
          <w:sz w:val="28"/>
          <w:sz w:val="28"/>
          <w:szCs w:val="28"/>
          <w:rtl w:val="true"/>
          <w:lang w:bidi="ar-SA"/>
        </w:rPr>
        <w:t>من مکّة بعد الإحلال من عمرة التمتّع قبل أن یأتی بالحجّ، وأ نّه إذا أراد ذلک علیه أن یُحرِم بالحجّ فیخرج مُحرِماً به، وإن خرج مُحِلاًّ ورجع بعد شهر فعلیه أن یُحرِم بالعمرة؛ وذلک لجملةٍ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أقسام الحجّ، أحادیث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الناهیة للخروج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فی الأصل، والأفضل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الناهیة عن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والدالّة علی أ نّه مرتهَن ومحتَبَس بالحجّ، والدالّة علی أ نّه لو أراد الخروج خرج مُلَبّیاً بالحجّ، والدالّة علی أ نّه لو خرج مُحِلاًّ فإن رجع فی شهره دخل مُحِلاًّ، وإن رجع فی غیر شهره دخل مُحرِماً، والأقوی</w:t>
      </w:r>
      <w:r>
        <w:rPr>
          <w:rStyle w:val="FootnoteAnchor"/>
          <w:rtl w:val="true"/>
        </w:rPr>
        <w:footnoteReference w:id="719"/>
      </w:r>
      <w:r>
        <w:rPr>
          <w:rFonts w:ascii="IRNazanin" w:hAnsi="IRNazanin" w:eastAsia="IRNazanin"/>
          <w:color w:val="111111"/>
          <w:sz w:val="28"/>
          <w:sz w:val="28"/>
          <w:szCs w:val="28"/>
          <w:rtl w:val="true"/>
          <w:lang w:bidi="fa-IR"/>
        </w:rPr>
        <w:t>عدم</w:t>
      </w:r>
      <w:r>
        <w:rPr>
          <w:rStyle w:val="FootnoteAnchor"/>
          <w:rtl w:val="true"/>
        </w:rPr>
        <w:footnoteReference w:id="7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الخروج منها مُحرِماً بالحجّ والعود کذلک لإتیان المناسک الحجّیّة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حرمة</w:t>
      </w:r>
      <w:r>
        <w:rPr>
          <w:rStyle w:val="FootnoteAnchor"/>
          <w:rtl w:val="true"/>
        </w:rPr>
        <w:footnoteReference w:id="721"/>
      </w:r>
      <w:r>
        <w:rPr>
          <w:rFonts w:ascii="IRNazanin" w:hAnsi="IRNazanin" w:eastAsia="IRNazanin"/>
          <w:color w:val="111111"/>
          <w:sz w:val="28"/>
          <w:sz w:val="28"/>
          <w:szCs w:val="28"/>
          <w:rtl w:val="true"/>
          <w:lang w:bidi="fa-IR"/>
        </w:rPr>
        <w:t>الخروج</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حرمته، إلاّ أن یُحرِم للحجّ، ثمّ یخرج إلی ما یعلم عدم فوات الحجّ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حرمته، إلاّ أن یُحرِم للحجّ، ثمّ یخرج إلی ما یعلم عدم فوات الحجّ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الحرمة، وما استدلّ به علی الجواز لا 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علی فرض الحاجة، وأمّا مع عدم الحاجة فالأقوی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لعدم صلاحیة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لمعارضة ما دلّ علی حرمة الخروج بلا حاجة، والخروج معها بلا إحرام، وضعف المستند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حرمته، إلاّ فی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إلی ما یقرب مکّة کالطائف، فإنّه یجوز الخروج إلیه مُحِلاًّ أیضاً مع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عَرَضَت له حاجة عرفیة فإنّه یجوز له الخروج منها مُحرِماً علی قدرٍ لا یفوته عرفة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وجوازه محِلاٍّ حملاً للأخبار علی الکراهة، کما عن</w:t>
      </w:r>
    </w:p>
    <w:p>
      <w:pPr>
        <w:pStyle w:val="BookText"/>
        <w:rPr/>
      </w:pPr>
      <w:r>
        <w:rPr>
          <w:rFonts w:ascii="IRNazanin" w:hAnsi="IRNazanin" w:eastAsia="IRNazanin"/>
          <w:color w:val="111111"/>
          <w:sz w:val="28"/>
          <w:sz w:val="28"/>
          <w:szCs w:val="28"/>
          <w:rtl w:val="true"/>
          <w:lang w:bidi="fa-IR"/>
        </w:rPr>
        <w:t xml:space="preserve">ابن إدریس وجماعة اُخری بقرینة التعبیر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تلک الأخبار</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علیه‌السلام فی مرسلة 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المتمتّع الخروج من مکّة إلی بعض المواضع فلیس له ذلک؛ لأ نّه مرتبط بالحجّ حتّی یقضیه، إلاّ أن یعلم أ نّه لا یفوته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الرضویّ</w:t>
      </w:r>
      <w:r>
        <w:rPr>
          <w:rStyle w:val="FootnoteAnchor"/>
          <w:rtl w:val="true"/>
        </w:rPr>
        <w:footnoteReference w:id="724"/>
      </w:r>
      <w:r>
        <w:rPr>
          <w:rFonts w:ascii="IRNazanin" w:hAnsi="IRNazanin" w:eastAsia="IRNazanin"/>
          <w:color w:val="111111"/>
          <w:sz w:val="28"/>
          <w:sz w:val="28"/>
          <w:szCs w:val="28"/>
          <w:rtl w:val="true"/>
          <w:lang w:bidi="fa-IR"/>
        </w:rPr>
        <w:t>، بل وقوله علیه‌السلام فی مرسل أبان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یتجاوز إلاّ علی قدر ما </w:t>
      </w:r>
    </w:p>
    <w:p>
      <w:pPr>
        <w:pStyle w:val="BookText"/>
        <w:rPr/>
      </w:pPr>
      <w:r>
        <w:rPr>
          <w:rFonts w:ascii="IRNazanin" w:hAnsi="IRNazanin" w:eastAsia="IRNazanin"/>
          <w:color w:val="111111"/>
          <w:sz w:val="28"/>
          <w:sz w:val="28"/>
          <w:szCs w:val="28"/>
          <w:rtl w:val="true"/>
          <w:lang w:bidi="fa-IR"/>
        </w:rPr>
        <w:t>لا تفوته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هو وإن کان 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 نّه یمکن أن یُستفاد منه أنّ المدار فوت الحجّ وعدمه، بل یمکن</w:t>
      </w:r>
      <w:r>
        <w:rPr>
          <w:rStyle w:val="FootnoteAnchor"/>
          <w:rtl w:val="true"/>
        </w:rPr>
        <w:footnoteReference w:id="725"/>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المنساق من جمیع الأخبار المانعة أنّ ذلک للتحفّظ عن عدم إدراک الحجّ</w:t>
      </w:r>
      <w:r>
        <w:rPr>
          <w:rStyle w:val="FootnoteAnchor"/>
          <w:rtl w:val="true"/>
        </w:rPr>
        <w:footnoteReference w:id="726"/>
      </w:r>
      <w:r>
        <w:rPr>
          <w:rFonts w:ascii="IRNazanin" w:hAnsi="IRNazanin" w:eastAsia="IRNazanin"/>
          <w:color w:val="111111"/>
          <w:sz w:val="28"/>
          <w:sz w:val="28"/>
          <w:szCs w:val="28"/>
          <w:rtl w:val="true"/>
          <w:lang w:bidi="fa-IR"/>
        </w:rPr>
        <w:t>وفوته؛ لکون الخروج فی معرض ذلک، وعلی هذا فیمکن دعوی عدم الکراهة</w:t>
      </w:r>
      <w:r>
        <w:rPr>
          <w:rStyle w:val="FootnoteAnchor"/>
          <w:rtl w:val="true"/>
        </w:rPr>
        <w:footnoteReference w:id="7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الدعوی مشکلة، والکراهة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مع علمه بعدم فوات الحجّ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الخروج لا بنیّة العود، أو مع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بفوات الحجّ منه إذا خرج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الظاهر أنّ الأمر بالإحرام إذا کان رجوعه بعد شهرٍ إنّما هو من جهة أنّ لکلّ شهرٍ عمرة، لا أن یکون ذلک تعبّداً</w:t>
      </w:r>
      <w:r>
        <w:rPr>
          <w:rStyle w:val="FootnoteAnchor"/>
          <w:rtl w:val="true"/>
        </w:rPr>
        <w:footnoteReference w:id="728"/>
      </w:r>
      <w:r>
        <w:rPr>
          <w:rFonts w:ascii="Amiri" w:hAnsi="Amiri" w:eastAsia="Amiri" w:cs="Amiri"/>
          <w:color w:val="111111"/>
          <w:sz w:val="28"/>
          <w:sz w:val="28"/>
          <w:szCs w:val="28"/>
          <w:rtl w:val="true"/>
          <w:lang w:bidi="ar-SA"/>
        </w:rPr>
        <w:t xml:space="preserve">، أو لفساد عمرته السابقة، أو لأجل </w:t>
      </w:r>
    </w:p>
    <w:p>
      <w:pPr>
        <w:pStyle w:val="BookText"/>
        <w:rPr/>
      </w:pPr>
      <w:r>
        <w:rPr>
          <w:rFonts w:ascii="IRNazanin" w:hAnsi="IRNazanin" w:eastAsia="IRNazanin"/>
          <w:color w:val="111111"/>
          <w:sz w:val="28"/>
          <w:sz w:val="28"/>
          <w:szCs w:val="28"/>
          <w:rtl w:val="true"/>
          <w:lang w:bidi="fa-IR"/>
        </w:rPr>
        <w:t>وجوب الإحرام علی مَن دخل مکّة، بل هو صریح</w:t>
      </w:r>
      <w:r>
        <w:rPr>
          <w:rStyle w:val="FootnoteAnchor"/>
          <w:rtl w:val="true"/>
        </w:rPr>
        <w:footnoteReference w:id="729"/>
      </w:r>
      <w:r>
        <w:rPr>
          <w:rFonts w:ascii="IRNazanin" w:hAnsi="IRNazanin" w:eastAsia="IRNazanin"/>
          <w:color w:val="111111"/>
          <w:sz w:val="28"/>
          <w:sz w:val="28"/>
          <w:szCs w:val="28"/>
          <w:rtl w:val="true"/>
          <w:lang w:bidi="fa-IR"/>
        </w:rPr>
        <w:t>خبر</w:t>
      </w:r>
      <w:r>
        <w:rPr>
          <w:rStyle w:val="FootnoteAnchor"/>
          <w:rtl w:val="true"/>
        </w:rPr>
        <w:footnoteReference w:id="730"/>
      </w: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المتمتِّع یجیء فیقضی متعته ثمّ تبدو له حاجة، فیخرج إلی المدینة أو إلی ذات عرق أو إلی بعض المنازل؟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مکّة بعمرةٍ إن کان فی غیر الشهر الّذی تمتّع فیه؛ لأنّ لکلّ شهرٍ عمرة، وهو مُرتَهِنٌ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فیکون الحکم بالإحرام إذا رجع بعد شهرٍ علی وجه الاستحباب</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وجوب الإحرام إذا کان رجوعه فی غیر الشهر الّذی خرج فیه، مُحرِماً کان أو غیر محرم عصیاناً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العمرة لکلّ شهر أجنبیّ عن حرمة دخول مکّة فی غیر شهر الخروج عنها إلاّ بإحرام، کما سیصرّح به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استحبابها من حیث هی لا ینافی عروض ما تصیر واجبة بسببه، وهو لزوم دخول الحرم بغیر إحرام لولاها فی غیر موارد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منافاة بین الاستحباب الحیثی وبین الوجوب الطارئ؛ من جهة عدم جواز دخول الحرم بغیر إحرامٍ إلاّ فی موارد قد مرّت الإشارة إلیها، وسیأتی الکلام فیها أیضاً علی نحو التصریح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الوجوب؛ من جهة أ نّها عمرة حجّ التمتّع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وجه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w:t>
      </w:r>
    </w:p>
    <w:p>
      <w:pPr>
        <w:pStyle w:val="BookText"/>
        <w:rPr/>
      </w:pPr>
      <w:r>
        <w:rPr>
          <w:rFonts w:ascii="IRNazanin" w:hAnsi="IRNazanin" w:eastAsia="IRNazanin"/>
          <w:color w:val="111111"/>
          <w:sz w:val="28"/>
          <w:sz w:val="28"/>
          <w:szCs w:val="28"/>
          <w:rtl w:val="true"/>
          <w:lang w:bidi="fa-IR"/>
        </w:rPr>
        <w:t>لا الوجوب</w:t>
      </w:r>
      <w:r>
        <w:rPr>
          <w:rStyle w:val="FootnoteAnchor"/>
          <w:rtl w:val="true"/>
        </w:rPr>
        <w:footnoteReference w:id="732"/>
      </w:r>
      <w:r>
        <w:rPr>
          <w:rFonts w:ascii="Amiri" w:hAnsi="Amiri" w:eastAsia="Amiri" w:cs="Amiri"/>
          <w:color w:val="111111"/>
          <w:sz w:val="28"/>
          <w:sz w:val="28"/>
          <w:szCs w:val="28"/>
          <w:rtl w:val="true"/>
          <w:lang w:bidi="ar-SA"/>
        </w:rPr>
        <w:t>لأنّ العمرة الّتی هی وظیفته کلّ شهرٍ لیست واجبة</w:t>
      </w:r>
      <w:r>
        <w:rPr>
          <w:rStyle w:val="FootnoteAnchor"/>
          <w:rtl w:val="true"/>
        </w:rPr>
        <w:footnoteReference w:id="733"/>
      </w:r>
      <w:r>
        <w:rPr>
          <w:rFonts w:ascii="IRNazanin" w:hAnsi="IRNazanin" w:eastAsia="IRNazanin"/>
          <w:color w:val="111111"/>
          <w:sz w:val="28"/>
          <w:sz w:val="28"/>
          <w:szCs w:val="28"/>
          <w:rtl w:val="true"/>
          <w:lang w:bidi="fa-IR"/>
        </w:rPr>
        <w:t>، لکن فی جملةٍ من الأخبار کون المدار علی الدخول فی شهر الخروج أو بعده، کصحیحتَی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وحفص بن البختری</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فی صحیحة حفص تعرّض لذلک، وأمّا صحیحة حمّاد فالمذکور فیها الرجوع فی شهره والرجوع فی غیره، فتُحمَل بقرینة موثّقة إسحاق علی أنّ المراد بالشهر فیها هو الشهر الّذی اعتمر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p>
    <w:p>
      <w:pPr>
        <w:pStyle w:val="BookText"/>
        <w:rPr/>
      </w:pPr>
      <w:r>
        <w:rPr>
          <w:rFonts w:ascii="Amiri" w:hAnsi="Amiri" w:eastAsia="Amiri" w:cs="Amiri"/>
          <w:color w:val="111111"/>
          <w:sz w:val="28"/>
          <w:sz w:val="28"/>
          <w:szCs w:val="28"/>
          <w:rtl w:val="true"/>
          <w:lang w:bidi="ar-SA"/>
        </w:rPr>
        <w:t>والرضویّ</w:t>
      </w:r>
      <w:r>
        <w:rPr>
          <w:rStyle w:val="FootnoteAnchor"/>
          <w:rtl w:val="true"/>
        </w:rPr>
        <w:footnoteReference w:id="735"/>
      </w:r>
      <w:r>
        <w:rPr>
          <w:rFonts w:ascii="IRNazanin" w:hAnsi="IRNazanin" w:eastAsia="IRNazanin"/>
          <w:color w:val="111111"/>
          <w:sz w:val="28"/>
          <w:sz w:val="28"/>
          <w:szCs w:val="28"/>
          <w:rtl w:val="true"/>
          <w:lang w:bidi="fa-IR"/>
        </w:rPr>
        <w:t>، وظاهرها الوجوب، إلاّ أن تُحمَل علی الغالب من کون الخروج بعد العمرة بلا فصل، لکنّه بعید</w:t>
      </w:r>
      <w:r>
        <w:rPr>
          <w:rStyle w:val="FootnoteAnchor"/>
          <w:rtl w:val="true"/>
        </w:rPr>
        <w:footnoteReference w:id="736"/>
      </w:r>
      <w:r>
        <w:rPr>
          <w:rFonts w:ascii="IRNazanin" w:hAnsi="IRNazanin" w:eastAsia="IRNazanin"/>
          <w:color w:val="111111"/>
          <w:sz w:val="28"/>
          <w:sz w:val="28"/>
          <w:szCs w:val="28"/>
          <w:rtl w:val="true"/>
          <w:lang w:bidi="fa-IR"/>
        </w:rPr>
        <w:t>، فلا یُترک الاحتیاط</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الدخول فی غیر شهر الخروج، بل القدر المتیقّن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جواز الدخول مُحِلاًّ صورة کونه قبل مضیِّ شهرٍ من حین الإهلال، 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الشروع فی إحرام العمرة والإحلال منها، ومن حین الخروج؛ إذ الاحتمالات فی الشهر ثلاثة وثلاثین یوماً من حین الإهلال، وثلاثین من حین الإحلال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بمقتضی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خبر إسحاق</w:t>
      </w:r>
      <w:r>
        <w:rPr>
          <w:rStyle w:val="FootnoteAnchor"/>
          <w:rtl w:val="true"/>
        </w:rPr>
        <w:footnoteReference w:id="738"/>
      </w:r>
      <w:r>
        <w:rPr>
          <w:rFonts w:ascii="IRNazanin" w:hAnsi="IRNazanin" w:eastAsia="IRNazanin"/>
          <w:color w:val="111111"/>
          <w:sz w:val="28"/>
          <w:sz w:val="28"/>
          <w:szCs w:val="28"/>
          <w:rtl w:val="true"/>
          <w:lang w:bidi="fa-IR"/>
        </w:rPr>
        <w:t>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العمرة، ح</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وثلاثین من حین الخروج</w:t>
      </w:r>
      <w:r>
        <w:rPr>
          <w:rStyle w:val="FootnoteAnchor"/>
          <w:rtl w:val="true"/>
        </w:rPr>
        <w:footnoteReference w:id="739"/>
      </w:r>
      <w:r>
        <w:rPr>
          <w:rFonts w:ascii="IRNazanin" w:hAnsi="IRNazanin" w:eastAsia="IRNazanin"/>
          <w:color w:val="111111"/>
          <w:sz w:val="28"/>
          <w:sz w:val="28"/>
          <w:szCs w:val="28"/>
          <w:rtl w:val="true"/>
          <w:lang w:bidi="fa-IR"/>
        </w:rPr>
        <w:t>بمقتضی هذه الأخبار، بل من حیث</w:t>
      </w:r>
      <w:r>
        <w:rPr>
          <w:rStyle w:val="FootnoteAnchor"/>
          <w:rtl w:val="true"/>
        </w:rPr>
        <w:footnoteReference w:id="740"/>
      </w:r>
      <w:r>
        <w:rPr>
          <w:rFonts w:ascii="IRNazanin" w:hAnsi="IRNazanin" w:eastAsia="IRNazanin"/>
          <w:color w:val="111111"/>
          <w:sz w:val="28"/>
          <w:sz w:val="28"/>
          <w:szCs w:val="28"/>
          <w:rtl w:val="true"/>
          <w:lang w:bidi="fa-IR"/>
        </w:rPr>
        <w:t>احتمال</w:t>
      </w:r>
      <w:r>
        <w:rPr>
          <w:rStyle w:val="FootnoteAnchor"/>
          <w:rtl w:val="true"/>
        </w:rPr>
        <w:footnoteReference w:id="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الاحتمال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لا یعوّل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الشهر فی الأخبار هنا والأخبار الدالّة علی أنّ لکلّ شهرٍ عمرة الأشهر الاثنی عشر المعروفة، لا بمعنی ثلاثین یوماً، ولازم ذلک أ نّه إذا کانت عمرته فی آخر شهرٍ من هذه الشهور فخرج ودخل فی شهرٍ آخر أن یکون علیه عمرة الأولی مراعاة 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مراعاة الاحتیاط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الجهة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وظهر ممّا ذکرنا أنّ الاحتمالات ستّة</w:t>
      </w:r>
      <w:r>
        <w:rPr>
          <w:rStyle w:val="FootnoteAnchor"/>
          <w:rtl w:val="true"/>
        </w:rPr>
        <w:footnoteReference w:id="74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أربعة؛ فإنّ احتمال کون الشهر أحد الشهور المعروفة لا تتأتّی فیه الصور الثلاث من الإحلال والإهلال والخروج، بل یکون المدار علی الرجوع لیس إلاّ، فإن رجع فی شهر العمرة رجع مُحِلاًّ، وإن رجع فی غیره رجع مُحرِماً، فالمدار علی الخروج والرجوع، ولا مدخلیّة لغیرهما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المدار علی الإهلال، أو</w:t>
      </w:r>
    </w:p>
    <w:p>
      <w:pPr>
        <w:pStyle w:val="BookText"/>
        <w:rPr/>
      </w:pPr>
      <w:r>
        <w:rPr>
          <w:rFonts w:ascii="IRNazanin" w:hAnsi="IRNazanin" w:eastAsia="IRNazanin"/>
          <w:color w:val="111111"/>
          <w:sz w:val="28"/>
          <w:sz w:val="28"/>
          <w:szCs w:val="28"/>
          <w:rtl w:val="true"/>
          <w:lang w:bidi="fa-IR"/>
        </w:rPr>
        <w:t>الإحلال، أو الخروج، وعلی التقادیر، الشهر بمعنی ثلاثین یوماً، أو أحد الأشهر</w:t>
      </w:r>
      <w:r>
        <w:rPr>
          <w:rStyle w:val="FootnoteAnchor"/>
          <w:rtl w:val="true"/>
        </w:rPr>
        <w:footnoteReference w:id="743"/>
      </w:r>
      <w:r>
        <w:rPr>
          <w:rFonts w:ascii="IRNazanin" w:hAnsi="IRNazanin" w:eastAsia="IRNazanin"/>
          <w:color w:val="111111"/>
          <w:sz w:val="28"/>
          <w:sz w:val="28"/>
          <w:szCs w:val="28"/>
          <w:rtl w:val="true"/>
          <w:lang w:bidi="fa-IR"/>
        </w:rPr>
        <w:t>المعروفة، وعلی أیّ حال إذا ترک الإحرام مع الدخول فی شهرٍ آخر ولو قلنا بحرمته لا یکون موجباً لبطلان عمرته السابقة، فیصحّ حجّه</w:t>
      </w:r>
      <w:r>
        <w:rPr>
          <w:rStyle w:val="FootnoteAnchor"/>
          <w:rtl w:val="true"/>
        </w:rPr>
        <w:footnoteReference w:id="744"/>
      </w:r>
      <w:r>
        <w:rPr>
          <w:rFonts w:ascii="IRNazanin" w:hAnsi="IRNazanin" w:eastAsia="IRNazanin"/>
          <w:color w:val="111111"/>
          <w:sz w:val="28"/>
          <w:sz w:val="28"/>
          <w:szCs w:val="28"/>
          <w:rtl w:val="true"/>
          <w:lang w:bidi="fa-IR"/>
        </w:rPr>
        <w:t>بعدها</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عدم جواز الخروج علی القول به إنّما هو فی غیر حال الضرورة، بل مطلق الحاجة، وأمّا مع الضرورة أو الحاجة</w:t>
      </w:r>
      <w:r>
        <w:rPr>
          <w:rStyle w:val="FootnoteAnchor"/>
          <w:rtl w:val="true"/>
        </w:rPr>
        <w:footnoteReference w:id="7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یوجب فوتها الحرج أو العسر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الإحرام بالحجّ</w:t>
      </w:r>
    </w:p>
    <w:p>
      <w:pPr>
        <w:pStyle w:val="BookText"/>
        <w:rPr/>
      </w:pPr>
      <w:r>
        <w:rPr>
          <w:rFonts w:ascii="IRNazanin" w:hAnsi="IRNazanin" w:eastAsia="IRNazanin"/>
          <w:color w:val="111111"/>
          <w:sz w:val="28"/>
          <w:sz w:val="28"/>
          <w:szCs w:val="28"/>
          <w:rtl w:val="true"/>
          <w:lang w:bidi="fa-IR"/>
        </w:rPr>
        <w:t>غیرَ ممکنٍ أو حرجاً علیه فلا إشکال فیه، وأیضاً الظاهر اختصاص المنع</w:t>
      </w:r>
      <w:r>
        <w:rPr>
          <w:rStyle w:val="FootnoteAnchor"/>
          <w:rtl w:val="true"/>
        </w:rPr>
        <w:footnoteReference w:id="747"/>
      </w:r>
      <w:r>
        <w:rPr>
          <w:rFonts w:ascii="IRNazanin" w:hAnsi="IRNazanin" w:eastAsia="IRNazanin"/>
          <w:color w:val="111111"/>
          <w:sz w:val="28"/>
          <w:sz w:val="28"/>
          <w:szCs w:val="28"/>
          <w:rtl w:val="true"/>
          <w:lang w:bidi="fa-IR"/>
        </w:rPr>
        <w:t>علی القول به بالخروج إلی المواضع البعیدة</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 وإشکال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الشریعتمداری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الخروج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هذا التقیید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والأدلّة تقتضی عموم المنع من الخروج إلی الموضع القریب والبعید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بأس بالخروج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جواز الخروج عن مکّة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فرسخ أو فرسخین، بل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باختصاصه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التقیید حسن لو قیل بلزوم تجدید العمرة علی فرض حرمة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خارج الحرم، وإن کان الأحوط خلافه</w:t>
      </w:r>
      <w:r>
        <w:rPr>
          <w:rStyle w:val="FootnoteAnchor"/>
          <w:rtl w:val="true"/>
        </w:rPr>
        <w:footnoteReference w:id="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 نّه لا فرق فی المسألة بین الحجّ الواجب والمستحبّ، فلو نوی التمتّع مستحبّاً ثمّ أتی بعمرته یکون مُرتَهِناً بالحجّ، ویکون حاله فی الخروج محرِماً أو مُحِلاًّ، والدخول کذلک، کالحجّ الواجب، ثمّ إنّ سقوط وجوب الإحرام عمّن خرج مُحِلاًّ ودخل قبل شهرٍ مختصّ بما إذا أتی بعمرة</w:t>
      </w:r>
      <w:r>
        <w:rPr>
          <w:rStyle w:val="FootnoteAnchor"/>
          <w:rtl w:val="true"/>
        </w:rPr>
        <w:footnoteReference w:id="750"/>
      </w:r>
      <w:r>
        <w:rPr>
          <w:rFonts w:ascii="IRNazanin" w:hAnsi="IRNazanin" w:eastAsia="IRNazanin"/>
          <w:color w:val="111111"/>
          <w:sz w:val="28"/>
          <w:sz w:val="28"/>
          <w:szCs w:val="28"/>
          <w:rtl w:val="true"/>
          <w:lang w:bidi="fa-IR"/>
        </w:rPr>
        <w:t>بقصد</w:t>
      </w:r>
      <w:r>
        <w:rPr>
          <w:rStyle w:val="FootnoteAnchor"/>
          <w:rtl w:val="true"/>
        </w:rPr>
        <w:footnoteReference w:id="751"/>
      </w:r>
      <w:r>
        <w:rPr>
          <w:rFonts w:ascii="Amiri" w:hAnsi="Amiri" w:eastAsia="Amiri" w:cs="Amiri"/>
          <w:color w:val="111111"/>
          <w:sz w:val="28"/>
          <w:sz w:val="28"/>
          <w:szCs w:val="28"/>
          <w:rtl w:val="true"/>
          <w:lang w:bidi="ar-SA"/>
        </w:rPr>
        <w:t>التمتّع</w:t>
      </w:r>
      <w:r>
        <w:rPr>
          <w:rStyle w:val="FootnoteAnchor"/>
          <w:rtl w:val="true"/>
        </w:rPr>
        <w:footnoteReference w:id="7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وظیفته ذلک، وإلاّ فتکفی العمرة المفردة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وظیفته التمتّع، وغیر المتمتّع یسقط عنه الإحرام لدخول مکّة إذا کان دخوله قبل مضیِّ ثلاثین یوماً من عمرة 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وظیفته التمتّع، وإلاّ فبقصد العمرة المفردة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لم یکن سبق منه عمرة فیلحقه حکم من دخل مکّة فی حرمة دخوله بغیر الإحرام، إلاّ مثل الحطّاب والحشّاش ونحوهما، وأیضاً سقوطه إذا کان بعد العمرة قبل شهر إنّما هو علی وجه الرخصة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السقوط قبل الشهر فی المتمتّع عزیمة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 مقدار الفصل بین العمرتَین فی حواشی الفصل السابق،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بناءً علی ما هو</w:t>
      </w:r>
      <w:bookmarkStart w:id="377" w:name="pg13284_130700"/>
    </w:p>
    <w:p>
      <w:pPr>
        <w:pStyle w:val="BookText"/>
        <w:rPr/>
      </w:pPr>
      <w:bookmarkEnd w:id="377"/>
      <w:r>
        <w:rPr>
          <w:rFonts w:ascii="IRNazanin" w:hAnsi="IRNazanin" w:eastAsia="IRNazanin"/>
          <w:color w:val="111111"/>
          <w:sz w:val="28"/>
          <w:sz w:val="28"/>
          <w:szCs w:val="28"/>
          <w:rtl w:val="true"/>
          <w:lang w:bidi="fa-IR"/>
        </w:rPr>
        <w:t>الأقوی</w:t>
      </w:r>
      <w:r>
        <w:rPr>
          <w:rStyle w:val="FootnoteAnchor"/>
          <w:rtl w:val="true"/>
        </w:rPr>
        <w:footnoteReference w:id="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نعم، لا بأس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عدم اشتراط فصلِ شهرٍ بین العمرتین، فیجوز الدخول بإحرام قبل الشهر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دخل بإحرام فهل عمرة التمتّع هی العمرة الاُولی أو الأخیرة؟ مقتضی حسنة حمّاد أ نّها الأخیرة المتّصلة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بالحجّ، وعلیه لا یجب 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طواف النساء، وهل یجب حینئذٍ فی الاُولی، أو لا؟ وجهان، أقواهما 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الوجوب، وإن کان الاحتیاط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الإتیان بطوافٍ مردّدٍ بین کونه للاُولی أو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الظاهر أ نّه لا إشکال</w:t>
      </w:r>
      <w:r>
        <w:rPr>
          <w:rStyle w:val="FootnoteAnchor"/>
          <w:rtl w:val="true"/>
        </w:rPr>
        <w:footnoteReference w:id="7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 الخروج فی أثناء عمرة التمتّع قبل الإحلال منها</w:t>
      </w:r>
      <w:r>
        <w:rPr>
          <w:rFonts w:eastAsia="IRNazanin" w:cs="IRNazanin"/>
          <w:color w:val="111111"/>
          <w:sz w:val="28"/>
          <w:szCs w:val="28"/>
          <w:rtl w:val="true"/>
          <w:lang w:bidi="fa-IR"/>
        </w:rPr>
        <w:t>.</w:t>
      </w:r>
    </w:p>
    <w:p>
      <w:pPr>
        <w:pStyle w:val="Heading4"/>
        <w:numPr>
          <w:ilvl w:val="3"/>
          <w:numId w:val="1"/>
        </w:numPr>
        <w:rPr/>
      </w:pPr>
      <w:bookmarkStart w:id="378" w:name="__RefHeading___Toc2055775_2322387425"/>
      <w:bookmarkStart w:id="379" w:name="_Toc137"/>
      <w:bookmarkEnd w:id="378"/>
      <w:r>
        <w:rPr>
          <w:rtl w:val="true"/>
        </w:rPr>
        <w:t>العدول من حجّ التمتّع إلی القِران أو الإفراد</w:t>
      </w:r>
      <w:bookmarkEnd w:id="37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لمن وظیفته التمتّع أن یعدل إلی غیره من القسمین الأخیرین اختیاراً، نعم، إن ضاق وقته عن إتمام العمرة وإدراک الحجّ جاز له نقل النیّة إلی الإفراد، وأن یأتی بالعمرة بعد الحجّ بلا خلاف، ولا إشکال، وإنّما الکلام فی حدّ الضیق المسوّغ لذلک، واختلفوا فیه علی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فوات الاختیاریّ</w:t>
      </w:r>
      <w:r>
        <w:rPr>
          <w:rStyle w:val="FootnoteAnchor"/>
          <w:rtl w:val="true"/>
        </w:rPr>
        <w:footnoteReference w:id="755"/>
      </w:r>
      <w:r>
        <w:rPr>
          <w:rFonts w:ascii="Amiri" w:hAnsi="Amiri" w:eastAsia="Amiri" w:cs="Amiri"/>
          <w:color w:val="111111"/>
          <w:sz w:val="28"/>
          <w:sz w:val="28"/>
          <w:szCs w:val="28"/>
          <w:rtl w:val="true"/>
          <w:lang w:bidi="ar-SA"/>
        </w:rPr>
        <w:t>من وقوف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الرکن من الوقوف الاختیاریّ، وهو المسمّی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 الاضطراریّ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بعد زوال یوم الترویة بین العدول والإتمام إذا لم یَخَف الفوت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والمنشأ اختلاف الأخبار؛ فإنّها مختلفة أشدّ الاختلاف، والأقوی أحد القولَین الأوّلَین؛ لجملةٍ مستفیضةٍ من تلک الأخبار، فإنّها یُستفاد ـ منها علی اختلاف ألسنتها ـ أنّ المناط فی الإتمام عدم خوف فوت الوقوف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 روایة یعقوب بن شعیب المیثمی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للمتمتِّع إن لم یُحرِم من لیلة الترویة متی ما تیسّر له ما لم یَخَف فوات الموقِفَین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للمتمتِّع أن یُحرِم لیلة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المحدّدة بزوال یوم الترویة أو بغروبه أو بلیلة عرفة أو </w:t>
      </w:r>
    </w:p>
    <w:p>
      <w:pPr>
        <w:pStyle w:val="BookText"/>
        <w:rPr/>
      </w:pPr>
      <w:r>
        <w:rPr>
          <w:rFonts w:ascii="IRNazanin" w:hAnsi="IRNazanin" w:eastAsia="IRNazanin"/>
          <w:color w:val="111111"/>
          <w:sz w:val="28"/>
          <w:sz w:val="28"/>
          <w:szCs w:val="28"/>
          <w:rtl w:val="true"/>
          <w:lang w:bidi="fa-IR"/>
        </w:rPr>
        <w:t>سحرها فمحمولة علی صورة</w:t>
      </w:r>
      <w:r>
        <w:rPr>
          <w:rStyle w:val="FootnoteAnchor"/>
          <w:rtl w:val="true"/>
        </w:rPr>
        <w:footnoteReference w:id="756"/>
      </w:r>
      <w:r>
        <w:rPr>
          <w:rFonts w:ascii="IRNazanin" w:hAnsi="IRNazanin" w:eastAsia="IRNazanin"/>
          <w:color w:val="111111"/>
          <w:sz w:val="28"/>
          <w:sz w:val="28"/>
          <w:szCs w:val="28"/>
          <w:rtl w:val="true"/>
          <w:lang w:bidi="fa-IR"/>
        </w:rPr>
        <w:t>عدم إمکان الإدراک إلاّ قبل هذه الأوقات، فإنّه مختلف باختلاف الأوقات والأحوال والأشخاص، ویمکن حملها علی التقیّة إذا لم یخرجوا مع الناس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کون الاختلاف لأجل التقیّة، کما فی أخبار الأوقات للصلوات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تحمل علی تفاوت مراتب أفراد المتعة فی الفضل بعد التخصیص بالحجّ المندوب، فإنّ أفضل أنواع التمتّع أن تکون عمرته قبل ذی الحجّة، ثمّ ما تکون عمرته قبل یوم الترویة، ثمّ ما یکون قبل یوم عرفة، مع أ نّا لو أغمضنا عن الأخبار من جهة شدّة اختلافها وتعارضها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هو ما ذکرنا؛ لأنّ المفروض أنّ الواجب علیه هو التمتّع، فما دام ممکناً لا یجوز العدول عنه، والقدر المسلّم من جواز العدول صورة عدم إمکان إدراک الحجّ، واللازم إدراک الاختیاریّ من الوقوف، فإنّ کفایة الاضطراریّ منه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الکلام فی ترجیح أحد القولَین الأوّلَین، ولا یبعد رجحان أوّلهما</w:t>
      </w:r>
      <w:r>
        <w:rPr>
          <w:rStyle w:val="FootnoteAnchor"/>
          <w:rtl w:val="true"/>
        </w:rPr>
        <w:footnoteReference w:id="7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الثانی أرجح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کون الواجب استیعاب تمام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بین الزوال والغروب بالوقوف، وإن کان الرکن هو المسمّی ولکن مع ذلک لا یخلو 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وتلک الجملة من الأخبار قابلة للتأویل، وعلی تقدیر عدم قبولها له غیر قابلة للمعارضة والمقابلة لتلک الأخبار المستفیضة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الأقرب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قویّ جدّاً؛ لأنّ کفایة إدراک المسمّی الوقوف الاختیاری مفاد أخبارٍ صحیحة، اللهمّ إلاّ أن یُقال بمعارضتها لأخبارٍ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w:t>
      </w:r>
      <w:r>
        <w:rPr>
          <w:rStyle w:val="FootnoteAnchor"/>
          <w:rtl w:val="true"/>
        </w:rPr>
        <w:footnoteReference w:id="758"/>
      </w:r>
      <w:r>
        <w:rPr>
          <w:rFonts w:ascii="Amiri" w:hAnsi="Amiri" w:eastAsia="Amiri" w:cs="Amiri"/>
          <w:color w:val="111111"/>
          <w:sz w:val="28"/>
          <w:sz w:val="28"/>
          <w:szCs w:val="28"/>
          <w:rtl w:val="true"/>
          <w:lang w:bidi="ar-SA"/>
        </w:rPr>
        <w:t>من جملة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سهل</w:t>
      </w:r>
      <w:r>
        <w:rPr>
          <w:rStyle w:val="FootnoteAnchor"/>
          <w:rtl w:val="true"/>
        </w:rPr>
        <w:footnoteReference w:id="7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محمّد بن مسرور أیضاً مُشعر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خبر محمّد بن سرد أیضاً مُشعر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روایة محمّد بن مسرور کما فی النسخ المصحّحة، أو سرور کما فی بعض النسخ، أو سرد کما فی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متمتِّعٍ دخل یوم 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مِتعته تامّة إلی أن یقطع الناس تلبیتهم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یقطع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یقطع الناس تلبیتهم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 قطع التلبیة بزوال یوم عرفة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المتمتّع له المتعة إلی زوال الشمس من یوم عرفة، وله الحجّ إلی زوال الشمس من یوم </w:t>
      </w:r>
    </w:p>
    <w:p>
      <w:pPr>
        <w:pStyle w:val="BookText"/>
        <w:rPr/>
      </w:pPr>
      <w:r>
        <w:rPr>
          <w:rFonts w:ascii="IRNazanin" w:hAnsi="IRNazanin" w:eastAsia="IRNazanin"/>
          <w:color w:val="111111"/>
          <w:sz w:val="28"/>
          <w:sz w:val="28"/>
          <w:szCs w:val="28"/>
          <w:rtl w:val="true"/>
          <w:lang w:bidi="fa-IR"/>
        </w:rPr>
        <w:t>النحر</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ومقتضاهما کفایة إدراک مسمّی الوقوف الاختیاریّ؛ فإنّ من البعید</w:t>
      </w:r>
      <w:r>
        <w:rPr>
          <w:rStyle w:val="FootnoteAnchor"/>
          <w:rtl w:val="true"/>
        </w:rPr>
        <w:footnoteReference w:id="761"/>
      </w:r>
      <w:r>
        <w:rPr>
          <w:rFonts w:ascii="IRNazanin" w:hAnsi="IRNazanin" w:eastAsia="IRNazanin"/>
          <w:color w:val="111111"/>
          <w:sz w:val="28"/>
          <w:sz w:val="28"/>
          <w:szCs w:val="28"/>
          <w:rtl w:val="true"/>
          <w:lang w:bidi="fa-IR"/>
        </w:rPr>
        <w:t>إتمام العمرة قبل الزوال من عرفة وإدراک الناس فی أوّل الزوال بعرفات، وأیضاً یصدق إدراک الموقف إذا أدرکهم قبل الغروب، إلاّ أن یمنع الصدق، فإنّ المنساق منه إدراک تمام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 المرفوعة والصحیحة بالشذوذ</w:t>
      </w:r>
      <w:r>
        <w:rPr>
          <w:rStyle w:val="FootnoteAnchor"/>
          <w:rtl w:val="true"/>
        </w:rPr>
        <w:footnoteReference w:id="7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المناقشة فی السند فی البعض، وفی الدلالة فی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یظهر الشذوذ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کما ادُّعِی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یوءیَّد القول الثالث ـ وهو کفایة إدراک الاضطراریّ من عرفة ـ بالأخبار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الوقوف بالمشعر،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أنّ من یأتی بعد إفاضة الناس من عرفات وأدرکها لیلة النحر تمّ حجّه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موردها غیر ما نحن فیه، وهو عدم الإدراک من حیث هو، وفیما نحن فیه یمکن الإدراک، والمانع کونه فی أثناء العمرة، فلا یقاس بها، نعم، لو أتمّ عمرته فی سِعَة الوقت ثمّ اتّفق أ نّه لم یدرک الاختیاریّ من الوقوف کفاه الاضطراریّ، ودخل فی مورد تلک الأخبار، بل لا یبعد دخول مَن اعتقد سِعَة </w:t>
      </w:r>
    </w:p>
    <w:p>
      <w:pPr>
        <w:pStyle w:val="BookText"/>
        <w:rPr/>
      </w:pPr>
      <w:r>
        <w:rPr>
          <w:rFonts w:ascii="IRNazanin" w:hAnsi="IRNazanin" w:eastAsia="IRNazanin"/>
          <w:color w:val="111111"/>
          <w:sz w:val="28"/>
          <w:sz w:val="28"/>
          <w:szCs w:val="28"/>
          <w:rtl w:val="true"/>
          <w:lang w:bidi="fa-IR"/>
        </w:rPr>
        <w:t>الوقت</w:t>
      </w:r>
      <w:r>
        <w:rPr>
          <w:rStyle w:val="FootnoteAnchor"/>
          <w:rtl w:val="true"/>
        </w:rPr>
        <w:footnoteReference w:id="763"/>
      </w:r>
      <w:r>
        <w:rPr>
          <w:rFonts w:ascii="IRNazanin" w:hAnsi="IRNazanin" w:eastAsia="IRNazanin"/>
          <w:color w:val="111111"/>
          <w:sz w:val="28"/>
          <w:sz w:val="28"/>
          <w:szCs w:val="28"/>
          <w:rtl w:val="true"/>
          <w:lang w:bidi="fa-IR"/>
        </w:rPr>
        <w:t>فأتمّ عمرته ثمّ بان کون الوقت مضیّقاً فی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عموم حکم المقام بالنسبة إلی الحجّ المندوب وشمول الأخبار له، فلو نوی التمتّع ندباً وضاق وقته عن إتمام العمرة وإدراک الحجّ جاز له العدول إلی الإفراد، وفی وجوب العمرة</w:t>
      </w:r>
      <w:r>
        <w:rPr>
          <w:rStyle w:val="FootnoteAnchor"/>
          <w:rtl w:val="true"/>
        </w:rPr>
        <w:footnoteReference w:id="764"/>
      </w:r>
      <w:r>
        <w:rPr>
          <w:rFonts w:ascii="IRNazanin" w:hAnsi="IRNazanin" w:eastAsia="IRNazanin"/>
          <w:color w:val="111111"/>
          <w:sz w:val="28"/>
          <w:sz w:val="28"/>
          <w:szCs w:val="28"/>
          <w:rtl w:val="true"/>
          <w:lang w:bidi="fa-IR"/>
        </w:rPr>
        <w:t>بعده إشکال، والأقوی عدم وجوبها</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عَلِمَ مَن وظیفته التمتّع ضیق الوقت عن إتمام العمرة، وإدراک الحجّ قبل أن یدخل فی العمرة هل یجوز له العدول من الأوّل إلی الإفراد؟ فیه إشکال</w:t>
      </w:r>
      <w:r>
        <w:rPr>
          <w:rStyle w:val="FootnoteAnchor"/>
          <w:rtl w:val="true"/>
        </w:rPr>
        <w:footnoteReference w:id="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غیر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وعلیه تأخیر الحجّ إلی القابل، إلاّ أن یعلم باستمرار العذر فیجوز له العدول إلی الإفراد حین 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دخل فی العمرة بنیّة التمتّع فی سعة الوقت وأخّر الطواف والسعی متعمّداً إلی ضیق الوقت ففی جواز العدول وکفایته إشکال</w:t>
      </w:r>
      <w:r>
        <w:rPr>
          <w:rStyle w:val="FootnoteAnchor"/>
          <w:rtl w:val="true"/>
        </w:rPr>
        <w:footnoteReference w:id="76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وجوب العدول علیه وإن کان آثماً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والأحوط</w:t>
      </w:r>
      <w:bookmarkStart w:id="380" w:name="pg13284_130706"/>
    </w:p>
    <w:p>
      <w:pPr>
        <w:pStyle w:val="BookText"/>
        <w:rPr/>
      </w:pPr>
      <w:bookmarkEnd w:id="380"/>
      <w:r>
        <w:rPr>
          <w:rFonts w:ascii="IRNazanin" w:hAnsi="IRNazanin" w:eastAsia="IRNazanin"/>
          <w:color w:val="111111"/>
          <w:sz w:val="28"/>
          <w:sz w:val="28"/>
          <w:szCs w:val="28"/>
          <w:rtl w:val="true"/>
          <w:lang w:bidi="fa-IR"/>
        </w:rPr>
        <w:t>العدول</w:t>
      </w:r>
      <w:r>
        <w:rPr>
          <w:rStyle w:val="FootnoteAnchor"/>
          <w:rtl w:val="true"/>
        </w:rPr>
        <w:footnoteReference w:id="7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یعدل ویکتفی به، والاحتیاط المذکور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وعدم الاکتفاء إذا کان الحجّ واجباً علیه</w:t>
      </w:r>
      <w:r>
        <w:rPr>
          <w:rFonts w:eastAsia="IRNazanin" w:cs="IRNazanin"/>
          <w:color w:val="111111"/>
          <w:sz w:val="28"/>
          <w:szCs w:val="28"/>
          <w:rtl w:val="true"/>
          <w:lang w:bidi="fa-IR"/>
        </w:rPr>
        <w:t>.</w:t>
      </w:r>
    </w:p>
    <w:p>
      <w:pPr>
        <w:pStyle w:val="Heading4"/>
        <w:numPr>
          <w:ilvl w:val="3"/>
          <w:numId w:val="1"/>
        </w:numPr>
        <w:rPr/>
      </w:pPr>
      <w:bookmarkStart w:id="381" w:name="__RefHeading___Toc2055777_2322387425"/>
      <w:bookmarkStart w:id="382" w:name="_Toc138"/>
      <w:bookmarkEnd w:id="381"/>
      <w:r>
        <w:rPr>
          <w:rtl w:val="true"/>
        </w:rPr>
        <w:t>الأقوال فی الحائض والنفساء لو ضاق وقتهما عن إتمام العمرة وإدراک الحجّ</w:t>
      </w:r>
      <w:bookmarkEnd w:id="3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الحائض والنُفَسَاء إذا ضاق وقتهما عن الطُهر وإتمام العمرة وإدراک الحجّ علی أقوال</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علیهما العدول</w:t>
      </w:r>
      <w:r>
        <w:rPr>
          <w:rStyle w:val="FootnoteAnchor"/>
          <w:rtl w:val="true"/>
        </w:rPr>
        <w:footnoteReference w:id="770"/>
      </w:r>
      <w:r>
        <w:rPr>
          <w:rFonts w:ascii="IRNazanin" w:hAnsi="IRNazanin" w:eastAsia="IRNazanin"/>
          <w:color w:val="111111"/>
          <w:sz w:val="28"/>
          <w:sz w:val="28"/>
          <w:szCs w:val="28"/>
          <w:rtl w:val="true"/>
          <w:lang w:bidi="fa-IR"/>
        </w:rPr>
        <w:t>إلی الإفراد والإتمام، ثمّ الإتیان بعمرة بعد الحجّ؛ لجملة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جماعةٍ من أنّ علیهما ترک الطواف، والإتیان بالسعی، ثمّ الإحلال وإدراک الحجّ، وقضاء طواف العمرة بعده، فیکون علیهما الطواف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لقضاء طواف العمرة، ومرّةً للحجّ، ومرّةً للنساء، ویدلّ علی ما ذکروه أیضاً جملة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مختلف الشیعة للعلاّمة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r>
        <w:rPr>
          <w:rFonts w:ascii="IRNazanin" w:hAnsi="IRNazanin" w:eastAsia="IRNazanin"/>
          <w:color w:val="111111"/>
          <w:sz w:val="28"/>
          <w:sz w:val="28"/>
          <w:szCs w:val="28"/>
          <w:rtl w:val="true"/>
          <w:lang w:bidi="fa-IR"/>
        </w:rPr>
        <w:t>،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أقسام الحجّ،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الإسکافیّ وبعض متأخِّرِی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عنهم السیّد العاملی فی مدارکه</w:t>
      </w:r>
      <w:r>
        <w:rPr>
          <w:rFonts w:eastAsia="IRNazanin" w:cs="IRNazanin"/>
          <w:color w:val="111111"/>
          <w:sz w:val="28"/>
          <w:szCs w:val="28"/>
          <w:rtl w:val="true"/>
          <w:lang w:bidi="fa-IR"/>
        </w:rPr>
        <w:t xml:space="preserve">: </w:t>
      </w:r>
      <w:r>
        <w:rPr>
          <w:rFonts w:eastAsia="IRNazanin" w:cs="IRNazanin"/>
          <w:color w:val="111111"/>
          <w:sz w:val="28"/>
          <w:szCs w:val="28"/>
          <w:lang w:bidi="fa-IR"/>
        </w:rPr>
        <w:t>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التخییر بین الأمرین؛ للجمع بین الطائفتَین بذلک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کانت حائضاً قبل الإحرام فتعدِل، أو کانت </w:t>
      </w:r>
    </w:p>
    <w:p>
      <w:pPr>
        <w:pStyle w:val="BookText"/>
        <w:rPr/>
      </w:pPr>
      <w:r>
        <w:rPr>
          <w:rFonts w:ascii="IRNazanin" w:hAnsi="IRNazanin" w:eastAsia="IRNazanin"/>
          <w:color w:val="111111"/>
          <w:sz w:val="28"/>
          <w:sz w:val="28"/>
          <w:szCs w:val="28"/>
          <w:rtl w:val="true"/>
          <w:lang w:bidi="fa-IR"/>
        </w:rPr>
        <w:t>طاهراً حال الشروع فیه ثمّ طرأ الحیض فی الأثناء، فتترک الطواف، وتُتمّ العمرة، وتقضی بعد الحجّ، اختاره بعض بدعوی أ نّه مقتضی الجمع بین الطائفتَین، بشهادة خبر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المتمتِّعة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أحرمت وهی طاهر ثمّ حاضت قبل أن تقضی متعتها سعت، ولم تَطُف حتّی تَطهُر، ثمّ تقضی طوافها وقد قضت عمرتها، وإن أحرمت وهی حائض لم تَسعَ ولم تَطُف حتّی تَطهُر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علیه‌السلام </w:t>
      </w:r>
      <w:r>
        <w:rPr>
          <w:rStyle w:val="FootnoteAnchor"/>
          <w:rtl w:val="true"/>
        </w:rPr>
        <w:footnoteReference w:id="7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حاضت المرأة من قبل أن تحرم ـ إلی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وإن طَهُرت بعد الزوال یوم الترویة فقد بطلت متعتها، فتجعلها حجّة مفردة، وإن حاضت بعد ما أحرمت سعت بین الصفا والمروة وفرغت من المناسک کلّها، إلاّ الطواف بالبیت، فإذا طهرت قضت الطواف بالبیت وهی متمتّعة بالعمرة إلی الحجّ، وعلیها طواف الحجّ وطواف العمرة وطواف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فی توجیه الفرق بین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الصورة الاُولی لم تُدرِک شیئاً من أفعال العمرة طاهراً فعلیها العدول إلی الأفراد، بخلاف الصورة الثانیة فإنّها أدرکت بعض أفعالها طاهراً فتبنی علیها وتقضی الطواف بعد الحجّ</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المجلسیّ</w:t>
      </w:r>
      <w:r>
        <w:rPr>
          <w:rStyle w:val="FootnoteAnchor"/>
          <w:rtl w:val="true"/>
        </w:rPr>
        <w:footnoteReference w:id="772"/>
      </w:r>
      <w:r>
        <w:rPr>
          <w:rFonts w:ascii="IRNazanin" w:hAnsi="IRNazanin" w:eastAsia="IRNazanin"/>
          <w:color w:val="111111"/>
          <w:sz w:val="28"/>
          <w:sz w:val="28"/>
          <w:szCs w:val="28"/>
          <w:rtl w:val="true"/>
          <w:lang w:bidi="fa-IR"/>
        </w:rPr>
        <w:t>فی وجه الفرق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الصورة الاُولی لا </w:t>
      </w:r>
    </w:p>
    <w:p>
      <w:pPr>
        <w:pStyle w:val="BookText"/>
        <w:rPr/>
      </w:pPr>
      <w:r>
        <w:rPr>
          <w:rFonts w:ascii="IRNazanin" w:hAnsi="IRNazanin" w:eastAsia="IRNazanin"/>
          <w:color w:val="111111"/>
          <w:sz w:val="28"/>
          <w:sz w:val="28"/>
          <w:szCs w:val="28"/>
          <w:rtl w:val="true"/>
          <w:lang w:bidi="fa-IR"/>
        </w:rPr>
        <w:t>تقدر علی نیّة العمرة؛ لأ نّها تعلم أ نّها لا تطهر للطواف وإدراک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الحدائق الناضرة للبحرانی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14/346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الصورة الثانیة فإنّها حیث کانت طاهرة وقعت منها النیّة والدخول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بعضٍ من أ نّها تستنیب للطواف ثمّ تُتمّ العمرة وتأتی بالحجّ، لکن لم یُعرف قائله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والأقوی من هذه</w:t>
      </w:r>
      <w:r>
        <w:rPr>
          <w:rStyle w:val="FootnoteAnchor"/>
          <w:rtl w:val="true"/>
        </w:rPr>
        <w:footnoteReference w:id="773"/>
      </w:r>
      <w:r>
        <w:rPr>
          <w:rFonts w:ascii="IRNazanin" w:hAnsi="IRNazanin" w:eastAsia="IRNazanin"/>
          <w:color w:val="111111"/>
          <w:sz w:val="28"/>
          <w:sz w:val="28"/>
          <w:szCs w:val="28"/>
          <w:rtl w:val="true"/>
          <w:lang w:bidi="fa-IR"/>
        </w:rPr>
        <w:t>الأقوال</w:t>
      </w:r>
      <w:r>
        <w:rPr>
          <w:rStyle w:val="FootnoteAnchor"/>
          <w:rtl w:val="true"/>
        </w:rPr>
        <w:footnoteReference w:id="774"/>
      </w:r>
      <w:r>
        <w:rPr>
          <w:rFonts w:ascii="IRNazanin" w:hAnsi="IRNazanin" w:eastAsia="IRNazanin"/>
          <w:color w:val="111111"/>
          <w:sz w:val="28"/>
          <w:sz w:val="28"/>
          <w:szCs w:val="28"/>
          <w:rtl w:val="true"/>
          <w:lang w:bidi="fa-IR"/>
        </w:rPr>
        <w:t>هو القول الأوّل</w:t>
      </w:r>
      <w:r>
        <w:rPr>
          <w:rStyle w:val="FootnoteAnchor"/>
          <w:rtl w:val="true"/>
        </w:rPr>
        <w:footnoteReference w:id="775"/>
      </w:r>
      <w:r>
        <w:rPr>
          <w:rFonts w:ascii="IRNazanin" w:hAnsi="IRNazanin" w:eastAsia="IRNazanin"/>
          <w:color w:val="111111"/>
          <w:sz w:val="28"/>
          <w:sz w:val="28"/>
          <w:szCs w:val="28"/>
          <w:rtl w:val="true"/>
          <w:lang w:bidi="fa-IR"/>
        </w:rPr>
        <w:t>للفرقة الاُولی من الأخبار الّتی هی أرجح من الفرقة الثانیة؛ لشهرة العمل بها دونها، وأمّا القول الثالث ـ وهو التخییر ـ فإن کان المراد منه الواقعیّ بدعوی کونه مقتضی الجمع بین الطائفتین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نّهما یعدّان من المتعارِضَین</w:t>
      </w:r>
      <w:r>
        <w:rPr>
          <w:rStyle w:val="FootnoteAnchor"/>
          <w:rtl w:val="true"/>
        </w:rPr>
        <w:footnoteReference w:id="776"/>
      </w:r>
      <w:r>
        <w:rPr>
          <w:rFonts w:ascii="IRNazanin" w:hAnsi="IRNazanin" w:eastAsia="IRNazanin"/>
          <w:color w:val="111111"/>
          <w:sz w:val="28"/>
          <w:sz w:val="28"/>
          <w:szCs w:val="28"/>
          <w:rtl w:val="true"/>
          <w:lang w:bidi="fa-IR"/>
        </w:rPr>
        <w:t xml:space="preserve">، والعرف لا یفهم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التخییر</w:t>
      </w:r>
      <w:r>
        <w:rPr>
          <w:rStyle w:val="FootnoteAnchor"/>
          <w:rtl w:val="true"/>
        </w:rPr>
        <w:footnoteReference w:id="777"/>
      </w:r>
      <w:r>
        <w:rPr>
          <w:rFonts w:ascii="IRNazanin" w:hAnsi="IRNazanin" w:eastAsia="IRNazanin"/>
          <w:color w:val="111111"/>
          <w:sz w:val="28"/>
          <w:sz w:val="28"/>
          <w:szCs w:val="28"/>
          <w:rtl w:val="true"/>
          <w:lang w:bidi="fa-IR"/>
        </w:rPr>
        <w:t>منهما، والجمع الدِلالیّ فرع فهم العرف من ملاحظة الخبرین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المراد التخییر الظاهریّ العملیّ فهو فرع مکافأة الفرقتین، والمفروض أنّ الفِرقة الاُولی أرجح من حیث شهرة العمل بها، وأمّا التفصیل المذکور</w:t>
      </w:r>
      <w:r>
        <w:rPr>
          <w:rStyle w:val="FootnoteAnchor"/>
          <w:rtl w:val="true"/>
        </w:rPr>
        <w:footnoteReference w:id="778"/>
      </w:r>
      <w:r>
        <w:rPr>
          <w:rFonts w:ascii="IRNazanin" w:hAnsi="IRNazanin" w:eastAsia="IRNazanin"/>
          <w:color w:val="111111"/>
          <w:sz w:val="28"/>
          <w:sz w:val="28"/>
          <w:szCs w:val="28"/>
          <w:rtl w:val="true"/>
          <w:lang w:bidi="fa-IR"/>
        </w:rPr>
        <w:t>فموهون بعدم العمل، مع أنّ بعض</w:t>
      </w:r>
      <w:r>
        <w:rPr>
          <w:rStyle w:val="FootnoteAnchor"/>
          <w:rtl w:val="true"/>
        </w:rPr>
        <w:footnoteReference w:id="779"/>
      </w:r>
      <w:r>
        <w:rPr>
          <w:rFonts w:ascii="IRNazanin" w:hAnsi="IRNazanin" w:eastAsia="IRNazanin"/>
          <w:color w:val="111111"/>
          <w:sz w:val="28"/>
          <w:sz w:val="28"/>
          <w:szCs w:val="28"/>
          <w:rtl w:val="true"/>
          <w:lang w:bidi="fa-IR"/>
        </w:rPr>
        <w:t>أخبار القول الأوّل ظاهر فی صورة کون الحیض بعد الدخول فی الإحرام، نعم، لو فرض کونها حائضاً حال الإحرام وعالِمةً بأ نّها لا تطهر لإدراک الحجّ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علیها العدول إلی الإفراد من الأوّل؛ لعدم فائدةٍ فی الدخول فی العمرة، ثمّ العدول إلی الحجّ، وأمّا القول الخامس فلا وجه له، ولا له قائل معلوم </w:t>
      </w:r>
      <w:r>
        <w:rPr>
          <w:rFonts w:eastAsia="IRNazanin" w:cs="IRNazanin"/>
          <w:color w:val="111111"/>
          <w:sz w:val="28"/>
          <w:szCs w:val="28"/>
          <w:rtl w:val="true"/>
          <w:lang w:bidi="fa-IR"/>
        </w:rPr>
        <w:t xml:space="preserve">. </w:t>
      </w:r>
      <w:bookmarkStart w:id="383" w:name="pg13284_130710"/>
    </w:p>
    <w:p>
      <w:pPr>
        <w:pStyle w:val="Heading4"/>
        <w:numPr>
          <w:ilvl w:val="3"/>
          <w:numId w:val="1"/>
        </w:numPr>
        <w:rPr/>
      </w:pPr>
      <w:bookmarkStart w:id="384" w:name="__RefHeading___Toc2055779_2322387425"/>
      <w:bookmarkStart w:id="385" w:name="_Toc139"/>
      <w:bookmarkEnd w:id="383"/>
      <w:bookmarkEnd w:id="384"/>
      <w:r>
        <w:rPr>
          <w:rtl w:val="true"/>
        </w:rPr>
        <w:t>الحکم إذا حدث الحیض أثناء طواف عمرة التمتّع</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الحیض وهی فی أثناء طواف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تمام أربعة أشواط</w:t>
      </w:r>
      <w:r>
        <w:rPr>
          <w:rStyle w:val="FootnoteAnchor"/>
          <w:rtl w:val="true"/>
        </w:rPr>
        <w:footnoteReference w:id="780"/>
      </w:r>
      <w:r>
        <w:rPr>
          <w:rFonts w:ascii="IRNazanin" w:hAnsi="IRNazanin" w:eastAsia="IRNazanin"/>
          <w:color w:val="111111"/>
          <w:sz w:val="28"/>
          <w:sz w:val="28"/>
          <w:szCs w:val="28"/>
          <w:rtl w:val="true"/>
          <w:lang w:bidi="fa-IR"/>
        </w:rPr>
        <w:t>بطل طوافه علی الأقوی</w:t>
      </w:r>
      <w:r>
        <w:rPr>
          <w:rStyle w:val="FootnoteAnchor"/>
          <w:rtl w:val="true"/>
        </w:rPr>
        <w:footnoteReference w:id="7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وحینئذٍ فإن کان الوقت موسّعاً أتمّت عمرتها بعد الطهر، وإلاّ فلتعدل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وقد تقدّم الحکم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حجّ الإفراد، وتأتی بعمرة مفردة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بعد تمام أربعة أشواط فتقطع الطواف، وبعد الطُهر تأتی بالثلاثة الاُخری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وتسعی وتقصّر مع سِعَةِ الوقت، ومع ضیقه تأتی بالسعی وتقصّر، ثمّ تُحرِم للحجّ وتأتی بأفعاله، ثمّ تقضی بقیّة طوافها قبل طواف الحجّ أو 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ثمّ تأتی ببقیّة أعمال الحجّ، وحجّها صحیح تمتّعاً، وکذا الحال إذا حدث الحیض بعد الطواف وقبل صلاته </w:t>
      </w:r>
      <w:r>
        <w:rPr>
          <w:rFonts w:eastAsia="IRNazanin" w:cs="IRNazanin"/>
          <w:color w:val="111111"/>
          <w:sz w:val="28"/>
          <w:szCs w:val="28"/>
          <w:rtl w:val="true"/>
          <w:lang w:bidi="fa-IR"/>
        </w:rPr>
        <w:t>.</w:t>
      </w:r>
      <w:bookmarkStart w:id="386" w:name="pg13284_130711"/>
    </w:p>
    <w:p>
      <w:pPr>
        <w:pStyle w:val="Heading3"/>
        <w:numPr>
          <w:ilvl w:val="2"/>
          <w:numId w:val="1"/>
        </w:numPr>
        <w:rPr/>
      </w:pPr>
      <w:bookmarkStart w:id="387" w:name="__RefHeading___Toc2055781_2322387425"/>
      <w:bookmarkStart w:id="388" w:name="_Toc140"/>
      <w:bookmarkEnd w:id="386"/>
      <w:bookmarkEnd w:id="387"/>
      <w:r>
        <w:rPr>
          <w:rtl w:val="true"/>
        </w:rPr>
        <w:t>فصل</w:t>
      </w:r>
      <w:r>
        <w:rPr>
          <w:rtl w:val="true"/>
        </w:rPr>
        <w:t xml:space="preserve">: </w:t>
      </w:r>
      <w:r>
        <w:rPr>
          <w:rtl w:val="true"/>
        </w:rPr>
        <w:t>فی المواقیت</w:t>
      </w:r>
      <w:bookmarkEnd w:id="388"/>
    </w:p>
    <w:p>
      <w:pPr>
        <w:pStyle w:val="Heading4"/>
        <w:numPr>
          <w:ilvl w:val="3"/>
          <w:numId w:val="1"/>
        </w:numPr>
        <w:rPr/>
      </w:pPr>
      <w:bookmarkStart w:id="389" w:name="__RefHeading___Toc2055783_2322387425"/>
      <w:bookmarkStart w:id="390" w:name="_Toc141"/>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وهی المواضع المعیّنة للإحرام، اُطلقت علیها مجازاً أو حقیقةً متشرعیّة، والمذکور منها فی جملة من الأخبار خمسة، وفی بعضها ستّة، ولکنّ المستفاد من مجموع الأخبار أنّ المواضع الّتی یجوز الإحرام منها عشرة</w:t>
      </w:r>
      <w:r>
        <w:rPr>
          <w:rStyle w:val="FootnoteAnchor"/>
          <w:rtl w:val="true"/>
        </w:rPr>
        <w:footnoteReference w:id="7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4"/>
        <w:numPr>
          <w:ilvl w:val="3"/>
          <w:numId w:val="1"/>
        </w:numPr>
        <w:rPr/>
      </w:pPr>
      <w:bookmarkStart w:id="391" w:name="__RefHeading___Toc2055785_2322387425"/>
      <w:bookmarkStart w:id="392" w:name="_Toc142"/>
      <w:bookmarkEnd w:id="391"/>
      <w:r>
        <w:rPr>
          <w:rtl w:val="true"/>
        </w:rPr>
        <w:t>الأوّل</w:t>
      </w:r>
      <w:r>
        <w:rPr>
          <w:rtl w:val="true"/>
        </w:rPr>
        <w:t xml:space="preserve">: </w:t>
      </w:r>
      <w:r>
        <w:rPr>
          <w:rtl w:val="true"/>
        </w:rPr>
        <w:t>ذوالحلیفة وهو میقات أهل المدینة ومن یمرّ علیهم</w:t>
      </w:r>
      <w:bookmarkEnd w:id="392"/>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میقات أهل المدینة ومن یمرّ علی طریقهم، وهل هو مکان فیه مسجد الشجرة، أو نفس المسجد؟ قولان، وفی جملة من الأخبار أ نّه هو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بعضها</w:t>
      </w:r>
    </w:p>
    <w:p>
      <w:pPr>
        <w:pStyle w:val="BookText"/>
        <w:rPr/>
      </w:pPr>
      <w:r>
        <w:rPr>
          <w:rFonts w:ascii="IRNazanin" w:hAnsi="IRNazanin" w:eastAsia="IRNazanin"/>
          <w:color w:val="111111"/>
          <w:sz w:val="28"/>
          <w:sz w:val="28"/>
          <w:szCs w:val="28"/>
          <w:rtl w:val="true"/>
          <w:lang w:bidi="fa-IR"/>
        </w:rPr>
        <w:t>أ نّه 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أیّ حالٍ فالأحوط</w:t>
      </w:r>
      <w:r>
        <w:rPr>
          <w:rStyle w:val="FootnoteAnchor"/>
          <w:rtl w:val="true"/>
        </w:rPr>
        <w:footnoteReference w:id="7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بل لا یخلو من وجه، وما فی المتن لا یخلو من مناقشة، بل مناقشات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الاقتصار</w:t>
      </w:r>
      <w:r>
        <w:rPr>
          <w:rStyle w:val="FootnoteAnchor"/>
          <w:rtl w:val="true"/>
        </w:rPr>
        <w:footnoteReference w:id="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استحباباً خارج المسجد فی البیداء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 مع کونه هو المسجد فواضح، ومع کونه مکاناً فیه المسجد فاللازم حمل المطلق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المقیّد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مع ذلک الأقوی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خارج المسجد ولو اختیاراً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bookmarkStart w:id="393" w:name="pg13284_130713"/>
    </w:p>
    <w:p>
      <w:pPr>
        <w:pStyle w:val="BookText"/>
        <w:rPr/>
      </w:pPr>
      <w:bookmarkEnd w:id="393"/>
      <w:r>
        <w:rPr>
          <w:rFonts w:ascii="IRNazanin" w:hAnsi="IRNazanin" w:eastAsia="IRNazanin"/>
          <w:color w:val="111111"/>
          <w:sz w:val="28"/>
          <w:sz w:val="28"/>
          <w:szCs w:val="28"/>
          <w:rtl w:val="true"/>
          <w:lang w:bidi="fa-IR"/>
        </w:rPr>
        <w:t>ذا الحلیفة هو المسجد؛ وذلک لأ نّه مع الإحرام من جوانب المسجد یصدق الإحرام</w:t>
      </w:r>
      <w:r>
        <w:rPr>
          <w:rStyle w:val="FootnoteAnchor"/>
          <w:rtl w:val="true"/>
        </w:rPr>
        <w:footnoteReference w:id="785"/>
      </w:r>
      <w:r>
        <w:rPr>
          <w:rFonts w:ascii="Amiri" w:hAnsi="Amiri" w:eastAsia="Amiri" w:cs="Amiri"/>
          <w:color w:val="111111"/>
          <w:sz w:val="28"/>
          <w:sz w:val="28"/>
          <w:szCs w:val="28"/>
          <w:rtl w:val="true"/>
          <w:lang w:bidi="ar-SA"/>
        </w:rPr>
        <w:t>منه عُرفاً</w:t>
      </w:r>
      <w:r>
        <w:rPr>
          <w:rStyle w:val="FootnoteAnchor"/>
          <w:rtl w:val="true"/>
        </w:rPr>
        <w:footnoteReference w:id="786"/>
      </w:r>
      <w:r>
        <w:rPr>
          <w:rFonts w:ascii="IRNazanin" w:hAnsi="IRNazanin" w:eastAsia="IRNazanin"/>
          <w:color w:val="111111"/>
          <w:sz w:val="28"/>
          <w:sz w:val="28"/>
          <w:szCs w:val="28"/>
          <w:rtl w:val="true"/>
          <w:lang w:bidi="fa-IR"/>
        </w:rPr>
        <w:t>إذ فرقٌ بین الأمر بالإحرام من المسجد، أو بالإحرام فیه، هذا مع إمکان</w:t>
      </w:r>
      <w:r>
        <w:rPr>
          <w:rStyle w:val="FootnoteAnchor"/>
          <w:rtl w:val="true"/>
        </w:rPr>
        <w:footnoteReference w:id="787"/>
      </w:r>
      <w:r>
        <w:rPr>
          <w:rFonts w:ascii="IRNazanin" w:hAnsi="IRNazanin" w:eastAsia="IRNazanin"/>
          <w:color w:val="111111"/>
          <w:sz w:val="28"/>
          <w:sz w:val="28"/>
          <w:szCs w:val="28"/>
          <w:rtl w:val="true"/>
          <w:lang w:bidi="fa-IR"/>
        </w:rPr>
        <w:t>دعوی أنّ المسجد حدّ للإحرام، فیشمل جانبَیه مع محاذاته، 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کافیة</w:t>
      </w:r>
      <w:r>
        <w:rPr>
          <w:rStyle w:val="FootnoteAnchor"/>
          <w:rtl w:val="true"/>
        </w:rPr>
        <w:footnoteReference w:id="7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الکلام علی کفایة المحاذاة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مع القرب من المیقات</w:t>
      </w:r>
      <w:r>
        <w:rPr>
          <w:rFonts w:eastAsia="IRNazanin" w:cs="IRNazanin"/>
          <w:color w:val="111111"/>
          <w:sz w:val="28"/>
          <w:szCs w:val="28"/>
          <w:rtl w:val="true"/>
          <w:lang w:bidi="fa-IR"/>
        </w:rPr>
        <w:t>.</w:t>
      </w:r>
    </w:p>
    <w:p>
      <w:pPr>
        <w:pStyle w:val="Heading4"/>
        <w:numPr>
          <w:ilvl w:val="3"/>
          <w:numId w:val="1"/>
        </w:numPr>
        <w:rPr/>
      </w:pPr>
      <w:bookmarkStart w:id="394" w:name="__RefHeading___Toc2055787_2322387425"/>
      <w:bookmarkStart w:id="395" w:name="_Toc143"/>
      <w:bookmarkEnd w:id="394"/>
      <w:r>
        <w:rPr>
          <w:rtl w:val="true"/>
        </w:rPr>
        <w:t>حکم تأخیر الإحرام إلی الجحفة</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عدم</w:t>
      </w:r>
      <w:r>
        <w:rPr>
          <w:rStyle w:val="FootnoteAnchor"/>
          <w:rtl w:val="true"/>
        </w:rPr>
        <w:footnoteReference w:id="7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التأخیر إلی الجحفة ـ وهی میقات أهل الشام ـ اختیاراً، نعم، یجوز مع الضرورة لمرضٍ أو ضعفٍ أو غیرهما من الموانع، لکن خصّها بعضهم بخصوص المرض والضعف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بالاقتصار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لوجودهما فی الأخبار، فلا یلحق بهما غیرهما من الضرورات، والظاهر إرادة المثال، فالأقوی جوازه مع مطلق الضرورة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3284_130714"/>
    </w:p>
    <w:p>
      <w:pPr>
        <w:pStyle w:val="Heading4"/>
        <w:numPr>
          <w:ilvl w:val="3"/>
          <w:numId w:val="1"/>
        </w:numPr>
        <w:rPr/>
      </w:pPr>
      <w:bookmarkStart w:id="397" w:name="__RefHeading___Toc2055789_2322387425"/>
      <w:bookmarkStart w:id="398" w:name="_Toc144"/>
      <w:bookmarkEnd w:id="396"/>
      <w:bookmarkEnd w:id="397"/>
      <w:r>
        <w:rPr>
          <w:rtl w:val="true"/>
        </w:rPr>
        <w:t>عدول أهل المدینة إلی میقاتٍ آخر</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لأهل</w:t>
      </w:r>
      <w:r>
        <w:rPr>
          <w:rStyle w:val="FootnoteAnchor"/>
          <w:rtl w:val="true"/>
        </w:rPr>
        <w:footnoteReference w:id="790"/>
      </w:r>
      <w:r>
        <w:rPr>
          <w:rFonts w:ascii="IRNazanin" w:hAnsi="IRNazanin" w:eastAsia="IRNazanin"/>
          <w:color w:val="111111"/>
          <w:sz w:val="28"/>
          <w:sz w:val="28"/>
          <w:szCs w:val="28"/>
          <w:rtl w:val="true"/>
          <w:lang w:bidi="fa-IR"/>
        </w:rPr>
        <w:t>المدینة ومَن أتاها العدول إلی میقات آخر</w:t>
      </w:r>
      <w:r>
        <w:rPr>
          <w:rStyle w:val="FootnoteAnchor"/>
          <w:rtl w:val="true"/>
        </w:rPr>
        <w:footnoteReference w:id="791"/>
      </w:r>
      <w:r>
        <w:rPr>
          <w:rFonts w:ascii="IRNazanin" w:hAnsi="IRNazanin" w:eastAsia="IRNazanin"/>
          <w:color w:val="111111"/>
          <w:sz w:val="28"/>
          <w:sz w:val="28"/>
          <w:szCs w:val="28"/>
          <w:rtl w:val="true"/>
          <w:lang w:bidi="fa-IR"/>
        </w:rPr>
        <w:t>کالجحفة أو العقیق، فعدم جواز التأخیر إلی الجحفة إنّما هو إذا مشی من طریق ذی الحلیفة</w:t>
      </w:r>
      <w:r>
        <w:rPr>
          <w:rStyle w:val="FootnoteAnchor"/>
          <w:rtl w:val="true"/>
        </w:rPr>
        <w:footnoteReference w:id="792"/>
      </w:r>
      <w:r>
        <w:rPr>
          <w:rFonts w:ascii="IRNazanin" w:hAnsi="IRNazanin" w:eastAsia="IRNazanin"/>
          <w:color w:val="111111"/>
          <w:sz w:val="28"/>
          <w:sz w:val="28"/>
          <w:szCs w:val="28"/>
          <w:rtl w:val="true"/>
          <w:lang w:bidi="fa-IR"/>
        </w:rPr>
        <w:t>، بل الظاهر أ نّه لو أتی إلی ذی الحلیفة ثمّ أراد الرجوع منه والمشی من طریق آخر جاز</w:t>
      </w:r>
      <w:r>
        <w:rPr>
          <w:rStyle w:val="FootnoteAnchor"/>
          <w:rtl w:val="true"/>
        </w:rPr>
        <w:footnoteReference w:id="793"/>
      </w:r>
      <w:r>
        <w:rPr>
          <w:rFonts w:ascii="IRNazanin" w:hAnsi="IRNazanin" w:eastAsia="IRNazanin"/>
          <w:color w:val="111111"/>
          <w:sz w:val="28"/>
          <w:sz w:val="28"/>
          <w:szCs w:val="28"/>
          <w:rtl w:val="true"/>
          <w:lang w:bidi="fa-IR"/>
        </w:rPr>
        <w:t>، بل یجوز</w:t>
      </w:r>
      <w:r>
        <w:rPr>
          <w:rStyle w:val="FootnoteAnchor"/>
          <w:rtl w:val="true"/>
        </w:rPr>
        <w:footnoteReference w:id="7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یعدل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وما قبله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مشکل؛ لصدق التجاوز عن المیقات وهو یرید مکّة، وروایة عبدالحمید لا بأس بها سنداً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 الّذی لا یجوز هو التجاوز عن المیقات</w:t>
      </w:r>
      <w:bookmarkStart w:id="399" w:name="pg13284_130715"/>
    </w:p>
    <w:p>
      <w:pPr>
        <w:pStyle w:val="BookText"/>
        <w:rPr/>
      </w:pPr>
      <w:bookmarkEnd w:id="399"/>
      <w:r>
        <w:rPr>
          <w:rFonts w:ascii="Amiri" w:hAnsi="Amiri" w:eastAsia="Amiri" w:cs="Amiri"/>
          <w:color w:val="111111"/>
          <w:sz w:val="28"/>
          <w:sz w:val="28"/>
          <w:szCs w:val="28"/>
          <w:rtl w:val="true"/>
          <w:lang w:bidi="ar-SA"/>
        </w:rPr>
        <w:t>مُحِلاًّ</w:t>
      </w:r>
      <w:r>
        <w:rPr>
          <w:rStyle w:val="FootnoteAnchor"/>
          <w:rtl w:val="true"/>
        </w:rPr>
        <w:footnoteReference w:id="795"/>
      </w:r>
      <w:r>
        <w:rPr>
          <w:rFonts w:ascii="IRNazanin" w:hAnsi="IRNazanin" w:eastAsia="IRNazanin"/>
          <w:color w:val="111111"/>
          <w:sz w:val="28"/>
          <w:sz w:val="28"/>
          <w:szCs w:val="28"/>
          <w:rtl w:val="true"/>
          <w:lang w:bidi="fa-IR"/>
        </w:rPr>
        <w:t>، وإذا عدل إلی طریق‌آخر لا یکون مجاوزاً</w:t>
      </w:r>
      <w:r>
        <w:rPr>
          <w:rStyle w:val="FootnoteAnchor"/>
          <w:rtl w:val="true"/>
        </w:rPr>
        <w:footnoteReference w:id="796"/>
      </w:r>
      <w:r>
        <w:rPr>
          <w:rFonts w:ascii="IRNazanin" w:hAnsi="IRNazanin" w:eastAsia="IRNazanin"/>
          <w:color w:val="111111"/>
          <w:sz w:val="28"/>
          <w:sz w:val="28"/>
          <w:szCs w:val="28"/>
          <w:rtl w:val="true"/>
          <w:lang w:bidi="fa-IR"/>
        </w:rPr>
        <w:t>وإن کان ذلک وهو فی ذی الحلیفة، وما فی خبر إبراهیم بن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 عن العدول إذا أتی المدینة مع ضعفه منزّل علی الکراهة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2055791_2322387425"/>
      <w:bookmarkStart w:id="401" w:name="_Toc145"/>
      <w:bookmarkEnd w:id="400"/>
      <w:r>
        <w:rPr>
          <w:rtl w:val="true"/>
        </w:rPr>
        <w:t>إحرام الحائض خارج المسجد</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تُحرِم خارج المسجد علی المختار</w:t>
      </w:r>
      <w:r>
        <w:rPr>
          <w:rStyle w:val="FootnoteAnchor"/>
          <w:rtl w:val="true"/>
        </w:rPr>
        <w:footnoteReference w:id="798"/>
      </w:r>
      <w:r>
        <w:rPr>
          <w:rFonts w:ascii="IRNazanin" w:hAnsi="IRNazanin" w:eastAsia="IRNazanin"/>
          <w:color w:val="111111"/>
          <w:sz w:val="28"/>
          <w:sz w:val="28"/>
          <w:szCs w:val="28"/>
          <w:rtl w:val="true"/>
          <w:lang w:bidi="fa-IR"/>
        </w:rPr>
        <w:t>، ویدلّ علیه مضافاً إلی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 ح</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لولم تحمل علی إحرام الحجّ، کما توهّم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مسندة ومعتبرة، ودلالتها علی أنّ إحرامها من خارج المسجد واضحة، ولا یجوز لها دخول المسجد، وأمّا الاجتیاز فلا یتحقّق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کیفیّة إحرامها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 المسجد، وتُهِلّ بالحجّ بغیر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علی القول بالاختصاص بالمسجد فمع عدم إمکان صبرها</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إمکان الإحرام حال الاجتیاز لا فرق بین إمکان الصبر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bookmarkStart w:id="402" w:name="pg13284_130716"/>
    </w:p>
    <w:p>
      <w:pPr>
        <w:pStyle w:val="BookText"/>
        <w:rPr/>
      </w:pPr>
      <w:bookmarkEnd w:id="402"/>
      <w:r>
        <w:rPr>
          <w:rFonts w:ascii="IRNazanin" w:hAnsi="IRNazanin" w:eastAsia="IRNazanin"/>
          <w:color w:val="111111"/>
          <w:sz w:val="28"/>
          <w:sz w:val="28"/>
          <w:szCs w:val="28"/>
          <w:rtl w:val="true"/>
          <w:lang w:bidi="fa-IR"/>
        </w:rPr>
        <w:t>تطهر تدخل المسجد، وتُحرِم فی حال الاجتیاز</w:t>
      </w:r>
      <w:r>
        <w:rPr>
          <w:rStyle w:val="FootnoteAnchor"/>
          <w:rtl w:val="true"/>
        </w:rPr>
        <w:footnoteReference w:id="801"/>
      </w:r>
      <w:r>
        <w:rPr>
          <w:rFonts w:ascii="IRNazanin" w:hAnsi="IRNazanin" w:eastAsia="IRNazanin"/>
          <w:color w:val="111111"/>
          <w:sz w:val="28"/>
          <w:sz w:val="28"/>
          <w:szCs w:val="28"/>
          <w:rtl w:val="true"/>
          <w:lang w:bidi="fa-IR"/>
        </w:rPr>
        <w:t>إن أمکن، وإن لم یمکن لزحمٍ أو غیره أحرمت خارج المسجد</w:t>
      </w:r>
      <w:r>
        <w:rPr>
          <w:rStyle w:val="FootnoteAnchor"/>
          <w:rtl w:val="true"/>
        </w:rPr>
        <w:footnoteReference w:id="802"/>
      </w:r>
      <w:r>
        <w:rPr>
          <w:rFonts w:ascii="Amiri" w:hAnsi="Amiri" w:eastAsia="Amiri" w:cs="Amiri"/>
          <w:color w:val="111111"/>
          <w:sz w:val="28"/>
          <w:sz w:val="28"/>
          <w:szCs w:val="28"/>
          <w:rtl w:val="true"/>
          <w:lang w:bidi="ar-SA"/>
        </w:rPr>
        <w:t>، وجدّدت</w:t>
      </w:r>
      <w:r>
        <w:rPr>
          <w:rStyle w:val="FootnoteAnchor"/>
          <w:rtl w:val="true"/>
        </w:rPr>
        <w:footnoteReference w:id="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والأحوط أیضاً الاقتصار علی الجحفة، لا محاذاتها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الجحفة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حاجة إلی التجدید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محاذاتها</w:t>
      </w:r>
      <w:r>
        <w:rPr>
          <w:rFonts w:eastAsia="IRNazanin" w:cs="IRNazanin"/>
          <w:color w:val="111111"/>
          <w:sz w:val="28"/>
          <w:szCs w:val="28"/>
          <w:rtl w:val="true"/>
          <w:lang w:bidi="fa-IR"/>
        </w:rPr>
        <w:t>.</w:t>
      </w:r>
    </w:p>
    <w:p>
      <w:pPr>
        <w:pStyle w:val="Heading4"/>
        <w:numPr>
          <w:ilvl w:val="3"/>
          <w:numId w:val="1"/>
        </w:numPr>
        <w:rPr/>
      </w:pPr>
      <w:bookmarkStart w:id="403" w:name="__RefHeading___Toc2055793_2322387425"/>
      <w:bookmarkStart w:id="404" w:name="_Toc146"/>
      <w:bookmarkEnd w:id="403"/>
      <w:r>
        <w:rPr>
          <w:rtl w:val="true"/>
        </w:rPr>
        <w:t>إحرام الجنب من خارج المسجد</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 ولم یکن عنده ماء جاز له أن یُحرِم خارج المسجد</w:t>
      </w:r>
      <w:r>
        <w:rPr>
          <w:rStyle w:val="FootnoteAnchor"/>
          <w:rtl w:val="true"/>
        </w:rPr>
        <w:footnoteReference w:id="8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المسجد فی حال الاجتیاز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والأحوط أن یتیمّم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الإحرام من خارج المسجد علی القول بعدم تعیین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للدخول والإحرام،</w:t>
      </w:r>
      <w:bookmarkStart w:id="405" w:name="pg13284_130717"/>
    </w:p>
    <w:p>
      <w:pPr>
        <w:pStyle w:val="BookText"/>
        <w:rPr/>
      </w:pPr>
      <w:bookmarkEnd w:id="405"/>
      <w:r>
        <w:rPr>
          <w:rFonts w:ascii="Amiri" w:hAnsi="Amiri" w:eastAsia="Amiri" w:cs="Amiri"/>
          <w:color w:val="111111"/>
          <w:sz w:val="28"/>
          <w:sz w:val="28"/>
          <w:szCs w:val="28"/>
          <w:rtl w:val="true"/>
          <w:lang w:bidi="ar-SA"/>
        </w:rPr>
        <w:t>ویتعیّن</w:t>
      </w:r>
      <w:r>
        <w:rPr>
          <w:rStyle w:val="FootnoteAnchor"/>
          <w:rtl w:val="true"/>
        </w:rPr>
        <w:footnoteReference w:id="805"/>
      </w:r>
      <w:r>
        <w:rPr>
          <w:rFonts w:ascii="IRNazanin" w:hAnsi="IRNazanin" w:eastAsia="IRNazanin"/>
          <w:color w:val="111111"/>
          <w:sz w:val="28"/>
          <w:sz w:val="28"/>
          <w:szCs w:val="28"/>
          <w:rtl w:val="true"/>
          <w:lang w:bidi="fa-IR"/>
        </w:rPr>
        <w:t>ذلک علیالقول بتعیین المسجد</w:t>
      </w:r>
      <w:r>
        <w:rPr>
          <w:rStyle w:val="FootnoteAnchor"/>
          <w:rtl w:val="true"/>
        </w:rPr>
        <w:footnoteReference w:id="8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یمکنه أن یُحرِم فی حال الاجتیاز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الحائض إذا لم یکن لها ماء بعد نقائها</w:t>
      </w:r>
      <w:r>
        <w:rPr>
          <w:rFonts w:eastAsia="IRNazanin" w:cs="IRNazanin"/>
          <w:color w:val="111111"/>
          <w:sz w:val="28"/>
          <w:szCs w:val="28"/>
          <w:rtl w:val="true"/>
          <w:lang w:bidi="fa-IR"/>
        </w:rPr>
        <w:t>.</w:t>
      </w:r>
    </w:p>
    <w:p>
      <w:pPr>
        <w:pStyle w:val="Heading4"/>
        <w:numPr>
          <w:ilvl w:val="3"/>
          <w:numId w:val="1"/>
        </w:numPr>
        <w:rPr/>
      </w:pPr>
      <w:bookmarkStart w:id="406" w:name="__RefHeading___Toc2055795_2322387425"/>
      <w:bookmarkStart w:id="407" w:name="_Toc147"/>
      <w:bookmarkEnd w:id="406"/>
      <w:r>
        <w:rPr>
          <w:rtl w:val="true"/>
        </w:rPr>
        <w:t>الثانی</w:t>
      </w:r>
      <w:r>
        <w:rPr>
          <w:rtl w:val="true"/>
        </w:rPr>
        <w:t xml:space="preserve">: </w:t>
      </w:r>
      <w:r>
        <w:rPr>
          <w:rtl w:val="true"/>
        </w:rPr>
        <w:t>العقیق، وهو میقات أهل نجد والعراق ومن یمرّ علیهم</w:t>
      </w:r>
      <w:bookmarkEnd w:id="40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میقات أهل نجد</w:t>
      </w:r>
      <w:r>
        <w:rPr>
          <w:rStyle w:val="FootnoteAnchor"/>
          <w:rtl w:val="true"/>
        </w:rPr>
        <w:footnoteReference w:id="807"/>
      </w:r>
      <w:r>
        <w:rPr>
          <w:rFonts w:ascii="Amiri" w:hAnsi="Amiri" w:eastAsia="Amiri" w:cs="Amiri"/>
          <w:color w:val="111111"/>
          <w:sz w:val="28"/>
          <w:sz w:val="28"/>
          <w:szCs w:val="28"/>
          <w:rtl w:val="true"/>
          <w:lang w:bidi="ar-SA"/>
        </w:rPr>
        <w:t>والعراق ومَن یمرّ علیه من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 المَسلَخ</w:t>
      </w:r>
      <w:r>
        <w:rPr>
          <w:rStyle w:val="FootnoteAnchor"/>
          <w:rtl w:val="true"/>
        </w:rPr>
        <w:footnoteReference w:id="808"/>
      </w:r>
      <w:r>
        <w:rPr>
          <w:rFonts w:ascii="IRNazanin" w:hAnsi="IRNazanin" w:eastAsia="IRNazanin"/>
          <w:color w:val="111111"/>
          <w:sz w:val="28"/>
          <w:sz w:val="28"/>
          <w:szCs w:val="28"/>
          <w:rtl w:val="true"/>
          <w:lang w:bidi="fa-IR"/>
        </w:rPr>
        <w:t>، وأوسطه غَمرة، وآخره ذات عِرق، والمشهور جواز الإحرام من جمیع مواضعه اختیاراً، وأنّ الأفضل الإحرام من المَسلَخ، ثمّ من غمرة، والأحوط</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r>
        <w:rPr>
          <w:rStyle w:val="FootnoteAnchor"/>
          <w:rtl w:val="true"/>
        </w:rPr>
        <w:footnoteReference w:id="810"/>
      </w:r>
      <w:r>
        <w:rPr>
          <w:rFonts w:ascii="IRNazanin" w:hAnsi="IRNazanin" w:eastAsia="IRNazanin"/>
          <w:color w:val="111111"/>
          <w:sz w:val="28"/>
          <w:sz w:val="28"/>
          <w:szCs w:val="28"/>
          <w:rtl w:val="true"/>
          <w:lang w:bidi="fa-IR"/>
        </w:rPr>
        <w:t>التأخیر</w:t>
      </w:r>
      <w:r>
        <w:rPr>
          <w:rStyle w:val="FootnoteAnchor"/>
          <w:rtl w:val="true"/>
        </w:rPr>
        <w:footnoteReference w:id="811"/>
      </w:r>
      <w:r>
        <w:rPr>
          <w:rFonts w:ascii="Amiri" w:hAnsi="Amiri" w:eastAsia="Amiri" w:cs="Amiri"/>
          <w:color w:val="111111"/>
          <w:sz w:val="28"/>
          <w:sz w:val="28"/>
          <w:szCs w:val="28"/>
          <w:rtl w:val="true"/>
          <w:lang w:bidi="ar-SA"/>
        </w:rPr>
        <w:t>إلی ذات عِرق</w:t>
      </w:r>
      <w:r>
        <w:rPr>
          <w:rStyle w:val="FootnoteAnchor"/>
          <w:rtl w:val="true"/>
        </w:rPr>
        <w:footnoteReference w:id="812"/>
      </w:r>
      <w:r>
        <w:rPr>
          <w:rFonts w:ascii="Amiri" w:hAnsi="Amiri" w:eastAsia="Amiri" w:cs="Amiri"/>
          <w:color w:val="111111"/>
          <w:sz w:val="28"/>
          <w:sz w:val="28"/>
          <w:szCs w:val="28"/>
          <w:rtl w:val="true"/>
          <w:lang w:bidi="ar-SA"/>
        </w:rPr>
        <w:t>، إلاّ لمرضٍ أو تقیّة، فإنّه میقات العامّة، لکنّ الأقوی ما هو المشهور</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w:t>
      </w:r>
      <w:r>
        <w:rPr>
          <w:rStyle w:val="FootnoteAnchor"/>
          <w:rtl w:val="true"/>
        </w:rPr>
        <w:footnoteReference w:id="814"/>
      </w:r>
      <w:r>
        <w:rPr>
          <w:rFonts w:ascii="IRNazanin" w:hAnsi="IRNazanin" w:eastAsia="IRNazanin"/>
          <w:color w:val="111111"/>
          <w:sz w:val="28"/>
          <w:sz w:val="28"/>
          <w:szCs w:val="28"/>
          <w:rtl w:val="true"/>
          <w:lang w:bidi="fa-IR"/>
        </w:rPr>
        <w:t>فی حال التقیّة</w:t>
      </w:r>
      <w:r>
        <w:rPr>
          <w:rStyle w:val="FootnoteAnchor"/>
          <w:rtl w:val="true"/>
        </w:rPr>
        <w:footnoteReference w:id="815"/>
      </w:r>
      <w:r>
        <w:rPr>
          <w:rFonts w:ascii="IRNazanin" w:hAnsi="IRNazanin" w:eastAsia="IRNazanin"/>
          <w:color w:val="111111"/>
          <w:sz w:val="28"/>
          <w:sz w:val="28"/>
          <w:szCs w:val="28"/>
          <w:rtl w:val="true"/>
          <w:lang w:bidi="fa-IR"/>
        </w:rPr>
        <w:t>الإحرام من أوّله</w:t>
      </w:r>
      <w:r>
        <w:rPr>
          <w:rStyle w:val="FootnoteAnchor"/>
          <w:rtl w:val="true"/>
        </w:rPr>
        <w:footnoteReference w:id="816"/>
      </w:r>
      <w:r>
        <w:rPr>
          <w:rFonts w:ascii="Amiri" w:hAnsi="Amiri" w:eastAsia="Amiri" w:cs="Amiri"/>
          <w:color w:val="111111"/>
          <w:sz w:val="28"/>
          <w:sz w:val="28"/>
          <w:szCs w:val="28"/>
          <w:rtl w:val="true"/>
          <w:lang w:bidi="ar-SA"/>
        </w:rPr>
        <w:t>قبل ذات عِرق سِرّاً من غیر نزع</w:t>
      </w:r>
      <w:r>
        <w:rPr>
          <w:rStyle w:val="FootnoteAnchor"/>
          <w:rtl w:val="true"/>
        </w:rPr>
        <w:footnoteReference w:id="817"/>
      </w:r>
      <w:r>
        <w:rPr>
          <w:rFonts w:ascii="IRNazanin" w:hAnsi="IRNazanin" w:eastAsia="IRNazanin"/>
          <w:color w:val="111111"/>
          <w:sz w:val="28"/>
          <w:sz w:val="28"/>
          <w:szCs w:val="28"/>
          <w:rtl w:val="true"/>
          <w:lang w:bidi="fa-IR"/>
        </w:rPr>
        <w:t>ما علیه من الثیاب</w:t>
      </w:r>
      <w:r>
        <w:rPr>
          <w:rStyle w:val="FootnoteAnchor"/>
          <w:rtl w:val="true"/>
        </w:rPr>
        <w:footnoteReference w:id="818"/>
      </w:r>
      <w:r>
        <w:rPr>
          <w:rFonts w:ascii="Amiri" w:hAnsi="Amiri" w:eastAsia="Amiri" w:cs="Amiri"/>
          <w:color w:val="111111"/>
          <w:sz w:val="28"/>
          <w:sz w:val="28"/>
          <w:szCs w:val="28"/>
          <w:rtl w:val="true"/>
          <w:lang w:bidi="ar-SA"/>
        </w:rPr>
        <w:t>إلی ذات عِرق</w:t>
      </w:r>
      <w:r>
        <w:rPr>
          <w:rStyle w:val="FootnoteAnchor"/>
          <w:rtl w:val="true"/>
        </w:rPr>
        <w:footnoteReference w:id="819"/>
      </w:r>
      <w:r>
        <w:rPr>
          <w:rFonts w:ascii="IRNazanin" w:hAnsi="IRNazanin" w:eastAsia="IRNazanin"/>
          <w:color w:val="111111"/>
          <w:sz w:val="28"/>
          <w:sz w:val="28"/>
          <w:szCs w:val="28"/>
          <w:rtl w:val="true"/>
          <w:lang w:bidi="fa-IR"/>
        </w:rPr>
        <w:t>، ثمّ إظهاره ولبس ثوبَی الإحرام هناک، بل هو الأحوط، وإن أمکن تجرّده، ولبس الثوبَین سرّاً، ثمّ نزعهما ولبس ثیابه إلی ذات عِرق، ثمّ التجرّد ولبس الثوبَین فهو</w:t>
      </w:r>
      <w:r>
        <w:rPr>
          <w:rStyle w:val="FootnoteAnchor"/>
          <w:rtl w:val="true"/>
        </w:rPr>
        <w:footnoteReference w:id="820"/>
      </w:r>
      <w:r>
        <w:rPr>
          <w:rFonts w:ascii="IRNazanin" w:hAnsi="IRNazanin" w:eastAsia="IRNazanin"/>
          <w:color w:val="111111"/>
          <w:sz w:val="28"/>
          <w:sz w:val="28"/>
          <w:szCs w:val="28"/>
          <w:rtl w:val="true"/>
          <w:lang w:bidi="fa-IR"/>
        </w:rPr>
        <w:t>أولی</w:t>
      </w:r>
      <w:r>
        <w:rPr>
          <w:rStyle w:val="FootnoteAnchor"/>
          <w:rtl w:val="true"/>
        </w:rPr>
        <w:footnoteReference w:id="8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الفدیة لمکان لبس المَخِیط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ولا یُترک، لکن مع عدم إمکان إبقاء ثوبَی الإحرام تحت ثیابه إلی ذات عرق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أحوط، والأحوط الفداء لِلبس المخیط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الإفداء للبس المخیط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3284_130719"/>
    </w:p>
    <w:p>
      <w:pPr>
        <w:pStyle w:val="Heading4"/>
        <w:numPr>
          <w:ilvl w:val="3"/>
          <w:numId w:val="1"/>
        </w:numPr>
        <w:rPr/>
      </w:pPr>
      <w:bookmarkStart w:id="409" w:name="__RefHeading___Toc2055797_2322387425"/>
      <w:bookmarkStart w:id="410" w:name="_Toc148"/>
      <w:bookmarkEnd w:id="408"/>
      <w:bookmarkEnd w:id="409"/>
      <w:r>
        <w:rPr>
          <w:rtl w:val="true"/>
        </w:rPr>
        <w:t>الثالث</w:t>
      </w:r>
      <w:r>
        <w:rPr>
          <w:rtl w:val="true"/>
        </w:rPr>
        <w:t xml:space="preserve">: </w:t>
      </w:r>
      <w:r>
        <w:rPr>
          <w:rtl w:val="true"/>
        </w:rPr>
        <w:t>الجحفة، وهو میقات أهل الشام ومصر والمغرب</w:t>
      </w:r>
      <w:bookmarkEnd w:id="41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الجُحفَة</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لأهل الشام ومصر والمغرب ومَن یمرّ علیها من غیرهم إذا لم یُحرِم من المیقات السابق علیها</w:t>
      </w:r>
      <w:r>
        <w:rPr>
          <w:rFonts w:eastAsia="IRNazanin" w:cs="IRNazanin"/>
          <w:color w:val="111111"/>
          <w:sz w:val="28"/>
          <w:szCs w:val="28"/>
          <w:rtl w:val="true"/>
          <w:lang w:bidi="fa-IR"/>
        </w:rPr>
        <w:t>.</w:t>
      </w:r>
    </w:p>
    <w:p>
      <w:pPr>
        <w:pStyle w:val="Heading4"/>
        <w:numPr>
          <w:ilvl w:val="3"/>
          <w:numId w:val="1"/>
        </w:numPr>
        <w:rPr/>
      </w:pPr>
      <w:bookmarkStart w:id="411" w:name="__RefHeading___Toc2055799_2322387425"/>
      <w:bookmarkStart w:id="412" w:name="_Toc149"/>
      <w:bookmarkEnd w:id="411"/>
      <w:r>
        <w:rPr>
          <w:rtl w:val="true"/>
        </w:rPr>
        <w:t>الرابع</w:t>
      </w:r>
      <w:r>
        <w:rPr>
          <w:rtl w:val="true"/>
        </w:rPr>
        <w:t xml:space="preserve">: </w:t>
      </w:r>
      <w:r>
        <w:rPr>
          <w:rtl w:val="true"/>
        </w:rPr>
        <w:t>یلملم، وهو میقات لأهل الیمن</w:t>
      </w:r>
      <w:bookmarkEnd w:id="412"/>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یَلَمْلَمْ</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لأهل الیمن</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055801_2322387425"/>
      <w:bookmarkStart w:id="414" w:name="_Toc150"/>
      <w:bookmarkEnd w:id="413"/>
      <w:r>
        <w:rPr>
          <w:rtl w:val="true"/>
        </w:rPr>
        <w:t>الخامس</w:t>
      </w:r>
      <w:r>
        <w:rPr>
          <w:rtl w:val="true"/>
        </w:rPr>
        <w:t xml:space="preserve">: </w:t>
      </w:r>
      <w:r>
        <w:rPr>
          <w:rtl w:val="true"/>
        </w:rPr>
        <w:t>قرن المنازل، وهو میقات لأهل الطائف</w:t>
      </w:r>
      <w:bookmarkEnd w:id="41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لأهلِ الطائف</w:t>
      </w:r>
      <w:r>
        <w:rPr>
          <w:rFonts w:eastAsia="IRNazanin" w:cs="IRNazanin"/>
          <w:color w:val="111111"/>
          <w:sz w:val="28"/>
          <w:szCs w:val="28"/>
          <w:rtl w:val="true"/>
          <w:lang w:bidi="fa-IR"/>
        </w:rPr>
        <w:t>.</w:t>
      </w:r>
    </w:p>
    <w:p>
      <w:pPr>
        <w:pStyle w:val="Heading4"/>
        <w:numPr>
          <w:ilvl w:val="3"/>
          <w:numId w:val="1"/>
        </w:numPr>
        <w:rPr/>
      </w:pPr>
      <w:bookmarkStart w:id="415" w:name="__RefHeading___Toc2055803_2322387425"/>
      <w:bookmarkStart w:id="416" w:name="_Toc151"/>
      <w:bookmarkEnd w:id="415"/>
      <w:r>
        <w:rPr>
          <w:rtl w:val="true"/>
        </w:rPr>
        <w:t>السادس</w:t>
      </w:r>
      <w:r>
        <w:rPr>
          <w:rtl w:val="true"/>
        </w:rPr>
        <w:t xml:space="preserve">: </w:t>
      </w:r>
      <w:r>
        <w:rPr>
          <w:rtl w:val="true"/>
        </w:rPr>
        <w:t>مکّة، وهی لحجّ التمتّع</w:t>
      </w:r>
      <w:bookmarkEnd w:id="41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لِحَجِّ التَمتّع</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2055805_2322387425"/>
      <w:bookmarkStart w:id="418" w:name="_Toc152"/>
      <w:bookmarkEnd w:id="417"/>
      <w:r>
        <w:rPr>
          <w:rtl w:val="true"/>
        </w:rPr>
        <w:t>السابع</w:t>
      </w:r>
      <w:r>
        <w:rPr>
          <w:rtl w:val="true"/>
        </w:rPr>
        <w:t xml:space="preserve">: </w:t>
      </w:r>
      <w:r>
        <w:rPr>
          <w:rtl w:val="true"/>
        </w:rPr>
        <w:t>دُوَیرة الأهل، میقات من کان منزله دون المیقات إلی مکّة</w:t>
      </w:r>
      <w:bookmarkEnd w:id="4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دُوَیرة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المنزل، وهی لِمن کان منزله دون المیقات إلی </w:t>
      </w:r>
    </w:p>
    <w:p>
      <w:pPr>
        <w:pStyle w:val="BookText"/>
        <w:rPr/>
      </w:pPr>
      <w:r>
        <w:rPr>
          <w:rFonts w:ascii="Amiri" w:hAnsi="Amiri" w:eastAsia="Amiri" w:cs="Amiri"/>
          <w:color w:val="111111"/>
          <w:sz w:val="28"/>
          <w:sz w:val="28"/>
          <w:szCs w:val="28"/>
          <w:rtl w:val="true"/>
          <w:lang w:bidi="ar-SA"/>
        </w:rPr>
        <w:t>مکّة، بل لأهل مکّة</w:t>
      </w:r>
      <w:r>
        <w:rPr>
          <w:rStyle w:val="FootnoteAnchor"/>
          <w:rtl w:val="true"/>
        </w:rPr>
        <w:footnoteReference w:id="826"/>
      </w:r>
      <w:r>
        <w:rPr>
          <w:rFonts w:ascii="Amiri" w:hAnsi="Amiri" w:eastAsia="Amiri" w:cs="Amiri"/>
          <w:color w:val="111111"/>
          <w:sz w:val="28"/>
          <w:sz w:val="28"/>
          <w:szCs w:val="28"/>
          <w:rtl w:val="true"/>
          <w:lang w:bidi="ar-SA"/>
        </w:rPr>
        <w:t>أیضاً</w:t>
      </w:r>
      <w:r>
        <w:rPr>
          <w:rStyle w:val="FootnoteAnchor"/>
          <w:rtl w:val="true"/>
        </w:rPr>
        <w:footnoteReference w:id="827"/>
      </w:r>
      <w:r>
        <w:rPr>
          <w:rFonts w:ascii="IRNazanin" w:hAnsi="IRNazanin" w:eastAsia="IRNazanin"/>
          <w:color w:val="111111"/>
          <w:sz w:val="28"/>
          <w:sz w:val="28"/>
          <w:szCs w:val="28"/>
          <w:rtl w:val="true"/>
          <w:lang w:bidi="fa-IR"/>
        </w:rPr>
        <w:t>علی المشهور الأقوی، وإن استشکل فیه بعضهم فإنّهم یحرمون لحجّ القِران والإفراد من مکّة</w:t>
      </w:r>
      <w:r>
        <w:rPr>
          <w:rStyle w:val="FootnoteAnchor"/>
          <w:rtl w:val="true"/>
        </w:rPr>
        <w:footnoteReference w:id="828"/>
      </w:r>
      <w:r>
        <w:rPr>
          <w:rFonts w:ascii="IRNazanin" w:hAnsi="IRNazanin" w:eastAsia="IRNazanin"/>
          <w:color w:val="111111"/>
          <w:sz w:val="28"/>
          <w:sz w:val="28"/>
          <w:szCs w:val="28"/>
          <w:rtl w:val="true"/>
          <w:lang w:bidi="fa-IR"/>
        </w:rPr>
        <w:t>، بل وکذا المجاور الّذی انتقل فرضه إلی فرض أهل مکّة، وإن کان الأحوط</w:t>
      </w:r>
      <w:r>
        <w:rPr>
          <w:rStyle w:val="FootnoteAnchor"/>
          <w:rtl w:val="true"/>
        </w:rPr>
        <w:footnoteReference w:id="829"/>
      </w:r>
      <w:r>
        <w:rPr>
          <w:rFonts w:ascii="IRNazanin" w:hAnsi="IRNazanin" w:eastAsia="IRNazanin"/>
          <w:color w:val="111111"/>
          <w:sz w:val="28"/>
          <w:sz w:val="28"/>
          <w:szCs w:val="28"/>
          <w:rtl w:val="true"/>
          <w:lang w:bidi="fa-IR"/>
        </w:rPr>
        <w:t>إحرامه من الجِعرانة، وهی أحد مواضع أدنی الحِلّ؛ للصحیحَین</w:t>
      </w:r>
      <w:r>
        <w:rPr>
          <w:rStyle w:val="FootnoteAnchor"/>
          <w:rtl w:val="true"/>
        </w:rPr>
        <w:footnoteReference w:id="830"/>
      </w:r>
      <w:r>
        <w:rPr>
          <w:rFonts w:ascii="IRNazanin" w:hAnsi="IRNazanin" w:eastAsia="IRNazanin"/>
          <w:color w:val="111111"/>
          <w:sz w:val="28"/>
          <w:sz w:val="28"/>
          <w:szCs w:val="28"/>
          <w:rtl w:val="true"/>
          <w:lang w:bidi="fa-IR"/>
        </w:rPr>
        <w:t>الواردَین فیه، المقتضی إطلاقهما عدم الفرق بین مَن انتقل فرضه، أو لم ینتقل، وإن کان القدر المتیقّن الثانی، فلا یشمل ما نحن فیه، لکنّ الأحوط ما ذکرنا؛ عملاً بإطلاقهما، والظاهر أنّ الإحرام من المنزل للمذکورَین من باب الرخصة</w:t>
      </w:r>
      <w:r>
        <w:rPr>
          <w:rStyle w:val="FootnoteAnchor"/>
          <w:rtl w:val="true"/>
        </w:rPr>
        <w:footnoteReference w:id="8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باب العزیمة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فیجوز لهم الإحرام من أحد المواقیت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 لعلّه أفضل؛ لبعد المسافة، وطول زمان الإحرام </w:t>
      </w:r>
      <w:r>
        <w:rPr>
          <w:rFonts w:eastAsia="Amiri" w:cs="Amiri" w:ascii="Amiri" w:hAnsi="Amiri"/>
          <w:color w:val="111111"/>
          <w:sz w:val="28"/>
          <w:szCs w:val="28"/>
          <w:rtl w:val="true"/>
          <w:lang w:bidi="ar-SA"/>
        </w:rPr>
        <w:t>.</w:t>
      </w:r>
      <w:bookmarkStart w:id="419" w:name="pg13284_130721"/>
    </w:p>
    <w:p>
      <w:pPr>
        <w:pStyle w:val="Heading4"/>
        <w:numPr>
          <w:ilvl w:val="3"/>
          <w:numId w:val="1"/>
        </w:numPr>
        <w:rPr/>
      </w:pPr>
      <w:bookmarkStart w:id="420" w:name="__RefHeading___Toc2055807_2322387425"/>
      <w:bookmarkStart w:id="421" w:name="_Toc153"/>
      <w:bookmarkEnd w:id="419"/>
      <w:bookmarkEnd w:id="420"/>
      <w:r>
        <w:rPr>
          <w:rtl w:val="true"/>
        </w:rPr>
        <w:t>الثامن</w:t>
      </w:r>
      <w:r>
        <w:rPr>
          <w:rtl w:val="true"/>
        </w:rPr>
        <w:t xml:space="preserve">: </w:t>
      </w:r>
      <w:r>
        <w:rPr>
          <w:rtl w:val="true"/>
        </w:rPr>
        <w:t>فخّ، وهو میقات الصبیان</w:t>
      </w:r>
      <w:bookmarkEnd w:id="421"/>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w:t>
      </w:r>
      <w:r>
        <w:rPr>
          <w:rStyle w:val="FootnoteAnchor"/>
          <w:rtl w:val="true"/>
        </w:rPr>
        <w:footnoteReference w:id="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میقات الصبیان فی غیر حجّ التمتّع</w:t>
      </w:r>
      <w:r>
        <w:rPr>
          <w:rStyle w:val="FootnoteAnchor"/>
          <w:rtl w:val="true"/>
        </w:rPr>
        <w:footnoteReference w:id="8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فی حجّ التمتّع فمیقاته مکّة المکرّمة کالبالِغین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جماعة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بمعنی جواز تأخیر إحرامهم إلی هذا المکان، لا أ نّه یتعیّن ذلک، ولکنّ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ذلک، وإنّما یکون تجریدهم من فخٍّ لمن یمرّ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وجوب کون إحرامهم من المیقات، لکن لا یجرّدون إلاّ فی فخّ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وحینئذٍ فلابدّ من الفدیة للبس المخیط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ثمّ إنّ جواز التأخیر علی القول الأوّل إنّما هو إذا مرّوا علی طریق المدینة، وأمّا إذا سلکوا طریقاً لا یصل إلی فخّ فاللازم إحرامهم من میقات البالِغِین</w:t>
      </w:r>
      <w:r>
        <w:rPr>
          <w:rFonts w:eastAsia="IRNazanin" w:cs="IRNazanin"/>
          <w:color w:val="111111"/>
          <w:sz w:val="28"/>
          <w:szCs w:val="28"/>
          <w:rtl w:val="true"/>
          <w:lang w:bidi="fa-IR"/>
        </w:rPr>
        <w:t>.</w:t>
      </w:r>
      <w:bookmarkStart w:id="422" w:name="pg13284_130722"/>
    </w:p>
    <w:p>
      <w:pPr>
        <w:pStyle w:val="Heading4"/>
        <w:numPr>
          <w:ilvl w:val="3"/>
          <w:numId w:val="1"/>
        </w:numPr>
        <w:rPr/>
      </w:pPr>
      <w:bookmarkStart w:id="423" w:name="__RefHeading___Toc2055809_2322387425"/>
      <w:bookmarkStart w:id="424" w:name="_Toc154"/>
      <w:bookmarkEnd w:id="422"/>
      <w:bookmarkEnd w:id="423"/>
      <w:r>
        <w:rPr>
          <w:rtl w:val="true"/>
        </w:rPr>
        <w:t>التاسع</w:t>
      </w:r>
      <w:r>
        <w:rPr>
          <w:rtl w:val="true"/>
        </w:rPr>
        <w:t xml:space="preserve">: </w:t>
      </w:r>
      <w:r>
        <w:rPr>
          <w:rtl w:val="true"/>
        </w:rPr>
        <w:t>محاذاة أحد المواقیت الخمسة</w:t>
      </w:r>
      <w:bookmarkEnd w:id="42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أحد</w:t>
      </w:r>
      <w:r>
        <w:rPr>
          <w:rStyle w:val="FootnoteAnchor"/>
          <w:rtl w:val="true"/>
        </w:rPr>
        <w:footnoteReference w:id="834"/>
      </w:r>
      <w:r>
        <w:rPr>
          <w:rFonts w:ascii="IRNazanin" w:hAnsi="IRNazanin" w:eastAsia="IRNazanin"/>
          <w:color w:val="111111"/>
          <w:sz w:val="28"/>
          <w:sz w:val="28"/>
          <w:szCs w:val="28"/>
          <w:rtl w:val="true"/>
          <w:lang w:bidi="fa-IR"/>
        </w:rPr>
        <w:t>المواقیت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میقات مَن لم یمرّ علی أحدها</w:t>
      </w:r>
      <w:r>
        <w:rPr>
          <w:rStyle w:val="FootnoteAnchor"/>
          <w:rtl w:val="true"/>
        </w:rPr>
        <w:footnoteReference w:id="835"/>
      </w:r>
      <w:r>
        <w:rPr>
          <w:rFonts w:ascii="IRNazanin" w:hAnsi="IRNazanin" w:eastAsia="IRNazanin"/>
          <w:color w:val="111111"/>
          <w:sz w:val="28"/>
          <w:sz w:val="28"/>
          <w:szCs w:val="28"/>
          <w:rtl w:val="true"/>
          <w:lang w:bidi="fa-IR"/>
        </w:rPr>
        <w:t>، والدلیل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Style w:val="FootnoteAnchor"/>
          <w:rtl w:val="true"/>
        </w:rPr>
        <w:footnoteReference w:id="836"/>
      </w:r>
      <w:r>
        <w:rPr>
          <w:rFonts w:ascii="IRNazanin" w:hAnsi="IRNazanin" w:eastAsia="IRNazanin"/>
          <w:color w:val="111111"/>
          <w:sz w:val="28"/>
          <w:sz w:val="28"/>
          <w:szCs w:val="28"/>
          <w:rtl w:val="true"/>
          <w:lang w:bidi="fa-IR"/>
        </w:rPr>
        <w:t>، ولا یضرّ اختصاصهما</w:t>
      </w:r>
      <w:r>
        <w:rPr>
          <w:rStyle w:val="FootnoteAnchor"/>
          <w:rtl w:val="true"/>
        </w:rPr>
        <w:footnoteReference w:id="837"/>
      </w:r>
      <w:r>
        <w:rPr>
          <w:rFonts w:ascii="IRNazanin" w:hAnsi="IRNazanin" w:eastAsia="IRNazanin"/>
          <w:color w:val="111111"/>
          <w:sz w:val="28"/>
          <w:sz w:val="28"/>
          <w:szCs w:val="28"/>
          <w:rtl w:val="true"/>
          <w:lang w:bidi="fa-IR"/>
        </w:rPr>
        <w:t>بمحاذاة مسجد الشجرة بعد فهم المثالیّة منهما</w:t>
      </w:r>
      <w:r>
        <w:rPr>
          <w:rStyle w:val="FootnoteAnchor"/>
          <w:rtl w:val="true"/>
        </w:rPr>
        <w:footnoteReference w:id="838"/>
      </w:r>
      <w:r>
        <w:rPr>
          <w:rFonts w:ascii="IRNazanin" w:hAnsi="IRNazanin" w:eastAsia="IRNazanin"/>
          <w:color w:val="111111"/>
          <w:sz w:val="28"/>
          <w:sz w:val="28"/>
          <w:szCs w:val="28"/>
          <w:rtl w:val="true"/>
          <w:lang w:bidi="fa-IR"/>
        </w:rPr>
        <w:t xml:space="preserve">، وعدم القول بالفصل، </w:t>
      </w:r>
      <w:bookmarkStart w:id="425" w:name="pg13284_130723"/>
    </w:p>
    <w:p>
      <w:pPr>
        <w:pStyle w:val="BookText"/>
        <w:rPr/>
      </w:pPr>
      <w:bookmarkEnd w:id="425"/>
      <w:r>
        <w:rPr>
          <w:rFonts w:ascii="IRNazanin" w:hAnsi="IRNazanin" w:eastAsia="IRNazanin"/>
          <w:color w:val="111111"/>
          <w:sz w:val="28"/>
          <w:sz w:val="28"/>
          <w:szCs w:val="28"/>
          <w:rtl w:val="true"/>
          <w:lang w:bidi="fa-IR"/>
        </w:rPr>
        <w:t>ومقتضاهما محاذاة أبعد المیقاتَین</w:t>
      </w:r>
      <w:r>
        <w:rPr>
          <w:rStyle w:val="FootnoteAnchor"/>
          <w:rtl w:val="true"/>
        </w:rPr>
        <w:footnoteReference w:id="8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یطرأ الحرج ونحوه من الثانویات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فی طریقٍ یُحاذی اثنین، فلاوجه للقول بکفایة أقربهما إلی مکّة</w:t>
      </w:r>
      <w:r>
        <w:rPr>
          <w:rFonts w:eastAsia="IRNazanin" w:cs="IRNazanin"/>
          <w:color w:val="111111"/>
          <w:sz w:val="28"/>
          <w:szCs w:val="28"/>
          <w:rtl w:val="true"/>
          <w:lang w:bidi="fa-IR"/>
        </w:rPr>
        <w:t>.</w:t>
      </w:r>
    </w:p>
    <w:p>
      <w:pPr>
        <w:pStyle w:val="Heading4"/>
        <w:numPr>
          <w:ilvl w:val="3"/>
          <w:numId w:val="1"/>
        </w:numPr>
        <w:rPr/>
      </w:pPr>
      <w:bookmarkStart w:id="426" w:name="__RefHeading___Toc2055811_2322387425"/>
      <w:bookmarkStart w:id="427" w:name="_Toc155"/>
      <w:bookmarkEnd w:id="426"/>
      <w:r>
        <w:rPr>
          <w:rtl w:val="true"/>
        </w:rPr>
        <w:t>ما تتحقّق به المحاذاة</w:t>
      </w:r>
      <w:bookmarkEnd w:id="427"/>
    </w:p>
    <w:p>
      <w:pPr>
        <w:pStyle w:val="BookText"/>
        <w:rPr/>
      </w:pPr>
      <w:r>
        <w:rPr>
          <w:rFonts w:ascii="Amiri" w:hAnsi="Amiri" w:eastAsia="Amiri" w:cs="Amiri"/>
          <w:color w:val="111111"/>
          <w:sz w:val="28"/>
          <w:sz w:val="28"/>
          <w:szCs w:val="28"/>
          <w:rtl w:val="true"/>
          <w:lang w:bidi="ar-SA"/>
        </w:rPr>
        <w:t>وتتحقّق المحاذاة</w:t>
      </w:r>
      <w:r>
        <w:rPr>
          <w:rStyle w:val="FootnoteAnchor"/>
          <w:rtl w:val="true"/>
        </w:rPr>
        <w:footnoteReference w:id="8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الصحیحین، هو المحاذاة العرفیة غیر المبنیّة علی التدقیقات الهندسیّة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فی المحاذاة أن یکون المیقات علی یمین الرجل، أو یساره إذا استقبل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یصل فی طریقه إلی 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موضع یکون بینه وبین 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فی العبارة سقطاً وتحریفاً، وکیف کان فالظاهر أنّ المحاذاة تتحقّق بکون المیقات علی یمین المارّ فی الطریق إلی مکّة، أو شماله بحیث لو جاز عن ذلک الموضع مالت إلی ورائه، ویلاحظ فی ذلک الصدق العرفی، لا الدقّة العقلیّة بأن یکون الخطّ المارّ من موقفه إلی المیقات أقصر الخطوط، کما أفاده الماتن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مصحَّفة فی النسخ أو الطبع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فلا یستقیم هذا الضابط، ولا الوجه الآخر الّذی ذکره، والأولی أن یقرّ ضابط المحاذاة، بأن تکون مکّة المعظّمة علی جبهة المستقبل، والمیقات علی یمینه أو شماله بالخطّ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جمال‌الدی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أو مسافة تجوز، وقد یقرّر ضابط المحاذاة بأن تکون مکّة علی جبهة المستقبل لها، والمیقات علی یمینه أو شماله بالخظّ المستقیم، وإن کان لا یبعد کفایة الصدق العرفیّ الّذی هو أوسع من ذلک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محرّفة أو وقع فی العبارة سقط، وعلی کلٍّ الظاهر أنّ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بین ذلک الموضع وبین مکّة من المسافة، مثل ما بین المیقات إلی مکّة من المسافة إذا کان متوجّهاً إلی مکّة، وفی المفروض یقع المیقات إلی شماله أو یمینه حین توجّهه إلی مکّة، وهذا هو معنی المحاذاة، نعم، لا یلزم أن یکون وحدة مقدار المسافة بین ذلک الموضع إلی مکّة وبین المیقات إلی مکّة بالدِقّة العقلیّة، بل یکفی وحدتها عرفاً، وکذلک فی الوجه الثانی لا یلزم أن یکون أقصر خطّ بالدِقّة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تحریف، ویمکن أن یکون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فعلی هذا فصحیح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 وبین مکّة کما بین ذلک المیقات ومکّة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إنّ الظاهر کفایة المحاذاة العرفیّة، والوجهان لا یخلوان من المناقشة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العبارة اشتباه، ولو کان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الضابط من المحاذاة هو الوصول إلی موضع تکون مسافته إلی مکّة کمسافة المیقات إلیها، ولازمه أن یکون کلّ من المیقات وذلک الموضع علی محیط دائرة تکون مکّة مرکزها، وهو لا ینطبق علی ضابطه الآخر، ولا یکون صحیحاً عرفاً ولا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والضابط الآخر صحیح، فإنّ لازم کون الخطّ من موقفه إلی المیقات فی ذلک الطریق أقصر الخطوط أن یکون المیقات علی یمین المارّ أو شماله فی ذلک الطریق، بحیث لو جاز عنه مال إلی ورائه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العبارة غیر وافیة بالمقصود، ولعلّها محرّفة، والأولی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تتحقّق المحاذاة بأن یصل فی طریقه إلی مکّة إلی موضع یکون المیقات علی یمینه أو شماله بالخطّ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مسهوّة فیها من الناقل، أو مجاز، اُریدت منها المسافة، أو الانفراج ونحوهما، والمراد أن یکون البعد بین الموضع ومکّة بمقدار البعد بین المیقات ومکّة ، والأسهل فی ضبطها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المحاذاة تحصل بما لو استقبل الشخص مکّة وقع المیقات علی یمینه أو شماله مع تساوی البعدین بالنسبة إلی مکّة، والأقرب إحالة الأمر إلی العرف، وإن کان الصدق العرفیّ أوسع من هذه الضوابط، ولا ضَیرَ فیه بعد ما کان الموضوع کسائر الموضوعات العرفیة، مضافاً إلی محذور مخالفة تلک الضوابط بعضها مع ما فی الخارج، اللهمّ إلاّ أن یناقش فی کفایة الصدق العرفیّ فی المسافة القریبة دون البعیدة؛ جموداً علی ما یتراءی من ظاهر الخبرَین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المحاذاة تتحقّق بأن تکون مکّة المعظّمة علی جبهته المستقبل لها، والمیقات علی یمینه أو شماله بالخطّ المستقیم، ویکفی فی ذلک الصدق العرفی، لکنّه مرّ الإشکال فی کفایة محاذاة المیقات، إلاّ فی خصوص مورد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قصور العبارة لو لم یکن مصحّفة أو مؤوّلة، والمدار علی المحاذاة العرفیّة بأن یکون المیقات إلی یمین المتوجّه إلی مکّة، أو شماله عرفاً وإن لم یکن کذلک بحسب الدِقّة العقلیّة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دقّق الأصحاب النظر فی المقام، فمنهم مَن ذکر ذلک، ومنهم مَن ذکر فی مقام الضابط أنّ المحاذی له موضع من الطریق لو فرضنا دائرة تکون مکّة علی مرکزها، ویمرّ محیطها بالمیقات لَمَرَّ بذلک الموضع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ذکر أنّ الضابط المحاذاة أن تکون مکّة المعظّمة علی جبهة المستقبل، والمیقات علی یمینه أو شماله بالخط المستقیم، ولازم هذه الضوابط شیء واحد، ولکنّ الظاهر کفایة المحاذاة العرفیّة الّتی هی أوسع من ذلک، ثمّ لم یظهر المراد من کلمة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وهی بین ذلک المیقات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ومکّة</w:t>
      </w:r>
      <w:r>
        <w:rPr>
          <w:rStyle w:val="FootnoteAnchor"/>
          <w:rtl w:val="true"/>
        </w:rPr>
        <w:footnoteReference w:id="841"/>
      </w:r>
      <w:r>
        <w:rPr>
          <w:rFonts w:ascii="IRNazanin" w:hAnsi="IRNazanin" w:eastAsia="IRNazanin"/>
          <w:color w:val="111111"/>
          <w:sz w:val="28"/>
          <w:sz w:val="28"/>
          <w:szCs w:val="28"/>
          <w:rtl w:val="true"/>
          <w:lang w:bidi="fa-IR"/>
        </w:rPr>
        <w:t>بالخطّ المستقیم</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الخطّ من موقفه</w:t>
      </w:r>
      <w:r>
        <w:rPr>
          <w:rStyle w:val="FootnoteAnchor"/>
          <w:rtl w:val="true"/>
        </w:rPr>
        <w:footnoteReference w:id="843"/>
      </w:r>
      <w:r>
        <w:rPr>
          <w:rFonts w:ascii="IRNazanin" w:hAnsi="IRNazanin" w:eastAsia="IRNazanin"/>
          <w:color w:val="111111"/>
          <w:sz w:val="28"/>
          <w:sz w:val="28"/>
          <w:szCs w:val="28"/>
          <w:rtl w:val="true"/>
          <w:lang w:bidi="fa-IR"/>
        </w:rPr>
        <w:t xml:space="preserve">إلی المیقات </w:t>
      </w:r>
      <w:bookmarkStart w:id="428" w:name="pg13284_130727"/>
    </w:p>
    <w:p>
      <w:pPr>
        <w:pStyle w:val="BookText"/>
        <w:rPr/>
      </w:pPr>
      <w:bookmarkEnd w:id="428"/>
      <w:r>
        <w:rPr>
          <w:rFonts w:ascii="IRNazanin" w:hAnsi="IRNazanin" w:eastAsia="IRNazanin"/>
          <w:color w:val="111111"/>
          <w:sz w:val="28"/>
          <w:sz w:val="28"/>
          <w:szCs w:val="28"/>
          <w:rtl w:val="true"/>
          <w:lang w:bidi="fa-IR"/>
        </w:rPr>
        <w:t>أقصر</w:t>
      </w:r>
      <w:r>
        <w:rPr>
          <w:rStyle w:val="FootnoteAnchor"/>
          <w:rtl w:val="true"/>
        </w:rPr>
        <w:footnoteReference w:id="844"/>
      </w:r>
      <w:r>
        <w:rPr>
          <w:rFonts w:ascii="IRNazanin" w:hAnsi="IRNazanin" w:eastAsia="IRNazanin"/>
          <w:color w:val="111111"/>
          <w:sz w:val="28"/>
          <w:sz w:val="28"/>
          <w:szCs w:val="28"/>
          <w:rtl w:val="true"/>
          <w:lang w:bidi="fa-IR"/>
        </w:rPr>
        <w:t>الخطوط</w:t>
      </w:r>
      <w:r>
        <w:rPr>
          <w:rStyle w:val="FootnoteAnchor"/>
          <w:rtl w:val="true"/>
        </w:rPr>
        <w:footnoteReference w:id="845"/>
      </w:r>
      <w:r>
        <w:rPr>
          <w:rFonts w:ascii="IRNazanin" w:hAnsi="IRNazanin" w:eastAsia="IRNazanin"/>
          <w:color w:val="111111"/>
          <w:sz w:val="28"/>
          <w:sz w:val="28"/>
          <w:szCs w:val="28"/>
          <w:rtl w:val="true"/>
          <w:lang w:bidi="fa-IR"/>
        </w:rPr>
        <w:t>فی ذلک الطریق</w:t>
      </w:r>
      <w:r>
        <w:rPr>
          <w:rStyle w:val="FootnoteAnchor"/>
          <w:rtl w:val="true"/>
        </w:rPr>
        <w:footnoteReference w:id="846"/>
      </w:r>
      <w:r>
        <w:rPr>
          <w:rFonts w:ascii="IRNazanin" w:hAnsi="IRNazanin" w:eastAsia="IRNazanin"/>
          <w:color w:val="111111"/>
          <w:sz w:val="28"/>
          <w:sz w:val="28"/>
          <w:szCs w:val="28"/>
          <w:rtl w:val="true"/>
          <w:lang w:bidi="fa-IR"/>
        </w:rPr>
        <w:t>،</w:t>
      </w:r>
    </w:p>
    <w:p>
      <w:pPr>
        <w:pStyle w:val="Heading4"/>
        <w:numPr>
          <w:ilvl w:val="3"/>
          <w:numId w:val="1"/>
        </w:numPr>
        <w:rPr/>
      </w:pPr>
      <w:bookmarkStart w:id="429" w:name="__RefHeading___Toc2055813_2322387425"/>
      <w:bookmarkStart w:id="430" w:name="_Toc156"/>
      <w:bookmarkEnd w:id="429"/>
      <w:r>
        <w:rPr>
          <w:rtl w:val="true"/>
        </w:rPr>
        <w:t>طرق ثبوت المحاذاة</w:t>
      </w:r>
      <w:bookmarkEnd w:id="430"/>
    </w:p>
    <w:p>
      <w:pPr>
        <w:pStyle w:val="BookText"/>
        <w:rPr/>
      </w:pPr>
      <w:r>
        <w:rPr>
          <w:rFonts w:ascii="IRNazanin" w:hAnsi="IRNazanin" w:eastAsia="IRNazanin"/>
          <w:color w:val="111111"/>
          <w:sz w:val="28"/>
          <w:sz w:val="28"/>
          <w:szCs w:val="28"/>
          <w:rtl w:val="true"/>
          <w:lang w:bidi="fa-IR"/>
        </w:rPr>
        <w:t>ثمّ إنّ المدار علی صدق المحاذاة عرفاً، فلا یکفی إذا کان بعیداً عنه، فیعتبر فیها المسامَتَة</w:t>
      </w:r>
      <w:r>
        <w:rPr>
          <w:rStyle w:val="FootnoteAnchor"/>
          <w:rtl w:val="true"/>
        </w:rPr>
        <w:footnoteReference w:id="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ویعتبر فیها القرب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لا یخفی، واللازم حصول العلم بالمحاذاة إن أمکن، وإلاّ فالظنّ الحاصل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الظنّ هنا شِقّ للعلم، لا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 أهل الخبرة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من أهل الخلاف، بل وغیر مسلمٍ بشرط عدم الاتّهام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الاکتفاء به إذا لم تتمَّ شرائط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عدمه أیضاً فاللازم الذهاب إلی المیقات، أو الإحرام من أوّل موضع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احتماله، واستمرار النیّة والتلبیة إلی آخر مواضعه، ولا یضرّ احتمال کون الإحرام قبل المیقات حینئذٍ، مع أ نّه لا یجوز؛ لأ نّه لا بأس به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کان بعنوان الاحتیاط، ولا یجوز إجراء أصالة عدم الوصول إلی المحاذاة، أو أصالة</w:t>
      </w:r>
      <w:r>
        <w:rPr>
          <w:rStyle w:val="FootnoteAnchor"/>
          <w:rtl w:val="true"/>
        </w:rPr>
        <w:footnoteReference w:id="848"/>
      </w:r>
      <w:r>
        <w:rPr>
          <w:rFonts w:ascii="IRNazanin" w:hAnsi="IRNazanin" w:eastAsia="IRNazanin"/>
          <w:color w:val="111111"/>
          <w:sz w:val="28"/>
          <w:sz w:val="28"/>
          <w:szCs w:val="28"/>
          <w:rtl w:val="true"/>
          <w:lang w:bidi="fa-IR"/>
        </w:rPr>
        <w:t>عدم وجوب الإحرام؛ لأ نّهما لا یثبتان کون ما بعد ذلک محاذاة، والمفروض لزوم کون إنشاء الإحرام من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لمثل</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الاحوط مطلقاً، ولا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فیحرم فی أوّل موضع الاحتمال، أو قبله، علی ما سیأتی من جواز ذلک مع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صورة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الظنّ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bookmarkStart w:id="431" w:name="pg13284_130729"/>
    </w:p>
    <w:p>
      <w:pPr>
        <w:pStyle w:val="BookText"/>
        <w:rPr/>
      </w:pPr>
      <w:bookmarkEnd w:id="431"/>
      <w:r>
        <w:rPr>
          <w:rFonts w:ascii="Amiri" w:hAnsi="Amiri" w:eastAsia="Amiri" w:cs="Amiri"/>
          <w:color w:val="111111"/>
          <w:sz w:val="28"/>
          <w:sz w:val="28"/>
          <w:szCs w:val="28"/>
          <w:rtl w:val="true"/>
          <w:lang w:bidi="ar-SA"/>
        </w:rPr>
        <w:t>أیضاً</w:t>
      </w:r>
      <w:r>
        <w:rPr>
          <w:rStyle w:val="FootnoteAnchor"/>
          <w:rtl w:val="true"/>
        </w:rPr>
        <w:footnoteReference w:id="850"/>
      </w:r>
      <w:r>
        <w:rPr>
          <w:rFonts w:ascii="IRNazanin" w:hAnsi="IRNazanin" w:eastAsia="IRNazanin"/>
          <w:color w:val="111111"/>
          <w:sz w:val="28"/>
          <w:sz w:val="28"/>
          <w:szCs w:val="28"/>
          <w:rtl w:val="true"/>
          <w:lang w:bidi="fa-IR"/>
        </w:rPr>
        <w:t>عدم الاکتفاء به</w:t>
      </w:r>
      <w:r>
        <w:rPr>
          <w:rStyle w:val="FootnoteAnchor"/>
          <w:rtl w:val="true"/>
        </w:rPr>
        <w:footnoteReference w:id="851"/>
      </w:r>
      <w:r>
        <w:rPr>
          <w:rFonts w:ascii="IRNazanin" w:hAnsi="IRNazanin" w:eastAsia="IRNazanin"/>
          <w:color w:val="111111"/>
          <w:sz w:val="28"/>
          <w:sz w:val="28"/>
          <w:szCs w:val="28"/>
          <w:rtl w:val="true"/>
          <w:lang w:bidi="fa-IR"/>
        </w:rPr>
        <w:t>، وإعمال أحد هذه الاُمور، وإن کان الأقوی الاکتفاء، بل الأحوط عدم الاکتفاء بالمحاذاة</w:t>
      </w:r>
      <w:r>
        <w:rPr>
          <w:rStyle w:val="FootnoteAnchor"/>
          <w:rtl w:val="true"/>
        </w:rPr>
        <w:footnoteReference w:id="852"/>
      </w:r>
      <w:r>
        <w:rPr>
          <w:rFonts w:ascii="IRNazanin" w:hAnsi="IRNazanin" w:eastAsia="IRNazanin"/>
          <w:color w:val="111111"/>
          <w:sz w:val="28"/>
          <w:sz w:val="28"/>
          <w:szCs w:val="28"/>
          <w:rtl w:val="true"/>
          <w:lang w:bidi="fa-IR"/>
        </w:rPr>
        <w:t>مع إمکان الذهاب إلی المیقات، لکنّ الأقوی ما ذکرنا من جوازه مطلقاً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2055815_2322387425"/>
      <w:bookmarkStart w:id="433" w:name="_Toc157"/>
      <w:bookmarkEnd w:id="432"/>
      <w:r>
        <w:rPr>
          <w:rtl w:val="true"/>
        </w:rPr>
        <w:t>تبیّن الخلاف فی الإحرام من موضع المحاذاة</w:t>
      </w:r>
      <w:bookmarkEnd w:id="433"/>
    </w:p>
    <w:p>
      <w:pPr>
        <w:pStyle w:val="BookText"/>
        <w:rPr/>
      </w:pPr>
      <w:r>
        <w:rPr>
          <w:rFonts w:ascii="Amiri" w:hAnsi="Amiri" w:eastAsia="Amiri" w:cs="Amiri"/>
          <w:color w:val="111111"/>
          <w:sz w:val="28"/>
          <w:sz w:val="28"/>
          <w:szCs w:val="28"/>
          <w:rtl w:val="true"/>
          <w:lang w:bidi="ar-SA"/>
        </w:rPr>
        <w:t>ثمّ إن أحرم فی موضع الظنّ</w:t>
      </w:r>
      <w:r>
        <w:rPr>
          <w:rStyle w:val="FootnoteAnchor"/>
          <w:rtl w:val="true"/>
        </w:rPr>
        <w:footnoteReference w:id="854"/>
      </w:r>
      <w:r>
        <w:rPr>
          <w:rFonts w:ascii="IRNazanin" w:hAnsi="IRNazanin" w:eastAsia="IRNazanin"/>
          <w:color w:val="111111"/>
          <w:sz w:val="28"/>
          <w:sz w:val="28"/>
          <w:szCs w:val="28"/>
          <w:rtl w:val="true"/>
          <w:lang w:bidi="fa-IR"/>
        </w:rPr>
        <w:t>بالمحاذاة ولم یتبیّن الخلاف فلا إشکال، وإن تبیّن بعد ذلک کونه قبل المحاذاة ولم یتجاوزه أعاد الإحرام، وإن تبیّن کونه قبله وقد تجاوز أو تبیّن کونه بعده، فإن أمکن العود والتجدید تعیّن، وإلاّ فیکفی</w:t>
      </w:r>
      <w:r>
        <w:rPr>
          <w:rStyle w:val="FootnoteAnchor"/>
          <w:rtl w:val="true"/>
        </w:rPr>
        <w:footnoteReference w:id="8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یجدِّد فی الصورتَین، إلاّ إذا تبیّن عدم التمکّن من الإحرام من المیقات حین إحرامه من بعد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الصورة 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ویجدّد فی الاُولی فی مکانه، والأولی التجدید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جواز الإحرام فی المحاذاة بین البَرّ والبحر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w:t>
      </w:r>
      <w:r>
        <w:rPr>
          <w:rStyle w:val="FootnoteAnchor"/>
          <w:rtl w:val="true"/>
        </w:rPr>
        <w:footnoteReference w:id="856"/>
      </w:r>
      <w:r>
        <w:rPr>
          <w:rFonts w:ascii="Amiri" w:hAnsi="Amiri" w:eastAsia="Amiri" w:cs="Amiri"/>
          <w:color w:val="111111"/>
          <w:sz w:val="28"/>
          <w:sz w:val="28"/>
          <w:szCs w:val="28"/>
          <w:rtl w:val="true"/>
          <w:lang w:bidi="ar-SA"/>
        </w:rPr>
        <w:t>أ نّه لا یتصوّر</w:t>
      </w:r>
      <w:r>
        <w:rPr>
          <w:rStyle w:val="FootnoteAnchor"/>
          <w:rtl w:val="true"/>
        </w:rPr>
        <w:footnoteReference w:id="857"/>
      </w:r>
      <w:r>
        <w:rPr>
          <w:rFonts w:ascii="IRNazanin" w:hAnsi="IRNazanin" w:eastAsia="IRNazanin"/>
          <w:color w:val="111111"/>
          <w:sz w:val="28"/>
          <w:sz w:val="28"/>
          <w:szCs w:val="28"/>
          <w:rtl w:val="true"/>
          <w:lang w:bidi="fa-IR"/>
        </w:rPr>
        <w:t>طریق لا یمرّ علی میقات، ولا یکون محاذیاً</w:t>
      </w:r>
      <w:r>
        <w:rPr>
          <w:rStyle w:val="FootnoteAnchor"/>
          <w:rtl w:val="true"/>
        </w:rPr>
        <w:footnoteReference w:id="858"/>
      </w:r>
      <w:r>
        <w:rPr>
          <w:rFonts w:ascii="Amiri" w:hAnsi="Amiri" w:eastAsia="Amiri" w:cs="Amiri"/>
          <w:color w:val="111111"/>
          <w:sz w:val="28"/>
          <w:sz w:val="28"/>
          <w:szCs w:val="28"/>
          <w:rtl w:val="true"/>
          <w:lang w:bidi="ar-SA"/>
        </w:rPr>
        <w:t>لواحدٍ منها</w:t>
      </w:r>
      <w:r>
        <w:rPr>
          <w:rStyle w:val="FootnoteAnchor"/>
          <w:rtl w:val="true"/>
        </w:rPr>
        <w:footnoteReference w:id="859"/>
      </w:r>
      <w:r>
        <w:rPr>
          <w:rFonts w:ascii="IRNazanin" w:hAnsi="IRNazanin" w:eastAsia="IRNazanin"/>
          <w:color w:val="111111"/>
          <w:sz w:val="28"/>
          <w:sz w:val="28"/>
          <w:szCs w:val="28"/>
          <w:rtl w:val="true"/>
          <w:lang w:bidi="fa-IR"/>
        </w:rPr>
        <w:t>إذ المواقیت محیطة</w:t>
      </w:r>
      <w:r>
        <w:rPr>
          <w:rStyle w:val="FootnoteAnchor"/>
          <w:rtl w:val="true"/>
        </w:rPr>
        <w:footnoteReference w:id="860"/>
      </w:r>
      <w:r>
        <w:rPr>
          <w:rFonts w:ascii="IRNazanin" w:hAnsi="IRNazanin" w:eastAsia="IRNazanin"/>
          <w:color w:val="111111"/>
          <w:sz w:val="28"/>
          <w:sz w:val="28"/>
          <w:szCs w:val="28"/>
          <w:rtl w:val="true"/>
          <w:lang w:bidi="fa-IR"/>
        </w:rPr>
        <w:t>بالحرم</w:t>
      </w:r>
      <w:r>
        <w:rPr>
          <w:rStyle w:val="FootnoteAnchor"/>
          <w:rtl w:val="true"/>
        </w:rPr>
        <w:footnoteReference w:id="8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کذلک، فإنّ ذا الحُلَیفة والجُحفَة کلیهما فی شمال الحرم علی خطٍّ واحدٍ تقریباً، وقَرن المنازل فی المشرق منه، والعقیق بین الشمال والمشرق، فتبقی یَلَملَم وحدها لثلاثة أرباع الدورة المحیطة بالحرم، وبینها وبین قرن المنازل أکثر من ثلاثة أثمان الدورة، ومنها إلی الجحفة قریب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کذلک، فإنّ ذا الحُلَیفة والجُحفة کلیهما فی شمال الحرم علی خطّ واحد تقریباً، وقَرن المنازل فی المشرق منه، والعقیق بین الشمال والمشرق، فتبقی یَلَملَم وحدَها لثلاثة أرباع الدورة المحیطة بالحرم، وبینها وبین قَرن المنازل أکثر من ثلاثة أثمان الدورة، ومنها إلی الجُحفة قریب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ینافی ذلک کون یلملم لثلاثة أرباع الدائرة؛ لأنّ میقات جمیع هذه الناحیة یلملم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یلملم فی جنوب مکّة، وقَرن المنازل فی المشرق تقریباً، ومسجد الشجرة فی الشمال، والجُحفَة بین الشمال والمغرب، ووادی العَقِیق بین الشمال والمشرق، ومع ذلک ففی إحاطتها بالحرم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مناقشة واضحة، کما لو کان الطریق بین یلملم وقرن المنازل، فلاحظ الخارطة؛ حتّی یتّضح لک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مع البعد، وتقدّم عدم الکفایة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أورد علیه جمع من المحشِّین بأنّه لیس کذلک، وأنّ ذا الحُلَیفة والجُحفَة کلیهما فی شمال الحرم علی خطٍّ واحدٍ تقریباً، وقَرن المنازل فی المشرق منه، والعَقیق بین الشمال والمشرق، فتبقی یلملم وحدها لثلاثة أرباع الدورة المحیطة بالحرم، وبینها وبین قَرن المنازل أکثر من ثلاثة أثمان الدورة، ومنها إلی الجُحفَة قریب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الجوانب،</w:t>
      </w:r>
    </w:p>
    <w:p>
      <w:pPr>
        <w:pStyle w:val="BookText"/>
        <w:rPr/>
      </w:pPr>
      <w:r>
        <w:rPr>
          <w:rFonts w:ascii="Amiri" w:hAnsi="Amiri" w:eastAsia="Amiri" w:cs="Amiri"/>
          <w:color w:val="111111"/>
          <w:sz w:val="28"/>
          <w:sz w:val="28"/>
          <w:szCs w:val="28"/>
          <w:rtl w:val="true"/>
          <w:lang w:bidi="ar-SA"/>
        </w:rPr>
        <w:t>فلابدّ من محاذاة واحدٍ منها</w:t>
      </w:r>
      <w:r>
        <w:rPr>
          <w:rStyle w:val="FootnoteAnchor"/>
          <w:rtl w:val="true"/>
        </w:rPr>
        <w:footnoteReference w:id="862"/>
      </w:r>
      <w:r>
        <w:rPr>
          <w:rFonts w:ascii="IRNazanin" w:hAnsi="IRNazanin" w:eastAsia="IRNazanin"/>
          <w:color w:val="111111"/>
          <w:sz w:val="28"/>
          <w:sz w:val="28"/>
          <w:szCs w:val="28"/>
          <w:rtl w:val="true"/>
          <w:lang w:bidi="fa-IR"/>
        </w:rPr>
        <w:t>، ولو فرض إمکان ذلک فاللازم الإحرام</w:t>
      </w:r>
      <w:r>
        <w:rPr>
          <w:rStyle w:val="FootnoteAnchor"/>
          <w:rtl w:val="true"/>
        </w:rPr>
        <w:footnoteReference w:id="86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إشکال، والأحوط الإحرام من أحد المواقیت، أو التخلّص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أدنی الحلّ</w:t>
      </w:r>
      <w:r>
        <w:rPr>
          <w:rStyle w:val="FootnoteAnchor"/>
          <w:rtl w:val="true"/>
        </w:rPr>
        <w:footnoteReference w:id="8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اللازم الإحرام من أحد المواقیت مع الإمکان، ومع عدمه یجری علیه حکم المتجاوز عن المیقات بغیر 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یقصد مُهَلّ أرضِه فیحرِم منه علی الأحوط إن أمکن له ذلک، وإلاّ قصد أحد المواقیت، فإن تعذّر أحرم من أدنی الحِلّ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لکفایة الإحرام من أدنی الحِلّ، بل اللازم أن یذهب إلی المیقات ویُحرم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یُحرِم من موضعٍ یکون بینه وبین مکّة بقدر ما بینها وبین أقرب المواقیت إلیها، وهو مرحلتان؛ لأ نّه لا یجوز</w:t>
      </w:r>
      <w:r>
        <w:rPr>
          <w:rStyle w:val="FootnoteAnchor"/>
          <w:rtl w:val="true"/>
        </w:rPr>
        <w:footnoteReference w:id="865"/>
      </w:r>
      <w:r>
        <w:rPr>
          <w:rFonts w:ascii="Amiri" w:hAnsi="Amiri" w:eastAsia="Amiri" w:cs="Amiri"/>
          <w:color w:val="111111"/>
          <w:sz w:val="28"/>
          <w:sz w:val="28"/>
          <w:szCs w:val="28"/>
          <w:rtl w:val="true"/>
          <w:lang w:bidi="ar-SA"/>
        </w:rPr>
        <w:t>لأحدٍ قطعه</w:t>
      </w:r>
      <w:r>
        <w:rPr>
          <w:rStyle w:val="FootnoteAnchor"/>
          <w:rtl w:val="true"/>
        </w:rPr>
        <w:footnoteReference w:id="866"/>
      </w:r>
      <w:r>
        <w:rPr>
          <w:rFonts w:ascii="Amiri" w:hAnsi="Amiri" w:eastAsia="Amiri" w:cs="Amiri"/>
          <w:color w:val="111111"/>
          <w:sz w:val="28"/>
          <w:sz w:val="28"/>
          <w:szCs w:val="28"/>
          <w:rtl w:val="true"/>
          <w:lang w:bidi="ar-SA"/>
        </w:rPr>
        <w:t>إلاّ مُحرِماً</w:t>
      </w:r>
      <w:r>
        <w:rPr>
          <w:rFonts w:eastAsia="Amiri" w:cs="Amiri" w:ascii="Amiri" w:hAnsi="Amiri"/>
          <w:color w:val="111111"/>
          <w:sz w:val="28"/>
          <w:szCs w:val="28"/>
          <w:rtl w:val="true"/>
          <w:lang w:bidi="ar-SA"/>
        </w:rPr>
        <w:t xml:space="preserve">. </w:t>
      </w:r>
      <w:bookmarkStart w:id="434" w:name="pg13284_130733"/>
    </w:p>
    <w:p>
      <w:pPr>
        <w:pStyle w:val="BookText"/>
        <w:rPr/>
      </w:pPr>
      <w:bookmarkEnd w:id="434"/>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لا دلیل علیه، لکنّ الأحوط</w:t>
      </w:r>
      <w:r>
        <w:rPr>
          <w:rStyle w:val="FootnoteAnchor"/>
          <w:rtl w:val="true"/>
        </w:rPr>
        <w:footnoteReference w:id="8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التخلّص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ما قلنا من العبور من أحد المواقیت إلی آخر ما ذکرنا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وتجدیده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بذلک، بل وبنذر الإحرام منه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أدنی الحلّ</w:t>
      </w:r>
      <w:r>
        <w:rPr>
          <w:rFonts w:eastAsia="IRNazanin" w:cs="IRNazanin"/>
          <w:color w:val="111111"/>
          <w:sz w:val="28"/>
          <w:szCs w:val="28"/>
          <w:rtl w:val="true"/>
          <w:lang w:bidi="fa-IR"/>
        </w:rPr>
        <w:t>.</w:t>
      </w:r>
    </w:p>
    <w:p>
      <w:pPr>
        <w:pStyle w:val="Heading4"/>
        <w:numPr>
          <w:ilvl w:val="3"/>
          <w:numId w:val="1"/>
        </w:numPr>
        <w:rPr/>
      </w:pPr>
      <w:bookmarkStart w:id="435" w:name="__RefHeading___Toc2055817_2322387425"/>
      <w:bookmarkStart w:id="436" w:name="_Toc158"/>
      <w:bookmarkEnd w:id="435"/>
      <w:r>
        <w:rPr>
          <w:rtl w:val="true"/>
        </w:rPr>
        <w:t>العاشر</w:t>
      </w:r>
      <w:r>
        <w:rPr>
          <w:rtl w:val="true"/>
        </w:rPr>
        <w:t xml:space="preserve">: </w:t>
      </w:r>
      <w:r>
        <w:rPr>
          <w:rtl w:val="true"/>
        </w:rPr>
        <w:t>أدنی الحلّ، وهو میقات العمرة المفردة </w:t>
      </w:r>
      <w:bookmarkEnd w:id="436"/>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میقات العمرة المفردة بعد حجّ القِران أو الإفراد، بل لکلّ عمرة مفردة</w:t>
      </w:r>
      <w:r>
        <w:rPr>
          <w:rStyle w:val="FootnoteAnchor"/>
          <w:rtl w:val="true"/>
        </w:rPr>
        <w:footnoteReference w:id="8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کان فی مکّة أو فی الحرم، ومَن مَرَّ بأحد المواقیت أحرم منه، ومن کان منزله دون المیقات وقبل الحرم فمن دُوَیرة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المعتمِر فی مکّة فالأحوط له الإحرام من أحد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للأفضلیّة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یکون من الحُدیبیّة، أو الجِعْرانة، أو</w:t>
      </w:r>
    </w:p>
    <w:p>
      <w:pPr>
        <w:pStyle w:val="BookText"/>
        <w:rPr/>
      </w:pPr>
      <w:r>
        <w:rPr>
          <w:rFonts w:ascii="IRNazanin" w:hAnsi="IRNazanin" w:eastAsia="IRNazanin"/>
          <w:color w:val="111111"/>
          <w:sz w:val="28"/>
          <w:sz w:val="28"/>
          <w:szCs w:val="28"/>
          <w:rtl w:val="true"/>
          <w:lang w:bidi="fa-IR"/>
        </w:rPr>
        <w:t>التنعیم فإنّها منصوصة</w:t>
      </w:r>
      <w:r>
        <w:rPr>
          <w:rStyle w:val="FootnoteAnchor"/>
          <w:rtl w:val="true"/>
        </w:rPr>
        <w:footnoteReference w:id="869"/>
      </w:r>
      <w:r>
        <w:rPr>
          <w:rFonts w:ascii="IRNazanin" w:hAnsi="IRNazanin" w:eastAsia="IRNazanin"/>
          <w:color w:val="111111"/>
          <w:sz w:val="28"/>
          <w:sz w:val="28"/>
          <w:szCs w:val="28"/>
          <w:rtl w:val="true"/>
          <w:lang w:bidi="fa-IR"/>
        </w:rPr>
        <w:t>، وهی من حدود الحرم علی اختلاف بینها فی القرب والبعد، فإنّ الحُدیبیّة بالتخفیف</w:t>
      </w:r>
      <w:r>
        <w:rPr>
          <w:rStyle w:val="FootnoteAnchor"/>
          <w:rtl w:val="true"/>
        </w:rPr>
        <w:footnoteReference w:id="870"/>
      </w:r>
      <w:r>
        <w:rPr>
          <w:rFonts w:ascii="IRNazanin" w:hAnsi="IRNazanin" w:eastAsia="IRNazanin"/>
          <w:color w:val="111111"/>
          <w:sz w:val="28"/>
          <w:sz w:val="28"/>
          <w:szCs w:val="28"/>
          <w:rtl w:val="true"/>
          <w:lang w:bidi="fa-IR"/>
        </w:rPr>
        <w:t>أو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بقرب مکّة علی طریق جدّة دون مرحلة</w:t>
      </w:r>
      <w:r>
        <w:rPr>
          <w:rStyle w:val="FootnoteAnchor"/>
          <w:rtl w:val="true"/>
        </w:rPr>
        <w:footnoteReference w:id="871"/>
      </w:r>
      <w:r>
        <w:rPr>
          <w:rFonts w:ascii="IRNazanin" w:hAnsi="IRNazanin" w:eastAsia="IRNazanin"/>
          <w:color w:val="111111"/>
          <w:sz w:val="28"/>
          <w:sz w:val="28"/>
          <w:szCs w:val="28"/>
          <w:rtl w:val="true"/>
          <w:lang w:bidi="fa-IR"/>
        </w:rPr>
        <w:t>، ثمّ اُطلق علی الموضع،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فی الحِلّ، ونصفه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والجِعْرانة ـ بکسر الجیم</w:t>
      </w:r>
      <w:r>
        <w:rPr>
          <w:rStyle w:val="FootnoteAnchor"/>
          <w:rtl w:val="true"/>
        </w:rPr>
        <w:footnoteReference w:id="872"/>
      </w:r>
      <w:r>
        <w:rPr>
          <w:rFonts w:ascii="IRNazanin" w:hAnsi="IRNazanin" w:eastAsia="IRNazanin"/>
          <w:color w:val="111111"/>
          <w:sz w:val="28"/>
          <w:sz w:val="28"/>
          <w:szCs w:val="28"/>
          <w:rtl w:val="true"/>
          <w:lang w:bidi="fa-IR"/>
        </w:rPr>
        <w:t>والعین وتشدید الراء، أو بکسر الجیم وسکون العین وتخفیف الراء ـ موضع بین مکّة والطائف علی سبعة أمیال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قریب من مکّة، وهو أقرب أطراف الحِلّ إلی مکّة،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وبین مکّة أربعة أمیال، ویعرف بمسجد عائشة</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 نّه أمرها النبیّ صلی‌الله‌علیه‌و‌آله بالإعمار من ذلک المحلّ،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به مسجد علیٍّ علیه‌السلام ومسجد حفیده سیّد الساجِدین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4/338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نعم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المواقیت الخمسة فعن العلاّمة فی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أبعدها من مکّة ذو </w:t>
      </w:r>
      <w:bookmarkStart w:id="437" w:name="pg13284_130735"/>
    </w:p>
    <w:p>
      <w:pPr>
        <w:pStyle w:val="BookText"/>
        <w:rPr/>
      </w:pPr>
      <w:bookmarkEnd w:id="437"/>
      <w:r>
        <w:rPr>
          <w:rFonts w:ascii="IRNazanin" w:hAnsi="IRNazanin" w:eastAsia="IRNazanin"/>
          <w:color w:val="111111"/>
          <w:sz w:val="28"/>
          <w:sz w:val="28"/>
          <w:szCs w:val="28"/>
          <w:rtl w:val="true"/>
          <w:lang w:bidi="fa-IR"/>
        </w:rPr>
        <w:t>الحُلَیفة، فإنّها علی عشرة مراحل من مکّة، ویلیه فی البعد الجُحفَة، والمواقیت الثلاثة الباقیة علی مسافة واحدة</w:t>
      </w:r>
      <w:r>
        <w:rPr>
          <w:rStyle w:val="FootnoteAnchor"/>
          <w:rtl w:val="true"/>
        </w:rPr>
        <w:footnoteReference w:id="874"/>
      </w:r>
      <w:r>
        <w:rPr>
          <w:rFonts w:ascii="IRNazanin" w:hAnsi="IRNazanin" w:eastAsia="IRNazanin"/>
          <w:color w:val="111111"/>
          <w:sz w:val="28"/>
          <w:sz w:val="28"/>
          <w:szCs w:val="28"/>
          <w:rtl w:val="true"/>
          <w:lang w:bidi="fa-IR"/>
        </w:rPr>
        <w:t>، بینها وبین مکّة لیلتان قاصدتان،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الجُحفَة</w:t>
      </w:r>
      <w:r>
        <w:rPr>
          <w:rStyle w:val="FootnoteAnchor"/>
          <w:rtl w:val="true"/>
        </w:rPr>
        <w:footnoteReference w:id="875"/>
      </w:r>
      <w:r>
        <w:rPr>
          <w:rFonts w:ascii="IRNazanin" w:hAnsi="IRNazanin" w:eastAsia="IRNazanin"/>
          <w:color w:val="111111"/>
          <w:sz w:val="28"/>
          <w:sz w:val="28"/>
          <w:szCs w:val="28"/>
          <w:rtl w:val="true"/>
          <w:lang w:bidi="fa-IR"/>
        </w:rPr>
        <w:t>علی ثلاث مراحل من مکّة</w:t>
      </w:r>
      <w:r>
        <w:rPr>
          <w:rFonts w:eastAsia="IRNazanin" w:cs="IRNazanin"/>
          <w:color w:val="111111"/>
          <w:sz w:val="28"/>
          <w:szCs w:val="28"/>
          <w:rtl w:val="true"/>
          <w:lang w:bidi="fa-IR"/>
        </w:rPr>
        <w:t>.</w:t>
      </w:r>
    </w:p>
    <w:p>
      <w:pPr>
        <w:pStyle w:val="Heading4"/>
        <w:numPr>
          <w:ilvl w:val="3"/>
          <w:numId w:val="1"/>
        </w:numPr>
        <w:rPr/>
      </w:pPr>
      <w:bookmarkStart w:id="438" w:name="__RefHeading___Toc2055819_2322387425"/>
      <w:bookmarkStart w:id="439" w:name="_Toc159"/>
      <w:bookmarkEnd w:id="438"/>
      <w:r>
        <w:rPr>
          <w:rtl w:val="true"/>
        </w:rPr>
        <w:t>میقات من یمرّ علی المواقیت</w:t>
      </w:r>
      <w:bookmarkEnd w:id="4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حَجّ أو اعتمر علی طریق فمیقاته میقات أهل ذلک الطریق، وإن کان مُهَلّ أرضه غیره، کما أشرنا إلیه سابقاً، فلا یتعیّن أن یُحرِم من مُهَلّ أرضه بالإجماع والنصوص،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صلی‌الله‌علیه‌و‌آله وقّت المواقیت لأهلها، ومَن أتی علیها من غیر أهلها</w:t>
      </w:r>
      <w:r>
        <w:rPr>
          <w:rFonts w:eastAsia="IRNazanin" w:cs="IRNazanin"/>
          <w:color w:val="111111"/>
          <w:sz w:val="28"/>
          <w:szCs w:val="28"/>
          <w:rtl w:val="true"/>
          <w:lang w:bidi="fa-IR"/>
        </w:rPr>
        <w:t>.</w:t>
      </w:r>
    </w:p>
    <w:p>
      <w:pPr>
        <w:pStyle w:val="Heading4"/>
        <w:numPr>
          <w:ilvl w:val="3"/>
          <w:numId w:val="1"/>
        </w:numPr>
        <w:rPr/>
      </w:pPr>
      <w:bookmarkStart w:id="440" w:name="__RefHeading___Toc2055821_2322387425"/>
      <w:bookmarkStart w:id="441" w:name="_Toc160"/>
      <w:bookmarkEnd w:id="440"/>
      <w:r>
        <w:rPr>
          <w:rtl w:val="true"/>
        </w:rPr>
        <w:t>المحصّلة فی الإحرام من المواقیت</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مرّ أنّ میقات حجّ التمتّع مکّة، واجباً کان أو مستحبّاً، من الآفاقیّ أو من أهل مکّة، ومیقات عمرته</w:t>
      </w:r>
      <w:r>
        <w:rPr>
          <w:rStyle w:val="FootnoteAnchor"/>
          <w:rtl w:val="true"/>
        </w:rPr>
        <w:footnoteReference w:id="876"/>
      </w:r>
      <w:r>
        <w:rPr>
          <w:rFonts w:ascii="IRNazanin" w:hAnsi="IRNazanin" w:eastAsia="IRNazanin"/>
          <w:color w:val="111111"/>
          <w:sz w:val="28"/>
          <w:sz w:val="28"/>
          <w:szCs w:val="28"/>
          <w:rtl w:val="true"/>
          <w:lang w:bidi="fa-IR"/>
        </w:rPr>
        <w:t>أحد المواقیت</w:t>
      </w:r>
      <w:r>
        <w:rPr>
          <w:rStyle w:val="FootnoteAnchor"/>
          <w:rtl w:val="true"/>
        </w:rPr>
        <w:footnoteReference w:id="8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مَن کان منزله أقرب إلی مکّة من المیقات فمیقاته منزله مطلقاً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منزله دون المیقات فمنزله میقاته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عمرة التمتّع لأهل مکّة إذا لم یکن مارّاً من أحد المواقیت، أو من محاذاتها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یتعیّن ذلک بالنسبة إلی أهل مکّة، ومَن منزله أقرب إلیها إذا أرادوا التمتّع ندباً، فعلی هذا فمیقات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أحد المواقیت إن مرّ به، أو ما یحاذیه محاذاةً قریبةً إن مرّ به، أو منزله إذا کان دون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بالنسبة إلی أهل مکّة، ومَن منزله أقرب إلیها من المیقات إذا أرادوا التمتّع، وأمّا المجاور فقد مرّ أ نّه یُحرِم من مُهَلِّ أرضه، وأمّا المحاذاة فقد عرفت حالها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محاذاتها</w:t>
      </w:r>
      <w:r>
        <w:rPr>
          <w:rStyle w:val="FootnoteAnchor"/>
          <w:rtl w:val="true"/>
        </w:rPr>
        <w:footnoteReference w:id="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بیّنّاه مُفصّلاً فی الحواشی السابقة، مع احتمال التفصیل بین المحاذاة مع القرب وبینها مع البعد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المحاذاة مختصّة بمسجد الشجرة، فلا تعمّ سائر المواقیت، بل ولا غیر موردها، فلاحظ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ومیقات حجّ القِران والإفراد أحد تلک المواقیت مطلقاً أیضاً، إلاّ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کان منزله دون المیقات أو 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فمیقاته منزله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ویجوز من أحد تلک المواقیت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بل هو الأفضل، ومیقات</w:t>
      </w:r>
    </w:p>
    <w:p>
      <w:pPr>
        <w:pStyle w:val="BookText"/>
        <w:rPr/>
      </w:pPr>
      <w:r>
        <w:rPr>
          <w:rFonts w:ascii="Amiri" w:hAnsi="Amiri" w:eastAsia="Amiri" w:cs="Amiri"/>
          <w:color w:val="111111"/>
          <w:sz w:val="28"/>
          <w:sz w:val="28"/>
          <w:szCs w:val="28"/>
          <w:rtl w:val="true"/>
          <w:lang w:bidi="ar-SA"/>
        </w:rPr>
        <w:t>عمرتهما أدنی الحِلّ إذا کان فی مکّة</w:t>
      </w:r>
      <w:r>
        <w:rPr>
          <w:rStyle w:val="FootnoteAnchor"/>
          <w:rtl w:val="true"/>
        </w:rPr>
        <w:footnoteReference w:id="879"/>
      </w:r>
      <w:r>
        <w:rPr>
          <w:rFonts w:ascii="IRNazanin" w:hAnsi="IRNazanin" w:eastAsia="IRNazanin"/>
          <w:color w:val="111111"/>
          <w:sz w:val="28"/>
          <w:sz w:val="28"/>
          <w:szCs w:val="28"/>
          <w:rtl w:val="true"/>
          <w:lang w:bidi="fa-IR"/>
        </w:rPr>
        <w:t>، ویجوز من أحد المواقیت أیضاً، وإذا لم یکن فی مکّة فیتعیّن أحدها</w:t>
      </w:r>
      <w:r>
        <w:rPr>
          <w:rStyle w:val="FootnoteAnchor"/>
          <w:rtl w:val="true"/>
        </w:rPr>
        <w:footnoteReference w:id="8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یکن منزله دون المیقات إلی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منزله إذا کان أقرب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لم یکن منزله أقرب منها، وهنا تفصیل وصور، کعدم عبوره بالمیقات ولا بمحاذیه، أو کونه فی الحرم، أو کونه بعد المیقات وکان عبوره علی المحاذی، ویظهر حکمها بالتأمّل فی ما ذکرنا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منزله إن کان بین مکّة والمیقات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منزله دون المیقات أحرم من دویرة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منزله أقرب إلی مکّة المکرّمة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الحکم فی العمرة المفردة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المقصود المفردة بلا أن یتحقّق منه الحجّ، وإلاّ فعمرة القِران والإفراد عمرة مفردة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دون ضمیمته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غیر عمرة القِران والإفراد، وإلاّ فهما أیضاً مفردتان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 إطلاقها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مستحبّةً کانت أو واجبة، وإن نذر الإحرام من میقات معیّن تعیّن، والمجاور بمکّة بعد السنتین حاله حال 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فی السابع من المواقیت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المجاور بمکّة المکرّمة یُحرِم من الجِعرانة، من غیر تفصیلٍ بین مضیِّ سَنَتَین وعَدَمِه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وقبل ذلک حاله حال النائی، فإذا أراد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الإفراد أو القِران یکون میقاته أحد الخمسة أو محاذاتها</w:t>
      </w:r>
      <w:r>
        <w:rPr>
          <w:rStyle w:val="FootnoteAnchor"/>
          <w:rtl w:val="true"/>
        </w:rPr>
        <w:footnoteReference w:id="881"/>
      </w:r>
      <w:r>
        <w:rPr>
          <w:rFonts w:ascii="IRNazanin" w:hAnsi="IRNazanin" w:eastAsia="IRNazanin"/>
          <w:color w:val="111111"/>
          <w:sz w:val="28"/>
          <w:sz w:val="28"/>
          <w:szCs w:val="28"/>
          <w:rtl w:val="true"/>
          <w:lang w:bidi="fa-IR"/>
        </w:rPr>
        <w:t>، وإذا أراد العمرة المفردة جاز إحرامها من أدنی الحلّ</w:t>
      </w:r>
      <w:r>
        <w:rPr>
          <w:rFonts w:eastAsia="IRNazanin" w:cs="IRNazanin"/>
          <w:color w:val="111111"/>
          <w:sz w:val="28"/>
          <w:szCs w:val="28"/>
          <w:rtl w:val="true"/>
          <w:lang w:bidi="fa-IR"/>
        </w:rPr>
        <w:t>.</w:t>
      </w:r>
      <w:bookmarkStart w:id="442" w:name="pg13284_130739"/>
    </w:p>
    <w:p>
      <w:pPr>
        <w:pStyle w:val="Heading3"/>
        <w:numPr>
          <w:ilvl w:val="2"/>
          <w:numId w:val="1"/>
        </w:numPr>
        <w:rPr/>
      </w:pPr>
      <w:bookmarkStart w:id="443" w:name="__RefHeading___Toc2055823_2322387425"/>
      <w:bookmarkStart w:id="444" w:name="_Toc161"/>
      <w:bookmarkEnd w:id="442"/>
      <w:bookmarkEnd w:id="443"/>
      <w:r>
        <w:rPr>
          <w:rtl w:val="true"/>
        </w:rPr>
        <w:t>فصل</w:t>
      </w:r>
      <w:r>
        <w:rPr>
          <w:rtl w:val="true"/>
        </w:rPr>
        <w:t xml:space="preserve">: </w:t>
      </w:r>
      <w:r>
        <w:rPr>
          <w:rtl w:val="true"/>
        </w:rPr>
        <w:t>فی أحکام المواقیت</w:t>
      </w:r>
      <w:bookmarkEnd w:id="444"/>
    </w:p>
    <w:p>
      <w:pPr>
        <w:pStyle w:val="Heading4"/>
        <w:numPr>
          <w:ilvl w:val="3"/>
          <w:numId w:val="1"/>
        </w:numPr>
        <w:rPr/>
      </w:pPr>
      <w:bookmarkStart w:id="445" w:name="__RefHeading___Toc2055825_2322387425"/>
      <w:bookmarkStart w:id="446" w:name="_Toc162"/>
      <w:bookmarkEnd w:id="445"/>
      <w:r>
        <w:rPr>
          <w:rtl w:val="true"/>
        </w:rPr>
        <w:t xml:space="preserve">عدم جواز الإحرام قبل المیقات إلّا فی موردین </w:t>
      </w:r>
      <w:r>
        <w:rPr>
          <w:rtl w:val="true"/>
        </w:rPr>
        <w:t>:</w:t>
      </w:r>
      <w:bookmarkEnd w:id="4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الإحرام قبل المواقیت، ولا ینعقد، ولا یکفی المرور علیها مُحرِماً، بل لابدّ من إنشائه جدیداً</w:t>
      </w:r>
      <w:r>
        <w:rPr>
          <w:rStyle w:val="FootnoteAnchor"/>
          <w:rtl w:val="true"/>
        </w:rPr>
        <w:footnoteReference w:id="882"/>
      </w:r>
      <w:r>
        <w:rPr>
          <w:rFonts w:ascii="IRNazanin" w:hAnsi="IRNazanin" w:eastAsia="IRNazanin"/>
          <w:color w:val="111111"/>
          <w:sz w:val="28"/>
          <w:sz w:val="28"/>
          <w:szCs w:val="28"/>
          <w:rtl w:val="true"/>
          <w:lang w:bidi="fa-IR"/>
        </w:rPr>
        <w:t>، ففی خبر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وأنا متغیّر اللون،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أحرمت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موضع کذا و کذا، فقال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طَالِبِ خَیرٍ یزلّ 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أَیَسُرُّکَ إن صلّیتَ الظُهر فی السفر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واللّه‌ِ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موضعان</w:t>
      </w:r>
      <w:r>
        <w:rPr>
          <w:rFonts w:eastAsia="IRNazanin" w:cs="IRNazanin"/>
          <w:color w:val="111111"/>
          <w:sz w:val="28"/>
          <w:szCs w:val="28"/>
          <w:rtl w:val="true"/>
          <w:lang w:bidi="fa-IR"/>
        </w:rPr>
        <w:t>:</w:t>
      </w:r>
    </w:p>
    <w:p>
      <w:pPr>
        <w:pStyle w:val="Heading4"/>
        <w:numPr>
          <w:ilvl w:val="3"/>
          <w:numId w:val="1"/>
        </w:numPr>
        <w:rPr/>
      </w:pPr>
      <w:bookmarkStart w:id="447" w:name="__RefHeading___Toc2055827_2322387425"/>
      <w:bookmarkStart w:id="448" w:name="_Toc163"/>
      <w:bookmarkEnd w:id="447"/>
      <w:r>
        <w:rPr>
          <w:rtl w:val="true"/>
        </w:rPr>
        <w:t>الأوّل</w:t>
      </w:r>
      <w:r>
        <w:rPr>
          <w:rtl w:val="true"/>
        </w:rPr>
        <w:t xml:space="preserve">: </w:t>
      </w:r>
      <w:r>
        <w:rPr>
          <w:rtl w:val="true"/>
        </w:rPr>
        <w:t>نذر الإحرام قبل المیقات</w:t>
      </w:r>
      <w:bookmarkEnd w:id="448"/>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الإحرام قبل المیقات فإنّه یجوز ویصحّ؛ للنصوص،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عبداً أنعم اللّه تعالی علیه نعمةً، أو ابتلاه ببلیّةٍ فعافاهُ من تلک البلیّة، فجعل علی نفسه أن یُحرِم من خراسان کان علیه أن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یضرّ عدم رجحان ذلک، بل مرجوحیّته قبل النذر، مع أنّ اللازم کون </w:t>
      </w:r>
    </w:p>
    <w:p>
      <w:pPr>
        <w:pStyle w:val="BookText"/>
        <w:rPr/>
      </w:pPr>
      <w:r>
        <w:rPr>
          <w:rFonts w:ascii="IRNazanin" w:hAnsi="IRNazanin" w:eastAsia="IRNazanin"/>
          <w:color w:val="111111"/>
          <w:sz w:val="28"/>
          <w:sz w:val="28"/>
          <w:szCs w:val="28"/>
          <w:rtl w:val="true"/>
          <w:lang w:bidi="fa-IR"/>
        </w:rPr>
        <w:t>متعلّق النذر راجحاً؛ وذلک لاستکشاف</w:t>
      </w:r>
      <w:r>
        <w:rPr>
          <w:rStyle w:val="FootnoteAnchor"/>
          <w:rtl w:val="true"/>
        </w:rPr>
        <w:footnoteReference w:id="883"/>
      </w:r>
      <w:r>
        <w:rPr>
          <w:rFonts w:ascii="IRNazanin" w:hAnsi="IRNazanin" w:eastAsia="IRNazanin"/>
          <w:color w:val="111111"/>
          <w:sz w:val="28"/>
          <w:sz w:val="28"/>
          <w:szCs w:val="28"/>
          <w:rtl w:val="true"/>
          <w:lang w:bidi="fa-IR"/>
        </w:rPr>
        <w:t>رجحانه بشرط النذر</w:t>
      </w:r>
      <w:r>
        <w:rPr>
          <w:rStyle w:val="FootnoteAnchor"/>
          <w:rtl w:val="true"/>
        </w:rPr>
        <w:footnoteReference w:id="884"/>
      </w:r>
      <w:r>
        <w:rPr>
          <w:rFonts w:ascii="IRNazanin" w:hAnsi="IRNazanin" w:eastAsia="IRNazanin"/>
          <w:color w:val="111111"/>
          <w:sz w:val="28"/>
          <w:sz w:val="28"/>
          <w:szCs w:val="28"/>
          <w:rtl w:val="true"/>
          <w:lang w:bidi="fa-IR"/>
        </w:rPr>
        <w:t>من الأخبار، واللازم رجحانه حین العمل ولو کان ذلک للنذر</w:t>
      </w:r>
      <w:r>
        <w:rPr>
          <w:rStyle w:val="FootnoteAnchor"/>
          <w:rtl w:val="true"/>
        </w:rPr>
        <w:footnoteReference w:id="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ذلک محذور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لجهة ملازمة 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ونظیره مسألة الصوم فی السفر المرجوح أو المحرّم من حیث هو مع صحّته ورجحانه بالنذر، ولابدّ من دلیل یدلّ علی کونه راجحاً بشرط النذر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یرد أنّ لازم ذلک صحّة نذر کلّ مکروه أو محرّم، وفی المقامین المذکورَین الکاشف هو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النذر والعهد، أحادیث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فالقول بعدم الانعقاد ـ کما عن جماعة لما ذکر ـ لا وجه له؛ لوجود النصوص، وإمکان تطبیقها علی القاعدة، وفی إلحاق العهد والیمین</w:t>
      </w:r>
      <w:bookmarkStart w:id="449" w:name="pg13284_130741"/>
    </w:p>
    <w:p>
      <w:pPr>
        <w:pStyle w:val="BookText"/>
        <w:rPr/>
      </w:pPr>
      <w:bookmarkEnd w:id="449"/>
      <w:r>
        <w:rPr>
          <w:rFonts w:ascii="IRNazanin" w:hAnsi="IRNazanin" w:eastAsia="IRNazanin"/>
          <w:color w:val="111111"/>
          <w:sz w:val="28"/>
          <w:sz w:val="28"/>
          <w:szCs w:val="28"/>
          <w:rtl w:val="true"/>
          <w:lang w:bidi="fa-IR"/>
        </w:rPr>
        <w:t>بالنذر وعدمه وجوه،</w:t>
      </w:r>
    </w:p>
    <w:p>
      <w:pPr>
        <w:pStyle w:val="Heading4"/>
        <w:numPr>
          <w:ilvl w:val="3"/>
          <w:numId w:val="1"/>
        </w:numPr>
        <w:rPr/>
      </w:pPr>
      <w:bookmarkStart w:id="450" w:name="__RefHeading___Toc2055829_2322387425"/>
      <w:bookmarkStart w:id="451" w:name="_Toc164"/>
      <w:bookmarkEnd w:id="450"/>
      <w:r>
        <w:rPr>
          <w:rtl w:val="true"/>
        </w:rPr>
        <w:t>إلحاق العهد والیمین بالنذر</w:t>
      </w:r>
      <w:bookmarkEnd w:id="451"/>
    </w:p>
    <w:p>
      <w:pPr>
        <w:pStyle w:val="BookText"/>
        <w:rPr/>
      </w:pPr>
      <w:r>
        <w:rPr>
          <w:rFonts w:ascii="IRNazanin" w:hAnsi="IRNazanin" w:eastAsia="IRNazanin"/>
          <w:color w:val="111111"/>
          <w:sz w:val="28"/>
          <w:sz w:val="28"/>
          <w:szCs w:val="28"/>
          <w:rtl w:val="true"/>
          <w:lang w:bidi="fa-IR"/>
        </w:rPr>
        <w:t>ثالثها إلحاق العهد دون الیمین، ولا یبعد</w:t>
      </w:r>
      <w:r>
        <w:rPr>
          <w:rStyle w:val="FootnoteAnchor"/>
          <w:rtl w:val="true"/>
        </w:rPr>
        <w:footnoteReference w:id="886"/>
      </w:r>
      <w:r>
        <w:rPr>
          <w:rFonts w:ascii="Amiri" w:hAnsi="Amiri" w:eastAsia="Amiri" w:cs="Amiri"/>
          <w:color w:val="111111"/>
          <w:sz w:val="28"/>
          <w:sz w:val="28"/>
          <w:szCs w:val="28"/>
          <w:rtl w:val="true"/>
          <w:lang w:bidi="ar-SA"/>
        </w:rPr>
        <w:t>الأوّل</w:t>
      </w:r>
      <w:r>
        <w:rPr>
          <w:rStyle w:val="FootnoteAnchor"/>
          <w:rtl w:val="true"/>
        </w:rPr>
        <w:footnoteReference w:id="8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عدم الإلحاق، سیّما فی الیمین، والاقتصار علی النذر المنصوص، والمناط غیر منصوصٍ ولا منقّح، والمقام مقام التعبّد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خصوصاً فی 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الاستفادة من الأخبار،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صدرالدین الصدر،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أنّ المقام من قبیل الدوران بین المحذورَین؛ فإنّ الثانی وإن کان موافقاً للاحتیاط من جهةٍ لکنّه مخالفة له؛ من جهةِ مخالفة العهد والیمین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الإحرام من المکان المعهود علیه، أو المقسَم به رجاءً وتجدیده من المیقات، وأحوط منه ترک التعهّد والیمین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العمل بهما ثمّ التجدید فی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ولو حلف أو عاهد احتاط بالجمع بالإحرام من ذاک المکان، ومن المیقات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الحکم علی خلاف القاعدة</w:t>
      </w:r>
      <w:r>
        <w:rPr>
          <w:rFonts w:eastAsia="IRNazanin" w:cs="IRNazanin"/>
          <w:color w:val="111111"/>
          <w:sz w:val="28"/>
          <w:szCs w:val="28"/>
          <w:rtl w:val="true"/>
          <w:lang w:bidi="fa-IR"/>
        </w:rPr>
        <w:t>.</w:t>
      </w:r>
      <w:bookmarkStart w:id="452" w:name="pg13284_130742"/>
    </w:p>
    <w:p>
      <w:pPr>
        <w:pStyle w:val="Heading4"/>
        <w:numPr>
          <w:ilvl w:val="3"/>
          <w:numId w:val="1"/>
        </w:numPr>
        <w:rPr/>
      </w:pPr>
      <w:bookmarkStart w:id="453" w:name="__RefHeading___Toc2055831_2322387425"/>
      <w:bookmarkStart w:id="454" w:name="_Toc165"/>
      <w:bookmarkEnd w:id="452"/>
      <w:bookmarkEnd w:id="453"/>
      <w:r>
        <w:rPr>
          <w:rtl w:val="true"/>
        </w:rPr>
        <w:t>اعتبار تعیین المکان المنذور منه الإحرام</w:t>
      </w:r>
      <w:bookmarkEnd w:id="454"/>
    </w:p>
    <w:p>
      <w:pPr>
        <w:pStyle w:val="BookText"/>
        <w:rPr/>
      </w:pPr>
      <w:r>
        <w:rPr>
          <w:rFonts w:ascii="IRNazanin" w:hAnsi="IRNazanin" w:eastAsia="IRNazanin"/>
          <w:color w:val="111111"/>
          <w:sz w:val="28"/>
          <w:sz w:val="28"/>
          <w:szCs w:val="28"/>
          <w:rtl w:val="true"/>
          <w:lang w:bidi="fa-IR"/>
        </w:rPr>
        <w:t>هذا، ولا یلزم التجدید فی المیقات ولا المرور علیها، وإن کان الأحوط التجدید</w:t>
      </w:r>
      <w:r>
        <w:rPr>
          <w:rStyle w:val="FootnoteAnchor"/>
          <w:rtl w:val="true"/>
        </w:rPr>
        <w:footnoteReference w:id="888"/>
      </w:r>
      <w:r>
        <w:rPr>
          <w:rFonts w:ascii="IRNazanin" w:hAnsi="IRNazanin" w:eastAsia="IRNazanin"/>
          <w:color w:val="111111"/>
          <w:sz w:val="28"/>
          <w:sz w:val="28"/>
          <w:szCs w:val="28"/>
          <w:rtl w:val="true"/>
          <w:lang w:bidi="fa-IR"/>
        </w:rPr>
        <w:t>خروجاً عن شبهة الخلاف، والظاهر اعتبار تعیین المکان، فلا یصحّ</w:t>
      </w:r>
      <w:r>
        <w:rPr>
          <w:rStyle w:val="FootnoteAnchor"/>
          <w:rtl w:val="true"/>
        </w:rPr>
        <w:footnoteReference w:id="889"/>
      </w:r>
      <w:r>
        <w:rPr>
          <w:rFonts w:ascii="IRNazanin" w:hAnsi="IRNazanin" w:eastAsia="IRNazanin"/>
          <w:color w:val="111111"/>
          <w:sz w:val="28"/>
          <w:sz w:val="28"/>
          <w:szCs w:val="28"/>
          <w:rtl w:val="true"/>
          <w:lang w:bidi="fa-IR"/>
        </w:rPr>
        <w:t>نذر</w:t>
      </w:r>
      <w:r>
        <w:rPr>
          <w:rStyle w:val="FootnoteAnchor"/>
          <w:rtl w:val="true"/>
        </w:rPr>
        <w:footnoteReference w:id="890"/>
      </w:r>
      <w:r>
        <w:rPr>
          <w:rFonts w:ascii="IRNazanin" w:hAnsi="IRNazanin" w:eastAsia="IRNazanin"/>
          <w:color w:val="111111"/>
          <w:sz w:val="28"/>
          <w:sz w:val="28"/>
          <w:szCs w:val="28"/>
          <w:rtl w:val="true"/>
          <w:lang w:bidi="fa-IR"/>
        </w:rPr>
        <w:t>الإحرام</w:t>
      </w:r>
      <w:r>
        <w:rPr>
          <w:rStyle w:val="FootnoteAnchor"/>
          <w:rtl w:val="true"/>
        </w:rPr>
        <w:footnoteReference w:id="8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تبعد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المیقات مطلقاً، فیکون مخیّراً بین الأمکنة؛ لأ نّه القدر المتیقّن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عدم الإطلاق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بین المکانین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عَلَیَّ أن اُحرِم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الکوفة أو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کان الأحوط 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فرق بین کون الإحرام للحجّ الواجب أو المندوب أو للعمرة المفردة، نعم، لو کان للحجّ أو عمرة التمتّع یشترط أن یکون فی أشهر الحجّ؛ لاعتبار کون الإحرام لهما فیها، والنصوص</w:t>
      </w:r>
      <w:bookmarkStart w:id="455" w:name="pg13284_130743"/>
    </w:p>
    <w:p>
      <w:pPr>
        <w:pStyle w:val="BookText"/>
        <w:rPr/>
      </w:pPr>
      <w:bookmarkEnd w:id="455"/>
      <w:r>
        <w:rPr>
          <w:rFonts w:ascii="IRNazanin" w:hAnsi="IRNazanin" w:eastAsia="IRNazanin"/>
          <w:color w:val="111111"/>
          <w:sz w:val="28"/>
          <w:sz w:val="28"/>
          <w:szCs w:val="28"/>
          <w:rtl w:val="true"/>
          <w:lang w:bidi="fa-IR"/>
        </w:rPr>
        <w:t>إنّما جوّزت قبل الوقت المکانیّ فقط، ثمّ لو نذر وخالف نذره فلم یُحرِم من ذلک المکان نسیاناً أو عمداً</w:t>
      </w:r>
      <w:r>
        <w:rPr>
          <w:rStyle w:val="FootnoteAnchor"/>
          <w:rtl w:val="true"/>
        </w:rPr>
        <w:footnoteReference w:id="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فی صورة العمد، بل الأقوی البطلان، إلاّ إذا تعذّر الرجوع إلی محلّ النذر وکان فی سنَةٍ معیّنة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یبطل إحرامه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أحرم من المیقات، نعم، علیه الکفّارة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خالفه متعمّداً</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2055833_2322387425"/>
      <w:bookmarkStart w:id="457" w:name="_Toc166"/>
      <w:bookmarkEnd w:id="456"/>
      <w:r>
        <w:rPr>
          <w:rtl w:val="true"/>
        </w:rPr>
        <w:t>الثانی</w:t>
      </w:r>
      <w:r>
        <w:rPr>
          <w:rtl w:val="true"/>
        </w:rPr>
        <w:t xml:space="preserve">: </w:t>
      </w:r>
      <w:r>
        <w:rPr>
          <w:rtl w:val="true"/>
        </w:rPr>
        <w:t>تقدیم الإحرام لمن خاف فوت العمرة</w:t>
      </w:r>
      <w:bookmarkEnd w:id="457"/>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إدراک عمرة رجب، وخشی تَقَضّیه إن أخّرالإحرام إلی المیقات فإنّه یجوز له الإحرام قبل المیقات، وتُحسَب له عمرة رجب، وإن أتی ببقیّة الأعمال فی شعبان؛ لصحیحة إسحاق</w:t>
      </w:r>
      <w:r>
        <w:rPr>
          <w:rStyle w:val="FootnoteAnchor"/>
          <w:rtl w:val="true"/>
        </w:rPr>
        <w:footnoteReference w:id="893"/>
      </w:r>
      <w:r>
        <w:rPr>
          <w:rFonts w:ascii="Amiri" w:hAnsi="Amiri" w:eastAsia="Amiri" w:cs="Amiri"/>
          <w:color w:val="111111"/>
          <w:sz w:val="28"/>
          <w:sz w:val="28"/>
          <w:szCs w:val="28"/>
          <w:rtl w:val="true"/>
          <w:lang w:bidi="ar-SA"/>
        </w:rPr>
        <w:t>بن عمّار</w:t>
      </w:r>
      <w:r>
        <w:rPr>
          <w:rStyle w:val="FootnoteAnchor"/>
          <w:rtl w:val="true"/>
        </w:rPr>
        <w:footnoteReference w:id="8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موثّقة، ولیست بصحیحةٍ علی مصطلح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یجیء معتمِراً ینوی عمرة رجب، فیدخل علیه الهلال قبل أن یبلغ العقیق، أیُحرِم قبل الوقت ویجعلها لرجب، أو یوءخّر الإحرام إلی العقیق ویجعلها لشعبان؟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قبل الوقت لرجب؛ فإنّ لرجبٍ فضلاً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علیه‌السلام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ینبغی أن </w:t>
      </w:r>
    </w:p>
    <w:p>
      <w:pPr>
        <w:pStyle w:val="BookText"/>
        <w:rPr/>
      </w:pPr>
      <w:r>
        <w:rPr>
          <w:rFonts w:ascii="IRNazanin" w:hAnsi="IRNazanin" w:eastAsia="IRNazanin"/>
          <w:color w:val="111111"/>
          <w:sz w:val="28"/>
          <w:sz w:val="28"/>
          <w:szCs w:val="28"/>
          <w:rtl w:val="true"/>
          <w:lang w:bidi="fa-IR"/>
        </w:rPr>
        <w:t>یُحرِم دون الوقت الّذی وقّت رسولُ اللّه صلی‌الله‌علیه‌و‌آله ، إلاّ أن یخاف فوت الشهر فی العمرة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إطلاق الثانیة جواز ذلک لإدراک عمرة غیر رجب أیضاً؛ حیث إنّ لکلّ شهر عمرة، لکنّ الأصحاب خصّصوا ذلک</w:t>
      </w:r>
      <w:r>
        <w:rPr>
          <w:rStyle w:val="FootnoteAnchor"/>
          <w:rtl w:val="true"/>
        </w:rPr>
        <w:footnoteReference w:id="895"/>
      </w:r>
      <w:r>
        <w:rPr>
          <w:rFonts w:ascii="IRNazanin" w:hAnsi="IRNazanin" w:eastAsia="IRNazanin"/>
          <w:color w:val="111111"/>
          <w:sz w:val="28"/>
          <w:sz w:val="28"/>
          <w:szCs w:val="28"/>
          <w:rtl w:val="true"/>
          <w:lang w:bidi="fa-IR"/>
        </w:rPr>
        <w:t>برجب فهو الأحوط</w:t>
      </w:r>
      <w:r>
        <w:rPr>
          <w:rStyle w:val="FootnoteAnchor"/>
          <w:rtl w:val="true"/>
        </w:rPr>
        <w:footnoteReference w:id="8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إنّ الحکم علی خلاف القاعدة، والأولی والأحوط مع ذلک التجدید فی المیقات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أنّ الأحوط التأخیر إلی آخر الوقت، وإن کان الظاهر جواز الإحرام قبل الضیق إذا علم عدم الإدراک إذا أخّر إلی المیقات، بل هو الأولی؛ حیث إنّه یقع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یقع تمام أعمالها أو مقدار منها فی رجب، بخلاف ما إذا أخّر الإحرام، فالتعلیل المذکور فی المتن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أعمالها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زیادة هذه الجملة؛ لعدم مناسبتها مع المعلّل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 رجب، والظاهر عدم الفرق بین العمرة المندوبة والواجبة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نذر عمرة رجب، أو حلف أو عاهد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الواجبة بالأصل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هذا الحکم فیها تأمّل ونظر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بالنذر ونحوه</w:t>
      </w:r>
      <w:r>
        <w:rPr>
          <w:rFonts w:eastAsia="IRNazanin" w:cs="IRNazanin"/>
          <w:color w:val="111111"/>
          <w:sz w:val="28"/>
          <w:szCs w:val="28"/>
          <w:rtl w:val="true"/>
          <w:lang w:bidi="fa-IR"/>
        </w:rPr>
        <w:t>.</w:t>
      </w:r>
      <w:bookmarkStart w:id="458" w:name="pg13284_130745"/>
    </w:p>
    <w:p>
      <w:pPr>
        <w:pStyle w:val="Heading4"/>
        <w:numPr>
          <w:ilvl w:val="3"/>
          <w:numId w:val="1"/>
        </w:numPr>
        <w:rPr/>
      </w:pPr>
      <w:bookmarkStart w:id="459" w:name="__RefHeading___Toc2055835_2322387425"/>
      <w:bookmarkStart w:id="460" w:name="_Toc167"/>
      <w:bookmarkEnd w:id="458"/>
      <w:bookmarkEnd w:id="459"/>
      <w:r>
        <w:rPr>
          <w:rtl w:val="true"/>
        </w:rPr>
        <w:t>المنع عن تأخیر الإحرام عن المیقات</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تقدیم الإحرام علی المیقات کذلک لا یجوز التأخیر عنها، فلا یجوز لِمَن أراد الحجّ أو العمرة أو دخول مکّة أن یجاوز المیقات اختیاراً إلاّ مُحرِماً، بل الأحوط</w:t>
      </w:r>
      <w:r>
        <w:rPr>
          <w:rStyle w:val="FootnoteAnchor"/>
          <w:rtl w:val="true"/>
        </w:rPr>
        <w:footnoteReference w:id="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إذا کان یرید العبور من المیقات الأقرب؛ للنصّ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کفایة کلِّ میقاتٍ لِمَن یعبر عنه، وإن کان عابراً عن محاذاة میقات آخر، غایة الأمر إنّما أثِم فی ترکه الإحرام منه اختیاراً، بل هو الشأن فیما لو عبر عن المیقات ووصل إلی میقاتٍ آخر فی طریقه، فإنّ مقتضی إطلاق بعض الصحاح کفایة الإحرام منه، وإن عصی فی مروره من المیقات الأوّل بلا 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وقد تقدّم أنّ المحاذاة تختصّ بمسجد الشجرة، فراجع المیقات التاسع من فصل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المجاوزة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محاذاة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المیقات</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898"/>
      </w:r>
      <w:r>
        <w:rPr>
          <w:rFonts w:ascii="IRNazanin" w:hAnsi="IRNazanin" w:eastAsia="IRNazanin"/>
          <w:color w:val="111111"/>
          <w:sz w:val="28"/>
          <w:sz w:val="28"/>
          <w:szCs w:val="28"/>
          <w:rtl w:val="true"/>
          <w:lang w:bidi="fa-IR"/>
        </w:rPr>
        <w:t>إلاّ مُحرِماً، وإن کان أمامه میقات آخر، فلو لم یُحرِم منها وجب العود إلیها</w:t>
      </w:r>
      <w:r>
        <w:rPr>
          <w:rStyle w:val="FootnoteAnchor"/>
          <w:rtl w:val="true"/>
        </w:rPr>
        <w:footnoteReference w:id="8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الأقرب وجوب الرجوع إلی میقات بلاده وإن کان أمامه میقات آخر، فإن تعذّر عاد إلی المیقات الأوّل الّذی 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 إلاّ إذا کان أمامه میقات آخر فإنّه یُجزیه الإحرام منها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إن أثِم بترک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المیقات الأوّل، والأحوط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جمال‌الدین الگلپایگانی، الخمینی، الأراکی، 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بالعود، وإن کان یجزیه الإحرام منها إن لم یعد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لم یصل بعد إلی المیقات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مطلقاً، وإن کان أمامه میقات آخر، وأمّا إذا لم یُرِد</w:t>
      </w:r>
      <w:bookmarkStart w:id="461" w:name="pg13284_130747"/>
    </w:p>
    <w:p>
      <w:pPr>
        <w:pStyle w:val="BookText"/>
        <w:rPr/>
      </w:pPr>
      <w:bookmarkEnd w:id="461"/>
      <w:r>
        <w:rPr>
          <w:rFonts w:ascii="IRNazanin" w:hAnsi="IRNazanin" w:eastAsia="IRNazanin"/>
          <w:color w:val="111111"/>
          <w:sz w:val="28"/>
          <w:sz w:val="28"/>
          <w:szCs w:val="28"/>
          <w:rtl w:val="true"/>
          <w:lang w:bidi="fa-IR"/>
        </w:rPr>
        <w:t>النُسُکَ، ولا دخول مکّة بأن کان له شغل خارج مکّة ولو کان فی الحرم</w:t>
      </w:r>
      <w:r>
        <w:rPr>
          <w:rStyle w:val="FootnoteAnchor"/>
          <w:rtl w:val="true"/>
        </w:rPr>
        <w:footnoteReference w:id="900"/>
      </w:r>
      <w:r>
        <w:rPr>
          <w:rFonts w:ascii="IRNazanin" w:hAnsi="IRNazanin" w:eastAsia="IRNazanin"/>
          <w:color w:val="111111"/>
          <w:sz w:val="28"/>
          <w:sz w:val="28"/>
          <w:szCs w:val="28"/>
          <w:rtl w:val="true"/>
          <w:lang w:bidi="fa-IR"/>
        </w:rPr>
        <w:t>فلا یجب الإحرام</w:t>
      </w:r>
      <w:r>
        <w:rPr>
          <w:rStyle w:val="FootnoteAnchor"/>
          <w:rtl w:val="true"/>
        </w:rPr>
        <w:footnoteReference w:id="9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الأحوط الوجوب لِمُرید دخول الحرم، وإن لم یرد دخول مکّة، زادها اللّه شرفاً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فی بعض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وجوب الإحرام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المیقات إذا أراد دخول الحرم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لم یرد دخول مکّة، لکن قد یُدّعی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الإجماع علی عدم وجوبه، وإن کان یمکن استظهاره من بعض الکلمات</w:t>
      </w:r>
      <w:r>
        <w:rPr>
          <w:rFonts w:eastAsia="IRNazanin" w:cs="IRNazanin"/>
          <w:color w:val="111111"/>
          <w:sz w:val="28"/>
          <w:szCs w:val="28"/>
          <w:rtl w:val="true"/>
          <w:lang w:bidi="fa-IR"/>
        </w:rPr>
        <w:t>.</w:t>
      </w:r>
    </w:p>
    <w:p>
      <w:pPr>
        <w:pStyle w:val="Heading4"/>
        <w:numPr>
          <w:ilvl w:val="3"/>
          <w:numId w:val="1"/>
        </w:numPr>
        <w:rPr/>
      </w:pPr>
      <w:bookmarkStart w:id="462" w:name="__RefHeading___Toc2055837_2322387425"/>
      <w:bookmarkStart w:id="463" w:name="_Toc168"/>
      <w:bookmarkEnd w:id="462"/>
      <w:r>
        <w:rPr>
          <w:rtl w:val="true"/>
        </w:rPr>
        <w:t>ترک الإحرام من المیقات</w:t>
      </w:r>
      <w:bookmarkEnd w:id="46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أخّر الإحرام من المیقات عالماً عامداً ولم یتمکّن من العود إلیها لضیق الوقت أو لعذرٍ آخر، ولم یکن أمامه میقات آخر بطل إحرامه</w:t>
      </w:r>
      <w:r>
        <w:rPr>
          <w:rStyle w:val="FootnoteAnchor"/>
          <w:rtl w:val="true"/>
        </w:rPr>
        <w:footnoteReference w:id="902"/>
      </w:r>
      <w:r>
        <w:rPr>
          <w:rFonts w:ascii="Amiri" w:hAnsi="Amiri" w:eastAsia="Amiri" w:cs="Amiri"/>
          <w:color w:val="111111"/>
          <w:sz w:val="28"/>
          <w:sz w:val="28"/>
          <w:szCs w:val="28"/>
          <w:rtl w:val="true"/>
          <w:lang w:bidi="ar-SA"/>
        </w:rPr>
        <w:t>وحجّه</w:t>
      </w:r>
      <w:r>
        <w:rPr>
          <w:rStyle w:val="FootnoteAnchor"/>
          <w:rtl w:val="true"/>
        </w:rPr>
        <w:footnoteReference w:id="903"/>
      </w:r>
      <w:r>
        <w:rPr>
          <w:rFonts w:ascii="IRNazanin" w:hAnsi="IRNazanin" w:eastAsia="IRNazanin"/>
          <w:color w:val="111111"/>
          <w:sz w:val="28"/>
          <w:sz w:val="28"/>
          <w:szCs w:val="28"/>
          <w:rtl w:val="true"/>
          <w:lang w:bidi="fa-IR"/>
        </w:rPr>
        <w:t xml:space="preserve">علی المشهور </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904"/>
      </w:r>
      <w:r>
        <w:rPr>
          <w:rFonts w:ascii="IRNazanin" w:hAnsi="IRNazanin" w:eastAsia="IRNazanin"/>
          <w:color w:val="111111"/>
          <w:sz w:val="28"/>
          <w:sz w:val="28"/>
          <w:szCs w:val="28"/>
          <w:rtl w:val="true"/>
          <w:lang w:bidi="fa-IR"/>
        </w:rPr>
        <w:t>، ووجب علیه قضاوءه</w:t>
      </w:r>
      <w:r>
        <w:rPr>
          <w:rStyle w:val="FootnoteAnchor"/>
          <w:rtl w:val="true"/>
        </w:rPr>
        <w:footnoteReference w:id="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أدائه فی السنَةِ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بمعنی أدائه فی سَنَةٍ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أدائه فی السنَةِ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إتیانه فی سَنَةٍ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إعادته فی سَنَةٍ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الإتیان فی سَنَةٍ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مستطیعاً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لم یکن مستطیعاً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یجب، وإن أثم بترک الإحرام بالمرور علی المیقات، خصوصاً إذا لم یدخل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مکّة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لا قائل بوجوب القضاء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لم یدخل الحرم، حیث إنّ الظاهر عدم القائل بوجوبه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تحقّق الإثم حینئذٍ إشکال، نعم، لا ریب فی تحقّق التجرّی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بوجوبه علیه ولو لم یکن مستطیعاً؛ بدعوی وجوب ذلک علیه إذا </w:t>
      </w:r>
    </w:p>
    <w:p>
      <w:pPr>
        <w:pStyle w:val="BookText"/>
        <w:rPr/>
      </w:pPr>
      <w:r>
        <w:rPr>
          <w:rFonts w:ascii="IRNazanin" w:hAnsi="IRNazanin" w:eastAsia="IRNazanin"/>
          <w:color w:val="111111"/>
          <w:sz w:val="28"/>
          <w:sz w:val="28"/>
          <w:szCs w:val="28"/>
          <w:rtl w:val="true"/>
          <w:lang w:bidi="fa-IR"/>
        </w:rPr>
        <w:t>قصد مکّة، فمع ترکه یجب قضاوءه</w:t>
      </w:r>
      <w:r>
        <w:rPr>
          <w:rStyle w:val="FootnoteAnchor"/>
          <w:rtl w:val="true"/>
        </w:rPr>
        <w:footnoteReference w:id="906"/>
      </w:r>
      <w:r>
        <w:rPr>
          <w:rFonts w:ascii="IRNazanin" w:hAnsi="IRNazanin" w:eastAsia="IRNazanin"/>
          <w:color w:val="111111"/>
          <w:sz w:val="28"/>
          <w:sz w:val="28"/>
          <w:szCs w:val="28"/>
          <w:rtl w:val="true"/>
          <w:lang w:bidi="fa-IR"/>
        </w:rPr>
        <w:t>لا دلیل علیه، خصوصاً إذا لم یدخل مکّة؛ وذلک لأنّ الواجب علیه إنّما کان الإحرام لشرف البقعة</w:t>
      </w:r>
      <w:r>
        <w:rPr>
          <w:rStyle w:val="FootnoteAnchor"/>
          <w:rtl w:val="true"/>
        </w:rPr>
        <w:footnoteReference w:id="907"/>
      </w:r>
      <w:r>
        <w:rPr>
          <w:rFonts w:ascii="IRNazanin" w:hAnsi="IRNazanin" w:eastAsia="IRNazanin"/>
          <w:color w:val="111111"/>
          <w:sz w:val="28"/>
          <w:sz w:val="28"/>
          <w:szCs w:val="28"/>
          <w:rtl w:val="true"/>
          <w:lang w:bidi="fa-IR"/>
        </w:rPr>
        <w:t>، کصلاة التحیّة فی دخول المسجد فلا قضاء مع ترکه، مع أنّ وجوب الإحرام لذلک لا یوجب وجوب الحجّ علیه، وأیضاً إذا بدا له ولم یدخل مکّة کشف عن عدم الوجوب</w:t>
      </w:r>
      <w:r>
        <w:rPr>
          <w:rStyle w:val="FootnoteAnchor"/>
          <w:rtl w:val="true"/>
        </w:rPr>
        <w:footnoteReference w:id="908"/>
      </w:r>
      <w:r>
        <w:rPr>
          <w:rFonts w:ascii="Amiri" w:hAnsi="Amiri" w:eastAsia="Amiri" w:cs="Amiri"/>
          <w:color w:val="111111"/>
          <w:sz w:val="28"/>
          <w:sz w:val="28"/>
          <w:szCs w:val="28"/>
          <w:rtl w:val="true"/>
          <w:lang w:bidi="ar-SA"/>
        </w:rPr>
        <w:t>من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بعضهم</w:t>
      </w:r>
      <w:r>
        <w:rPr>
          <w:rStyle w:val="FootnoteAnchor"/>
          <w:rtl w:val="true"/>
        </w:rPr>
        <w:footnoteReference w:id="9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لیس ببعید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 نّه لو تعذّر علیه العود إلی المیقات أحرم من مکانه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کما فی الناسی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والجاهل، نظیر ما إذا ترک التوضّؤ إلی أن ضاق الوقت فإنّه یتیمّم وتصحّ صلاته، وإن أثم بترک الوضوء متعمّداً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البدلیّة</w:t>
      </w:r>
      <w:r>
        <w:rPr>
          <w:rStyle w:val="FootnoteAnchor"/>
          <w:rtl w:val="true"/>
        </w:rPr>
        <w:footnoteReference w:id="910"/>
      </w:r>
      <w:r>
        <w:rPr>
          <w:rFonts w:ascii="IRNazanin" w:hAnsi="IRNazanin" w:eastAsia="IRNazanin"/>
          <w:color w:val="111111"/>
          <w:sz w:val="28"/>
          <w:sz w:val="28"/>
          <w:szCs w:val="28"/>
          <w:rtl w:val="true"/>
          <w:lang w:bidi="fa-IR"/>
        </w:rPr>
        <w:t xml:space="preserve">فی المقام لم تثبت، بخلاف مسألة التیمّم، والمفروض </w:t>
      </w:r>
      <w:bookmarkStart w:id="464" w:name="pg13284_130750"/>
    </w:p>
    <w:p>
      <w:pPr>
        <w:pStyle w:val="BookText"/>
        <w:rPr/>
      </w:pPr>
      <w:bookmarkEnd w:id="464"/>
      <w:r>
        <w:rPr>
          <w:rFonts w:ascii="Amiri" w:hAnsi="Amiri" w:eastAsia="Amiri" w:cs="Amiri"/>
          <w:color w:val="111111"/>
          <w:sz w:val="28"/>
          <w:sz w:val="28"/>
          <w:szCs w:val="28"/>
          <w:rtl w:val="true"/>
          <w:lang w:bidi="ar-SA"/>
        </w:rPr>
        <w:t>أ نّه ترک ما وجب علیه متعمّداً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055839_2322387425"/>
      <w:bookmarkStart w:id="466" w:name="_Toc169"/>
      <w:bookmarkEnd w:id="465"/>
      <w:r>
        <w:rPr>
          <w:rtl w:val="true"/>
        </w:rPr>
        <w:t>ترک الإحرام للعمرة المفردة عن المیقات</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قاصداً من المیقات للعمرة المفردة وترک الإحرام لها متعمّداً یجوز له أن یُحرِم من أدنی الحِلّ</w:t>
      </w:r>
      <w:r>
        <w:rPr>
          <w:rStyle w:val="FootnoteAnchor"/>
          <w:rtl w:val="true"/>
        </w:rPr>
        <w:footnoteReference w:id="911"/>
      </w:r>
      <w:r>
        <w:rPr>
          <w:rFonts w:ascii="IRNazanin" w:hAnsi="IRNazanin" w:eastAsia="IRNazanin"/>
          <w:color w:val="111111"/>
          <w:sz w:val="28"/>
          <w:sz w:val="28"/>
          <w:szCs w:val="28"/>
          <w:rtl w:val="true"/>
          <w:lang w:bidi="fa-IR"/>
        </w:rPr>
        <w:t>، وإن کان متمکّناً من العود إلی المیقات فأدنی الحِلّ له مثل کون المیقات أمامه</w:t>
      </w:r>
      <w:r>
        <w:rPr>
          <w:rStyle w:val="FootnoteAnchor"/>
          <w:rtl w:val="true"/>
        </w:rPr>
        <w:footnoteReference w:id="912"/>
      </w:r>
      <w:r>
        <w:rPr>
          <w:rFonts w:ascii="IRNazanin" w:hAnsi="IRNazanin" w:eastAsia="IRNazanin"/>
          <w:color w:val="111111"/>
          <w:sz w:val="28"/>
          <w:sz w:val="28"/>
          <w:szCs w:val="28"/>
          <w:rtl w:val="true"/>
          <w:lang w:bidi="fa-IR"/>
        </w:rPr>
        <w:t>، وإن کان الأحوط</w:t>
      </w:r>
      <w:r>
        <w:rPr>
          <w:rStyle w:val="FootnoteAnchor"/>
          <w:rtl w:val="true"/>
        </w:rPr>
        <w:footnoteReference w:id="9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مع عدم إمکان العود، ففی صحّة إحرامه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لم یتمکّن من العود ولا الإحرام من أدنی الحِلّ بطلت عمرته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2055841_2322387425"/>
      <w:bookmarkStart w:id="468" w:name="_Toc170"/>
      <w:bookmarkEnd w:id="467"/>
      <w:r>
        <w:rPr>
          <w:rtl w:val="true"/>
        </w:rPr>
        <w:t>حکم من کان مریضاً لا یتمکّن من النزع ولبس الثوبین والمعذور عن إنشاء الإحرام</w:t>
      </w:r>
      <w:bookmarkEnd w:id="46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مریضاً ولم یتمکّن من النزع ولبس الثوبین یجزیه </w:t>
      </w:r>
    </w:p>
    <w:p>
      <w:pPr>
        <w:pStyle w:val="BookText"/>
        <w:rPr/>
      </w:pPr>
      <w:r>
        <w:rPr>
          <w:rFonts w:ascii="IRNazanin" w:hAnsi="IRNazanin" w:eastAsia="IRNazanin"/>
          <w:color w:val="111111"/>
          <w:sz w:val="28"/>
          <w:sz w:val="28"/>
          <w:szCs w:val="28"/>
          <w:rtl w:val="true"/>
          <w:lang w:bidi="fa-IR"/>
        </w:rPr>
        <w:t>النیّة والتلبیة</w:t>
      </w:r>
      <w:r>
        <w:rPr>
          <w:rStyle w:val="FootnoteAnchor"/>
          <w:rtl w:val="true"/>
        </w:rPr>
        <w:footnoteReference w:id="914"/>
      </w:r>
      <w:r>
        <w:rPr>
          <w:rFonts w:ascii="IRNazanin" w:hAnsi="IRNazanin" w:eastAsia="IRNazanin"/>
          <w:color w:val="111111"/>
          <w:sz w:val="28"/>
          <w:sz w:val="28"/>
          <w:szCs w:val="28"/>
          <w:rtl w:val="true"/>
          <w:lang w:bidi="fa-IR"/>
        </w:rPr>
        <w:t>، فإذا زال عُذره نزع ولبسهما</w:t>
      </w:r>
      <w:r>
        <w:rPr>
          <w:rStyle w:val="FootnoteAnchor"/>
          <w:rtl w:val="true"/>
        </w:rPr>
        <w:footnoteReference w:id="9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وجدّد التلبیة، والأحوط أن یجدّد النیّة والتلبیة فی أدنی الحِلّ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یجب حینئذٍ علیه العَود إلی المیقات، نعم، لو کان له عذر عن أصل إنشاء الإحرام لمرضٍ أو إغماء ثمّ زال وجب علیه 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المیقات إذا تمکّن، وإلاّ کان حکمه حکم الناسی فی الإحرام من مکانه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یتمکّن إلاّ منه، وإن تمکّن العود فی الجملة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خصوص الحائض فی خارج الحرم، ولایجب فی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بعضهم إلی أ نّه إذا کان مغمیً علیه ینوب عنه غیره؛ لِمُرسَل جمیل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مریض اُغمِیَ علیه فلم یَفِقْ حتّی أتی الموقِف،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عنه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469" w:name="pg13284_130752"/>
    </w:p>
    <w:p>
      <w:pPr>
        <w:pStyle w:val="BookText"/>
        <w:rPr/>
      </w:pPr>
      <w:bookmarkEnd w:id="469"/>
      <w:r>
        <w:rPr>
          <w:rFonts w:ascii="Amiri" w:hAnsi="Amiri" w:eastAsia="Amiri" w:cs="Amiri"/>
          <w:color w:val="111111"/>
          <w:sz w:val="28"/>
          <w:sz w:val="28"/>
          <w:szCs w:val="28"/>
          <w:rtl w:val="true"/>
          <w:lang w:bidi="ar-SA"/>
        </w:rPr>
        <w:t>والظاهر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یُحرِمه ویجنِّبه عن محرّمات الإحرام</w:t>
      </w:r>
      <w:r>
        <w:rPr>
          <w:rStyle w:val="FootnoteAnchor"/>
          <w:rtl w:val="true"/>
        </w:rPr>
        <w:footnoteReference w:id="916"/>
      </w:r>
      <w:r>
        <w:rPr>
          <w:rFonts w:ascii="IRNazanin" w:hAnsi="IRNazanin" w:eastAsia="IRNazanin"/>
          <w:color w:val="111111"/>
          <w:sz w:val="28"/>
          <w:sz w:val="28"/>
          <w:szCs w:val="28"/>
          <w:rtl w:val="true"/>
          <w:lang w:bidi="fa-IR"/>
        </w:rPr>
        <w:t>، لا أ نّه ینوب عنه فی الإحرام، ومقتضی هذا القول عدم وجوب العود إلی المیقات بعد إفاقته، وإن کان ممکناً، ولکنّ العمل به مشکل</w:t>
      </w:r>
      <w:r>
        <w:rPr>
          <w:rStyle w:val="FootnoteAnchor"/>
          <w:rtl w:val="true"/>
        </w:rPr>
        <w:footnoteReference w:id="9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رواه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المواقیت،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جمیل، عن بعض أصحابنا، وجمیل من أصحاب الإجماع، والظاهر أنّ هذا بضمیمة روایة ابن أبی عمیر عنه، وعمل جمیع من القدماء به یکفی فی الحجّیّة، ومع ذلک الأحوط رعایة ذلک بضمیمة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لإرسال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وعدم الجابر، فالأقوی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الإمکان، وعدم الاکتفاء به مع عدمه</w:t>
      </w:r>
      <w:r>
        <w:rPr>
          <w:rFonts w:eastAsia="IRNazanin" w:cs="IRNazanin"/>
          <w:color w:val="111111"/>
          <w:sz w:val="28"/>
          <w:szCs w:val="28"/>
          <w:rtl w:val="true"/>
          <w:lang w:bidi="fa-IR"/>
        </w:rPr>
        <w:t>.</w:t>
      </w:r>
    </w:p>
    <w:p>
      <w:pPr>
        <w:pStyle w:val="Heading4"/>
        <w:numPr>
          <w:ilvl w:val="3"/>
          <w:numId w:val="1"/>
        </w:numPr>
        <w:rPr/>
      </w:pPr>
      <w:bookmarkStart w:id="470" w:name="__RefHeading___Toc2055843_2322387425"/>
      <w:bookmarkStart w:id="471" w:name="_Toc171"/>
      <w:bookmarkEnd w:id="470"/>
      <w:r>
        <w:rPr>
          <w:rtl w:val="true"/>
        </w:rPr>
        <w:t>ترک الإحرام من المیقات ناسیاً أو جاهلاً</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الإحرام من المیقات ناسیاً، أو جاهلاً بالحکم أو الموضوع وجب العود إلیها</w:t>
      </w:r>
      <w:r>
        <w:rPr>
          <w:rStyle w:val="FootnoteAnchor"/>
          <w:rtl w:val="true"/>
        </w:rPr>
        <w:footnoteReference w:id="918"/>
      </w:r>
      <w:r>
        <w:rPr>
          <w:rFonts w:ascii="IRNazanin" w:hAnsi="IRNazanin" w:eastAsia="IRNazanin"/>
          <w:color w:val="111111"/>
          <w:sz w:val="28"/>
          <w:sz w:val="28"/>
          <w:szCs w:val="28"/>
          <w:rtl w:val="true"/>
          <w:lang w:bidi="fa-IR"/>
        </w:rPr>
        <w:t>مع الإمکان، ومع عدمه فإلی ما أمکن</w:t>
      </w:r>
      <w:r>
        <w:rPr>
          <w:rStyle w:val="FootnoteAnchor"/>
          <w:rtl w:val="true"/>
        </w:rPr>
        <w:footnoteReference w:id="9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المرأة الحائض الّتی ترکت الإحرام من أجل الجهل بالحکم، وفی غیرها مع عدم إمکان العود إلی المیقات، فالأظهر عدم وجوب ما أمکن، بل یجب الخروج من الحرم إن أمکن، وإلاّ یُحرِم من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w:t>
      </w:r>
      <w:bookmarkStart w:id="472" w:name="pg13284_130753"/>
    </w:p>
    <w:p>
      <w:pPr>
        <w:pStyle w:val="BookText"/>
        <w:rPr/>
      </w:pPr>
      <w:bookmarkEnd w:id="472"/>
      <w:r>
        <w:rPr>
          <w:rFonts w:ascii="IRNazanin" w:hAnsi="IRNazanin" w:eastAsia="IRNazanin"/>
          <w:color w:val="111111"/>
          <w:sz w:val="28"/>
          <w:sz w:val="28"/>
          <w:szCs w:val="28"/>
          <w:rtl w:val="true"/>
          <w:lang w:bidi="fa-IR"/>
        </w:rPr>
        <w:t>إذا کان أمامه میقات آخر</w:t>
      </w:r>
      <w:r>
        <w:rPr>
          <w:rStyle w:val="FootnoteAnchor"/>
          <w:rtl w:val="true"/>
        </w:rPr>
        <w:footnoteReference w:id="920"/>
      </w:r>
      <w:r>
        <w:rPr>
          <w:rFonts w:ascii="IRNazanin" w:hAnsi="IRNazanin" w:eastAsia="IRNazanin"/>
          <w:color w:val="111111"/>
          <w:sz w:val="28"/>
          <w:sz w:val="28"/>
          <w:szCs w:val="28"/>
          <w:rtl w:val="true"/>
          <w:lang w:bidi="fa-IR"/>
        </w:rPr>
        <w:t>، وکذا إذا جاوزها محلاًّ؛ لعدم کونه قاصداً للنسک</w:t>
      </w:r>
      <w:r>
        <w:rPr>
          <w:rStyle w:val="FootnoteAnchor"/>
          <w:rtl w:val="true"/>
        </w:rPr>
        <w:footnoteReference w:id="921"/>
      </w:r>
      <w:r>
        <w:rPr>
          <w:rFonts w:ascii="IRNazanin" w:hAnsi="IRNazanin" w:eastAsia="IRNazanin"/>
          <w:color w:val="111111"/>
          <w:sz w:val="28"/>
          <w:sz w:val="28"/>
          <w:szCs w:val="28"/>
          <w:rtl w:val="true"/>
          <w:lang w:bidi="fa-IR"/>
        </w:rPr>
        <w:t>، ولا لدخول مکّة، ثمّ بدا له ذلک فإنّه یرجع إلی المیقات مع التمکّن، وإلی ما أمکن</w:t>
      </w:r>
      <w:r>
        <w:rPr>
          <w:rStyle w:val="FootnoteAnchor"/>
          <w:rtl w:val="true"/>
        </w:rPr>
        <w:footnoteReference w:id="922"/>
      </w:r>
      <w:r>
        <w:rPr>
          <w:rFonts w:ascii="IRNazanin" w:hAnsi="IRNazanin" w:eastAsia="IRNazanin"/>
          <w:color w:val="111111"/>
          <w:sz w:val="28"/>
          <w:sz w:val="28"/>
          <w:szCs w:val="28"/>
          <w:rtl w:val="true"/>
          <w:lang w:bidi="fa-IR"/>
        </w:rPr>
        <w:t>مع عدمه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2055845_2322387425"/>
      <w:bookmarkStart w:id="474" w:name="_Toc172"/>
      <w:bookmarkEnd w:id="473"/>
      <w:r>
        <w:rPr>
          <w:rtl w:val="true"/>
        </w:rPr>
        <w:t>حکم المقیم بمکّة لو أراد حجّ التمتّع</w:t>
      </w:r>
      <w:bookmarkEnd w:id="4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مقیماً فی مکّة</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أهل الآفاق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حجّ التمتّع وجب علیه الإحرام لعمرته من المیقات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الحکم فیه فی المسألة الرابعة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أقسام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الأحوط الإحرام من مُهَلّ أرضه، وإن لم یُمکِن فَمِن أحد المواقیت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bookmarkStart w:id="475" w:name="pg13284_130754"/>
    </w:p>
    <w:p>
      <w:pPr>
        <w:pStyle w:val="BookText"/>
        <w:rPr/>
      </w:pPr>
      <w:bookmarkEnd w:id="475"/>
      <w:r>
        <w:rPr>
          <w:rFonts w:ascii="Amiri" w:hAnsi="Amiri" w:eastAsia="Amiri" w:cs="Amiri"/>
          <w:color w:val="111111"/>
          <w:sz w:val="28"/>
          <w:sz w:val="28"/>
          <w:szCs w:val="28"/>
          <w:rtl w:val="true"/>
          <w:lang w:bidi="ar-SA"/>
        </w:rPr>
        <w:t>إذا تمکّن</w:t>
      </w:r>
      <w:r>
        <w:rPr>
          <w:rStyle w:val="FootnoteAnchor"/>
          <w:rtl w:val="true"/>
        </w:rPr>
        <w:footnoteReference w:id="925"/>
      </w:r>
      <w:r>
        <w:rPr>
          <w:rFonts w:ascii="IRNazanin" w:hAnsi="IRNazanin" w:eastAsia="IRNazanin"/>
          <w:color w:val="111111"/>
          <w:sz w:val="28"/>
          <w:sz w:val="28"/>
          <w:szCs w:val="28"/>
          <w:rtl w:val="true"/>
          <w:lang w:bidi="fa-IR"/>
        </w:rPr>
        <w:t>، وإلاّ فحاله حال الناسی</w:t>
      </w:r>
      <w:r>
        <w:rPr>
          <w:rFonts w:eastAsia="IRNazanin" w:cs="IRNazanin"/>
          <w:color w:val="111111"/>
          <w:sz w:val="28"/>
          <w:szCs w:val="28"/>
          <w:rtl w:val="true"/>
          <w:lang w:bidi="fa-IR"/>
        </w:rPr>
        <w:t>.</w:t>
      </w:r>
    </w:p>
    <w:p>
      <w:pPr>
        <w:pStyle w:val="Heading4"/>
        <w:numPr>
          <w:ilvl w:val="3"/>
          <w:numId w:val="1"/>
        </w:numPr>
        <w:rPr/>
      </w:pPr>
      <w:bookmarkStart w:id="476" w:name="__RefHeading___Toc2055847_2322387425"/>
      <w:bookmarkStart w:id="477" w:name="_Toc173"/>
      <w:bookmarkEnd w:id="476"/>
      <w:r>
        <w:rPr>
          <w:rtl w:val="true"/>
        </w:rPr>
        <w:t>نسیان المتمتّع الإحرام للحجّ من مکّة</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المتمتِّع الإحرام للحجّ بمکّة ثمّ ذکر وجب علیه العود مع</w:t>
      </w:r>
      <w:r>
        <w:rPr>
          <w:rStyle w:val="FootnoteAnchor"/>
          <w:rtl w:val="true"/>
        </w:rPr>
        <w:footnoteReference w:id="926"/>
      </w:r>
      <w:r>
        <w:rPr>
          <w:rFonts w:ascii="IRNazanin" w:hAnsi="IRNazanin" w:eastAsia="IRNazanin"/>
          <w:color w:val="111111"/>
          <w:sz w:val="28"/>
          <w:sz w:val="28"/>
          <w:szCs w:val="28"/>
          <w:rtl w:val="true"/>
          <w:lang w:bidi="fa-IR"/>
        </w:rPr>
        <w:t>الإمکان، وإلاّ ففی مکانه، ولو کان فی عرفاتٍ</w:t>
      </w:r>
      <w:r>
        <w:rPr>
          <w:rStyle w:val="FootnoteAnchor"/>
          <w:rtl w:val="true"/>
        </w:rPr>
        <w:footnoteReference w:id="927"/>
      </w:r>
      <w:r>
        <w:rPr>
          <w:rFonts w:ascii="IRNazanin" w:hAnsi="IRNazanin" w:eastAsia="IRNazanin"/>
          <w:color w:val="111111"/>
          <w:sz w:val="28"/>
          <w:sz w:val="28"/>
          <w:szCs w:val="28"/>
          <w:rtl w:val="true"/>
          <w:lang w:bidi="fa-IR"/>
        </w:rPr>
        <w:t>بل المشعر</w:t>
      </w:r>
      <w:r>
        <w:rPr>
          <w:rStyle w:val="FootnoteAnchor"/>
          <w:rtl w:val="true"/>
        </w:rPr>
        <w:footnoteReference w:id="928"/>
      </w:r>
      <w:r>
        <w:rPr>
          <w:rFonts w:ascii="Amiri" w:hAnsi="Amiri" w:eastAsia="Amiri" w:cs="Amiri"/>
          <w:color w:val="111111"/>
          <w:sz w:val="28"/>
          <w:sz w:val="28"/>
          <w:szCs w:val="28"/>
          <w:rtl w:val="true"/>
          <w:lang w:bidi="ar-SA"/>
        </w:rPr>
        <w:t>، وصحّ حجّه</w:t>
      </w:r>
      <w:r>
        <w:rPr>
          <w:rStyle w:val="FootnoteAnchor"/>
          <w:rtl w:val="true"/>
        </w:rPr>
        <w:footnoteReference w:id="929"/>
      </w:r>
      <w:r>
        <w:rPr>
          <w:rFonts w:ascii="IRNazanin" w:hAnsi="IRNazanin" w:eastAsia="IRNazanin"/>
          <w:color w:val="111111"/>
          <w:sz w:val="28"/>
          <w:sz w:val="28"/>
          <w:szCs w:val="28"/>
          <w:rtl w:val="true"/>
          <w:lang w:bidi="fa-IR"/>
        </w:rPr>
        <w:t>، وکذا لو کان جاهلاً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اُحرِم له من غیر مکّة مع العلم والعمد لم یصحّ وإن دخل مکّة بإحرامه، بل وجب علیه الاستئناف مع الإمکان، وإلاّ بطل حجّه، نعم، لو أحرم من غیرها نسیاناً ولم یتمکّن من العود إلیها صحّ إحرامه من مکانه</w:t>
      </w:r>
      <w:r>
        <w:rPr>
          <w:rStyle w:val="FootnoteAnchor"/>
          <w:rtl w:val="true"/>
        </w:rPr>
        <w:footnoteReference w:id="9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مکان تذکّره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Heading4"/>
        <w:numPr>
          <w:ilvl w:val="3"/>
          <w:numId w:val="1"/>
        </w:numPr>
        <w:rPr/>
      </w:pPr>
      <w:bookmarkStart w:id="478" w:name="__RefHeading___Toc2055849_2322387425"/>
      <w:bookmarkStart w:id="479" w:name="_Toc174"/>
      <w:bookmarkEnd w:id="478"/>
      <w:r>
        <w:rPr>
          <w:rtl w:val="true"/>
        </w:rPr>
        <w:t>من ترک الإحرام نسیاناً أو جهلاً وتذکّر بعد الفراغ من المناسک</w:t>
      </w:r>
      <w:bookmarkEnd w:id="47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الإحرام ولم یذکر حتّی أتی بجمیع الأعمال من الحجّ أو العمرة</w:t>
      </w:r>
      <w:r>
        <w:rPr>
          <w:rStyle w:val="FootnoteAnchor"/>
          <w:rtl w:val="true"/>
        </w:rPr>
        <w:footnoteReference w:id="931"/>
      </w:r>
      <w:r>
        <w:rPr>
          <w:rFonts w:ascii="IRNazanin" w:hAnsi="IRNazanin" w:eastAsia="IRNazanin"/>
          <w:color w:val="111111"/>
          <w:sz w:val="28"/>
          <w:sz w:val="28"/>
          <w:szCs w:val="28"/>
          <w:rtl w:val="true"/>
          <w:lang w:bidi="fa-IR"/>
        </w:rPr>
        <w:t xml:space="preserve">فالأقوی صحّة </w:t>
      </w:r>
    </w:p>
    <w:p>
      <w:pPr>
        <w:pStyle w:val="BookText"/>
        <w:rPr/>
      </w:pPr>
      <w:r>
        <w:rPr>
          <w:rFonts w:ascii="IRNazanin" w:hAnsi="IRNazanin" w:eastAsia="IRNazanin"/>
          <w:color w:val="111111"/>
          <w:sz w:val="28"/>
          <w:sz w:val="28"/>
          <w:szCs w:val="28"/>
          <w:rtl w:val="true"/>
          <w:lang w:bidi="fa-IR"/>
        </w:rPr>
        <w:t>عمله</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العمرة المفردة الواجبة عدم الاکتفاء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العمرة المفردة الواجبة بإتیانها مع تذکّره وهو فی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مطلقاً مبنیّ علی انجبار ضعف المرسلة الّتی هی مستند المشهور بعملهم، وتعمیم الحکم بالنسبة إلی إحرام الحجّ والعمرة حتّی المفردة الواجبة، وفیه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الحکم بالصحّة فی العمرة المفردة، واجبةً کانت أو مندوبة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إطلاقها بالنسبة إلی العمرة المفردة الّتی یمکنه استئنافها محلّ 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ترکه جهلاً حتّی أتی بالجمیع</w:t>
      </w:r>
      <w:r>
        <w:rPr>
          <w:rFonts w:eastAsia="IRNazanin" w:cs="IRNazanin"/>
          <w:color w:val="111111"/>
          <w:sz w:val="28"/>
          <w:szCs w:val="28"/>
          <w:rtl w:val="true"/>
          <w:lang w:bidi="fa-IR"/>
        </w:rPr>
        <w:t>.</w:t>
      </w:r>
      <w:bookmarkStart w:id="480" w:name="pg13284_130756"/>
    </w:p>
    <w:p>
      <w:pPr>
        <w:pStyle w:val="Heading3"/>
        <w:numPr>
          <w:ilvl w:val="2"/>
          <w:numId w:val="1"/>
        </w:numPr>
        <w:rPr/>
      </w:pPr>
      <w:bookmarkStart w:id="481" w:name="__RefHeading___Toc2055851_2322387425"/>
      <w:bookmarkStart w:id="482" w:name="_Toc175"/>
      <w:bookmarkEnd w:id="480"/>
      <w:bookmarkEnd w:id="481"/>
      <w:r>
        <w:rPr>
          <w:rtl w:val="true"/>
        </w:rPr>
        <w:t>فصل</w:t>
      </w:r>
      <w:r>
        <w:rPr>
          <w:rtl w:val="true"/>
        </w:rPr>
        <w:t xml:space="preserve">: </w:t>
      </w:r>
      <w:r>
        <w:rPr>
          <w:rtl w:val="true"/>
        </w:rPr>
        <w:t>فی مقدّمات الإحرام</w:t>
      </w:r>
      <w:bookmarkEnd w:id="482"/>
    </w:p>
    <w:p>
      <w:pPr>
        <w:pStyle w:val="Heading4"/>
        <w:numPr>
          <w:ilvl w:val="3"/>
          <w:numId w:val="1"/>
        </w:numPr>
        <w:rPr/>
      </w:pPr>
      <w:bookmarkStart w:id="483" w:name="__RefHeading___Toc2055853_2322387425"/>
      <w:bookmarkStart w:id="484" w:name="_Toc176"/>
      <w:bookmarkEnd w:id="483"/>
      <w:r>
        <w:rPr>
          <w:rtl w:val="true"/>
        </w:rPr>
        <w:t>مستحبّات الشروع فی الأعمال</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قبل الشروع فی الإحرام اُمور</w:t>
      </w:r>
      <w:r>
        <w:rPr>
          <w:rFonts w:eastAsia="IRNazanin" w:cs="IRNazanin"/>
          <w:color w:val="111111"/>
          <w:sz w:val="28"/>
          <w:szCs w:val="28"/>
          <w:rtl w:val="true"/>
          <w:lang w:bidi="fa-IR"/>
        </w:rPr>
        <w:t>:</w:t>
      </w:r>
    </w:p>
    <w:p>
      <w:pPr>
        <w:pStyle w:val="Heading4"/>
        <w:numPr>
          <w:ilvl w:val="3"/>
          <w:numId w:val="1"/>
        </w:numPr>
        <w:rPr/>
      </w:pPr>
      <w:bookmarkStart w:id="485" w:name="__RefHeading___Toc2055855_2322387425"/>
      <w:bookmarkStart w:id="486" w:name="_Toc177"/>
      <w:bookmarkEnd w:id="485"/>
      <w:r>
        <w:rPr>
          <w:rtl w:val="true"/>
        </w:rPr>
        <w:t>الأوّل</w:t>
      </w:r>
      <w:r>
        <w:rPr>
          <w:rtl w:val="true"/>
        </w:rPr>
        <w:t xml:space="preserve">: </w:t>
      </w:r>
      <w:r>
        <w:rPr>
          <w:rtl w:val="true"/>
        </w:rPr>
        <w:t>توفیر الشعر</w:t>
      </w:r>
      <w:bookmarkEnd w:id="486"/>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توفیر شعر الرأس، بل واللحیة لإحرام الحجّ مطلقاً، لاخصوص التمتّع کما یظهر من بعضهم؛ لإطلاق الأخبار من أوّل ذی القعدة</w:t>
      </w:r>
      <w:r>
        <w:rPr>
          <w:rStyle w:val="FootnoteAnchor"/>
          <w:rtl w:val="true"/>
        </w:rPr>
        <w:footnoteReference w:id="9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مراتب الاستحباب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مضت عشرة أیّامٍ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عدم إزالة شعرهما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وهی وإن کانت ظاهرةً فی الوجوب إلاّ أ نّها محمولة علی الاستحباب لجملةٍ اُخری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ظاهرةٍ فیه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بالوجوب کما هو ظاهر جماعة ضعیف، وإن کان لا ینبغی ترک </w:t>
      </w:r>
      <w:bookmarkStart w:id="487" w:name="pg13284_130757"/>
    </w:p>
    <w:p>
      <w:pPr>
        <w:pStyle w:val="BookText"/>
        <w:rPr/>
      </w:pPr>
      <w:bookmarkEnd w:id="487"/>
      <w:r>
        <w:rPr>
          <w:rFonts w:ascii="IRNazanin" w:hAnsi="IRNazanin" w:eastAsia="IRNazanin"/>
          <w:color w:val="111111"/>
          <w:sz w:val="28"/>
          <w:sz w:val="28"/>
          <w:szCs w:val="28"/>
          <w:rtl w:val="true"/>
          <w:lang w:bidi="fa-IR"/>
        </w:rPr>
        <w:t>الاحتیاط</w:t>
      </w:r>
      <w:r>
        <w:rPr>
          <w:rStyle w:val="FootnoteAnchor"/>
          <w:rtl w:val="true"/>
        </w:rPr>
        <w:footnoteReference w:id="934"/>
      </w:r>
      <w:r>
        <w:rPr>
          <w:rFonts w:ascii="IRNazanin" w:hAnsi="IRNazanin" w:eastAsia="IRNazanin"/>
          <w:color w:val="111111"/>
          <w:sz w:val="28"/>
          <w:sz w:val="28"/>
          <w:szCs w:val="28"/>
          <w:rtl w:val="true"/>
          <w:lang w:bidi="fa-IR"/>
        </w:rPr>
        <w:t>، کما لا ینبغی ترک الاحتیاط بإهراقِ دمٍ لوأزال شعر رأسه بالحلق؛ حیث یظهر من بعضهم وجوبه أیضاً؛ لخبرٍ محمولٍ علی الاستحباب</w:t>
      </w:r>
      <w:r>
        <w:rPr>
          <w:rStyle w:val="FootnoteAnchor"/>
          <w:rtl w:val="true"/>
        </w:rPr>
        <w:footnoteReference w:id="935"/>
      </w:r>
      <w:r>
        <w:rPr>
          <w:rFonts w:ascii="IRNazanin" w:hAnsi="IRNazanin" w:eastAsia="IRNazanin"/>
          <w:color w:val="111111"/>
          <w:sz w:val="28"/>
          <w:sz w:val="28"/>
          <w:szCs w:val="28"/>
          <w:rtl w:val="true"/>
          <w:lang w:bidi="fa-IR"/>
        </w:rPr>
        <w:t>، أو علی ما إذا کان فی حال الإحرام، ویستحبّ التوفیر للعمرة شهراً</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2055857_2322387425"/>
      <w:bookmarkStart w:id="489" w:name="_Toc178"/>
      <w:bookmarkEnd w:id="488"/>
      <w:r>
        <w:rPr>
          <w:rtl w:val="true"/>
        </w:rPr>
        <w:t>الثانی</w:t>
      </w:r>
      <w:r>
        <w:rPr>
          <w:rtl w:val="true"/>
        </w:rPr>
        <w:t xml:space="preserve">: </w:t>
      </w:r>
      <w:r>
        <w:rPr>
          <w:rtl w:val="true"/>
        </w:rPr>
        <w:t>قصّ الأظفار والأخذ من الشارب ونحو ذلک</w:t>
      </w:r>
      <w:bookmarkEnd w:id="48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الأظفار، والأخذ من الشارب، وإزالة شعر الإبط والعانة بالطَلِی أو الحلق أو النتف، والأفضل الأوّل، ثمّ الثانی</w:t>
      </w:r>
      <w:r>
        <w:rPr>
          <w:rStyle w:val="FootnoteAnchor"/>
          <w:rtl w:val="true"/>
        </w:rPr>
        <w:footnoteReference w:id="937"/>
      </w:r>
      <w:r>
        <w:rPr>
          <w:rFonts w:ascii="IRNazanin" w:hAnsi="IRNazanin" w:eastAsia="IRNazanin"/>
          <w:color w:val="111111"/>
          <w:sz w:val="28"/>
          <w:sz w:val="28"/>
          <w:szCs w:val="28"/>
          <w:rtl w:val="true"/>
          <w:lang w:bidi="fa-IR"/>
        </w:rPr>
        <w:t>، ولو کان مطلیّاً قبله یستحبّ له الإعادة وإن لم یمضِ خمسة عشر یوماً</w:t>
      </w:r>
      <w:r>
        <w:rPr>
          <w:rStyle w:val="FootnoteAnchor"/>
          <w:rtl w:val="true"/>
        </w:rPr>
        <w:footnoteReference w:id="938"/>
      </w:r>
      <w:r>
        <w:rPr>
          <w:rFonts w:ascii="IRNazanin" w:hAnsi="IRNazanin" w:eastAsia="IRNazanin"/>
          <w:color w:val="111111"/>
          <w:sz w:val="28"/>
          <w:sz w:val="28"/>
          <w:szCs w:val="28"/>
          <w:rtl w:val="true"/>
          <w:lang w:bidi="fa-IR"/>
        </w:rPr>
        <w:t>، ویُستحبّ أیضاً إزالة الأوساخ من الجسد؛ لفحوی ما دلّ علی المذکورات، وکذا یستحبّ الاستیاک</w:t>
      </w:r>
      <w:r>
        <w:rPr>
          <w:rFonts w:eastAsia="IRNazanin" w:cs="IRNazanin"/>
          <w:color w:val="111111"/>
          <w:sz w:val="28"/>
          <w:szCs w:val="28"/>
          <w:rtl w:val="true"/>
          <w:lang w:bidi="fa-IR"/>
        </w:rPr>
        <w:t>.</w:t>
      </w:r>
    </w:p>
    <w:p>
      <w:pPr>
        <w:pStyle w:val="Heading4"/>
        <w:numPr>
          <w:ilvl w:val="3"/>
          <w:numId w:val="1"/>
        </w:numPr>
        <w:rPr/>
      </w:pPr>
      <w:bookmarkStart w:id="490" w:name="__RefHeading___Toc2055859_2322387425"/>
      <w:bookmarkStart w:id="491" w:name="_Toc179"/>
      <w:bookmarkEnd w:id="490"/>
      <w:r>
        <w:rPr>
          <w:rtl w:val="true"/>
        </w:rPr>
        <w:t>الثالث</w:t>
      </w:r>
      <w:r>
        <w:rPr>
          <w:rtl w:val="true"/>
        </w:rPr>
        <w:t xml:space="preserve">: </w:t>
      </w:r>
      <w:r>
        <w:rPr>
          <w:rtl w:val="true"/>
        </w:rPr>
        <w:t>الغسل أو بدله للإحرام فی المیقات وحکم تقدیمه علیه</w:t>
      </w:r>
      <w:bookmarkEnd w:id="49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Style w:val="FootnoteAnchor"/>
          <w:rtl w:val="true"/>
        </w:rPr>
        <w:footnoteReference w:id="9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العذر عنه</w:t>
      </w:r>
    </w:p>
    <w:p>
      <w:pPr>
        <w:pStyle w:val="BookText"/>
        <w:rPr/>
      </w:pPr>
      <w:r>
        <w:rPr>
          <w:rFonts w:ascii="Amiri" w:hAnsi="Amiri" w:eastAsia="Amiri" w:cs="Amiri"/>
          <w:color w:val="111111"/>
          <w:sz w:val="28"/>
          <w:sz w:val="28"/>
          <w:szCs w:val="28"/>
          <w:rtl w:val="true"/>
          <w:lang w:bidi="ar-SA"/>
        </w:rPr>
        <w:t>التیمّم</w:t>
      </w:r>
      <w:r>
        <w:rPr>
          <w:rStyle w:val="FootnoteAnchor"/>
          <w:rtl w:val="true"/>
        </w:rPr>
        <w:footnoteReference w:id="9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إتیانه رجاءً، والغسل عند التمکّن وإعادة صورة الإحرام، کما لو أحرم بغیر 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الإتیان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یؤتی به برجاء المطلوبیّة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یأتی بالتیمّم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تقدیمه علی المیقات مع خوف إعواز الماء، بل الأقوی جوازه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عدم الخوف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الإطلاق لا یخلو عن شوب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ولا بأس أن یأتی به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والأحوط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المیقات، ویکفی الغُسل من أوّل النهار إلی اللیل، ومن أوّل اللیل إلی النهار، بل الأقوی کفایة غُسل الیوم إلی آخر اللیل، وبالعکس، وإذا أحدث بعدها قبل الإحرام یستحبّ 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خصوصاً فی النوم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رحمه‌الله فی الأغسال المندوبة استظهار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الأولی إعادته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الإعادة رجاءً فی سائر التروک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أکل أو لبس ما لا یجوز أکله أو لبسه للمُحرِم، بل وکذا لو تطیّب، بل الأولی ذلک فی</w:t>
      </w:r>
      <w:bookmarkStart w:id="492" w:name="pg13284_130759"/>
    </w:p>
    <w:p>
      <w:pPr>
        <w:pStyle w:val="BookText"/>
        <w:rPr/>
      </w:pPr>
      <w:bookmarkEnd w:id="492"/>
      <w:r>
        <w:rPr>
          <w:rFonts w:ascii="IRNazanin" w:hAnsi="IRNazanin" w:eastAsia="IRNazanin"/>
          <w:color w:val="111111"/>
          <w:sz w:val="28"/>
          <w:sz w:val="28"/>
          <w:szCs w:val="28"/>
          <w:rtl w:val="true"/>
          <w:lang w:bidi="fa-IR"/>
        </w:rPr>
        <w:t>جمیع تروک الإحرام</w:t>
      </w:r>
      <w:r>
        <w:rPr>
          <w:rStyle w:val="FootnoteAnchor"/>
          <w:rtl w:val="true"/>
        </w:rPr>
        <w:footnoteReference w:id="941"/>
      </w:r>
      <w:r>
        <w:rPr>
          <w:rFonts w:ascii="IRNazanin" w:hAnsi="IRNazanin" w:eastAsia="IRNazanin"/>
          <w:color w:val="111111"/>
          <w:sz w:val="28"/>
          <w:sz w:val="28"/>
          <w:szCs w:val="28"/>
          <w:rtl w:val="true"/>
          <w:lang w:bidi="fa-IR"/>
        </w:rPr>
        <w:t>، فلو أتی بواحدٍ منها بعدها قبل الإحرام الأولی إعادته</w:t>
      </w:r>
      <w:r>
        <w:rPr>
          <w:rStyle w:val="FootnoteAnchor"/>
          <w:rtl w:val="true"/>
        </w:rPr>
        <w:footnoteReference w:id="942"/>
      </w:r>
      <w:r>
        <w:rPr>
          <w:rFonts w:ascii="IRNazanin" w:hAnsi="IRNazanin" w:eastAsia="IRNazanin"/>
          <w:color w:val="111111"/>
          <w:sz w:val="28"/>
          <w:sz w:val="28"/>
          <w:szCs w:val="28"/>
          <w:rtl w:val="true"/>
          <w:lang w:bidi="fa-IR"/>
        </w:rPr>
        <w:t>،</w:t>
      </w:r>
    </w:p>
    <w:p>
      <w:pPr>
        <w:pStyle w:val="Heading4"/>
        <w:numPr>
          <w:ilvl w:val="3"/>
          <w:numId w:val="1"/>
        </w:numPr>
        <w:rPr/>
      </w:pPr>
      <w:bookmarkStart w:id="493" w:name="__RefHeading___Toc2055861_2322387425"/>
      <w:bookmarkStart w:id="494" w:name="_Toc180"/>
      <w:bookmarkEnd w:id="493"/>
      <w:r>
        <w:rPr>
          <w:rtl w:val="true"/>
        </w:rPr>
        <w:t>من أحرم بغیر غسل</w:t>
      </w:r>
      <w:bookmarkEnd w:id="494"/>
    </w:p>
    <w:p>
      <w:pPr>
        <w:pStyle w:val="BookText"/>
        <w:rPr/>
      </w:pPr>
      <w:r>
        <w:rPr>
          <w:rFonts w:ascii="IRNazanin" w:hAnsi="IRNazanin" w:eastAsia="IRNazanin"/>
          <w:color w:val="111111"/>
          <w:sz w:val="28"/>
          <w:sz w:val="28"/>
          <w:szCs w:val="28"/>
          <w:rtl w:val="true"/>
          <w:lang w:bidi="fa-IR"/>
        </w:rPr>
        <w:t>ولو أحرم بغیر غُسلٍ أتی به، وأعاد صورة الإحرام</w:t>
      </w:r>
      <w:r>
        <w:rPr>
          <w:rStyle w:val="FootnoteAnchor"/>
          <w:rtl w:val="true"/>
        </w:rPr>
        <w:footnoteReference w:id="943"/>
      </w:r>
      <w:r>
        <w:rPr>
          <w:rFonts w:ascii="Amiri" w:hAnsi="Amiri" w:eastAsia="Amiri" w:cs="Amiri"/>
          <w:color w:val="111111"/>
          <w:sz w:val="28"/>
          <w:sz w:val="28"/>
          <w:szCs w:val="28"/>
          <w:rtl w:val="true"/>
          <w:lang w:bidi="ar-SA"/>
        </w:rPr>
        <w:t>، سواء ترکه عالماً عامداً أم جاهلاً أو ناسیاً</w:t>
      </w:r>
      <w:r>
        <w:rPr>
          <w:rStyle w:val="FootnoteAnchor"/>
          <w:rtl w:val="true"/>
        </w:rPr>
        <w:footnoteReference w:id="944"/>
      </w:r>
      <w:r>
        <w:rPr>
          <w:rFonts w:ascii="IRNazanin" w:hAnsi="IRNazanin" w:eastAsia="IRNazanin"/>
          <w:color w:val="111111"/>
          <w:sz w:val="28"/>
          <w:sz w:val="28"/>
          <w:szCs w:val="28"/>
          <w:rtl w:val="true"/>
          <w:lang w:bidi="fa-IR"/>
        </w:rPr>
        <w:t>، ولکنّ إحرامه الأوّل صحیح باقٍ علی حاله، فلو أتی بما یوجب الکفّارة بعده وقبل الإعادة وجبت علیه،</w:t>
      </w:r>
    </w:p>
    <w:p>
      <w:pPr>
        <w:pStyle w:val="Heading4"/>
        <w:numPr>
          <w:ilvl w:val="3"/>
          <w:numId w:val="1"/>
        </w:numPr>
        <w:rPr/>
      </w:pPr>
      <w:bookmarkStart w:id="495" w:name="__RefHeading___Toc2055863_2322387425"/>
      <w:bookmarkStart w:id="496" w:name="_Toc181"/>
      <w:bookmarkEnd w:id="495"/>
      <w:r>
        <w:rPr>
          <w:rtl w:val="true"/>
        </w:rPr>
        <w:t>الدعاء بالمأثور عند الغسل</w:t>
      </w:r>
      <w:bookmarkEnd w:id="496"/>
    </w:p>
    <w:p>
      <w:pPr>
        <w:pStyle w:val="BookText"/>
        <w:rPr/>
      </w:pPr>
      <w:r>
        <w:rPr>
          <w:rFonts w:ascii="IRNazanin" w:hAnsi="IRNazanin" w:eastAsia="IRNazanin"/>
          <w:color w:val="111111"/>
          <w:sz w:val="28"/>
          <w:sz w:val="28"/>
          <w:szCs w:val="28"/>
          <w:rtl w:val="true"/>
          <w:lang w:bidi="fa-IR"/>
        </w:rPr>
        <w:t>ویستحبّ أن یقول</w:t>
      </w:r>
      <w:r>
        <w:rPr>
          <w:rStyle w:val="FootnoteAnchor"/>
          <w:rtl w:val="true"/>
        </w:rPr>
        <w:footnoteReference w:id="945"/>
      </w:r>
      <w:r>
        <w:rPr>
          <w:rFonts w:ascii="Amiri" w:hAnsi="Amiri" w:eastAsia="Amiri" w:cs="Amiri"/>
          <w:color w:val="111111"/>
          <w:sz w:val="28"/>
          <w:sz w:val="28"/>
          <w:szCs w:val="28"/>
          <w:rtl w:val="true"/>
          <w:lang w:bidi="ar-SA"/>
        </w:rPr>
        <w:t>عند الغسل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اللهُمَّ اجعَلْهُ لی نُوراً وطَهوراً، وَحِرزاً وَأمناً مِنْ کُلِّ خَوف، وَشِفاءً مِنْ کُلِّ داءٍ وسُقم، اللهُمّ طَهِّرْنی وَطَهِّرْ قَلبیْ، وَاشرَحْ لی صَدْریْ، وَأجْرِ عَلی لِسانی مَحَبّتَکَ وَمِدحَتَکَ وَالثَناءَ عَلَیکَ، فإنّه لا قوّة إلاّ بکَ، وَقَد عَلِمتُ أنّ قَوامَ دینی التسلیمُ لَکَ</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الفقیه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التسلیم لأمرک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من لا یحضره الفقیه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والاتّباعُ لِسُنّةِ نَبیِّکَ صَلواتُکَ عَلَیهِ وَآلهِ</w:t>
      </w:r>
      <w:r>
        <w:rPr>
          <w:rFonts w:eastAsia="Amiri" w:cs="Amiri" w:ascii="Amiri" w:hAnsi="Amiri"/>
          <w:color w:val="111111"/>
          <w:sz w:val="28"/>
          <w:szCs w:val="28"/>
          <w:rtl w:val="true"/>
          <w:lang w:bidi="ar-SA"/>
        </w:rPr>
        <w:t>».</w:t>
      </w:r>
      <w:bookmarkStart w:id="497" w:name="pg13284_130760"/>
    </w:p>
    <w:p>
      <w:pPr>
        <w:pStyle w:val="Heading4"/>
        <w:numPr>
          <w:ilvl w:val="3"/>
          <w:numId w:val="1"/>
        </w:numPr>
        <w:rPr/>
      </w:pPr>
      <w:bookmarkStart w:id="498" w:name="__RefHeading___Toc2055865_2322387425"/>
      <w:bookmarkStart w:id="499" w:name="_Toc182"/>
      <w:bookmarkEnd w:id="497"/>
      <w:bookmarkEnd w:id="498"/>
      <w:r>
        <w:rPr>
          <w:rtl w:val="true"/>
        </w:rPr>
        <w:t>الرابع</w:t>
      </w:r>
      <w:r>
        <w:rPr>
          <w:rtl w:val="true"/>
        </w:rPr>
        <w:t xml:space="preserve">: </w:t>
      </w:r>
      <w:r>
        <w:rPr>
          <w:rtl w:val="true"/>
        </w:rPr>
        <w:t>أن یکون الإحرام عقیب صلاة</w:t>
      </w:r>
      <w:bookmarkEnd w:id="499"/>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الإحرام عقیبَ صلاةِ فریضةٍ أو نافلة، وقیل بوجوب</w:t>
      </w:r>
      <w:r>
        <w:rPr>
          <w:rStyle w:val="FootnoteAnchor"/>
          <w:rtl w:val="true"/>
        </w:rPr>
        <w:footnoteReference w:id="947"/>
      </w:r>
      <w:r>
        <w:rPr>
          <w:rFonts w:ascii="IRNazanin" w:hAnsi="IRNazanin" w:eastAsia="IRNazanin"/>
          <w:color w:val="111111"/>
          <w:sz w:val="28"/>
          <w:sz w:val="28"/>
          <w:szCs w:val="28"/>
          <w:rtl w:val="true"/>
          <w:lang w:bidi="fa-IR"/>
        </w:rPr>
        <w:t>ذلک</w:t>
      </w:r>
      <w:r>
        <w:rPr>
          <w:rStyle w:val="FootnoteAnchor"/>
          <w:rtl w:val="true"/>
        </w:rPr>
        <w:footnoteReference w:id="9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أن لا یُترک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عدم ترکه، وإن کان القول بالاستحباب قویّ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لجملةٍ من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الظاهرة فیه، المحمولة علی الندب؛ للاختلاف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الواقع بینها، واشتمالها علی خصوصیّات غیر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یکون بعد صلاة الظهر فی غیر إحرام حجّ التمتّع، فإنّ الأفضل فیه أن یصلّی الظهر بِمِنی، وإن لم یکن فی وقت الظهر فبعد صلاة فریضة اُخری حاضرة، وإن لم یکن فمقضیّة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فعقیب صلاة النافلة</w:t>
      </w:r>
      <w:r>
        <w:rPr>
          <w:rFonts w:eastAsia="IRNazanin" w:cs="IRNazanin"/>
          <w:color w:val="111111"/>
          <w:sz w:val="28"/>
          <w:szCs w:val="28"/>
          <w:rtl w:val="true"/>
          <w:lang w:bidi="fa-IR"/>
        </w:rPr>
        <w:t>.</w:t>
      </w:r>
    </w:p>
    <w:p>
      <w:pPr>
        <w:pStyle w:val="Heading4"/>
        <w:numPr>
          <w:ilvl w:val="3"/>
          <w:numId w:val="1"/>
        </w:numPr>
        <w:rPr/>
      </w:pPr>
      <w:bookmarkStart w:id="500" w:name="__RefHeading___Toc2055867_2322387425"/>
      <w:bookmarkStart w:id="501" w:name="_Toc183"/>
      <w:bookmarkEnd w:id="500"/>
      <w:r>
        <w:rPr>
          <w:rtl w:val="true"/>
        </w:rPr>
        <w:t>الخامس</w:t>
      </w:r>
      <w:r>
        <w:rPr>
          <w:rtl w:val="true"/>
        </w:rPr>
        <w:t xml:space="preserve">: </w:t>
      </w:r>
      <w:r>
        <w:rPr>
          <w:rtl w:val="true"/>
        </w:rPr>
        <w:t>صلاة ستّ رکعات أو أربع أو رکعتین للإحرام</w:t>
      </w:r>
      <w:bookmarkEnd w:id="50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ستّ رکعات</w:t>
      </w:r>
      <w:r>
        <w:rPr>
          <w:rStyle w:val="FootnoteAnchor"/>
          <w:rtl w:val="true"/>
        </w:rPr>
        <w:footnoteReference w:id="949"/>
      </w:r>
      <w:r>
        <w:rPr>
          <w:rFonts w:ascii="IRNazanin" w:hAnsi="IRNazanin" w:eastAsia="IRNazanin"/>
          <w:color w:val="111111"/>
          <w:sz w:val="28"/>
          <w:sz w:val="28"/>
          <w:szCs w:val="28"/>
          <w:rtl w:val="true"/>
          <w:lang w:bidi="fa-IR"/>
        </w:rPr>
        <w:t xml:space="preserve">، أو أربع رکعات، أو رکعتین للإحرام، </w:t>
      </w:r>
      <w:bookmarkStart w:id="502" w:name="pg13284_130761"/>
    </w:p>
    <w:p>
      <w:pPr>
        <w:pStyle w:val="BookText"/>
        <w:rPr/>
      </w:pPr>
      <w:bookmarkEnd w:id="502"/>
      <w:r>
        <w:rPr>
          <w:rFonts w:ascii="IRNazanin" w:hAnsi="IRNazanin" w:eastAsia="IRNazanin"/>
          <w:color w:val="111111"/>
          <w:sz w:val="28"/>
          <w:sz w:val="28"/>
          <w:szCs w:val="28"/>
          <w:rtl w:val="true"/>
          <w:lang w:bidi="fa-IR"/>
        </w:rPr>
        <w:t>والأولی الإتیان بها مقدّماً</w:t>
      </w:r>
      <w:r>
        <w:rPr>
          <w:rStyle w:val="FootnoteAnchor"/>
          <w:rtl w:val="true"/>
        </w:rPr>
        <w:footnoteReference w:id="950"/>
      </w:r>
      <w:r>
        <w:rPr>
          <w:rFonts w:ascii="IRNazanin" w:hAnsi="IRNazanin" w:eastAsia="IRNazanin"/>
          <w:color w:val="111111"/>
          <w:sz w:val="28"/>
          <w:sz w:val="28"/>
          <w:szCs w:val="28"/>
          <w:rtl w:val="true"/>
          <w:lang w:bidi="fa-IR"/>
        </w:rPr>
        <w:t>علی الفریضة</w:t>
      </w:r>
      <w:r>
        <w:rPr>
          <w:rStyle w:val="FootnoteAnchor"/>
          <w:rtl w:val="true"/>
        </w:rPr>
        <w:footnoteReference w:id="951"/>
      </w:r>
      <w:r>
        <w:rPr>
          <w:rFonts w:ascii="IRNazanin" w:hAnsi="IRNazanin" w:eastAsia="IRNazanin"/>
          <w:color w:val="111111"/>
          <w:sz w:val="28"/>
          <w:sz w:val="28"/>
          <w:szCs w:val="28"/>
          <w:rtl w:val="true"/>
          <w:lang w:bidi="fa-IR"/>
        </w:rPr>
        <w:t>، ویجوز إتیانها فی أیّ وقتٍ کان بلا کراهة، حتّی فی الأوقات المکروهة، وفی وقت الفریضة حتّی علیالقول بعدم جواز النافلة لمن علیه فریضة؛ لخصوص الأخبار الواردة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أن یقرأ فی الرکعة الاُولی بعد الحمد التوحید، وفی الثانیة الجحد، لا العکس</w:t>
      </w:r>
      <w:r>
        <w:rPr>
          <w:rStyle w:val="FootnoteAnchor"/>
          <w:rtl w:val="true"/>
        </w:rPr>
        <w:footnoteReference w:id="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بقراءة الغاشیة بدل الجحد، کما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قیل</w:t>
      </w:r>
      <w:r>
        <w:rPr>
          <w:rFonts w:eastAsia="IRNazanin" w:cs="IRNazanin"/>
          <w:color w:val="111111"/>
          <w:sz w:val="28"/>
          <w:szCs w:val="28"/>
          <w:rtl w:val="true"/>
          <w:lang w:bidi="fa-IR"/>
        </w:rPr>
        <w:t>.</w:t>
      </w:r>
    </w:p>
    <w:p>
      <w:pPr>
        <w:pStyle w:val="Heading4"/>
        <w:numPr>
          <w:ilvl w:val="3"/>
          <w:numId w:val="1"/>
        </w:numPr>
        <w:rPr/>
      </w:pPr>
      <w:bookmarkStart w:id="503" w:name="__RefHeading___Toc2055869_2322387425"/>
      <w:bookmarkStart w:id="504" w:name="_Toc184"/>
      <w:bookmarkEnd w:id="503"/>
      <w:r>
        <w:rPr>
          <w:rtl w:val="true"/>
        </w:rPr>
        <w:t>کراهة استعمال الحنّاء قبل الإحرام</w:t>
      </w:r>
      <w:bookmarkEnd w:id="50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للمرأة إذا أرادت الإحرام أن تستعمل الحِنّاء إذا کان یبقی أثره إلی ما بعده مع قصد الزینة</w:t>
      </w:r>
      <w:r>
        <w:rPr>
          <w:rStyle w:val="FootnoteAnchor"/>
          <w:rtl w:val="true"/>
        </w:rPr>
        <w:footnoteReference w:id="953"/>
      </w:r>
      <w:r>
        <w:rPr>
          <w:rFonts w:ascii="IRNazanin" w:hAnsi="IRNazanin" w:eastAsia="IRNazanin"/>
          <w:color w:val="111111"/>
          <w:sz w:val="28"/>
          <w:sz w:val="28"/>
          <w:szCs w:val="28"/>
          <w:rtl w:val="true"/>
          <w:lang w:bidi="fa-IR"/>
        </w:rPr>
        <w:t>، بل لا معه أیضاً إذا کان یحصل به الزینة وإن لم یقصدها، بل قیل بحرمته، فالأحوط</w:t>
      </w:r>
      <w:r>
        <w:rPr>
          <w:rStyle w:val="FootnoteAnchor"/>
          <w:rtl w:val="true"/>
        </w:rPr>
        <w:footnoteReference w:id="954"/>
      </w:r>
      <w:r>
        <w:rPr>
          <w:rFonts w:ascii="IRNazanin" w:hAnsi="IRNazanin" w:eastAsia="IRNazanin"/>
          <w:color w:val="111111"/>
          <w:sz w:val="28"/>
          <w:sz w:val="28"/>
          <w:szCs w:val="28"/>
          <w:rtl w:val="true"/>
          <w:lang w:bidi="fa-IR"/>
        </w:rPr>
        <w:t>ترکه</w:t>
      </w:r>
      <w:r>
        <w:rPr>
          <w:rStyle w:val="FootnoteAnchor"/>
          <w:rtl w:val="true"/>
        </w:rPr>
        <w:footnoteReference w:id="955"/>
      </w:r>
      <w:r>
        <w:rPr>
          <w:rFonts w:ascii="IRNazanin" w:hAnsi="IRNazanin" w:eastAsia="IRNazanin"/>
          <w:color w:val="111111"/>
          <w:sz w:val="28"/>
          <w:sz w:val="28"/>
          <w:szCs w:val="28"/>
          <w:rtl w:val="true"/>
          <w:lang w:bidi="fa-IR"/>
        </w:rPr>
        <w:t xml:space="preserve">وإن کان الأقوی عدمها، والروایة مختصّة بالمرأة، لکنّهم ألحقوا بها الرجل أیضاً؛ لقاعدة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الاشتراک</w:t>
      </w:r>
      <w:r>
        <w:rPr>
          <w:rStyle w:val="FootnoteAnchor"/>
          <w:rtl w:val="true"/>
        </w:rPr>
        <w:footnoteReference w:id="956"/>
      </w:r>
      <w:r>
        <w:rPr>
          <w:rFonts w:ascii="IRNazanin" w:hAnsi="IRNazanin" w:eastAsia="IRNazanin"/>
          <w:color w:val="111111"/>
          <w:sz w:val="28"/>
          <w:sz w:val="28"/>
          <w:szCs w:val="28"/>
          <w:rtl w:val="true"/>
          <w:lang w:bidi="fa-IR"/>
        </w:rPr>
        <w:t>، ولا بأس</w:t>
      </w:r>
      <w:r>
        <w:rPr>
          <w:rStyle w:val="FootnoteAnchor"/>
          <w:rtl w:val="true"/>
        </w:rPr>
        <w:footnoteReference w:id="957"/>
      </w:r>
      <w:r>
        <w:rPr>
          <w:rFonts w:ascii="IRNazanin" w:hAnsi="IRNazanin" w:eastAsia="IRNazanin"/>
          <w:color w:val="111111"/>
          <w:sz w:val="28"/>
          <w:sz w:val="28"/>
          <w:szCs w:val="28"/>
          <w:rtl w:val="true"/>
          <w:lang w:bidi="fa-IR"/>
        </w:rPr>
        <w:t>به، وأمّا استعماله مع عدم إرادة الإحرام فلابأس به وإن بقی أثره، ولا بأس بعدم إزالته</w:t>
      </w:r>
      <w:r>
        <w:rPr>
          <w:rStyle w:val="FootnoteAnchor"/>
          <w:rtl w:val="true"/>
        </w:rPr>
        <w:footnoteReference w:id="958"/>
      </w:r>
      <w:r>
        <w:rPr>
          <w:rFonts w:ascii="IRNazanin" w:hAnsi="IRNazanin" w:eastAsia="IRNazanin"/>
          <w:color w:val="111111"/>
          <w:sz w:val="28"/>
          <w:sz w:val="28"/>
          <w:szCs w:val="28"/>
          <w:rtl w:val="true"/>
          <w:lang w:bidi="fa-IR"/>
        </w:rPr>
        <w:t>وإن کانت ممکنة</w:t>
      </w:r>
      <w:r>
        <w:rPr>
          <w:rFonts w:eastAsia="IRNazanin" w:cs="IRNazanin"/>
          <w:color w:val="111111"/>
          <w:sz w:val="28"/>
          <w:szCs w:val="28"/>
          <w:rtl w:val="true"/>
          <w:lang w:bidi="fa-IR"/>
        </w:rPr>
        <w:t>.</w:t>
      </w:r>
      <w:bookmarkStart w:id="505" w:name="pg13284_130763"/>
    </w:p>
    <w:p>
      <w:pPr>
        <w:pStyle w:val="Heading3"/>
        <w:numPr>
          <w:ilvl w:val="2"/>
          <w:numId w:val="1"/>
        </w:numPr>
        <w:rPr/>
      </w:pPr>
      <w:bookmarkStart w:id="506" w:name="__RefHeading___Toc2055871_2322387425"/>
      <w:bookmarkStart w:id="507" w:name="_Toc185"/>
      <w:bookmarkEnd w:id="505"/>
      <w:bookmarkEnd w:id="506"/>
      <w:r>
        <w:rPr>
          <w:rtl w:val="true"/>
        </w:rPr>
        <w:t>فصل</w:t>
      </w:r>
      <w:r>
        <w:rPr>
          <w:rtl w:val="true"/>
        </w:rPr>
        <w:t xml:space="preserve">: </w:t>
      </w:r>
      <w:r>
        <w:rPr>
          <w:rtl w:val="true"/>
        </w:rPr>
        <w:t>فی کیفیّة الإحرام</w:t>
      </w:r>
      <w:bookmarkEnd w:id="507"/>
    </w:p>
    <w:p>
      <w:pPr>
        <w:pStyle w:val="Heading4"/>
        <w:numPr>
          <w:ilvl w:val="3"/>
          <w:numId w:val="1"/>
        </w:numPr>
        <w:rPr/>
      </w:pPr>
      <w:bookmarkStart w:id="508" w:name="__RefHeading___Toc2055873_2322387425"/>
      <w:bookmarkStart w:id="509" w:name="_Toc186"/>
      <w:bookmarkEnd w:id="508"/>
      <w:r>
        <w:rPr>
          <w:rtl w:val="true"/>
        </w:rPr>
        <w:t>اشارة</w:t>
      </w:r>
      <w:bookmarkEnd w:id="509"/>
    </w:p>
    <w:p>
      <w:pPr>
        <w:pStyle w:val="BookText"/>
        <w:rPr/>
      </w:pPr>
      <w:r>
        <w:rPr>
          <w:rStyle w:val="FootnoteAnchor"/>
          <w:rtl w:val="true"/>
        </w:rPr>
        <w:footnoteReference w:id="959"/>
      </w:r>
    </w:p>
    <w:p>
      <w:pPr>
        <w:pStyle w:val="Heading4"/>
        <w:numPr>
          <w:ilvl w:val="3"/>
          <w:numId w:val="1"/>
        </w:numPr>
        <w:rPr/>
      </w:pPr>
      <w:bookmarkStart w:id="510" w:name="__RefHeading___Toc2055875_2322387425"/>
      <w:bookmarkStart w:id="511" w:name="_Toc187"/>
      <w:bookmarkEnd w:id="510"/>
      <w:r>
        <w:rPr>
          <w:rtl w:val="true"/>
        </w:rPr>
        <w:t>واجبات الإحرام</w:t>
      </w:r>
      <w:bookmarkEnd w:id="511"/>
    </w:p>
    <w:p>
      <w:pPr>
        <w:pStyle w:val="BookText"/>
        <w:rPr/>
      </w:pPr>
      <w:r>
        <w:rPr>
          <w:rFonts w:ascii="Amiri" w:hAnsi="Amiri" w:eastAsia="Amiri" w:cs="Amiri"/>
          <w:color w:val="111111"/>
          <w:sz w:val="28"/>
          <w:sz w:val="28"/>
          <w:szCs w:val="28"/>
          <w:rtl w:val="true"/>
          <w:lang w:bidi="ar-SA"/>
        </w:rPr>
        <w:t>وواجباته ثلاثة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055877_2322387425"/>
      <w:bookmarkStart w:id="513" w:name="_Toc188"/>
      <w:bookmarkEnd w:id="512"/>
      <w:r>
        <w:rPr>
          <w:rtl w:val="true"/>
        </w:rPr>
        <w:t>الأوّل</w:t>
      </w:r>
      <w:r>
        <w:rPr>
          <w:rtl w:val="true"/>
        </w:rPr>
        <w:t xml:space="preserve">: </w:t>
      </w:r>
      <w:r>
        <w:rPr>
          <w:rtl w:val="true"/>
        </w:rPr>
        <w:t>النیّة وبیان مؤادّها</w:t>
      </w:r>
      <w:bookmarkEnd w:id="5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بمعنی القصد إلیه</w:t>
      </w:r>
      <w:r>
        <w:rPr>
          <w:rStyle w:val="FootnoteAnchor"/>
          <w:rtl w:val="true"/>
        </w:rPr>
        <w:footnoteReference w:id="9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القصد إلی أحد النُسُک إجمالاً بالکیفیة المعهودة فی الشریعة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أحرم من 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لو لبس الثوبَین ولبّی من غیر قصد الإحرام لم ینعقد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ما عرفت أنّ الإحرام من العناوین القصدیة، سواء کان هو الالتزام النفسانیّ، أم الحاصل منه، فیظهر لک أنّ مآل ما فرضه قدس‌سره من الإحرام من غیر قصدٍ إلی ترک الإحرام رأساً، لا أ نّه محقّق، ولکنّه غیر مقصود، نعم، لو کان الإحرام التلبیة واللبس لکان لِما أفاده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14" w:name="pg13284_130764"/>
    </w:p>
    <w:p>
      <w:pPr>
        <w:pStyle w:val="BookText"/>
        <w:rPr/>
      </w:pPr>
      <w:bookmarkEnd w:id="514"/>
      <w:r>
        <w:rPr>
          <w:rFonts w:ascii="IRNazanin" w:hAnsi="IRNazanin" w:eastAsia="IRNazanin"/>
          <w:color w:val="111111"/>
          <w:sz w:val="28"/>
          <w:sz w:val="28"/>
          <w:szCs w:val="28"/>
          <w:rtl w:val="true"/>
          <w:lang w:bidi="fa-IR"/>
        </w:rPr>
        <w:t>بطل</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الإحرام من العناوین القصدیّة، فلا یمکن تحقّقه بدون قصد؛ وعلی هذا فمرجع عدم القصد إلیه عمداً أو سهواً أو جهلاً إلی عدم تحقّق الإحرام منه کذلک، وقد تقدّم حکمه مفصّلاً فی المسألتَین الرابعة والسادسة 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المواقیت،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عمدٍ أم سهوٍ أم جهل، ویبطل نسکه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إذا کان الترک عمداً، وأمّا مع السهو والجهل فلا یبطل، ویجب علیه تجدیده من المیقات إذا أمکن، وإلاّ فمن حیث أمکن، علی التفصیل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الّذی مرّ سابقاً فی ترک أصل الإحرام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2055879_2322387425"/>
      <w:bookmarkStart w:id="516" w:name="_Toc189"/>
      <w:bookmarkEnd w:id="515"/>
      <w:r>
        <w:rPr>
          <w:rtl w:val="true"/>
        </w:rPr>
        <w:t>ما یعتبر فی نیّة الإحرام</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یعتبر فیها القُربة والخُلُوص</w:t>
      </w:r>
      <w:r>
        <w:rPr>
          <w:rStyle w:val="FootnoteAnchor"/>
          <w:rtl w:val="true"/>
        </w:rPr>
        <w:footnoteReference w:id="962"/>
      </w:r>
      <w:r>
        <w:rPr>
          <w:rFonts w:ascii="IRNazanin" w:hAnsi="IRNazanin" w:eastAsia="IRNazanin"/>
          <w:color w:val="111111"/>
          <w:sz w:val="28"/>
          <w:sz w:val="28"/>
          <w:szCs w:val="28"/>
          <w:rtl w:val="true"/>
          <w:lang w:bidi="fa-IR"/>
        </w:rPr>
        <w:t>، کما فی سائر العبادات، فمع فقدهما أو أحدهما یبطل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تکون مقارِنة للشروع فیه، فلا یکفی حصولها فی الأثناء، فلو ترکها وجب تجدیده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وجه 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الإحرام</w:t>
      </w:r>
      <w:r>
        <w:rPr>
          <w:rStyle w:val="FootnoteAnchor"/>
          <w:rtl w:val="true"/>
        </w:rPr>
        <w:footnoteReference w:id="963"/>
      </w:r>
      <w:r>
        <w:rPr>
          <w:rFonts w:ascii="IRNazanin" w:hAnsi="IRNazanin" w:eastAsia="IRNazanin"/>
          <w:color w:val="111111"/>
          <w:sz w:val="28"/>
          <w:sz w:val="28"/>
          <w:szCs w:val="28"/>
          <w:rtl w:val="true"/>
          <w:lang w:bidi="fa-IR"/>
        </w:rPr>
        <w:t>تروک</w:t>
      </w:r>
      <w:r>
        <w:rPr>
          <w:rStyle w:val="FootnoteAnchor"/>
          <w:rtl w:val="true"/>
        </w:rPr>
        <w:footnoteReference w:id="964"/>
      </w:r>
      <w:r>
        <w:rPr>
          <w:rFonts w:ascii="IRNazanin" w:hAnsi="IRNazanin" w:eastAsia="IRNazanin"/>
          <w:color w:val="111111"/>
          <w:sz w:val="28"/>
          <w:sz w:val="28"/>
          <w:szCs w:val="28"/>
          <w:rtl w:val="true"/>
          <w:lang w:bidi="fa-IR"/>
        </w:rPr>
        <w:t xml:space="preserve">، وهی لا تفتقر إلی النیّة، والقدر المسلّم من الإجماع علی اعتبارها إنّما هو فی الجملة ولو قبل </w:t>
      </w:r>
    </w:p>
    <w:p>
      <w:pPr>
        <w:pStyle w:val="BookText"/>
        <w:rPr/>
      </w:pPr>
      <w:r>
        <w:rPr>
          <w:rFonts w:ascii="Amiri" w:hAnsi="Amiri" w:eastAsia="Amiri" w:cs="Amiri"/>
          <w:color w:val="111111"/>
          <w:sz w:val="28"/>
          <w:sz w:val="28"/>
          <w:szCs w:val="28"/>
          <w:rtl w:val="true"/>
          <w:lang w:bidi="ar-SA"/>
        </w:rPr>
        <w:t>التحلّل؛ إذ نمنع أوّلاً کونه تروکاً</w:t>
      </w:r>
      <w:r>
        <w:rPr>
          <w:rStyle w:val="FootnoteAnchor"/>
          <w:rtl w:val="true"/>
        </w:rPr>
        <w:footnoteReference w:id="965"/>
      </w:r>
      <w:r>
        <w:rPr>
          <w:rFonts w:ascii="IRNazanin" w:hAnsi="IRNazanin" w:eastAsia="IRNazanin"/>
          <w:color w:val="111111"/>
          <w:sz w:val="28"/>
          <w:sz w:val="28"/>
          <w:szCs w:val="28"/>
          <w:rtl w:val="true"/>
          <w:lang w:bidi="fa-IR"/>
        </w:rPr>
        <w:t>فإنّ التلبیة</w:t>
      </w:r>
      <w:r>
        <w:rPr>
          <w:rStyle w:val="FootnoteAnchor"/>
          <w:rtl w:val="true"/>
        </w:rPr>
        <w:footnoteReference w:id="9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ضعف التعلیل بعد ما دریت من معنی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أنّ الإحرام عبارة عن الالتزام والبناء النفسانی علی تحریم الاُمور المعیّنة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ولبس الثوبَین من الأفعال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 صفة تحصل من الالتزام النفسانی بترک المحرّمات، وهذه الصفة قصدیّة؛ لأ نّها مسبّبة عن الالتزام النفسانی المذکور، وهی باقیة بعد حدوثها عن سببها، لا ترتفع إلاّ بالمحلِّل وإن ارتکب المُحرِم بعض المحرّمات أو جمیعها، وإذا کان الإحرام قصدیّاً فلابدّ فیه من النیّة منذ ابتدائه، وإلاّ لم یمکن تحقّقه کما ذکرنا، أمّا التلبیة ولبس الثوبَین فهما واجبان فی الإحرام، ولیسا دخیلَین فی مفهومه، نعم، التلبیة شرط فی تحریم المحرّمات علیه،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وثانیاً اعتبارها فیه علی حدّ اعتبارها فی سائر العبادات فی کون اللازم تحقّقها حین الشروع فیها</w:t>
      </w:r>
      <w:r>
        <w:rPr>
          <w:rFonts w:eastAsia="IRNazanin" w:cs="IRNazanin"/>
          <w:color w:val="111111"/>
          <w:sz w:val="28"/>
          <w:szCs w:val="28"/>
          <w:rtl w:val="true"/>
          <w:lang w:bidi="fa-IR"/>
        </w:rPr>
        <w:t>.</w:t>
      </w:r>
      <w:bookmarkStart w:id="517" w:name="pg13284_130766"/>
    </w:p>
    <w:p>
      <w:pPr>
        <w:pStyle w:val="Heading4"/>
        <w:numPr>
          <w:ilvl w:val="3"/>
          <w:numId w:val="1"/>
        </w:numPr>
        <w:rPr/>
      </w:pPr>
      <w:bookmarkStart w:id="518" w:name="__RefHeading___Toc2055881_2322387425"/>
      <w:bookmarkStart w:id="519" w:name="_Toc190"/>
      <w:bookmarkEnd w:id="517"/>
      <w:bookmarkEnd w:id="518"/>
      <w:r>
        <w:rPr>
          <w:rtl w:val="true"/>
        </w:rPr>
        <w:t>تعیین خصوصیّات الإحرام فی النیّة</w:t>
      </w:r>
      <w:bookmarkEnd w:id="5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النیّة تعیین کون الإحرام</w:t>
      </w:r>
      <w:r>
        <w:rPr>
          <w:rStyle w:val="FootnoteAnchor"/>
          <w:rtl w:val="true"/>
        </w:rPr>
        <w:footnoteReference w:id="967"/>
      </w:r>
      <w:r>
        <w:rPr>
          <w:rFonts w:ascii="Amiri" w:hAnsi="Amiri" w:eastAsia="Amiri" w:cs="Amiri"/>
          <w:color w:val="111111"/>
          <w:sz w:val="28"/>
          <w:sz w:val="28"/>
          <w:szCs w:val="28"/>
          <w:rtl w:val="true"/>
          <w:lang w:bidi="ar-SA"/>
        </w:rPr>
        <w:t>لحجٍّ أو عمرة</w:t>
      </w:r>
      <w:r>
        <w:rPr>
          <w:rStyle w:val="FootnoteAnchor"/>
          <w:rtl w:val="true"/>
        </w:rPr>
        <w:footnoteReference w:id="968"/>
      </w:r>
      <w:r>
        <w:rPr>
          <w:rFonts w:ascii="Amiri" w:hAnsi="Amiri" w:eastAsia="Amiri" w:cs="Amiri"/>
          <w:color w:val="111111"/>
          <w:sz w:val="28"/>
          <w:sz w:val="28"/>
          <w:szCs w:val="28"/>
          <w:rtl w:val="true"/>
          <w:lang w:bidi="ar-SA"/>
        </w:rPr>
        <w:t>، وأنّ الحجّ تمتّع أو قِران أو إفراد، وأ نّه لنفسه أو نیابة عن غیره، وأ نّه حجّة الإسلام أو الحجّ النذریّ أو الندبیّ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نوی الإحرام من غیر تعیینٍ</w:t>
      </w:r>
      <w:r>
        <w:rPr>
          <w:rStyle w:val="FootnoteAnchor"/>
          <w:rtl w:val="true"/>
        </w:rPr>
        <w:footnoteReference w:id="969"/>
      </w:r>
      <w:r>
        <w:rPr>
          <w:rFonts w:ascii="IRNazanin" w:hAnsi="IRNazanin" w:eastAsia="IRNazanin"/>
          <w:color w:val="111111"/>
          <w:sz w:val="28"/>
          <w:sz w:val="28"/>
          <w:szCs w:val="28"/>
          <w:rtl w:val="true"/>
          <w:lang w:bidi="fa-IR"/>
        </w:rPr>
        <w:t>وأوکله إلی ما بعد ذلک بطل، فما عن بعضهم من صحّته، وأنّ له صرفه إلی أیّهما شاء من حجّ أو عمرة لا وجه له؛ إذ الظاهر أ نّه جزء من النسک، فتجب نیّته کما فی أجزاء سائر العبادات، ولیس مثل</w:t>
      </w:r>
      <w:r>
        <w:rPr>
          <w:rStyle w:val="FootnoteAnchor"/>
          <w:rtl w:val="true"/>
        </w:rPr>
        <w:footnoteReference w:id="970"/>
      </w:r>
      <w:r>
        <w:rPr>
          <w:rFonts w:ascii="IRNazanin" w:hAnsi="IRNazanin" w:eastAsia="IRNazanin"/>
          <w:color w:val="111111"/>
          <w:sz w:val="28"/>
          <w:sz w:val="28"/>
          <w:szCs w:val="28"/>
          <w:rtl w:val="true"/>
          <w:lang w:bidi="fa-IR"/>
        </w:rPr>
        <w:t>الوضوء والغسل بالنسبة إلی الصلاة، نعم، الأقوی کفایة التعیین الإجمالیّ</w:t>
      </w:r>
      <w:r>
        <w:rPr>
          <w:rStyle w:val="FootnoteAnchor"/>
          <w:rtl w:val="true"/>
        </w:rPr>
        <w:footnoteReference w:id="971"/>
      </w:r>
      <w:r>
        <w:rPr>
          <w:rFonts w:ascii="IRNazanin" w:hAnsi="IRNazanin" w:eastAsia="IRNazanin"/>
          <w:color w:val="111111"/>
          <w:sz w:val="28"/>
          <w:sz w:val="28"/>
          <w:szCs w:val="28"/>
          <w:rtl w:val="true"/>
          <w:lang w:bidi="fa-IR"/>
        </w:rPr>
        <w:t>، حتّی بأن ینوی</w:t>
      </w:r>
      <w:r>
        <w:rPr>
          <w:rStyle w:val="FootnoteAnchor"/>
          <w:rtl w:val="true"/>
        </w:rPr>
        <w:footnoteReference w:id="9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کفایته، والفرق بینه وبین ما لو نوی مردّداً مع إیکال التعیین إلی ما بعد غیر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الکفایة، ولا فرق بینه وبین النیّة المردّدة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هذا نیّة إجمالیّة، ولا کافٍ للتعیین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الإحرام</w:t>
      </w:r>
      <w:r>
        <w:rPr>
          <w:rStyle w:val="FootnoteAnchor"/>
          <w:rtl w:val="true"/>
        </w:rPr>
        <w:footnoteReference w:id="973"/>
      </w:r>
      <w:r>
        <w:rPr>
          <w:rFonts w:ascii="Amiri" w:hAnsi="Amiri" w:eastAsia="Amiri" w:cs="Amiri"/>
          <w:color w:val="111111"/>
          <w:sz w:val="28"/>
          <w:sz w:val="28"/>
          <w:szCs w:val="28"/>
          <w:rtl w:val="true"/>
          <w:lang w:bidi="ar-SA"/>
        </w:rPr>
        <w:t>لِما سیعیّنه</w:t>
      </w:r>
      <w:r>
        <w:rPr>
          <w:rStyle w:val="FootnoteAnchor"/>
          <w:rtl w:val="true"/>
        </w:rPr>
        <w:footnoteReference w:id="9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أنّ المَنوِیَّ معیّن فی علم اللّه، فیکون إشارةً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کفایته، وإلحاقه بما لم یعیِّن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 أو عمرة، فإنّه نوع 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کفایته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من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بینه وبین الفرض الأوّل ـ أعنی إیکال التعیین إلی ما بعد الإحرام ـ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ذلک من التعیین 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بالإجمال؛ فإنّه قصد ما یعیّنه، فما یعیّنه مقصود ولو بهذا المقدار، ولو لم یعرفه تفصیلاً حین النیّة، بخلاف المَنْوِیّ المردّد فی الابتداء، وإیکال تعیینه إلی ما بعد فإنّه لیس بمقصود أصلاً، لا تفصیلاً، ولا إجمالاً، وبهذا البیان ظهر عدم توجّه اعتراض عدّةٍ من الأعلام علی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هذا من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وفرق بینه</w:t>
      </w:r>
      <w:bookmarkStart w:id="520" w:name="pg13284_130768"/>
    </w:p>
    <w:p>
      <w:pPr>
        <w:pStyle w:val="BookText"/>
        <w:rPr/>
      </w:pPr>
      <w:bookmarkEnd w:id="520"/>
      <w:r>
        <w:rPr>
          <w:rFonts w:ascii="IRNazanin" w:hAnsi="IRNazanin" w:eastAsia="IRNazanin"/>
          <w:color w:val="111111"/>
          <w:sz w:val="28"/>
          <w:sz w:val="28"/>
          <w:szCs w:val="28"/>
          <w:rtl w:val="true"/>
          <w:lang w:bidi="fa-IR"/>
        </w:rPr>
        <w:t>وبین</w:t>
      </w:r>
      <w:r>
        <w:rPr>
          <w:rStyle w:val="FootnoteAnchor"/>
          <w:rtl w:val="true"/>
        </w:rPr>
        <w:footnoteReference w:id="975"/>
      </w:r>
      <w:r>
        <w:rPr>
          <w:rFonts w:ascii="IRNazanin" w:hAnsi="IRNazanin" w:eastAsia="IRNazanin"/>
          <w:color w:val="111111"/>
          <w:sz w:val="28"/>
          <w:sz w:val="28"/>
          <w:szCs w:val="28"/>
          <w:rtl w:val="true"/>
          <w:lang w:bidi="fa-IR"/>
        </w:rPr>
        <w:t>ما لو نوی مردّداً مع إیکال التعیین إلی ما بعد</w:t>
      </w:r>
      <w:r>
        <w:rPr>
          <w:rFonts w:eastAsia="IRNazanin" w:cs="IRNazanin"/>
          <w:color w:val="111111"/>
          <w:sz w:val="28"/>
          <w:szCs w:val="28"/>
          <w:rtl w:val="true"/>
          <w:lang w:bidi="fa-IR"/>
        </w:rPr>
        <w:t>.</w:t>
      </w:r>
    </w:p>
    <w:p>
      <w:pPr>
        <w:pStyle w:val="Heading4"/>
        <w:numPr>
          <w:ilvl w:val="3"/>
          <w:numId w:val="1"/>
        </w:numPr>
        <w:rPr/>
      </w:pPr>
      <w:bookmarkStart w:id="521" w:name="__RefHeading___Toc2055883_2322387425"/>
      <w:bookmarkStart w:id="522" w:name="_Toc191"/>
      <w:bookmarkEnd w:id="521"/>
      <w:r>
        <w:rPr>
          <w:rtl w:val="true"/>
        </w:rPr>
        <w:t>ما لا یعتبر فی نیّة الإحرام</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فیها نیّة الوجه من وجوب أو ندب إلاّ إذا توقّف</w:t>
      </w:r>
      <w:r>
        <w:rPr>
          <w:rStyle w:val="FootnoteAnchor"/>
          <w:rtl w:val="true"/>
        </w:rPr>
        <w:footnoteReference w:id="976"/>
      </w:r>
      <w:r>
        <w:rPr>
          <w:rFonts w:ascii="IRNazanin" w:hAnsi="IRNazanin" w:eastAsia="IRNazanin"/>
          <w:color w:val="111111"/>
          <w:sz w:val="28"/>
          <w:sz w:val="28"/>
          <w:szCs w:val="28"/>
          <w:rtl w:val="true"/>
          <w:lang w:bidi="fa-IR"/>
        </w:rPr>
        <w:t>التعیین علیها، وکذا لا یعتبر فیها التلفّظ</w:t>
      </w:r>
      <w:r>
        <w:rPr>
          <w:rStyle w:val="FootnoteAnchor"/>
          <w:rtl w:val="true"/>
        </w:rPr>
        <w:footnoteReference w:id="977"/>
      </w:r>
      <w:r>
        <w:rPr>
          <w:rFonts w:ascii="IRNazanin" w:hAnsi="IRNazanin" w:eastAsia="IRNazanin"/>
          <w:color w:val="111111"/>
          <w:sz w:val="28"/>
          <w:sz w:val="28"/>
          <w:szCs w:val="28"/>
          <w:rtl w:val="true"/>
          <w:lang w:bidi="fa-IR"/>
        </w:rPr>
        <w:t>، بل ولا الإخطار بالبال، فیکفی الداعی</w:t>
      </w:r>
      <w:r>
        <w:rPr>
          <w:rStyle w:val="FootnoteAnchor"/>
          <w:rtl w:val="true"/>
        </w:rPr>
        <w:footnoteReference w:id="9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الإحرام من العناوین القصدیّة، کما سبق بیانه، والعناوین القصدیّة تفتقر إلی عزم تفصیلی، نعم، یکفی الداعی فی قصد التقرّب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الإحرام</w:t>
      </w:r>
      <w:r>
        <w:rPr>
          <w:rStyle w:val="FootnoteAnchor"/>
          <w:rtl w:val="true"/>
        </w:rPr>
        <w:footnoteReference w:id="979"/>
      </w:r>
      <w:r>
        <w:rPr>
          <w:rFonts w:ascii="IRNazanin" w:hAnsi="IRNazanin" w:eastAsia="IRNazanin"/>
          <w:color w:val="111111"/>
          <w:sz w:val="28"/>
          <w:sz w:val="28"/>
          <w:szCs w:val="28"/>
          <w:rtl w:val="true"/>
          <w:lang w:bidi="fa-IR"/>
        </w:rPr>
        <w:t xml:space="preserve">استمرار العزم علی ترک محرّماته، بل </w:t>
      </w:r>
      <w:bookmarkStart w:id="523" w:name="pg13284_130769"/>
    </w:p>
    <w:p>
      <w:pPr>
        <w:pStyle w:val="BookText"/>
        <w:rPr/>
      </w:pPr>
      <w:bookmarkEnd w:id="523"/>
      <w:r>
        <w:rPr>
          <w:rFonts w:ascii="IRNazanin" w:hAnsi="IRNazanin" w:eastAsia="IRNazanin"/>
          <w:color w:val="111111"/>
          <w:sz w:val="28"/>
          <w:sz w:val="28"/>
          <w:szCs w:val="28"/>
          <w:rtl w:val="true"/>
          <w:lang w:bidi="fa-IR"/>
        </w:rPr>
        <w:t>المعتبر</w:t>
      </w:r>
      <w:r>
        <w:rPr>
          <w:rStyle w:val="FootnoteAnchor"/>
          <w:rtl w:val="true"/>
        </w:rPr>
        <w:footnoteReference w:id="980"/>
      </w:r>
      <w:r>
        <w:rPr>
          <w:rFonts w:ascii="IRNazanin" w:hAnsi="IRNazanin" w:eastAsia="IRNazanin"/>
          <w:color w:val="111111"/>
          <w:sz w:val="28"/>
          <w:sz w:val="28"/>
          <w:szCs w:val="28"/>
          <w:rtl w:val="true"/>
          <w:lang w:bidi="fa-IR"/>
        </w:rPr>
        <w:t>العزم</w:t>
      </w:r>
      <w:r>
        <w:rPr>
          <w:rStyle w:val="FootnoteAnchor"/>
          <w:rtl w:val="true"/>
        </w:rPr>
        <w:footnoteReference w:id="9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العزم علی الاستمرار فی غیر الجماع والاستمناء؛ لأنّ المحرّمات محرّمات تکلیفیّة، وأمّا الجماع والاستمناء ففیهما الوضع أیضاً علی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هو حقیقة الإحرام، وما المعتبر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 أیضاً 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ترکها مستمرّاً، فلولم یعزم من الأوّل علی استمرار الترک بطل، وأمّا لو عزم علی ذلک ولم یستمرَّ عزمه بأن نوی بعد تحقّق الإحرام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إتیان شیءٍ منها لم یبطل، فلا یُعتبر فیه استدامة النیّة کما فی الصوم، والفرق أنّ التروک فی الصوم معتبرة فی 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تساهل من قلمه الشریف؛ فإنّها معتبرة فی 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 فی تعریف الصوم أ نّه الإمساک عن المفطِرات بقصد القربة، فالتروک معتبرة فی مفهومه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الإحرام فإنّها فیه واجبات تکلیفیّة</w:t>
      </w:r>
      <w:r>
        <w:rPr>
          <w:rFonts w:eastAsia="IRNazanin" w:cs="IRNazanin"/>
          <w:color w:val="111111"/>
          <w:sz w:val="28"/>
          <w:szCs w:val="28"/>
          <w:rtl w:val="true"/>
          <w:lang w:bidi="fa-IR"/>
        </w:rPr>
        <w:t>.</w:t>
      </w:r>
    </w:p>
    <w:p>
      <w:pPr>
        <w:pStyle w:val="Heading4"/>
        <w:numPr>
          <w:ilvl w:val="3"/>
          <w:numId w:val="1"/>
        </w:numPr>
        <w:rPr/>
      </w:pPr>
      <w:bookmarkStart w:id="524" w:name="__RefHeading___Toc2055885_2322387425"/>
      <w:bookmarkStart w:id="525" w:name="_Toc192"/>
      <w:bookmarkEnd w:id="524"/>
      <w:r>
        <w:rPr>
          <w:rtl w:val="true"/>
        </w:rPr>
        <w:t>إذا نسی أن إحرامه کان للعمرة أو للحجّ</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نسی ما عیّنه من حجٍّ أو عمرةٍ وجب علیه</w:t>
      </w:r>
      <w:r>
        <w:rPr>
          <w:rStyle w:val="FootnoteAnchor"/>
          <w:rtl w:val="true"/>
        </w:rPr>
        <w:footnoteReference w:id="9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الصحّة مختصّة بأحدهما تُجدّد النیّة لِما یصحّ فیقع صحیحاً، وفیما یجوز العدول یعدل فیصحّ، وأمّا فی موردٍ یصحّ کلاهما ولا یجوز العدول فیعمل علی قواعد العلم الإجمالی مع الإمکان وعدم الحرج، وإلاّ فبحسب إمکانه بلا 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التجدید</w:t>
      </w:r>
      <w:r>
        <w:rPr>
          <w:rStyle w:val="FootnoteAnchor"/>
          <w:rtl w:val="true"/>
        </w:rPr>
        <w:footnoteReference w:id="9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التفصیل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أحدهما صحیحاً والآخر غیر صحیحٍ، کما إذا کان فی غیر أشهر الحجّ، وشکّ فی أنّ إحرامه کان للحجّ أو للعمرة المفردة، فإن کان شکّه بعد الدخول فی الغیر کالطواف، کما إذا أتی به بعنوان العمرة فشکّ فی صحّة إحرامه جرت فیه قاعدة التجاوز، وحکم بصحّته عمرةً، وإن کان شکّه قبل التجاوز لم تجرِ قاعدة التجاوز، ولا قاعدة الصحّة، بل یجری استصحاب عدم الإحرام لِما هو الصحیح، فله رفع الید، وله تجدید الإحرام للصحیح، وأمّا إذا کان کلّ منهما صحیحاً، کما إذا أحرم فی شهر شوّال فشکّ فلا موجب للحکم بوجوب تجدید الإحرام، وبطلان الإحرام الأوّل مع العلم بوقوعه صحیحاً ووجوب إتمامه وهو متمکّن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شکّه إذا کان فی أنّ إحرامه کان لعمرة التمتّع أو للعمرة المفردة فیجب علیه الاحتیاط بالإتیان بطواف النساء، وعدم الخروج من مکّة إلی زمان الحجّ للعلم الإجمالی، فإذا بقی إلی الحجّ وأتی بأعماله أحرز فراغ ذمّته من حجّ التمتّع لو کان واجباً علیه، وإن کان إحرامه للعمرة المفردة واقعاً؛ لأ نّها تنقلب إلی عمرة التمتّع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شکّه فی أنّ إحرامه کان للحجّ أو للعمرة المفردة فطریق الاحتیاط ظاهر، وأمّا إذا دار أمر الإحرام بین أن یکون للحجّ أو لعمرة التمتّع فیدور الأمر حینئذٍ بالنسبة إلی التقصیر قبل الحجّ بین الوجوب والتحریم، فلا محالة یکون الحکم هو التخییر، وإذا جاز التقصیر وجب؛ لإحراز الامتثال بالنسبة إلی وجوب إتمام إحرامه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الإخلال بقُربیّته فی وجوب التجدید نظر، وهکذا فی الفرع الآتی؛ لحصول الامتثال بهذا المقدار من القصد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الإحرام غیر مفید؛ إذ الإحرام علی الإحرام لا یصحّ، ولا یرفع الإحرام السابق، ولا یقلّبه عمّا وقع علیه، نعم، فیما إذا کانت الصحّة مختصّةً بأحدهما الأحوط تجدیده لِما یصحّ منهما؛ لأنّ السابق إن کان هذا لم یضرّه التجدید، وإن کان غیره وقع باطلاً، فصحّ التجدید، وفی المسألة 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کذلک إن کانت الصحّة مختصّةً بأحدهما؛ إذ لو کان السابق ذلک لا یضرّه التجدید ، ولو کان العدول سائغاً عدل، وإن کان غیره وقع السابق باطلاً، فالتجدید صحیح وواقع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یصحّ علی الأحوط فیما تختصّ الصحّة بأحدهما، وأمّا فی غیره فالتجدید غیر مفید؛ لعدم انقلاب السابق، ولا انحلاله به، فالأحوط الإتیان بما هو مقتضی العلم الإجمالی مع الإمکان، ومع عدمه فالتبعیض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تکلیفه الفعلیّ أحدهما بالخصوص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الصحّة تختصّ بأحدهما جدّد الإحرام لِما یصحّ منهما؛ فإنّ إحرامه الأوّل إن کان لِما یصحّ لم یضرّه التجدید، وإن کان لغیره کان باطلاً، فلا مانع من التجدید،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أحرم فی غیر أشهر الحجّ ثمّ نَسِیَ أ نّه أحرم بعمرةٍ مفردةٍ أو بحجّ، فإنّ الحجّ لا یقع إحرامه إلاّ فی أشهر الحجّ، وکذا عمرة التمتّع، وإذا کانا یصحّان معاً لزمه الاحتیاط إن أمکن، وإلاّ بعض فی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بل لا یبعد أن یکون حکمه حکم الناسی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المسألة تفصیل لا یَسَعُهُ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الروحانی</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تعیّن علیه أحدهما أم لا،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للمتعیّن</w:t>
      </w:r>
      <w:r>
        <w:rPr>
          <w:rStyle w:val="FootnoteAnchor"/>
          <w:rtl w:val="true"/>
        </w:rPr>
        <w:footnoteReference w:id="984"/>
      </w:r>
      <w:r>
        <w:rPr>
          <w:rFonts w:ascii="IRNazanin" w:hAnsi="IRNazanin" w:eastAsia="IRNazanin"/>
          <w:color w:val="111111"/>
          <w:sz w:val="28"/>
          <w:sz w:val="28"/>
          <w:szCs w:val="28"/>
          <w:rtl w:val="true"/>
          <w:lang w:bidi="fa-IR"/>
        </w:rPr>
        <w:t xml:space="preserve">منهما، ومع عدم التعیین یکون لِما یصحّ منهما، ومع صحّتهما </w:t>
      </w:r>
      <w:bookmarkStart w:id="526" w:name="pg13284_130772"/>
    </w:p>
    <w:p>
      <w:pPr>
        <w:pStyle w:val="BookText"/>
        <w:rPr/>
      </w:pPr>
      <w:bookmarkEnd w:id="526"/>
      <w:r>
        <w:rPr>
          <w:rFonts w:ascii="IRNazanin" w:hAnsi="IRNazanin" w:eastAsia="IRNazanin"/>
          <w:color w:val="111111"/>
          <w:sz w:val="28"/>
          <w:sz w:val="28"/>
          <w:szCs w:val="28"/>
          <w:rtl w:val="true"/>
          <w:lang w:bidi="fa-IR"/>
        </w:rPr>
        <w:t>کما فی أشهر الحجّ الاُولی جعله</w:t>
      </w:r>
      <w:r>
        <w:rPr>
          <w:rStyle w:val="FootnoteAnchor"/>
          <w:rtl w:val="true"/>
        </w:rPr>
        <w:footnoteReference w:id="985"/>
      </w:r>
      <w:r>
        <w:rPr>
          <w:rFonts w:ascii="IRNazanin" w:hAnsi="IRNazanin" w:eastAsia="IRNazanin"/>
          <w:color w:val="111111"/>
          <w:sz w:val="28"/>
          <w:sz w:val="28"/>
          <w:szCs w:val="28"/>
          <w:rtl w:val="true"/>
          <w:lang w:bidi="fa-IR"/>
        </w:rPr>
        <w:t>للعمرة المتمتّع بها، وهو مشکل؛ إذ لا وجه له</w:t>
      </w:r>
      <w:r>
        <w:rPr>
          <w:rFonts w:eastAsia="IRNazanin" w:cs="IRNazanin"/>
          <w:color w:val="111111"/>
          <w:sz w:val="28"/>
          <w:szCs w:val="28"/>
          <w:rtl w:val="true"/>
          <w:lang w:bidi="fa-IR"/>
        </w:rPr>
        <w:t>.</w:t>
      </w:r>
    </w:p>
    <w:p>
      <w:pPr>
        <w:pStyle w:val="Heading4"/>
        <w:numPr>
          <w:ilvl w:val="3"/>
          <w:numId w:val="1"/>
        </w:numPr>
        <w:rPr/>
      </w:pPr>
      <w:bookmarkStart w:id="527" w:name="__RefHeading___Toc2055887_2322387425"/>
      <w:bookmarkStart w:id="528" w:name="_Toc193"/>
      <w:bookmarkEnd w:id="527"/>
      <w:r>
        <w:rPr>
          <w:rtl w:val="true"/>
        </w:rPr>
        <w:t>لو نوی للحجّ والعمرة بنیّة واحدة</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تکفی</w:t>
      </w:r>
      <w:r>
        <w:rPr>
          <w:rStyle w:val="FootnoteAnchor"/>
          <w:rtl w:val="true"/>
        </w:rPr>
        <w:footnoteReference w:id="986"/>
      </w:r>
      <w:r>
        <w:rPr>
          <w:rFonts w:ascii="Amiri" w:hAnsi="Amiri" w:eastAsia="Amiri" w:cs="Amiri"/>
          <w:color w:val="111111"/>
          <w:sz w:val="28"/>
          <w:sz w:val="28"/>
          <w:szCs w:val="28"/>
          <w:rtl w:val="true"/>
          <w:lang w:bidi="ar-SA"/>
        </w:rPr>
        <w:t>نیّة واحدة</w:t>
      </w:r>
      <w:r>
        <w:rPr>
          <w:rStyle w:val="FootnoteAnchor"/>
          <w:rtl w:val="true"/>
        </w:rPr>
        <w:footnoteReference w:id="987"/>
      </w:r>
      <w:r>
        <w:rPr>
          <w:rFonts w:ascii="Amiri" w:hAnsi="Amiri" w:eastAsia="Amiri" w:cs="Amiri"/>
          <w:color w:val="111111"/>
          <w:sz w:val="28"/>
          <w:sz w:val="28"/>
          <w:szCs w:val="28"/>
          <w:rtl w:val="true"/>
          <w:lang w:bidi="ar-SA"/>
        </w:rPr>
        <w:t>للحجّ والعمرة</w:t>
      </w:r>
      <w:r>
        <w:rPr>
          <w:rStyle w:val="FootnoteAnchor"/>
          <w:rtl w:val="true"/>
        </w:rPr>
        <w:footnoteReference w:id="988"/>
      </w:r>
      <w:r>
        <w:rPr>
          <w:rFonts w:ascii="Amiri" w:hAnsi="Amiri" w:eastAsia="Amiri" w:cs="Amiri"/>
          <w:color w:val="111111"/>
          <w:sz w:val="28"/>
          <w:sz w:val="28"/>
          <w:szCs w:val="28"/>
          <w:rtl w:val="true"/>
          <w:lang w:bidi="ar-SA"/>
        </w:rPr>
        <w:t>، بل لابدّ لکلٍّ منهما من نیّته مستقلاًّ؛ إذ کلّ منهما یحتاج إلی إحرام مستقلّ، فلو نوی کذلک</w:t>
      </w:r>
      <w:r>
        <w:rPr>
          <w:rStyle w:val="FootnoteAnchor"/>
          <w:rtl w:val="true"/>
        </w:rPr>
        <w:footnoteReference w:id="989"/>
      </w:r>
      <w:r>
        <w:rPr>
          <w:rFonts w:ascii="IRNazanin" w:hAnsi="IRNazanin" w:eastAsia="IRNazanin"/>
          <w:color w:val="111111"/>
          <w:sz w:val="28"/>
          <w:sz w:val="28"/>
          <w:szCs w:val="28"/>
          <w:rtl w:val="true"/>
          <w:lang w:bidi="fa-IR"/>
        </w:rPr>
        <w:t>وجب علیه</w:t>
      </w:r>
      <w:r>
        <w:rPr>
          <w:rStyle w:val="FootnoteAnchor"/>
          <w:rtl w:val="true"/>
        </w:rPr>
        <w:footnoteReference w:id="990"/>
      </w:r>
      <w:r>
        <w:rPr>
          <w:rFonts w:ascii="IRNazanin" w:hAnsi="IRNazanin" w:eastAsia="IRNazanin"/>
          <w:color w:val="111111"/>
          <w:sz w:val="28"/>
          <w:sz w:val="28"/>
          <w:szCs w:val="28"/>
          <w:rtl w:val="true"/>
          <w:lang w:bidi="fa-IR"/>
        </w:rPr>
        <w:t>تجدیدها</w:t>
      </w:r>
      <w:r>
        <w:rPr>
          <w:rStyle w:val="FootnoteAnchor"/>
          <w:rtl w:val="true"/>
        </w:rPr>
        <w:footnoteReference w:id="991"/>
      </w:r>
      <w:r>
        <w:rPr>
          <w:rFonts w:ascii="IRNazanin" w:hAnsi="IRNazanin" w:eastAsia="IRNazanin"/>
          <w:color w:val="111111"/>
          <w:sz w:val="28"/>
          <w:sz w:val="28"/>
          <w:szCs w:val="28"/>
          <w:rtl w:val="true"/>
          <w:lang w:bidi="fa-IR"/>
        </w:rPr>
        <w:t>، والقول بصرفه إلی المتعیّن منهما إذا تعیّن علیه أحدهما، والتخییر بینهما إذا لم یتعیّن، وصحّ منه کلّ منهما کما فی أشهر الحجّ لا وجه له، کالقول</w:t>
      </w:r>
      <w:r>
        <w:rPr>
          <w:rStyle w:val="FootnoteAnchor"/>
          <w:rtl w:val="true"/>
        </w:rPr>
        <w:footnoteReference w:id="992"/>
      </w:r>
      <w:r>
        <w:rPr>
          <w:rFonts w:ascii="Amiri" w:hAnsi="Amiri" w:eastAsia="Amiri" w:cs="Amiri"/>
          <w:color w:val="111111"/>
          <w:sz w:val="28"/>
          <w:sz w:val="28"/>
          <w:szCs w:val="28"/>
          <w:rtl w:val="true"/>
          <w:lang w:bidi="ar-SA"/>
        </w:rPr>
        <w:t>بأ نّه</w:t>
      </w:r>
      <w:r>
        <w:rPr>
          <w:rStyle w:val="FootnoteAnchor"/>
          <w:rtl w:val="true"/>
        </w:rPr>
        <w:footnoteReference w:id="9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الأقرب، بناءً علی عدم جواز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أشهر الحجّ بطل ولزم التجدید، وإن کان فی غیرها صحّ عمرةً مفردة</w:t>
      </w:r>
      <w:r>
        <w:rPr>
          <w:rFonts w:eastAsia="IRNazanin" w:cs="IRNazanin"/>
          <w:color w:val="111111"/>
          <w:sz w:val="28"/>
          <w:szCs w:val="28"/>
          <w:rtl w:val="true"/>
          <w:lang w:bidi="fa-IR"/>
        </w:rPr>
        <w:t>.</w:t>
      </w:r>
    </w:p>
    <w:p>
      <w:pPr>
        <w:pStyle w:val="Heading4"/>
        <w:numPr>
          <w:ilvl w:val="3"/>
          <w:numId w:val="1"/>
        </w:numPr>
        <w:rPr/>
      </w:pPr>
      <w:bookmarkStart w:id="529" w:name="__RefHeading___Toc2055889_2322387425"/>
      <w:bookmarkStart w:id="530" w:name="_Toc194"/>
      <w:bookmarkEnd w:id="529"/>
      <w:r>
        <w:rPr>
          <w:rtl w:val="true"/>
        </w:rPr>
        <w:t>لو نوی الإحرام کإحرام فلان</w:t>
      </w:r>
      <w:bookmarkEnd w:id="53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نوی کإحرام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أ نّه لِماذا أحرم صحّ، </w:t>
      </w:r>
    </w:p>
    <w:p>
      <w:pPr>
        <w:pStyle w:val="BookText"/>
        <w:rPr/>
      </w:pPr>
      <w:r>
        <w:rPr>
          <w:rFonts w:ascii="IRNazanin" w:hAnsi="IRNazanin" w:eastAsia="IRNazanin"/>
          <w:color w:val="111111"/>
          <w:sz w:val="28"/>
          <w:sz w:val="28"/>
          <w:szCs w:val="28"/>
          <w:rtl w:val="true"/>
          <w:lang w:bidi="fa-IR"/>
        </w:rPr>
        <w:t>وإن لم یعلم فقیل بالبطلان</w:t>
      </w:r>
      <w:r>
        <w:rPr>
          <w:rStyle w:val="FootnoteAnchor"/>
          <w:rtl w:val="true"/>
        </w:rPr>
        <w:footnoteReference w:id="9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الصحّة وإن لم یعلم، ولکن کان إحرام فلان متقدّماً أو متأخّراً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التعیین، وقیل بالصحّة، لِما عن علیّ علیه‌السلام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تعذّر العلم بعنوان المأمور به بغیر هذا الوجه، وإلاّ فالصحّة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لا یتمکّن من تعیین ما هو المأمور به إلاّ بهذا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مقصوده التبعیّة فی جمیع المناسک، بل فی بعضها فی بعض الصور مثل العامیّ الّذی لم یعلم تفصیلها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بالصحّة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بها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تحقّق القصد الإجمالی فی الجملة، کما فی العوامّ الّذین یُحرِمون بإحرامِ مَن یعتقدون أ نّه عالم بأحکام الإحرام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 نّه نوع تعیین، نعم، لو لم یُحرِم فلان أو بقی علیالاشتباه فالظاهر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31" w:name="pg13284_130774"/>
    </w:p>
    <w:p>
      <w:pPr>
        <w:pStyle w:val="BookText"/>
        <w:rPr/>
      </w:pPr>
      <w:bookmarkEnd w:id="531"/>
      <w:r>
        <w:rPr>
          <w:rFonts w:ascii="IRNazanin" w:hAnsi="IRNazanin" w:eastAsia="IRNazanin"/>
          <w:color w:val="111111"/>
          <w:sz w:val="28"/>
          <w:sz w:val="28"/>
          <w:szCs w:val="28"/>
          <w:rtl w:val="true"/>
          <w:lang w:bidi="fa-IR"/>
        </w:rPr>
        <w:t>البطلان</w:t>
      </w:r>
      <w:r>
        <w:rPr>
          <w:rStyle w:val="FootnoteAnchor"/>
          <w:rtl w:val="true"/>
        </w:rPr>
        <w:footnoteReference w:id="9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هو الصحّة، ولزوم العمل بالاحتیاط المتقدّم فی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ما لو لم یُحرِم فلان، أمّا لو بقی علی الاشتباه فمشکل، ولا یبعد أن یجری فیه ما تقدّم فی الناسی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صورة الاشتباه یتمتّع، ولا وجه له، إلاّ إذا کان فی مقامٍ یصحّ له العدول إلی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وجب علیه</w:t>
      </w:r>
      <w:r>
        <w:rPr>
          <w:rStyle w:val="FootnoteAnchor"/>
          <w:rtl w:val="true"/>
        </w:rPr>
        <w:footnoteReference w:id="996"/>
      </w:r>
      <w:r>
        <w:rPr>
          <w:rFonts w:ascii="IRNazanin" w:hAnsi="IRNazanin" w:eastAsia="IRNazanin"/>
          <w:color w:val="111111"/>
          <w:sz w:val="28"/>
          <w:sz w:val="28"/>
          <w:szCs w:val="28"/>
          <w:rtl w:val="true"/>
          <w:lang w:bidi="fa-IR"/>
        </w:rPr>
        <w:t>نوع</w:t>
      </w:r>
      <w:r>
        <w:rPr>
          <w:rStyle w:val="FootnoteAnchor"/>
          <w:rtl w:val="true"/>
        </w:rPr>
        <w:footnoteReference w:id="997"/>
      </w:r>
      <w:r>
        <w:rPr>
          <w:rFonts w:ascii="IRNazanin" w:hAnsi="IRNazanin" w:eastAsia="IRNazanin"/>
          <w:color w:val="111111"/>
          <w:sz w:val="28"/>
          <w:sz w:val="28"/>
          <w:szCs w:val="28"/>
          <w:rtl w:val="true"/>
          <w:lang w:bidi="fa-IR"/>
        </w:rPr>
        <w:t>من الحجّ أو العمرة فنوی غیره بطل</w:t>
      </w:r>
      <w:r>
        <w:rPr>
          <w:rStyle w:val="FootnoteAnchor"/>
          <w:rtl w:val="true"/>
        </w:rPr>
        <w:footnoteReference w:id="9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تمشّی منه قصد القربة، وعلی الأقوی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لم یقع عمّا وجب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من الخطأ فی التطبیق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یصحّ وقوع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2055891_2322387425"/>
      <w:bookmarkStart w:id="533" w:name="_Toc195"/>
      <w:bookmarkEnd w:id="532"/>
      <w:r>
        <w:rPr>
          <w:rtl w:val="true"/>
        </w:rPr>
        <w:t>لو نوی غیر ما وجب علیه أو نطق به أو شکّ</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نوی نوعاً ونطق بغیره کان المدار علی ما نوی دون ما 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أثناء نوعٍ وشکّ فی أ نّه</w:t>
      </w:r>
      <w:r>
        <w:rPr>
          <w:rStyle w:val="FootnoteAnchor"/>
          <w:rtl w:val="true"/>
        </w:rPr>
        <w:footnoteReference w:id="999"/>
      </w:r>
      <w:r>
        <w:rPr>
          <w:rFonts w:ascii="IRNazanin" w:hAnsi="IRNazanin" w:eastAsia="IRNazanin"/>
          <w:color w:val="111111"/>
          <w:sz w:val="28"/>
          <w:sz w:val="28"/>
          <w:szCs w:val="28"/>
          <w:rtl w:val="true"/>
          <w:lang w:bidi="fa-IR"/>
        </w:rPr>
        <w:t>نواه أو نوی غیره بنی علی أ نّه نواه</w:t>
      </w:r>
      <w:r>
        <w:rPr>
          <w:rStyle w:val="FootnoteAnchor"/>
          <w:rtl w:val="true"/>
        </w:rPr>
        <w:footnoteReference w:id="10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bookmarkStart w:id="534" w:name="pg13284_130775"/>
    </w:p>
    <w:p>
      <w:pPr>
        <w:pStyle w:val="Heading4"/>
        <w:numPr>
          <w:ilvl w:val="3"/>
          <w:numId w:val="1"/>
        </w:numPr>
        <w:rPr/>
      </w:pPr>
      <w:bookmarkStart w:id="535" w:name="__RefHeading___Toc2055893_2322387425"/>
      <w:bookmarkStart w:id="536" w:name="_Toc196"/>
      <w:bookmarkEnd w:id="534"/>
      <w:bookmarkEnd w:id="535"/>
      <w:r>
        <w:rPr>
          <w:rtl w:val="true"/>
        </w:rPr>
        <w:t>ما یستحبّ فی نیّة الإحرام</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جملة من الأخبار استحباب التلفّظ</w:t>
      </w:r>
      <w:r>
        <w:rPr>
          <w:rStyle w:val="FootnoteAnchor"/>
          <w:rtl w:val="true"/>
        </w:rPr>
        <w:footnoteReference w:id="1001"/>
      </w:r>
      <w:r>
        <w:rPr>
          <w:rFonts w:ascii="Amiri" w:hAnsi="Amiri" w:eastAsia="Amiri" w:cs="Amiri"/>
          <w:color w:val="111111"/>
          <w:sz w:val="28"/>
          <w:sz w:val="28"/>
          <w:szCs w:val="28"/>
          <w:rtl w:val="true"/>
          <w:lang w:bidi="ar-SA"/>
        </w:rPr>
        <w:t>بالنیّة</w:t>
      </w:r>
      <w:r>
        <w:rPr>
          <w:rStyle w:val="FootnoteAnchor"/>
          <w:rtl w:val="true"/>
        </w:rPr>
        <w:footnoteReference w:id="1002"/>
      </w:r>
      <w:r>
        <w:rPr>
          <w:rFonts w:ascii="IRNazanin" w:hAnsi="IRNazanin" w:eastAsia="IRNazanin"/>
          <w:color w:val="111111"/>
          <w:sz w:val="28"/>
          <w:sz w:val="28"/>
          <w:szCs w:val="28"/>
          <w:rtl w:val="true"/>
          <w:lang w:bidi="fa-IR"/>
        </w:rPr>
        <w:t>، والظاهر تحقّقه بأیّ لفظٍ کان، والأولی أن یکون</w:t>
      </w:r>
      <w:r>
        <w:rPr>
          <w:rStyle w:val="FootnoteAnchor"/>
          <w:rtl w:val="true"/>
        </w:rPr>
        <w:footnoteReference w:id="1003"/>
      </w:r>
      <w:r>
        <w:rPr>
          <w:rFonts w:ascii="IRNazanin" w:hAnsi="IRNazanin" w:eastAsia="IRNazanin"/>
          <w:color w:val="111111"/>
          <w:sz w:val="28"/>
          <w:sz w:val="28"/>
          <w:szCs w:val="28"/>
          <w:rtl w:val="true"/>
          <w:lang w:bidi="fa-IR"/>
        </w:rPr>
        <w:t>بما فی صحیحة</w:t>
      </w:r>
      <w:r>
        <w:rPr>
          <w:rStyle w:val="FootnoteAnchor"/>
          <w:rtl w:val="true"/>
        </w:rPr>
        <w:footnoteReference w:id="1004"/>
      </w:r>
      <w:r>
        <w:rPr>
          <w:rFonts w:ascii="Amiri" w:hAnsi="Amiri" w:eastAsia="Amiri" w:cs="Amiri"/>
          <w:color w:val="111111"/>
          <w:sz w:val="28"/>
          <w:sz w:val="28"/>
          <w:szCs w:val="28"/>
          <w:rtl w:val="true"/>
          <w:lang w:bidi="ar-SA"/>
        </w:rPr>
        <w:t>ابن عمّار</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الدُهنیّ الثقة، وهی مرویّة فی الکافی بأربعة أسانید متقنة، وقد فرّقها المؤلّف فی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 من کتابه المذکور، فلیراجع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بعض الصحیحة، مع اختلافٍ یسیر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وهو أن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اُریدُ ما أمرتَ بِه مِنَ التَمتُّع بالعُمرَةِ إلیَ الحَجّ عَلی کِتابِکَ وَسُنّةِ نَبیِّکَ صلی‌الله‌علیه‌و‌آله ، فَیَسِّرْ ذلکَ لی، وَتَقبَّلهُ مِنِّی، وَأَعِنّی عَلَیهِ، فَإنْ عُرِضَ شَیءٌ یَحبِسُنی فَحَلِّنی حَیثُ حبستنی لقدرک الّذی قدّرت علیَّ، اللهمّ، إن لم تکن حجّة فعمرة، اُحرِم لک شعری وبشری ولحمی ودمی وعظامی ومخّی وعصبی من النساء</w:t>
      </w:r>
    </w:p>
    <w:p>
      <w:pPr>
        <w:pStyle w:val="BookText"/>
        <w:rPr/>
      </w:pPr>
      <w:r>
        <w:rPr>
          <w:rFonts w:ascii="IRNazanin" w:hAnsi="IRNazanin" w:eastAsia="IRNazanin"/>
          <w:color w:val="111111"/>
          <w:sz w:val="28"/>
          <w:sz w:val="28"/>
          <w:szCs w:val="28"/>
          <w:rtl w:val="true"/>
          <w:lang w:bidi="fa-IR"/>
        </w:rPr>
        <w:t>والطیب، أبتغی بذلک وجهک والدار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المقنعة 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96/135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یشترط عند إحرامه علی اللّه أن یُحِلّه إذا عرض مانع من إتمام نسکه من حجٍّ أو عمرة، وأن یُتِمّ إحرامه عمرةً إذا کان للحجّ ولم یمکنه الإتیان، کما یظهر من جملةٍ من الأخبار</w:t>
      </w:r>
      <w:r>
        <w:rPr>
          <w:rStyle w:val="FootnoteAnchor"/>
          <w:rtl w:val="true"/>
        </w:rPr>
        <w:footnoteReference w:id="1006"/>
      </w:r>
      <w:r>
        <w:rPr>
          <w:rFonts w:ascii="IRNazanin" w:hAnsi="IRNazanin" w:eastAsia="IRNazanin"/>
          <w:color w:val="111111"/>
          <w:sz w:val="28"/>
          <w:sz w:val="28"/>
          <w:szCs w:val="28"/>
          <w:rtl w:val="true"/>
          <w:lang w:bidi="fa-IR"/>
        </w:rPr>
        <w:t>، واختلفوا فی فائدة 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سقوط الهدی</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تعجیل التَحلُّل</w:t>
      </w:r>
      <w:r>
        <w:rPr>
          <w:rStyle w:val="FootnoteAnchor"/>
          <w:rtl w:val="true"/>
        </w:rPr>
        <w:footnoteReference w:id="1008"/>
      </w:r>
      <w:r>
        <w:rPr>
          <w:rFonts w:ascii="Amiri" w:hAnsi="Amiri" w:eastAsia="Amiri" w:cs="Amiri"/>
          <w:color w:val="111111"/>
          <w:sz w:val="28"/>
          <w:sz w:val="28"/>
          <w:szCs w:val="28"/>
          <w:rtl w:val="true"/>
          <w:lang w:bidi="ar-SA"/>
        </w:rPr>
        <w:t>، وعدم انتظار بلوغ الهدی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الحجّ</w:t>
      </w:r>
      <w:r>
        <w:rPr>
          <w:rStyle w:val="FootnoteAnchor"/>
          <w:rtl w:val="true"/>
        </w:rPr>
        <w:footnoteReference w:id="1009"/>
      </w:r>
      <w:r>
        <w:rPr>
          <w:rFonts w:ascii="IRNazanin" w:hAnsi="IRNazanin" w:eastAsia="IRNazanin"/>
          <w:color w:val="111111"/>
          <w:sz w:val="28"/>
          <w:sz w:val="28"/>
          <w:szCs w:val="28"/>
          <w:rtl w:val="true"/>
          <w:lang w:bidi="fa-IR"/>
        </w:rPr>
        <w:t>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فائدته إدراک الثواب، فهو مستحبّ تعبّدیّ، هذا هو الأظهر</w:t>
      </w:r>
      <w:r>
        <w:rPr>
          <w:rStyle w:val="FootnoteAnchor"/>
          <w:rtl w:val="true"/>
        </w:rPr>
        <w:footnoteReference w:id="10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الاصفهانی،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أظهریّته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 أظهر غیر معلوم،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حلّ حیث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أو لم یشترط لا یدلّ علی عدم فائدةٍ اُخری لهذا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الأظهریّة محلّ التأمّل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تردّد، وفی استدلاله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أردأ المحتملات وأخفاها، ولعلّ الأوجه الثانی من الوجوه المحتملة، ثمّ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الأظهریّة ممنوعة، نعم، هذا القول مطابق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مطابقة هذا القول للاحتیاط معلومة، وأظهریّته غیر معلومة إن لم تکن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أحوط، والأقوی سقوط الهدی عنه إذا لم یکن قد ساق هدیاً فی إحرامه، ولا یجب علیه الحجّ من قابل، ولا العمرة إذا کان إحرامه لحجٍّ مندوب أو عمرةٍ مندوبة، ولا یسقط عنه إذا کان واجباً، وإذا کان واجباً غیر مستقرٍّ رُوعِیَ فی وجوبه من قابل بقاء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الأظهریّة منع، ولکنّه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الأظهر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bookmarkStart w:id="537" w:name="pg13284_130777"/>
    </w:p>
    <w:p>
      <w:pPr>
        <w:pStyle w:val="BookText"/>
        <w:rPr/>
      </w:pPr>
      <w:bookmarkEnd w:id="537"/>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علیه‌السلام فی بعض الأخبار</w:t>
      </w:r>
      <w:r>
        <w:rPr>
          <w:rStyle w:val="FootnoteAnchor"/>
          <w:rtl w:val="true"/>
        </w:rPr>
        <w:footnoteReference w:id="10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حیث حبسه، اشترط أو لم یشترط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عدم کفایة النیّة</w:t>
      </w:r>
      <w:r>
        <w:rPr>
          <w:rStyle w:val="FootnoteAnchor"/>
          <w:rtl w:val="true"/>
        </w:rPr>
        <w:footnoteReference w:id="1012"/>
      </w:r>
      <w:r>
        <w:rPr>
          <w:rFonts w:ascii="IRNazanin" w:hAnsi="IRNazanin" w:eastAsia="IRNazanin"/>
          <w:color w:val="111111"/>
          <w:sz w:val="28"/>
          <w:sz w:val="28"/>
          <w:szCs w:val="28"/>
          <w:rtl w:val="true"/>
          <w:lang w:bidi="fa-IR"/>
        </w:rPr>
        <w:t>فی حصول الاشتراط، بل لابدّ من التلفّظ، لکن یکفی کلّ ما أفاد هذا المعنی، فلا یعتبر فیه لفظ مخصوص، وإن کان الأولی التعیین ممّا فی الأخبار</w:t>
      </w:r>
      <w:r>
        <w:rPr>
          <w:rFonts w:eastAsia="IRNazanin" w:cs="IRNazanin"/>
          <w:color w:val="111111"/>
          <w:sz w:val="28"/>
          <w:szCs w:val="28"/>
          <w:rtl w:val="true"/>
          <w:lang w:bidi="fa-IR"/>
        </w:rPr>
        <w:t>.</w:t>
      </w:r>
    </w:p>
    <w:p>
      <w:pPr>
        <w:pStyle w:val="Heading4"/>
        <w:numPr>
          <w:ilvl w:val="3"/>
          <w:numId w:val="1"/>
        </w:numPr>
        <w:rPr/>
      </w:pPr>
      <w:bookmarkStart w:id="538" w:name="__RefHeading___Toc2055895_2322387425"/>
      <w:bookmarkStart w:id="539" w:name="_Toc197"/>
      <w:bookmarkEnd w:id="538"/>
      <w:r>
        <w:rPr>
          <w:rtl w:val="true"/>
        </w:rPr>
        <w:t>الثانی</w:t>
      </w:r>
      <w:r>
        <w:rPr>
          <w:rtl w:val="true"/>
        </w:rPr>
        <w:t xml:space="preserve">: </w:t>
      </w:r>
      <w:r>
        <w:rPr>
          <w:rtl w:val="true"/>
        </w:rPr>
        <w:t>التلبیة وکیفیّتها</w:t>
      </w:r>
      <w:bookmarkEnd w:id="53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التلبیات الأربع، والقول بوجوب الخَمْس أو السِتّ ضعیف، بل ادّعی جماعة الإجماع علی عدم وجوب الأزید من الأربع، </w:t>
      </w:r>
    </w:p>
    <w:p>
      <w:pPr>
        <w:pStyle w:val="BookText"/>
        <w:rPr/>
      </w:pPr>
      <w:r>
        <w:rPr>
          <w:rFonts w:ascii="IRNazanin" w:hAnsi="IRNazanin" w:eastAsia="IRNazanin"/>
          <w:color w:val="111111"/>
          <w:sz w:val="28"/>
          <w:sz w:val="28"/>
          <w:szCs w:val="28"/>
          <w:rtl w:val="true"/>
          <w:lang w:bidi="fa-IR"/>
        </w:rPr>
        <w:t>واختلفوا فی صورتها علی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 شَریکَ لَکَ لَبَّیکَ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Style w:val="FootnoteAnchor"/>
          <w:rtl w:val="true"/>
        </w:rPr>
        <w:footnoteReference w:id="1014"/>
      </w:r>
      <w:r>
        <w:rPr>
          <w:rFonts w:ascii="Amiri" w:hAnsi="Amiri" w:eastAsia="Amiri" w:cs="Amiri"/>
          <w:color w:val="111111"/>
          <w:sz w:val="28"/>
          <w:sz w:val="28"/>
          <w:szCs w:val="28"/>
          <w:rtl w:val="true"/>
          <w:lang w:bidi="ar-SA"/>
        </w:rPr>
        <w:t>بعد العبارة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والنعمةَ لکَ والمُلک، 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إنّ الحمدَ والنعمةَ لکَ والمُلک، لا شریکَ لکَ لبّیک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کالثالث، إلاّ أ 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والمُلکَ لکَ، لا شَریکَ لکَ لَبّیک، بتقدیم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والأقوی هو القول</w:t>
      </w:r>
      <w:r>
        <w:rPr>
          <w:rStyle w:val="FootnoteAnchor"/>
          <w:rtl w:val="true"/>
        </w:rPr>
        <w:footnoteReference w:id="1015"/>
      </w:r>
      <w:r>
        <w:rPr>
          <w:rFonts w:ascii="Amiri" w:hAnsi="Amiri" w:eastAsia="Amiri" w:cs="Amiri"/>
          <w:color w:val="111111"/>
          <w:sz w:val="28"/>
          <w:sz w:val="28"/>
          <w:szCs w:val="28"/>
          <w:rtl w:val="true"/>
          <w:lang w:bidi="ar-SA"/>
        </w:rPr>
        <w:t>الأوّل</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الثالث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بإضافة العبارة المذکورة فی الثانی إلیها، بل وذکر تلبیةٍ خامسةٍ بعد تلک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بل الأحوط الّذی لا ینبغی ترکه هو القول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إلحاق ما فی الثانیة إلیها، بل أن یقول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بإضافة العبارة المذکورة فی الثانی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هو صریح صحیحة معاویة بن عمّار، والزوائد مستحبّة، والأولی التکرار</w:t>
      </w:r>
      <w:bookmarkStart w:id="540" w:name="pg13284_130779"/>
    </w:p>
    <w:p>
      <w:pPr>
        <w:pStyle w:val="BookText"/>
        <w:rPr/>
      </w:pPr>
      <w:bookmarkEnd w:id="540"/>
      <w:r>
        <w:rPr>
          <w:rFonts w:ascii="IRNazanin" w:hAnsi="IRNazanin" w:eastAsia="IRNazanin"/>
          <w:color w:val="111111"/>
          <w:sz w:val="28"/>
          <w:sz w:val="28"/>
          <w:szCs w:val="28"/>
          <w:rtl w:val="true"/>
          <w:lang w:bidi="fa-IR"/>
        </w:rPr>
        <w:t>بالإتیان بکلٍّ من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یستحبّ أن یقول کما فی صحیحة معاویة</w:t>
      </w:r>
      <w:r>
        <w:rPr>
          <w:rStyle w:val="FootnoteAnchor"/>
          <w:rtl w:val="true"/>
        </w:rPr>
        <w:footnoteReference w:id="1017"/>
      </w:r>
      <w:r>
        <w:rPr>
          <w:rFonts w:ascii="Amiri" w:hAnsi="Amiri" w:eastAsia="Amiri" w:cs="Amiri"/>
          <w:color w:val="111111"/>
          <w:sz w:val="28"/>
          <w:sz w:val="28"/>
          <w:szCs w:val="28"/>
          <w:rtl w:val="true"/>
          <w:lang w:bidi="ar-SA"/>
        </w:rPr>
        <w:t>بن عمّار</w:t>
      </w:r>
      <w:r>
        <w:rPr>
          <w:rStyle w:val="FootnoteAnchor"/>
          <w:rtl w:val="true"/>
        </w:rPr>
        <w:footnoteReference w:id="10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لَبّیکَ اللهُمّ لَبّیکَ، لَبّیکَ لا شَریْکَ، لَکَ لَبّیک، إنَّ الحمَدَ وَالنِعْمَة لَکَ وَالمُلکَ، لَکَ لا شریکَ لکَ، لبّیک ذا المعارج لبّیک، لبّیک لبّیک داعیاً إلی دار السلام لبّیک، لبّیک غفّار الذنوب لبّیک، لبّیک أهل التلبیة لبّیک، لبّیک ذاالجلال والإکرام، لبّیک مرهوباً ومرغوباً إلیک، لبّیک، لبّیک تبدأ والمعاد إلیک، لبّیک کشّاف الکروب العظام لبّیک، لبّیک عبدُک وابن عبدَیک لبّیک، لبّیک یا کریمُ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2055897_2322387425"/>
      <w:bookmarkStart w:id="542" w:name="_Toc198"/>
      <w:bookmarkEnd w:id="541"/>
      <w:r>
        <w:rPr>
          <w:rtl w:val="true"/>
        </w:rPr>
        <w:t>ما یلزم مراعاته فی التلبیة</w:t>
      </w:r>
      <w:bookmarkEnd w:id="5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الإتیان بها علی الوجه الصحیح، بمراعاة أداء الکلمات علی قواعد العربیّة، فلا یجزی الملحون مع التمکّن من الصحیح بالتلقین أو التصحیح، ومع عدم تمکّنه فالأحوط الجمع</w:t>
      </w:r>
      <w:r>
        <w:rPr>
          <w:rStyle w:val="FootnoteAnchor"/>
          <w:rtl w:val="true"/>
        </w:rPr>
        <w:footnoteReference w:id="10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تعیّن الاستنابة، وکذا فی الترجمة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وبین الاستنابة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لا تجزی الترجمة مع التمکّن، ومع عدمه فالأحوط الجمع بینهما وبین الاستنابة، والأخرس یشیر إلیها بإصبعِهِ مع تحریک لسانه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عقد قلبه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والأولی أن یجمع بینهما وبین الاستنابة، ویُلبِّی من الصَبِیِّ الغیر الممیّز ومن</w:t>
      </w:r>
    </w:p>
    <w:p>
      <w:pPr>
        <w:pStyle w:val="BookText"/>
        <w:rPr/>
      </w:pPr>
      <w:r>
        <w:rPr>
          <w:rFonts w:ascii="Amiri" w:hAnsi="Amiri" w:eastAsia="Amiri" w:cs="Amiri"/>
          <w:color w:val="111111"/>
          <w:sz w:val="28"/>
          <w:sz w:val="28"/>
          <w:szCs w:val="28"/>
          <w:rtl w:val="true"/>
          <w:lang w:bidi="ar-SA"/>
        </w:rPr>
        <w:t>المُغْمَی علیه</w:t>
      </w:r>
      <w:r>
        <w:rPr>
          <w:rStyle w:val="FootnoteAnchor"/>
          <w:rtl w:val="true"/>
        </w:rPr>
        <w:footnoteReference w:id="10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المغمی علیه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یصحّ أن یُقرأ بکسر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الهمزة وفتحها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تعیّنه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بل لا یخلو من 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والموافق للقواعد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لمکان إفادة تعمیم التلبیة والحمد مطلقاً، بخلاف الفتح، فإنّه یخصّص التلبیة، مضافاً إلی أنّ الفتح لم ینقل فی أکثر الکتب المعتمدة الحدیثیّة والفقهیّة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متعیّن علی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باختیاره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ولعلّه المتعیّن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الجمع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ولبّیک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منصوب</w:t>
      </w:r>
      <w:bookmarkStart w:id="543" w:name="pg13284_130781"/>
    </w:p>
    <w:p>
      <w:pPr>
        <w:pStyle w:val="BookText"/>
        <w:rPr/>
      </w:pPr>
      <w:bookmarkEnd w:id="543"/>
      <w:r>
        <w:rPr>
          <w:rFonts w:ascii="Amiri" w:hAnsi="Amiri" w:eastAsia="Amiri" w:cs="Amiri"/>
          <w:color w:val="111111"/>
          <w:sz w:val="28"/>
          <w:sz w:val="28"/>
          <w:szCs w:val="28"/>
          <w:rtl w:val="true"/>
          <w:lang w:bidi="ar-SA"/>
        </w:rPr>
        <w:t>بفعلٍ</w:t>
      </w:r>
      <w:r>
        <w:rPr>
          <w:rStyle w:val="FootnoteAnchor"/>
          <w:rtl w:val="true"/>
        </w:rPr>
        <w:footnoteReference w:id="1021"/>
      </w:r>
      <w:r>
        <w:rPr>
          <w:rFonts w:ascii="Amiri" w:hAnsi="Amiri" w:eastAsia="Amiri" w:cs="Amiri"/>
          <w:color w:val="111111"/>
          <w:sz w:val="28"/>
          <w:sz w:val="28"/>
          <w:szCs w:val="28"/>
          <w:rtl w:val="true"/>
          <w:lang w:bidi="ar-SA"/>
        </w:rPr>
        <w:t>مقدَّر، أی اُلَبِّ لک إلباباً بعد إلباب، أو لَبّاً بعد لَبّ، أی إقامةً بعد إقامة،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بالمکان أو ألبَّ، أی أقام، والأولی کونه</w:t>
      </w:r>
      <w:r>
        <w:rPr>
          <w:rStyle w:val="FootnoteAnchor"/>
          <w:rtl w:val="true"/>
        </w:rPr>
        <w:footnoteReference w:id="1022"/>
      </w:r>
      <w:r>
        <w:rPr>
          <w:rFonts w:ascii="Amiri" w:hAnsi="Amiri" w:eastAsia="Amiri" w:cs="Amiri"/>
          <w:color w:val="111111"/>
          <w:sz w:val="28"/>
          <w:sz w:val="28"/>
          <w:szCs w:val="28"/>
          <w:rtl w:val="true"/>
          <w:lang w:bidi="ar-SA"/>
        </w:rPr>
        <w:t>من لَبّ</w:t>
      </w:r>
      <w:r>
        <w:rPr>
          <w:rStyle w:val="FootnoteAnchor"/>
          <w:rtl w:val="true"/>
        </w:rPr>
        <w:footnoteReference w:id="1023"/>
      </w:r>
      <w:r>
        <w:rPr>
          <w:rFonts w:ascii="Amiri" w:hAnsi="Amiri" w:eastAsia="Amiri" w:cs="Amiri"/>
          <w:color w:val="111111"/>
          <w:sz w:val="28"/>
          <w:sz w:val="28"/>
          <w:szCs w:val="28"/>
          <w:rtl w:val="true"/>
          <w:lang w:bidi="ar-SA"/>
        </w:rPr>
        <w:t>، وعلی هذا فأصله لبَّین لک، فحذف اللام واُضیف إلی الکاف، فحذف النون، وحاصل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إجابتَین لک، وربّما یحتمل أن یکون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بمعنی واجه،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داری تُلَبِّ دارک، أی تواجهها،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مواجَهَتِی وقَصدِی لک، وأمّا احتمال کونه من لُبّ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خالِصُه، فیکون بمعنی إخلاصی لکَ فبعید</w:t>
      </w:r>
      <w:r>
        <w:rPr>
          <w:rStyle w:val="FootnoteAnchor"/>
          <w:rtl w:val="true"/>
        </w:rPr>
        <w:footnoteReference w:id="1024"/>
      </w:r>
      <w:r>
        <w:rPr>
          <w:rFonts w:ascii="IRNazanin" w:hAnsi="IRNazanin" w:eastAsia="IRNazanin"/>
          <w:color w:val="111111"/>
          <w:sz w:val="28"/>
          <w:sz w:val="28"/>
          <w:szCs w:val="28"/>
          <w:rtl w:val="true"/>
          <w:lang w:bidi="fa-IR"/>
        </w:rPr>
        <w:t xml:space="preserve">، کما أنّ القول بأ نّه کلمة مفردة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فاُضیفت إلی الکاف فقُلِبت ألفُه یاءً لا وجهَ له؛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اُضیفا إلی الظاهر یقال فیهما بالألف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لبّی کذلک فإنّه یقال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w:t>
      </w:r>
      <w:r>
        <w:rPr>
          <w:rFonts w:eastAsia="IRNazanin" w:cs="IRNazanin"/>
          <w:color w:val="111111"/>
          <w:sz w:val="28"/>
          <w:szCs w:val="28"/>
          <w:rtl w:val="true"/>
          <w:lang w:bidi="fa-IR"/>
        </w:rPr>
        <w:t>.</w:t>
      </w:r>
    </w:p>
    <w:p>
      <w:pPr>
        <w:pStyle w:val="Heading4"/>
        <w:numPr>
          <w:ilvl w:val="3"/>
          <w:numId w:val="1"/>
        </w:numPr>
        <w:rPr/>
      </w:pPr>
      <w:bookmarkStart w:id="544" w:name="__RefHeading___Toc2055899_2322387425"/>
      <w:bookmarkStart w:id="545" w:name="_Toc199"/>
      <w:bookmarkEnd w:id="544"/>
      <w:r>
        <w:rPr>
          <w:rtl w:val="true"/>
        </w:rPr>
        <w:t>مواطن انعقاد الإحرام بالتلبیة وبالإشعار والتقلید</w:t>
      </w:r>
      <w:bookmarkEnd w:id="54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حجّ التمتّع وإحرام عمرته، ولا إحرام حجّ الإفراد ولا إحرام العمرة المفردة إلاّ بالتلبیة</w:t>
      </w:r>
      <w:r>
        <w:rPr>
          <w:rStyle w:val="FootnoteAnchor"/>
          <w:rtl w:val="true"/>
        </w:rPr>
        <w:footnoteReference w:id="1025"/>
      </w:r>
      <w:r>
        <w:rPr>
          <w:rFonts w:ascii="Amiri" w:hAnsi="Amiri" w:eastAsia="Amiri" w:cs="Amiri"/>
          <w:color w:val="111111"/>
          <w:sz w:val="28"/>
          <w:sz w:val="28"/>
          <w:szCs w:val="28"/>
          <w:rtl w:val="true"/>
          <w:lang w:bidi="ar-SA"/>
        </w:rPr>
        <w:t xml:space="preserve">، وأمّا فی حجّ القِران فیتخیّر </w:t>
      </w:r>
    </w:p>
    <w:p>
      <w:pPr>
        <w:pStyle w:val="BookText"/>
        <w:rPr/>
      </w:pPr>
      <w:r>
        <w:rPr>
          <w:rFonts w:ascii="IRNazanin" w:hAnsi="IRNazanin" w:eastAsia="IRNazanin"/>
          <w:color w:val="111111"/>
          <w:sz w:val="28"/>
          <w:sz w:val="28"/>
          <w:szCs w:val="28"/>
          <w:rtl w:val="true"/>
          <w:lang w:bidi="fa-IR"/>
        </w:rPr>
        <w:t>بین التلبیة وبین الإشعار أو التقلید، والإشعار مختصّ بالبدن</w:t>
      </w:r>
      <w:r>
        <w:rPr>
          <w:rStyle w:val="FootnoteAnchor"/>
          <w:rtl w:val="true"/>
        </w:rPr>
        <w:footnoteReference w:id="1026"/>
      </w:r>
      <w:r>
        <w:rPr>
          <w:rFonts w:ascii="IRNazanin" w:hAnsi="IRNazanin" w:eastAsia="IRNazanin"/>
          <w:color w:val="111111"/>
          <w:sz w:val="28"/>
          <w:sz w:val="28"/>
          <w:szCs w:val="28"/>
          <w:rtl w:val="true"/>
          <w:lang w:bidi="fa-IR"/>
        </w:rPr>
        <w:t>، والتقلید مشترک بینها وبین غیرها من أنواع الهدی،والأولی فی البدن الجمع بین الإشعار والتقلید، فینعقد إحرام حجّ القِران بأحد هذه الثلاثة، ولکنّ الأحوط</w:t>
      </w:r>
      <w:r>
        <w:rPr>
          <w:rStyle w:val="FootnoteAnchor"/>
          <w:rtl w:val="true"/>
        </w:rPr>
        <w:footnoteReference w:id="10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اختیار الإشعار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والتقلید ضمّ التلبیة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w:t>
      </w:r>
      <w:r>
        <w:rPr>
          <w:rStyle w:val="FootnoteAnchor"/>
          <w:rtl w:val="true"/>
        </w:rPr>
        <w:footnoteReference w:id="1028"/>
      </w:r>
      <w:r>
        <w:rPr>
          <w:rFonts w:ascii="IRNazanin" w:hAnsi="IRNazanin" w:eastAsia="IRNazanin"/>
          <w:color w:val="111111"/>
          <w:sz w:val="28"/>
          <w:sz w:val="28"/>
          <w:szCs w:val="28"/>
          <w:rtl w:val="true"/>
          <w:lang w:bidi="fa-IR"/>
        </w:rPr>
        <w:t>وجوب</w:t>
      </w:r>
      <w:r>
        <w:rPr>
          <w:rStyle w:val="FootnoteAnchor"/>
          <w:rtl w:val="true"/>
        </w:rPr>
        <w:footnoteReference w:id="1029"/>
      </w:r>
      <w:r>
        <w:rPr>
          <w:rFonts w:ascii="IRNazanin" w:hAnsi="IRNazanin" w:eastAsia="IRNazanin"/>
          <w:color w:val="111111"/>
          <w:sz w:val="28"/>
          <w:sz w:val="28"/>
          <w:szCs w:val="28"/>
          <w:rtl w:val="true"/>
          <w:lang w:bidi="fa-IR"/>
        </w:rPr>
        <w:t>التلبیة</w:t>
      </w:r>
      <w:r>
        <w:rPr>
          <w:rStyle w:val="FootnoteAnchor"/>
          <w:rtl w:val="true"/>
        </w:rPr>
        <w:footnoteReference w:id="10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الأظهر عدم الوجوب إذا لم یتوقّف انعقاد إحرامه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القارن وإن لم یتوقّف انعقاد</w:t>
      </w:r>
      <w:bookmarkStart w:id="546" w:name="pg13284_130783"/>
    </w:p>
    <w:p>
      <w:pPr>
        <w:pStyle w:val="BookText"/>
        <w:rPr/>
      </w:pPr>
      <w:bookmarkEnd w:id="546"/>
      <w:r>
        <w:rPr>
          <w:rFonts w:ascii="IRNazanin" w:hAnsi="IRNazanin" w:eastAsia="IRNazanin"/>
          <w:color w:val="111111"/>
          <w:sz w:val="28"/>
          <w:sz w:val="28"/>
          <w:szCs w:val="28"/>
          <w:rtl w:val="true"/>
          <w:lang w:bidi="fa-IR"/>
        </w:rPr>
        <w:t>إحرامه علیها، فهی واجبة علیه فی نفسها</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الجمع بین التلبیة وأحد الأمرین، وبأیّهما بدأ کان واجباً، وکان الآخر مستحبّاً</w:t>
      </w:r>
      <w:r>
        <w:rPr>
          <w:rStyle w:val="FootnoteAnchor"/>
          <w:rtl w:val="true"/>
        </w:rPr>
        <w:footnoteReference w:id="10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الآخر مع الابتداء بالتلبیة لم یثبت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لبّی أوّلاً وترکهما لم یکن حجّه بِقِران، ولا یخفی أنّ اختیار استحباب التلبیة بعد الإشعار أو التقلید منافٍ لما اختاره من وجوبها نفساً علی القارِن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الإشعار عبارة عن شَقّ السَنَام الأیمن</w:t>
      </w:r>
      <w:r>
        <w:rPr>
          <w:rStyle w:val="FootnoteAnchor"/>
          <w:rtl w:val="true"/>
        </w:rPr>
        <w:footnoteReference w:id="10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جاز الأیسر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بأن یقوم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الرجل من الجانب الأیسر من الهدی ویشقّ سَنامه من الجانب الأیمن، ویلطّخ صفحته بدمه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ما ذکره الأصحاب، ولم نَرَ نصّاً یدلّ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والتقلید أن یعلَّق فی رقبة الهَدیِ نعلاً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خَلِقاً قد صُلِّیَ فیه</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2055901_2322387425"/>
      <w:bookmarkStart w:id="548" w:name="_Toc200"/>
      <w:bookmarkEnd w:id="547"/>
      <w:r>
        <w:rPr>
          <w:rtl w:val="true"/>
        </w:rPr>
        <w:t>تأخیر التلبیة عن النیّة ولبس الثوبین</w:t>
      </w:r>
      <w:bookmarkEnd w:id="54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مقارنة </w:t>
      </w:r>
      <w:r>
        <w:rPr>
          <w:rFonts w:eastAsia="Amiri" w:cs="Amiri" w:ascii="Amiri" w:hAnsi="Amiri"/>
          <w:color w:val="111111"/>
          <w:sz w:val="28"/>
          <w:szCs w:val="28"/>
          <w:rtl w:val="true"/>
          <w:lang w:bidi="ar-SA"/>
        </w:rPr>
        <w:t xml:space="preserve">. . . . . </w:t>
      </w:r>
      <w:bookmarkStart w:id="549" w:name="pg13284_130784"/>
    </w:p>
    <w:p>
      <w:pPr>
        <w:pStyle w:val="BookText"/>
        <w:rPr/>
      </w:pPr>
      <w:bookmarkEnd w:id="549"/>
      <w:r>
        <w:rPr>
          <w:rFonts w:ascii="IRNazanin" w:hAnsi="IRNazanin" w:eastAsia="IRNazanin"/>
          <w:color w:val="111111"/>
          <w:sz w:val="28"/>
          <w:sz w:val="28"/>
          <w:szCs w:val="28"/>
          <w:rtl w:val="true"/>
          <w:lang w:bidi="fa-IR"/>
        </w:rPr>
        <w:t>التلبیة</w:t>
      </w:r>
      <w:r>
        <w:rPr>
          <w:rStyle w:val="FootnoteAnchor"/>
          <w:rtl w:val="true"/>
        </w:rPr>
        <w:footnoteReference w:id="1034"/>
      </w:r>
      <w:r>
        <w:rPr>
          <w:rFonts w:ascii="IRNazanin" w:hAnsi="IRNazanin" w:eastAsia="IRNazanin"/>
          <w:color w:val="111111"/>
          <w:sz w:val="28"/>
          <w:sz w:val="28"/>
          <w:szCs w:val="28"/>
          <w:rtl w:val="true"/>
          <w:lang w:bidi="fa-IR"/>
        </w:rPr>
        <w:t>لنیّة الإحرام وإن کان أحوط</w:t>
      </w:r>
      <w:r>
        <w:rPr>
          <w:rStyle w:val="FootnoteAnchor"/>
          <w:rtl w:val="true"/>
        </w:rPr>
        <w:footnoteReference w:id="10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فیجوز أن یوءخّرها عن النیّة ولبس الثوبَین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2055903_2322387425"/>
      <w:bookmarkStart w:id="551" w:name="_Toc201"/>
      <w:bookmarkEnd w:id="550"/>
      <w:r>
        <w:rPr>
          <w:rtl w:val="true"/>
        </w:rPr>
        <w:t>جواز إتیان محرّمات الإحرام قبل التلبیة</w:t>
      </w:r>
      <w:bookmarkEnd w:id="5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علیه محرّمات الإحرام قبل التلبیة وإن دخل فیه</w:t>
      </w:r>
      <w:r>
        <w:rPr>
          <w:rStyle w:val="FootnoteAnchor"/>
          <w:rtl w:val="true"/>
        </w:rPr>
        <w:footnoteReference w:id="1036"/>
      </w:r>
      <w:r>
        <w:rPr>
          <w:rFonts w:ascii="IRNazanin" w:hAnsi="IRNazanin" w:eastAsia="IRNazanin"/>
          <w:color w:val="111111"/>
          <w:sz w:val="28"/>
          <w:sz w:val="28"/>
          <w:szCs w:val="28"/>
          <w:rtl w:val="true"/>
          <w:lang w:bidi="fa-IR"/>
        </w:rPr>
        <w:t>بالنیّة ولبس الثوبین، فلو فعل شیئاً من المحرّمات لا یکون 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علیه کفّارة، وکذا فی القارن إذا لم یأتِ بها ولا بالإشعار أو التقلید، بل یجوز له أن یبطل</w:t>
      </w:r>
      <w:r>
        <w:rPr>
          <w:rStyle w:val="FootnoteAnchor"/>
          <w:rtl w:val="true"/>
        </w:rPr>
        <w:footnoteReference w:id="1037"/>
      </w:r>
      <w:r>
        <w:rPr>
          <w:rFonts w:ascii="IRNazanin" w:hAnsi="IRNazanin" w:eastAsia="IRNazanin"/>
          <w:color w:val="111111"/>
          <w:sz w:val="28"/>
          <w:sz w:val="28"/>
          <w:szCs w:val="28"/>
          <w:rtl w:val="true"/>
          <w:lang w:bidi="fa-IR"/>
        </w:rPr>
        <w:t>الإحرام</w:t>
      </w:r>
      <w:r>
        <w:rPr>
          <w:rStyle w:val="FootnoteAnchor"/>
          <w:rtl w:val="true"/>
        </w:rPr>
        <w:footnoteReference w:id="1038"/>
      </w:r>
      <w:r>
        <w:rPr>
          <w:rFonts w:ascii="IRNazanin" w:hAnsi="IRNazanin" w:eastAsia="IRNazanin"/>
          <w:color w:val="111111"/>
          <w:sz w:val="28"/>
          <w:sz w:val="28"/>
          <w:szCs w:val="28"/>
          <w:rtl w:val="true"/>
          <w:lang w:bidi="fa-IR"/>
        </w:rPr>
        <w:t>مالم یأتِ بها فی غیر القارن، أو لم یأتِ بها ولا بأحد الأمرین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الشروع فی الإحرام وإن کان یتحقّق بالنیّة ولبس الثوبین إلاّ أ نّه لا تحرم علیه المحرّمات، ولا یلزم البقاء علیه إلاّ بها أو بأحد الأمرین، فالتلبیةُ وأخَواهَا بمنزلة تکبیرة الإحرام فی الصلاة</w:t>
      </w:r>
      <w:r>
        <w:rPr>
          <w:rFonts w:eastAsia="IRNazanin" w:cs="IRNazanin"/>
          <w:color w:val="111111"/>
          <w:sz w:val="28"/>
          <w:szCs w:val="28"/>
          <w:rtl w:val="true"/>
          <w:lang w:bidi="fa-IR"/>
        </w:rPr>
        <w:t>.</w:t>
      </w:r>
    </w:p>
    <w:p>
      <w:pPr>
        <w:pStyle w:val="Heading4"/>
        <w:numPr>
          <w:ilvl w:val="3"/>
          <w:numId w:val="1"/>
        </w:numPr>
        <w:rPr/>
      </w:pPr>
      <w:bookmarkStart w:id="552" w:name="__RefHeading___Toc2055905_2322387425"/>
      <w:bookmarkStart w:id="553" w:name="_Toc202"/>
      <w:bookmarkEnd w:id="552"/>
      <w:r>
        <w:rPr>
          <w:rtl w:val="true"/>
        </w:rPr>
        <w:t>حکم نسیان التلبیة</w:t>
      </w:r>
      <w:bookmarkEnd w:id="5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w:t>
      </w:r>
      <w:r>
        <w:rPr>
          <w:rStyle w:val="FootnoteAnchor"/>
          <w:rtl w:val="true"/>
        </w:rPr>
        <w:footnoteReference w:id="1039"/>
      </w:r>
      <w:r>
        <w:rPr>
          <w:rFonts w:ascii="IRNazanin" w:hAnsi="IRNazanin" w:eastAsia="IRNazanin"/>
          <w:color w:val="111111"/>
          <w:sz w:val="28"/>
          <w:sz w:val="28"/>
          <w:szCs w:val="28"/>
          <w:rtl w:val="true"/>
          <w:lang w:bidi="fa-IR"/>
        </w:rPr>
        <w:t xml:space="preserve">التلبیة وجـب علیه </w:t>
      </w:r>
      <w:bookmarkStart w:id="554" w:name="pg13284_130785"/>
    </w:p>
    <w:p>
      <w:pPr>
        <w:pStyle w:val="BookText"/>
        <w:rPr/>
      </w:pPr>
      <w:bookmarkEnd w:id="554"/>
      <w:r>
        <w:rPr>
          <w:rFonts w:ascii="Amiri" w:hAnsi="Amiri" w:eastAsia="Amiri" w:cs="Amiri"/>
          <w:color w:val="111111"/>
          <w:sz w:val="28"/>
          <w:sz w:val="28"/>
          <w:szCs w:val="28"/>
          <w:rtl w:val="true"/>
          <w:lang w:bidi="ar-SA"/>
        </w:rPr>
        <w:t>العَود</w:t>
      </w:r>
      <w:r>
        <w:rPr>
          <w:rStyle w:val="FootnoteAnchor"/>
          <w:rtl w:val="true"/>
        </w:rPr>
        <w:footnoteReference w:id="1040"/>
      </w:r>
      <w:r>
        <w:rPr>
          <w:rFonts w:ascii="IRNazanin" w:hAnsi="IRNazanin" w:eastAsia="IRNazanin"/>
          <w:color w:val="111111"/>
          <w:sz w:val="28"/>
          <w:sz w:val="28"/>
          <w:szCs w:val="28"/>
          <w:rtl w:val="true"/>
          <w:lang w:bidi="fa-IR"/>
        </w:rPr>
        <w:t>إلی</w:t>
      </w:r>
      <w:r>
        <w:rPr>
          <w:rStyle w:val="FootnoteAnchor"/>
          <w:rtl w:val="true"/>
        </w:rPr>
        <w:footnoteReference w:id="1041"/>
      </w:r>
      <w:r>
        <w:rPr>
          <w:rFonts w:ascii="IRNazanin" w:hAnsi="IRNazanin" w:eastAsia="IRNazanin"/>
          <w:color w:val="111111"/>
          <w:sz w:val="28"/>
          <w:sz w:val="28"/>
          <w:szCs w:val="28"/>
          <w:rtl w:val="true"/>
          <w:lang w:bidi="fa-IR"/>
        </w:rPr>
        <w:t>المیقات؛ لتدارکها</w:t>
      </w:r>
      <w:r>
        <w:rPr>
          <w:rStyle w:val="FootnoteAnchor"/>
          <w:rtl w:val="true"/>
        </w:rPr>
        <w:footnoteReference w:id="1042"/>
      </w:r>
      <w:r>
        <w:rPr>
          <w:rFonts w:ascii="IRNazanin" w:hAnsi="IRNazanin" w:eastAsia="IRNazanin"/>
          <w:color w:val="111111"/>
          <w:sz w:val="28"/>
          <w:sz w:val="28"/>
          <w:szCs w:val="28"/>
          <w:rtl w:val="true"/>
          <w:lang w:bidi="fa-IR"/>
        </w:rPr>
        <w:t>، وإن لم یتمکّن</w:t>
      </w:r>
      <w:r>
        <w:rPr>
          <w:rStyle w:val="FootnoteAnchor"/>
          <w:rtl w:val="true"/>
        </w:rPr>
        <w:footnoteReference w:id="1043"/>
      </w:r>
      <w:r>
        <w:rPr>
          <w:rFonts w:ascii="IRNazanin" w:hAnsi="IRNazanin" w:eastAsia="IRNazanin"/>
          <w:color w:val="111111"/>
          <w:sz w:val="28"/>
          <w:sz w:val="28"/>
          <w:szCs w:val="28"/>
          <w:rtl w:val="true"/>
          <w:lang w:bidi="fa-IR"/>
        </w:rPr>
        <w:t>أتی بها فی مکان التذکّر</w:t>
      </w:r>
      <w:r>
        <w:rPr>
          <w:rStyle w:val="FootnoteAnchor"/>
          <w:rtl w:val="true"/>
        </w:rPr>
        <w:footnoteReference w:id="10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تفصیله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أحکام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عدم وجوب الکفّارة علیه إذا کان آتیاً بما یوجبها؛ لِمَا عرفت من عدم انعقاد الإحرام إلاّ بها</w:t>
      </w:r>
      <w:r>
        <w:rPr>
          <w:rFonts w:eastAsia="IRNazanin" w:cs="IRNazanin"/>
          <w:color w:val="111111"/>
          <w:sz w:val="28"/>
          <w:szCs w:val="28"/>
          <w:rtl w:val="true"/>
          <w:lang w:bidi="fa-IR"/>
        </w:rPr>
        <w:t>.</w:t>
      </w:r>
    </w:p>
    <w:p>
      <w:pPr>
        <w:pStyle w:val="Heading4"/>
        <w:numPr>
          <w:ilvl w:val="3"/>
          <w:numId w:val="1"/>
        </w:numPr>
        <w:rPr/>
      </w:pPr>
      <w:bookmarkStart w:id="555" w:name="__RefHeading___Toc2055907_2322387425"/>
      <w:bookmarkStart w:id="556" w:name="_Toc203"/>
      <w:bookmarkEnd w:id="555"/>
      <w:r>
        <w:rPr>
          <w:rtl w:val="true"/>
        </w:rPr>
        <w:t>استحباب إکثار التلبیة والجهر بها</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من التلبیة مرّة واحدة، نعم، یُستحبّ الإکثار بها وتکریرها ما استطاع، خصوصاً فی دُبُرِ کلِّ صلاة فریضةٍ أو نافلة، وعند صعود شرف، أو هبوط وادٍ، وعند المنام</w:t>
      </w:r>
      <w:r>
        <w:rPr>
          <w:rStyle w:val="FootnoteAnchor"/>
          <w:rtl w:val="true"/>
        </w:rPr>
        <w:footnoteReference w:id="10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عند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قاله المحقّق والعلاّمة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وعند الیقظة، وعند الرکوب، وعند النزول، وعند ملاقاة راکب، وفی الأسحار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الأخبار</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لبّی فی إحرامه سبعینَ مرّةً إیماناً واحتساباً، أشهَد اللّه‌ُ لَهُ ألفَ ألفَ مَلَکٍ براءةً من النار، وبراءةً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الجهر </w:t>
      </w:r>
      <w:bookmarkStart w:id="557" w:name="pg13284_130786"/>
    </w:p>
    <w:p>
      <w:pPr>
        <w:pStyle w:val="BookText"/>
        <w:rPr/>
      </w:pPr>
      <w:bookmarkEnd w:id="557"/>
      <w:r>
        <w:rPr>
          <w:rFonts w:ascii="IRNazanin" w:hAnsi="IRNazanin" w:eastAsia="IRNazanin"/>
          <w:color w:val="111111"/>
          <w:sz w:val="28"/>
          <w:sz w:val="28"/>
          <w:szCs w:val="28"/>
          <w:rtl w:val="true"/>
          <w:lang w:bidi="fa-IR"/>
        </w:rPr>
        <w:t>بها</w:t>
      </w:r>
      <w:r>
        <w:rPr>
          <w:rStyle w:val="FootnoteAnchor"/>
          <w:rtl w:val="true"/>
        </w:rPr>
        <w:footnoteReference w:id="1047"/>
      </w:r>
      <w:r>
        <w:rPr>
          <w:rFonts w:ascii="IRNazanin" w:hAnsi="IRNazanin" w:eastAsia="IRNazanin"/>
          <w:color w:val="111111"/>
          <w:sz w:val="28"/>
          <w:sz w:val="28"/>
          <w:szCs w:val="28"/>
          <w:rtl w:val="true"/>
          <w:lang w:bidi="fa-IR"/>
        </w:rPr>
        <w:t>، خصوصاً فی المواضع المذکورة للرجال دون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المرسل</w:t>
      </w:r>
      <w:r>
        <w:rPr>
          <w:rStyle w:val="FootnoteAnchor"/>
          <w:rtl w:val="true"/>
        </w:rPr>
        <w:footnoteReference w:id="10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التلبیة شعار المُحرِم، فارفع صوتَکَ بالتلبیة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المرفوعة</w:t>
      </w:r>
      <w:r>
        <w:rPr>
          <w:rStyle w:val="FootnoteAnchor"/>
          <w:rtl w:val="true"/>
        </w:rPr>
        <w:footnoteReference w:id="10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 مرفوعة حریز المرویّة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4/336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أحرم رسولُ اللّه صلی‌الله‌علیه‌و‌آله أتاه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أصحابکَ بالعَجّ والثَجّ، فالعَجُّ رفع الصوت بالتَلبیة، والثَجُّ نحر البُدَن</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2055909_2322387425"/>
      <w:bookmarkStart w:id="559" w:name="_Toc204"/>
      <w:bookmarkEnd w:id="558"/>
      <w:r>
        <w:rPr>
          <w:rtl w:val="true"/>
        </w:rPr>
        <w:t>أفضلیّة تأخیر التلبیة إلی المواضع الخاصّة</w:t>
      </w:r>
      <w:bookmarkEnd w:id="55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لِمَن حجّ</w:t>
      </w:r>
      <w:r>
        <w:rPr>
          <w:rStyle w:val="FootnoteAnchor"/>
          <w:rtl w:val="true"/>
        </w:rPr>
        <w:footnoteReference w:id="1050"/>
      </w:r>
      <w:r>
        <w:rPr>
          <w:rFonts w:ascii="IRNazanin" w:hAnsi="IRNazanin" w:eastAsia="IRNazanin"/>
          <w:color w:val="111111"/>
          <w:sz w:val="28"/>
          <w:sz w:val="28"/>
          <w:szCs w:val="28"/>
          <w:rtl w:val="true"/>
          <w:lang w:bidi="fa-IR"/>
        </w:rPr>
        <w:t>علی طریق المدینة تأخیر التلبیة إلی البیداء مطلقاً</w:t>
      </w:r>
      <w:r>
        <w:rPr>
          <w:rStyle w:val="FootnoteAnchor"/>
          <w:rtl w:val="true"/>
        </w:rPr>
        <w:footnoteReference w:id="1051"/>
      </w:r>
      <w:r>
        <w:rPr>
          <w:rFonts w:ascii="IRNazanin" w:hAnsi="IRNazanin" w:eastAsia="IRNazanin"/>
          <w:color w:val="111111"/>
          <w:sz w:val="28"/>
          <w:sz w:val="28"/>
          <w:szCs w:val="28"/>
          <w:rtl w:val="true"/>
          <w:lang w:bidi="fa-IR"/>
        </w:rPr>
        <w:t>، کما قاله بعضهم، أو فی خصوص الراکب کما قیل، ولِمَن حجّ علی طریقٍ آخر</w:t>
      </w:r>
      <w:r>
        <w:rPr>
          <w:rStyle w:val="FootnoteAnchor"/>
          <w:rtl w:val="true"/>
        </w:rPr>
        <w:footnoteReference w:id="1052"/>
      </w:r>
      <w:r>
        <w:rPr>
          <w:rFonts w:ascii="Amiri" w:hAnsi="Amiri" w:eastAsia="Amiri" w:cs="Amiri"/>
          <w:color w:val="111111"/>
          <w:sz w:val="28"/>
          <w:sz w:val="28"/>
          <w:szCs w:val="28"/>
          <w:rtl w:val="true"/>
          <w:lang w:bidi="ar-SA"/>
        </w:rPr>
        <w:t>تأخیرها إلی أن یمشی قلیلاً، ولِمَن حجّ من مکّة تأخیرها إلی الرَقْطَاءِ کما قیل، أو إلی أن یشرف علی الأبطح</w:t>
      </w:r>
      <w:r>
        <w:rPr>
          <w:rStyle w:val="FootnoteAnchor"/>
          <w:rtl w:val="true"/>
        </w:rPr>
        <w:footnoteReference w:id="1053"/>
      </w:r>
      <w:r>
        <w:rPr>
          <w:rFonts w:ascii="IRNazanin" w:hAnsi="IRNazanin" w:eastAsia="IRNazanin"/>
          <w:color w:val="111111"/>
          <w:sz w:val="28"/>
          <w:sz w:val="28"/>
          <w:szCs w:val="28"/>
          <w:rtl w:val="true"/>
          <w:lang w:bidi="fa-IR"/>
        </w:rPr>
        <w:t>، لکنّ الظاهر بعد عدم الإشکال</w:t>
      </w:r>
      <w:r>
        <w:rPr>
          <w:rStyle w:val="FootnoteAnchor"/>
          <w:rtl w:val="true"/>
        </w:rPr>
        <w:footnoteReference w:id="1054"/>
      </w:r>
      <w:r>
        <w:rPr>
          <w:rFonts w:ascii="IRNazanin" w:hAnsi="IRNazanin" w:eastAsia="IRNazanin"/>
          <w:color w:val="111111"/>
          <w:sz w:val="28"/>
          <w:sz w:val="28"/>
          <w:szCs w:val="28"/>
          <w:rtl w:val="true"/>
          <w:lang w:bidi="fa-IR"/>
        </w:rPr>
        <w:t xml:space="preserve">فی عدم وجوب مقارنتها للنیّة، ولبس </w:t>
      </w:r>
    </w:p>
    <w:p>
      <w:pPr>
        <w:pStyle w:val="BookText"/>
        <w:rPr/>
      </w:pPr>
      <w:r>
        <w:rPr>
          <w:rFonts w:ascii="IRNazanin" w:hAnsi="IRNazanin" w:eastAsia="IRNazanin"/>
          <w:color w:val="111111"/>
          <w:sz w:val="28"/>
          <w:sz w:val="28"/>
          <w:szCs w:val="28"/>
          <w:rtl w:val="true"/>
          <w:lang w:bidi="fa-IR"/>
        </w:rPr>
        <w:t>الثوبین استحباب التعجیل بها مطلقاً، وکون أفضلیّة التأخیر بالنسبة إلی الجهر</w:t>
      </w:r>
      <w:r>
        <w:rPr>
          <w:rStyle w:val="FootnoteAnchor"/>
          <w:rtl w:val="true"/>
        </w:rPr>
        <w:footnoteReference w:id="1055"/>
      </w:r>
      <w:r>
        <w:rPr>
          <w:rFonts w:ascii="IRNazanin" w:hAnsi="IRNazanin" w:eastAsia="IRNazanin"/>
          <w:color w:val="111111"/>
          <w:sz w:val="28"/>
          <w:sz w:val="28"/>
          <w:szCs w:val="28"/>
          <w:rtl w:val="true"/>
          <w:lang w:bidi="fa-IR"/>
        </w:rPr>
        <w:t>بها فالأفضل</w:t>
      </w:r>
      <w:r>
        <w:rPr>
          <w:rStyle w:val="FootnoteAnchor"/>
          <w:rtl w:val="true"/>
        </w:rPr>
        <w:footnoteReference w:id="10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الأفضلیّة غیر معلومة، نعم،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رعایة التقارن، وعدم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حین النیّة ولبس الثوبین سرّاً، ویوءخّر الجهر بها إلی المواضع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 لأرض ملساء بین مکّة والمدینة، وهی إلی مکّة أقرب تعدّ من الشرف أمام ذی 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مخصوصة بین مکّة والمدینة علی میل من ذی الحلیفة نحو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w:t>
      </w:r>
      <w:r>
        <w:rPr>
          <w:rStyle w:val="FootnoteAnchor"/>
          <w:rtl w:val="true"/>
        </w:rPr>
        <w:footnoteReference w:id="1057"/>
      </w:r>
      <w:r>
        <w:rPr>
          <w:rFonts w:ascii="Amiri" w:hAnsi="Amiri" w:eastAsia="Amiri" w:cs="Amiri"/>
          <w:color w:val="111111"/>
          <w:sz w:val="28"/>
          <w:sz w:val="28"/>
          <w:szCs w:val="28"/>
          <w:rtl w:val="true"/>
          <w:lang w:bidi="ar-SA"/>
        </w:rPr>
        <w:t>وادی مکّة، وهو مسیل واسع فیه دقاق الحَصی، أوّله عند منقطع الشِعب بین وادی مِنی، وآخره متّصل بالمقبرة الّتی تُسمّی بالمُعلّی عند أهل مکّة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والرَقطاء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دون الردم یسمّی مدعی</w:t>
      </w:r>
      <w:r>
        <w:rPr>
          <w:rStyle w:val="FootnoteAnchor"/>
          <w:rtl w:val="true"/>
        </w:rPr>
        <w:footnoteReference w:id="1058"/>
      </w:r>
      <w:r>
        <w:rPr>
          <w:rFonts w:ascii="Amiri" w:hAnsi="Amiri" w:eastAsia="Amiri" w:cs="Amiri"/>
          <w:color w:val="111111"/>
          <w:sz w:val="28"/>
          <w:sz w:val="28"/>
          <w:szCs w:val="28"/>
          <w:rtl w:val="true"/>
          <w:lang w:bidi="ar-SA"/>
        </w:rPr>
        <w:t>، ومدعی الأقوام مُجتَمَع قبائِلِهم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رقط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یمنع السَیلَ عن البَیت، ویعبّر عنه بالمَدعَی</w:t>
      </w:r>
      <w:r>
        <w:rPr>
          <w:rFonts w:eastAsia="Amiri" w:cs="Amiri" w:ascii="Amiri" w:hAnsi="Amiri"/>
          <w:color w:val="111111"/>
          <w:sz w:val="28"/>
          <w:szCs w:val="28"/>
          <w:rtl w:val="true"/>
          <w:lang w:bidi="ar-SA"/>
        </w:rPr>
        <w:t xml:space="preserve">. </w:t>
      </w:r>
      <w:bookmarkStart w:id="560" w:name="pg13284_130788"/>
    </w:p>
    <w:p>
      <w:pPr>
        <w:pStyle w:val="Heading4"/>
        <w:numPr>
          <w:ilvl w:val="3"/>
          <w:numId w:val="1"/>
        </w:numPr>
        <w:rPr/>
      </w:pPr>
      <w:bookmarkStart w:id="561" w:name="__RefHeading___Toc2055911_2322387425"/>
      <w:bookmarkStart w:id="562" w:name="_Toc205"/>
      <w:bookmarkEnd w:id="560"/>
      <w:bookmarkEnd w:id="561"/>
      <w:r>
        <w:rPr>
          <w:rtl w:val="true"/>
        </w:rPr>
        <w:t>موضع قطع التلبیة للمعتمر والحاجّ</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عمرة التمتّع یقطع التلبیة عند مشاهدة بیوت مکّة فی الزمن القدیم</w:t>
      </w:r>
      <w:r>
        <w:rPr>
          <w:rStyle w:val="FootnoteAnchor"/>
          <w:rtl w:val="true"/>
        </w:rPr>
        <w:footnoteReference w:id="10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فی کلّ زمانٍ بحَسَبه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وحَدُّها ـ لمن 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طریق المدینة ـ عَقَبَةُ المدنیّین، وهو مکان معروف، والمعتمِر عمرةً مفردةً عند دخول الحرم إذا جاء من خارج الحرم، وعند مشاهدة الکعبة إن کان قد خرج من مکّة لإحرامها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والحاجّ بأیّ نوعٍ من الحجِّ یقطعها عند الزوال من یوم عرفة، وظاهرهم أنّ القطع فی الموارد المذکورة علی سبیل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وقد یقال بکونه مستحبَّاً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2055913_2322387425"/>
      <w:bookmarkStart w:id="564" w:name="_Toc206"/>
      <w:bookmarkEnd w:id="563"/>
      <w:r>
        <w:rPr>
          <w:rtl w:val="true"/>
        </w:rPr>
        <w:t>عدم لزوم صورة خاصّة فی تکرار التلبیة</w:t>
      </w:r>
      <w:bookmarkEnd w:id="56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 نّه لا یلزم فی تکرار التلبیة أن یکون بالصورة المعتبرة فی انعقاد الإحرام، بل ولا بإحدی الصور المذکورة فی الأخبار، بل یکفی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Style w:val="FootnoteAnchor"/>
          <w:rtl w:val="true"/>
        </w:rPr>
        <w:footnoteReference w:id="1060"/>
      </w:r>
      <w:r>
        <w:rPr>
          <w:rFonts w:ascii="Amiri" w:hAnsi="Amiri" w:eastAsia="Amiri" w:cs="Amiri"/>
          <w:color w:val="111111"/>
          <w:sz w:val="28"/>
          <w:sz w:val="28"/>
          <w:szCs w:val="28"/>
          <w:rtl w:val="true"/>
          <w:lang w:bidi="ar-SA"/>
        </w:rPr>
        <w:t>اللهمَّ لبّیکَ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یبعد</w:t>
      </w:r>
      <w:r>
        <w:rPr>
          <w:rStyle w:val="FootnoteAnchor"/>
          <w:rtl w:val="true"/>
        </w:rPr>
        <w:footnoteReference w:id="1061"/>
      </w:r>
      <w:bookmarkStart w:id="565" w:name="pg13284_130789"/>
    </w:p>
    <w:p>
      <w:pPr>
        <w:pStyle w:val="BookText"/>
        <w:rPr/>
      </w:pPr>
      <w:bookmarkEnd w:id="565"/>
      <w:r>
        <w:rPr>
          <w:rFonts w:ascii="IRNazanin" w:hAnsi="IRNazanin" w:eastAsia="IRNazanin"/>
          <w:color w:val="111111"/>
          <w:sz w:val="28"/>
          <w:sz w:val="28"/>
          <w:szCs w:val="28"/>
          <w:rtl w:val="true"/>
          <w:lang w:bidi="fa-IR"/>
        </w:rPr>
        <w:t>کفایة</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2055915_2322387425"/>
      <w:bookmarkStart w:id="567" w:name="_Toc207"/>
      <w:bookmarkEnd w:id="566"/>
      <w:r>
        <w:rPr>
          <w:rtl w:val="true"/>
        </w:rPr>
        <w:t>الشکّ فی صحّة التلبیة</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الإتیان بالتلبیة أ نّه أتی بها صحیحةً أم لا؟ بنی علی الصِحّة</w:t>
      </w:r>
      <w:r>
        <w:rPr>
          <w:rFonts w:eastAsia="IRNazanin" w:cs="IRNazanin"/>
          <w:color w:val="111111"/>
          <w:sz w:val="28"/>
          <w:szCs w:val="28"/>
          <w:rtl w:val="true"/>
          <w:lang w:bidi="fa-IR"/>
        </w:rPr>
        <w:t>.</w:t>
      </w:r>
    </w:p>
    <w:p>
      <w:pPr>
        <w:pStyle w:val="Heading4"/>
        <w:numPr>
          <w:ilvl w:val="3"/>
          <w:numId w:val="1"/>
        </w:numPr>
        <w:rPr/>
      </w:pPr>
      <w:bookmarkStart w:id="568" w:name="__RefHeading___Toc2055917_2322387425"/>
      <w:bookmarkStart w:id="569" w:name="_Toc208"/>
      <w:bookmarkEnd w:id="568"/>
      <w:r>
        <w:rPr>
          <w:rtl w:val="true"/>
        </w:rPr>
        <w:t>صور الشکّ فی التلبیة</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بالنیّة ولبس الثوبین، وشکّ فی أ نّه أَتی بالتلبیةِ أیضاً حتّی یجب علیه ترک المحرّمات، أوْ لا؟ یبنی علی عدم</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البناء علی الإتیان لو کان الشاکّ خارجاً من المیقات وما بحکمه، وعلی العدم لو کان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الإتیان 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تجری قاعدة التجاوز فی بعض الصور، کما لو کان فی الطواف وشکّ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فیجوز له فعلها، ولا کفّارة علیه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بما یوجب الکفّارة وشکّ فی أ نّه کان بعد التلبیة حتّی تجب علیه، أو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مجهولَی التاریخ أو کان تاریخ التلبیة مجهولاً لم تجب علیه</w:t>
      </w:r>
      <w:r>
        <w:rPr>
          <w:rStyle w:val="FootnoteAnchor"/>
          <w:rtl w:val="true"/>
        </w:rPr>
        <w:footnoteReference w:id="1064"/>
      </w:r>
      <w:r>
        <w:rPr>
          <w:rFonts w:ascii="IRNazanin" w:hAnsi="IRNazanin" w:eastAsia="IRNazanin"/>
          <w:color w:val="111111"/>
          <w:sz w:val="28"/>
          <w:sz w:val="28"/>
          <w:szCs w:val="28"/>
          <w:rtl w:val="true"/>
          <w:lang w:bidi="fa-IR"/>
        </w:rPr>
        <w:t xml:space="preserve">الکفّارة، وإن کان تاریخ إتیان الموجب مجهولاً فیحتمل أن یقال بوجوبها؛ لأصالة التأخیر، لکنّ الأقوی عدمه؛ لأنّ الأصل لا </w:t>
      </w:r>
      <w:bookmarkStart w:id="570" w:name="pg13284_130790"/>
    </w:p>
    <w:p>
      <w:pPr>
        <w:pStyle w:val="BookText"/>
        <w:rPr/>
      </w:pPr>
      <w:bookmarkEnd w:id="570"/>
      <w:r>
        <w:rPr>
          <w:rFonts w:ascii="IRNazanin" w:hAnsi="IRNazanin" w:eastAsia="IRNazanin"/>
          <w:color w:val="111111"/>
          <w:sz w:val="28"/>
          <w:sz w:val="28"/>
          <w:szCs w:val="28"/>
          <w:rtl w:val="true"/>
          <w:lang w:bidi="fa-IR"/>
        </w:rPr>
        <w:t>یثبت</w:t>
      </w:r>
      <w:r>
        <w:rPr>
          <w:rStyle w:val="FootnoteAnchor"/>
          <w:rtl w:val="true"/>
        </w:rPr>
        <w:footnoteReference w:id="1065"/>
      </w:r>
      <w:r>
        <w:rPr>
          <w:rFonts w:ascii="IRNazanin" w:hAnsi="IRNazanin" w:eastAsia="IRNazanin"/>
          <w:color w:val="111111"/>
          <w:sz w:val="28"/>
          <w:sz w:val="28"/>
          <w:szCs w:val="28"/>
          <w:rtl w:val="true"/>
          <w:lang w:bidi="fa-IR"/>
        </w:rPr>
        <w:t>کونه بعد التلبیة</w:t>
      </w:r>
      <w:r>
        <w:rPr>
          <w:rFonts w:eastAsia="IRNazanin" w:cs="IRNazanin"/>
          <w:color w:val="111111"/>
          <w:sz w:val="28"/>
          <w:szCs w:val="28"/>
          <w:rtl w:val="true"/>
          <w:lang w:bidi="fa-IR"/>
        </w:rPr>
        <w:t>.</w:t>
      </w:r>
    </w:p>
    <w:p>
      <w:pPr>
        <w:pStyle w:val="Heading4"/>
        <w:numPr>
          <w:ilvl w:val="3"/>
          <w:numId w:val="1"/>
        </w:numPr>
        <w:rPr/>
      </w:pPr>
      <w:bookmarkStart w:id="571" w:name="__RefHeading___Toc2055919_2322387425"/>
      <w:bookmarkStart w:id="572" w:name="_Toc209"/>
      <w:bookmarkEnd w:id="571"/>
      <w:r>
        <w:rPr>
          <w:rtl w:val="true"/>
        </w:rPr>
        <w:t>الثالث</w:t>
      </w:r>
      <w:r>
        <w:rPr>
          <w:rtl w:val="true"/>
        </w:rPr>
        <w:t xml:space="preserve">: </w:t>
      </w:r>
      <w:r>
        <w:rPr>
          <w:rtl w:val="true"/>
        </w:rPr>
        <w:t>لبس الثوبین بلا کیفیّة مخصوصة فیهما</w:t>
      </w:r>
      <w:bookmarkEnd w:id="57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واجبات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بعد التجرّد عمّا یجب</w:t>
      </w:r>
      <w:r>
        <w:rPr>
          <w:rStyle w:val="FootnoteAnchor"/>
          <w:rtl w:val="true"/>
        </w:rPr>
        <w:footnoteReference w:id="1066"/>
      </w:r>
      <w:r>
        <w:rPr>
          <w:rFonts w:ascii="Amiri" w:hAnsi="Amiri" w:eastAsia="Amiri" w:cs="Amiri"/>
          <w:color w:val="111111"/>
          <w:sz w:val="28"/>
          <w:sz w:val="28"/>
          <w:szCs w:val="28"/>
          <w:rtl w:val="true"/>
          <w:lang w:bidi="ar-SA"/>
        </w:rPr>
        <w:t>علی المُحرِم اجتنابه، یَتَّزِرُ بأحدهما، ویرتدی بالآخر، والأقوی عدم کون لبسِهما شرطاً فی تحقّق الإحرام</w:t>
      </w:r>
      <w:r>
        <w:rPr>
          <w:rStyle w:val="FootnoteAnchor"/>
          <w:rtl w:val="true"/>
        </w:rPr>
        <w:footnoteReference w:id="1067"/>
      </w:r>
      <w:r>
        <w:rPr>
          <w:rFonts w:ascii="Amiri" w:hAnsi="Amiri" w:eastAsia="Amiri" w:cs="Amiri"/>
          <w:color w:val="111111"/>
          <w:sz w:val="28"/>
          <w:sz w:val="28"/>
          <w:szCs w:val="28"/>
          <w:rtl w:val="true"/>
          <w:lang w:bidi="ar-SA"/>
        </w:rPr>
        <w:t>، بل کونه واجباً تعبّدیّاً، والظاهر عدم اعتبار کیفیّةٍ مخصوصةٍ فی لبسِهما</w:t>
      </w:r>
      <w:r>
        <w:rPr>
          <w:rStyle w:val="FootnoteAnchor"/>
          <w:rtl w:val="true"/>
        </w:rPr>
        <w:footnoteReference w:id="1068"/>
      </w:r>
      <w:r>
        <w:rPr>
          <w:rFonts w:ascii="IRNazanin" w:hAnsi="IRNazanin" w:eastAsia="IRNazanin"/>
          <w:color w:val="111111"/>
          <w:sz w:val="28"/>
          <w:sz w:val="28"/>
          <w:szCs w:val="28"/>
          <w:rtl w:val="true"/>
          <w:lang w:bidi="fa-IR"/>
        </w:rPr>
        <w:t>، فیجوز الاتّزار بأحدهما کیف شاء، والارتداء بالآخر، أو التوشّح به</w:t>
      </w:r>
      <w:r>
        <w:rPr>
          <w:rStyle w:val="FootnoteAnchor"/>
          <w:rtl w:val="true"/>
        </w:rPr>
        <w:footnoteReference w:id="10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الارتداء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غیر ذلک من الهیئات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لبسهما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الطریق المألوف،</w:t>
      </w:r>
    </w:p>
    <w:p>
      <w:pPr>
        <w:pStyle w:val="BookText"/>
        <w:rPr/>
      </w:pPr>
      <w:r>
        <w:rPr>
          <w:rFonts w:ascii="IRNazanin" w:hAnsi="IRNazanin" w:eastAsia="IRNazanin"/>
          <w:color w:val="111111"/>
          <w:sz w:val="28"/>
          <w:sz w:val="28"/>
          <w:szCs w:val="28"/>
          <w:rtl w:val="true"/>
          <w:lang w:bidi="fa-IR"/>
        </w:rPr>
        <w:t>وکذا الأحوط</w:t>
      </w:r>
      <w:r>
        <w:rPr>
          <w:rStyle w:val="FootnoteAnchor"/>
          <w:rtl w:val="true"/>
        </w:rPr>
        <w:footnoteReference w:id="1070"/>
      </w:r>
      <w:r>
        <w:rPr>
          <w:rFonts w:ascii="IRNazanin" w:hAnsi="IRNazanin" w:eastAsia="IRNazanin"/>
          <w:color w:val="111111"/>
          <w:sz w:val="28"/>
          <w:sz w:val="28"/>
          <w:szCs w:val="28"/>
          <w:rtl w:val="true"/>
          <w:lang w:bidi="fa-IR"/>
        </w:rPr>
        <w:t>عدم عقد الإزار</w:t>
      </w:r>
      <w:r>
        <w:rPr>
          <w:rStyle w:val="FootnoteAnchor"/>
          <w:rtl w:val="true"/>
        </w:rPr>
        <w:footnoteReference w:id="1071"/>
      </w:r>
      <w:r>
        <w:rPr>
          <w:rFonts w:ascii="IRNazanin" w:hAnsi="IRNazanin" w:eastAsia="IRNazanin"/>
          <w:color w:val="111111"/>
          <w:sz w:val="28"/>
          <w:sz w:val="28"/>
          <w:szCs w:val="28"/>
          <w:rtl w:val="true"/>
          <w:lang w:bidi="fa-IR"/>
        </w:rPr>
        <w:t>فی عنقه</w:t>
      </w:r>
      <w:r>
        <w:rPr>
          <w:rStyle w:val="FootnoteAnchor"/>
          <w:rtl w:val="true"/>
        </w:rPr>
        <w:footnoteReference w:id="1072"/>
      </w:r>
      <w:r>
        <w:rPr>
          <w:rFonts w:ascii="IRNazanin" w:hAnsi="IRNazanin" w:eastAsia="IRNazanin"/>
          <w:color w:val="111111"/>
          <w:sz w:val="28"/>
          <w:sz w:val="28"/>
          <w:szCs w:val="28"/>
          <w:rtl w:val="true"/>
          <w:lang w:bidi="fa-IR"/>
        </w:rPr>
        <w:t>، بل عدم عقده</w:t>
      </w:r>
      <w:r>
        <w:rPr>
          <w:rStyle w:val="FootnoteAnchor"/>
          <w:rtl w:val="true"/>
        </w:rPr>
        <w:footnoteReference w:id="1073"/>
      </w:r>
      <w:r>
        <w:rPr>
          <w:rFonts w:ascii="IRNazanin" w:hAnsi="IRNazanin" w:eastAsia="IRNazanin"/>
          <w:color w:val="111111"/>
          <w:sz w:val="28"/>
          <w:sz w:val="28"/>
          <w:szCs w:val="28"/>
          <w:rtl w:val="true"/>
          <w:lang w:bidi="fa-IR"/>
        </w:rPr>
        <w:t>مطلقاً ولو بعضه ببعض، وعدم غرزه بإبرة ونحوها، وکذا فی الرداء الأحوط عدم عقده</w:t>
      </w:r>
      <w:r>
        <w:rPr>
          <w:rStyle w:val="FootnoteAnchor"/>
          <w:rtl w:val="true"/>
        </w:rPr>
        <w:footnoteReference w:id="1074"/>
      </w:r>
      <w:r>
        <w:rPr>
          <w:rFonts w:ascii="IRNazanin" w:hAnsi="IRNazanin" w:eastAsia="IRNazanin"/>
          <w:color w:val="111111"/>
          <w:sz w:val="28"/>
          <w:sz w:val="28"/>
          <w:szCs w:val="28"/>
          <w:rtl w:val="true"/>
          <w:lang w:bidi="fa-IR"/>
        </w:rPr>
        <w:t>، لکنّ الأقوی</w:t>
      </w:r>
      <w:r>
        <w:rPr>
          <w:rStyle w:val="FootnoteAnchor"/>
          <w:rtl w:val="true"/>
        </w:rPr>
        <w:footnoteReference w:id="1075"/>
      </w:r>
      <w:r>
        <w:rPr>
          <w:rFonts w:ascii="IRNazanin" w:hAnsi="IRNazanin" w:eastAsia="IRNazanin"/>
          <w:color w:val="111111"/>
          <w:sz w:val="28"/>
          <w:sz w:val="28"/>
          <w:szCs w:val="28"/>
          <w:rtl w:val="true"/>
          <w:lang w:bidi="fa-IR"/>
        </w:rPr>
        <w:t>جواز</w:t>
      </w:r>
      <w:r>
        <w:rPr>
          <w:rStyle w:val="FootnoteAnchor"/>
          <w:rtl w:val="true"/>
        </w:rPr>
        <w:footnoteReference w:id="10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 بترک ذلک 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کلٍّ منهما مالم یخرج عن کونه رداءً أو إزاراً، ویکفی فیهما المسمّی، وإن کان الأولی 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محمّد رضا الگلپایگانی، المرعشی، السبزواری،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 بل یجب فی الرِداء أن یکون ساتراً أکثر من المنکَبَین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وکذا الاحتیاطات التالیة، نعم، الاحتیاط بالنیّة فی اللبس وفی التجرّد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bookmarkStart w:id="573" w:name="pg13284_130792"/>
    </w:p>
    <w:p>
      <w:pPr>
        <w:pStyle w:val="BookText"/>
        <w:rPr/>
      </w:pPr>
      <w:bookmarkEnd w:id="573"/>
      <w:r>
        <w:rPr>
          <w:rFonts w:ascii="IRNazanin" w:hAnsi="IRNazanin" w:eastAsia="IRNazanin"/>
          <w:color w:val="111111"/>
          <w:sz w:val="28"/>
          <w:sz w:val="28"/>
          <w:szCs w:val="28"/>
          <w:rtl w:val="true"/>
          <w:lang w:bidi="fa-IR"/>
        </w:rPr>
        <w:t>کون الإزار</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یستر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والرُکبة، والرداء ممّا یستُر المَنکَبَین، والأحوط عدم الاکتفاء بثوبٍ طویلٍ یتّزر ببعضه ویرتدی بالباقی إلاّ فی حال الضرورة، والأحوط کون اللبس قبل النیّة والتلبیة، فلو قدّمهما علیه أعادهما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والأحوط ملاحظة النیّة فی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التجرّد فلا یُعتبر فیه النیّة، وإن کان الأحوط والأولی اعتبارها فیه أیضاً</w:t>
      </w:r>
      <w:r>
        <w:rPr>
          <w:rFonts w:eastAsia="IRNazanin" w:cs="IRNazanin"/>
          <w:color w:val="111111"/>
          <w:sz w:val="28"/>
          <w:szCs w:val="28"/>
          <w:rtl w:val="true"/>
          <w:lang w:bidi="fa-IR"/>
        </w:rPr>
        <w:t>.</w:t>
      </w:r>
    </w:p>
    <w:p>
      <w:pPr>
        <w:pStyle w:val="Heading4"/>
        <w:numPr>
          <w:ilvl w:val="3"/>
          <w:numId w:val="1"/>
        </w:numPr>
        <w:rPr/>
      </w:pPr>
      <w:bookmarkStart w:id="574" w:name="__RefHeading___Toc2055921_2322387425"/>
      <w:bookmarkStart w:id="575" w:name="_Toc210"/>
      <w:bookmarkEnd w:id="574"/>
      <w:r>
        <w:rPr>
          <w:rtl w:val="true"/>
        </w:rPr>
        <w:t>حکم من أحرم فی قمیصه عالماً عامداً</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w:t>
      </w:r>
      <w:r>
        <w:rPr>
          <w:rStyle w:val="FootnoteAnchor"/>
          <w:rtl w:val="true"/>
        </w:rPr>
        <w:footnoteReference w:id="1078"/>
      </w:r>
      <w:r>
        <w:rPr>
          <w:rFonts w:ascii="IRNazanin" w:hAnsi="IRNazanin" w:eastAsia="IRNazanin"/>
          <w:color w:val="111111"/>
          <w:sz w:val="28"/>
          <w:sz w:val="28"/>
          <w:szCs w:val="28"/>
          <w:rtl w:val="true"/>
          <w:lang w:bidi="fa-IR"/>
        </w:rPr>
        <w:t>فی قمیص</w:t>
      </w:r>
      <w:r>
        <w:rPr>
          <w:rStyle w:val="FootnoteAnchor"/>
          <w:rtl w:val="true"/>
        </w:rPr>
        <w:footnoteReference w:id="1079"/>
      </w:r>
      <w:r>
        <w:rPr>
          <w:rFonts w:ascii="Amiri" w:hAnsi="Amiri" w:eastAsia="Amiri" w:cs="Amiri"/>
          <w:color w:val="111111"/>
          <w:sz w:val="28"/>
          <w:sz w:val="28"/>
          <w:szCs w:val="28"/>
          <w:rtl w:val="true"/>
          <w:lang w:bidi="ar-SA"/>
        </w:rPr>
        <w:t>عالماً عامداً أعاد</w:t>
      </w:r>
      <w:r>
        <w:rPr>
          <w:rStyle w:val="FootnoteAnchor"/>
          <w:rtl w:val="true"/>
        </w:rPr>
        <w:footnoteReference w:id="10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زین‌الدین،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تجب الإعادة، وقد مرّ عدم اعتبار العزم علی ترک المحرّمات فی صحّة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لشرطیّة لبس الثوبَین لمنعها کما عرفت، بل لأ نّه منافٍ</w:t>
      </w:r>
      <w:bookmarkStart w:id="576" w:name="pg13284_130793"/>
    </w:p>
    <w:p>
      <w:pPr>
        <w:pStyle w:val="BookText"/>
        <w:rPr/>
      </w:pPr>
      <w:bookmarkEnd w:id="576"/>
      <w:r>
        <w:rPr>
          <w:rFonts w:ascii="Amiri" w:hAnsi="Amiri" w:eastAsia="Amiri" w:cs="Amiri"/>
          <w:color w:val="111111"/>
          <w:sz w:val="28"/>
          <w:sz w:val="28"/>
          <w:szCs w:val="28"/>
          <w:rtl w:val="true"/>
          <w:lang w:bidi="ar-SA"/>
        </w:rPr>
        <w:t>للنیّة</w:t>
      </w:r>
      <w:r>
        <w:rPr>
          <w:rStyle w:val="FootnoteAnchor"/>
          <w:rtl w:val="true"/>
        </w:rPr>
        <w:footnoteReference w:id="10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المنافاة مطلقاً غیر معلومة، لکنّها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Heading4"/>
        <w:numPr>
          <w:ilvl w:val="3"/>
          <w:numId w:val="1"/>
        </w:numPr>
        <w:rPr/>
      </w:pPr>
      <w:bookmarkStart w:id="577" w:name="__RefHeading___Toc2055923_2322387425"/>
      <w:bookmarkStart w:id="578" w:name="_Toc211"/>
      <w:bookmarkEnd w:id="577"/>
      <w:r>
        <w:rPr>
          <w:rtl w:val="true"/>
        </w:rPr>
        <w:t>نزع المحرم ثوبی الإحرام أو تبدیلهما حیناً مّا</w:t>
      </w:r>
      <w:bookmarkEnd w:id="578"/>
    </w:p>
    <w:p>
      <w:pPr>
        <w:pStyle w:val="BookText"/>
        <w:rPr/>
      </w:pPr>
      <w:r>
        <w:rPr>
          <w:rFonts w:ascii="Amiri" w:hAnsi="Amiri" w:eastAsia="Amiri" w:cs="Amiri"/>
          <w:color w:val="111111"/>
          <w:sz w:val="28"/>
          <w:sz w:val="28"/>
          <w:szCs w:val="28"/>
          <w:rtl w:val="true"/>
          <w:lang w:bidi="ar-SA"/>
        </w:rPr>
        <w:t>حیث إنّه</w:t>
      </w:r>
      <w:r>
        <w:rPr>
          <w:rStyle w:val="FootnoteAnchor"/>
          <w:rtl w:val="true"/>
        </w:rPr>
        <w:footnoteReference w:id="1082"/>
      </w:r>
      <w:r>
        <w:rPr>
          <w:rFonts w:ascii="IRNazanin" w:hAnsi="IRNazanin" w:eastAsia="IRNazanin"/>
          <w:color w:val="111111"/>
          <w:sz w:val="28"/>
          <w:sz w:val="28"/>
          <w:szCs w:val="28"/>
          <w:rtl w:val="true"/>
          <w:lang w:bidi="fa-IR"/>
        </w:rPr>
        <w:t>یعتبر فیها العزم علی ترک المحرّمات الّتی منها لِبسُ المَخِیط؛ وعلی هذا فلو لبسهما فوق القمیص أو تحته کان الأمر کذلک أیضاً؛ لأ نّه مثله فی المنافاة للنیّة، إلاّ أن یمنع کون الإحرام هو العزم علی ترک المحرّمات، بل هو البناء علی تحریمها</w:t>
      </w:r>
      <w:r>
        <w:rPr>
          <w:rStyle w:val="FootnoteAnchor"/>
          <w:rtl w:val="true"/>
        </w:rPr>
        <w:footnoteReference w:id="10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 نّه قصد أحد النسک إجمالاً بالنحو المعهود شرعاً، وهذا لا ینافی وقوع الحرام منه خارجاً، واللّه تعالی هو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فلا تجب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حینئذٍ</w:t>
      </w:r>
      <w:r>
        <w:rPr>
          <w:rFonts w:eastAsia="Amiri" w:cs="Amiri" w:ascii="Amiri" w:hAnsi="Amiri"/>
          <w:color w:val="111111"/>
          <w:sz w:val="28"/>
          <w:szCs w:val="28"/>
          <w:rtl w:val="true"/>
          <w:lang w:bidi="ar-SA"/>
        </w:rPr>
        <w:t>.</w:t>
      </w:r>
      <w:bookmarkStart w:id="579" w:name="pg13284_130794"/>
    </w:p>
    <w:p>
      <w:pPr>
        <w:pStyle w:val="BookText"/>
        <w:rPr/>
      </w:pPr>
      <w:bookmarkEnd w:id="579"/>
      <w:r>
        <w:rPr>
          <w:rFonts w:ascii="IRNazanin" w:hAnsi="IRNazanin" w:eastAsia="IRNazanin"/>
          <w:color w:val="111111"/>
          <w:sz w:val="28"/>
          <w:sz w:val="28"/>
          <w:szCs w:val="28"/>
          <w:rtl w:val="true"/>
          <w:lang w:bidi="fa-IR"/>
        </w:rPr>
        <w:t>هذا، ولو أحرم فی القمیص جاهلاً، بل أو ناسیاً أیضاً نزعه</w:t>
      </w:r>
      <w:r>
        <w:rPr>
          <w:rStyle w:val="FootnoteAnchor"/>
          <w:rtl w:val="true"/>
        </w:rPr>
        <w:footnoteReference w:id="1084"/>
      </w:r>
      <w:r>
        <w:rPr>
          <w:rFonts w:ascii="IRNazanin" w:hAnsi="IRNazanin" w:eastAsia="IRNazanin"/>
          <w:color w:val="111111"/>
          <w:sz w:val="28"/>
          <w:sz w:val="28"/>
          <w:szCs w:val="28"/>
          <w:rtl w:val="true"/>
          <w:lang w:bidi="fa-IR"/>
        </w:rPr>
        <w:t>وصحَّ إحرامه، أمّا إذا لبسه بعد الإحرام فاللازم شَقّه وإخراجه من 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 الصورتین من حیث النزع والشقّ تعبّد</w:t>
      </w:r>
      <w:r>
        <w:rPr>
          <w:rStyle w:val="FootnoteAnchor"/>
          <w:rtl w:val="true"/>
        </w:rPr>
        <w:footnoteReference w:id="1085"/>
      </w:r>
      <w:r>
        <w:rPr>
          <w:rFonts w:ascii="IRNazanin" w:hAnsi="IRNazanin" w:eastAsia="IRNazanin"/>
          <w:color w:val="111111"/>
          <w:sz w:val="28"/>
          <w:sz w:val="28"/>
          <w:szCs w:val="28"/>
          <w:rtl w:val="true"/>
          <w:lang w:bidi="fa-IR"/>
        </w:rPr>
        <w:t>، لا لکون الإحرام باطلاً فی الصورة الاُولی، کما قد قیل</w:t>
      </w:r>
      <w:r>
        <w:rPr>
          <w:rFonts w:eastAsia="IRNazanin" w:cs="IRNazanin"/>
          <w:color w:val="111111"/>
          <w:sz w:val="28"/>
          <w:szCs w:val="28"/>
          <w:rtl w:val="true"/>
          <w:lang w:bidi="fa-IR"/>
        </w:rPr>
        <w:t>.</w:t>
      </w:r>
    </w:p>
    <w:p>
      <w:pPr>
        <w:pStyle w:val="Heading4"/>
        <w:numPr>
          <w:ilvl w:val="3"/>
          <w:numId w:val="1"/>
        </w:numPr>
        <w:rPr/>
      </w:pPr>
      <w:bookmarkStart w:id="580" w:name="__RefHeading___Toc2055925_2322387425"/>
      <w:bookmarkStart w:id="581" w:name="_Toc212"/>
      <w:bookmarkEnd w:id="580"/>
      <w:r>
        <w:rPr>
          <w:rtl w:val="true"/>
        </w:rPr>
        <w:t>لبس ما زاد علی الثوبین فی ابتداء الإحرام</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استدامة لبس الثوبَین، بل یجوز تبدیلهما ونزعهما لإزالة الوسخ أو للتطهیر، بل الظاهر جواز</w:t>
      </w:r>
      <w:r>
        <w:rPr>
          <w:rStyle w:val="FootnoteAnchor"/>
          <w:rtl w:val="true"/>
        </w:rPr>
        <w:footnoteReference w:id="1086"/>
      </w:r>
      <w:r>
        <w:rPr>
          <w:rFonts w:ascii="Amiri" w:hAnsi="Amiri" w:eastAsia="Amiri" w:cs="Amiri"/>
          <w:color w:val="111111"/>
          <w:sz w:val="28"/>
          <w:sz w:val="28"/>
          <w:szCs w:val="28"/>
          <w:rtl w:val="true"/>
          <w:lang w:bidi="ar-SA"/>
        </w:rPr>
        <w:t>التجرّد</w:t>
      </w:r>
      <w:r>
        <w:rPr>
          <w:rStyle w:val="FootnoteAnchor"/>
          <w:rtl w:val="true"/>
        </w:rPr>
        <w:footnoteReference w:id="10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حیناً ما، لا مستمرّاً فی جمیع الأوقات الّتی یتعارف کون الإنسان لابساً فیها، ودعوی صدق الامتثال بلبس الثوبَین فی أوّل الإحرام حیناً ما من باب صدق الامتثال بالطبیعة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الأمن من الناظر، أو کون العورة مستورةً بشیء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بالزیادة علی الثوبَین فی ابتداء الإحرام، وفی الأثناء للاتّقاء عن البرد والحرّ، بل ولو اختیاراً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الحجّ ویلیه کتاب الإجارة</w:t>
      </w:r>
      <w:bookmarkStart w:id="582" w:name="pg13284_130796"/>
    </w:p>
    <w:p>
      <w:pPr>
        <w:pStyle w:val="Heading2"/>
        <w:numPr>
          <w:ilvl w:val="1"/>
          <w:numId w:val="1"/>
        </w:numPr>
        <w:rPr/>
      </w:pPr>
      <w:bookmarkStart w:id="583" w:name="__RefHeading___Toc2055927_2322387425"/>
      <w:bookmarkStart w:id="584" w:name="_Toc213"/>
      <w:bookmarkEnd w:id="582"/>
      <w:bookmarkEnd w:id="583"/>
      <w:r>
        <w:rPr>
          <w:rtl w:val="true"/>
        </w:rPr>
        <w:t>کتاب الإجارة</w:t>
      </w:r>
      <w:bookmarkEnd w:id="584"/>
    </w:p>
    <w:p>
      <w:pPr>
        <w:pStyle w:val="Heading3"/>
        <w:numPr>
          <w:ilvl w:val="2"/>
          <w:numId w:val="1"/>
        </w:numPr>
        <w:rPr/>
      </w:pPr>
      <w:bookmarkStart w:id="585" w:name="__RefHeading___Toc2055929_2322387425"/>
      <w:bookmarkStart w:id="586" w:name="_Toc214"/>
      <w:bookmarkEnd w:id="585"/>
      <w:r>
        <w:rPr>
          <w:rtl w:val="true"/>
        </w:rPr>
        <w:t>اشارة</w:t>
      </w:r>
      <w:bookmarkEnd w:id="586"/>
    </w:p>
    <w:p>
      <w:pPr>
        <w:pStyle w:val="Heading4"/>
        <w:numPr>
          <w:ilvl w:val="3"/>
          <w:numId w:val="1"/>
        </w:numPr>
        <w:rPr/>
      </w:pPr>
      <w:bookmarkStart w:id="587" w:name="__RefHeading___Toc2055931_2322387425"/>
      <w:bookmarkStart w:id="588" w:name="_Toc215"/>
      <w:bookmarkEnd w:id="587"/>
      <w:r>
        <w:rPr>
          <w:rtl w:val="true"/>
        </w:rPr>
        <w:t>اشارة</w:t>
      </w:r>
      <w:bookmarkEnd w:id="58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یکفی فی صحة الإجارة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9" w:name="pg13284_130798"/>
      <w:bookmarkStart w:id="590" w:name="pg13284_130798"/>
      <w:bookmarkEnd w:id="590"/>
    </w:p>
    <w:p>
      <w:pPr>
        <w:pStyle w:val="Heading4"/>
        <w:numPr>
          <w:ilvl w:val="3"/>
          <w:numId w:val="1"/>
        </w:numPr>
        <w:rPr/>
      </w:pPr>
      <w:bookmarkStart w:id="591" w:name="pg13284_130798"/>
      <w:bookmarkStart w:id="592" w:name="__RefHeading___Toc2055933_2322387425"/>
      <w:bookmarkStart w:id="593" w:name="_Toc216"/>
      <w:bookmarkEnd w:id="591"/>
      <w:bookmarkEnd w:id="592"/>
      <w:r>
        <w:rPr>
          <w:rtl w:val="true"/>
        </w:rPr>
        <w:t>ماهیّة الإجارة </w:t>
      </w:r>
      <w:bookmarkEnd w:id="593"/>
    </w:p>
    <w:p>
      <w:pPr>
        <w:pStyle w:val="BookText"/>
        <w:rPr/>
      </w:pPr>
      <w:r>
        <w:rPr>
          <w:rFonts w:ascii="IRNazanin" w:hAnsi="IRNazanin" w:eastAsia="IRNazanin"/>
          <w:color w:val="111111"/>
          <w:sz w:val="28"/>
          <w:sz w:val="28"/>
          <w:szCs w:val="28"/>
          <w:rtl w:val="true"/>
          <w:lang w:bidi="fa-IR"/>
        </w:rPr>
        <w:t>وهی تملیک</w:t>
      </w:r>
      <w:r>
        <w:rPr>
          <w:rStyle w:val="FootnoteAnchor"/>
          <w:rtl w:val="true"/>
        </w:rPr>
        <w:footnoteReference w:id="10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التعریف تامّ، وما أفاده فی ذیل کلامه من الإشکال ممنوع، مضافاً إلی أنّهمناقض مع صدر 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حقیقتها بمعناها الاصطلاحی لا اللغوی الّذی هو عبارة عن الاُجرةوکری الأجیر کما عن الأکثر، أو المعنی المصدری کما عن نجم‌الأئمّة ما أفاده سیّدناالعلّامة الاُستاذ البروجردی قدس سره فی حاشیة الکتاب، وهذه عبارته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الإجارةبمعناها الاسمیّ إضافة خاصّة یعتبرها العقلاء فی العین المستأجَرة بالنسبة إلیالمستأجر مستتبعة لملکه، أو استحقاقه لمنفعتها، أو عملها، أو لتسلّطه علیها بتلکالجهة؛ ولذلک لا تُستَعمَل إلّا متعلّقة بالعین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 حقیقتها اعتبار إضافة بین العین والمستأجِر، مستتبعة لملک المنفعةأو العمل، والتسلّط علی العین لاستیفائهما؛ ولذا تستعمل أبداً متعلّقة بالأعیان،ویقال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     .    .     .     .     .</w:t>
      </w:r>
    </w:p>
    <w:p>
      <w:pPr>
        <w:pStyle w:val="BookText"/>
        <w:rPr/>
      </w:pPr>
      <w:r>
        <w:rPr>
          <w:rFonts w:ascii="Amiri" w:hAnsi="Amiri" w:eastAsia="Amiri" w:cs="Amiri"/>
          <w:color w:val="111111"/>
          <w:sz w:val="28"/>
          <w:sz w:val="28"/>
          <w:szCs w:val="28"/>
          <w:rtl w:val="true"/>
          <w:lang w:bidi="ar-SA"/>
        </w:rPr>
        <w:t>منفعةٍ</w:t>
      </w:r>
      <w:r>
        <w:rPr>
          <w:rStyle w:val="FootnoteAnchor"/>
          <w:rtl w:val="true"/>
        </w:rPr>
        <w:footnoteReference w:id="10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الإجارة معاملة متعلّقة بالعین، ثمرتُها تملیک العمل أو المنفعة أو السلطنة علیالعین؛ ولذا لا تتعلّق إلّا بالعین، فیقال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آجَرتُ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آجَرتُ المنفعة،ولیس فی إجارة الحرّ سلطنة علی عینه، فتعریف المتن لا یخلو من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معاملة من المعاملات العرفیّة، عبارة عن المبادلة بینالمنفعة والعِوَض، ولا تحصل غالباً إلّا بتملیک المنفعة بالعِوَض، ولیست تسلیطاًاعتباریّاً، والتسلیط الخارجیّ فی جملةٍ من موارد الإجارة مقدّمة لاستیفاء المنفعة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ویمکن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بل منع، والتفصیل لا یَسِعه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حقیقتها</w:t>
      </w:r>
    </w:p>
    <w:p>
      <w:pPr>
        <w:pStyle w:val="BookText"/>
        <w:rPr/>
      </w:pPr>
      <w:r>
        <w:rPr>
          <w:rFonts w:ascii="IRNazanin" w:hAnsi="IRNazanin" w:eastAsia="IRNazanin"/>
          <w:color w:val="111111"/>
          <w:sz w:val="28"/>
          <w:sz w:val="28"/>
          <w:szCs w:val="28"/>
          <w:rtl w:val="true"/>
          <w:lang w:bidi="fa-IR"/>
        </w:rPr>
        <w:t>التسلیط</w:t>
      </w:r>
      <w:r>
        <w:rPr>
          <w:rStyle w:val="FootnoteAnchor"/>
          <w:rtl w:val="true"/>
        </w:rPr>
        <w:footnoteReference w:id="10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المعنی لا یناسب بعض مواردها الّتی لا یکون المستأجر مسلّطاً علی العینأبداً، خصوصاً فی الأعمال الکلّیّة فی ذمّة الأحرار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التسلیط الکذائیّ من لوازم معناها وآثاره، لا نفس معناها، وأمّا الإیرادعلیه بعدم اطّراده؛ لعدم شموله للإجارة الواقعة علی عملٍ کلّیٍّ لم یعتبر فیه مباشرةالأجیر، ففیه 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المتعیَّن، ویتضمَّن تملیک المنفعة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معناها المصدری، وأمّا معناها الاسم المصدریّ هی إضافة خاصّة یُنشِئُهاالمؤجِر بین المستأجِر والعین لتستتبع الآثار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الخَدْشَة فی التعریفین ظاهرة، ولعلّ الأولی أنّها جعل العین فی الکَری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أنّ حقیقتها إعطاء منفعةٍ أو عملٍ بإزاء شیءٍ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أن یعرف بأنّ حقیقة الإجارة بالمعنی الاسمیّ ـ لا المصدری ـ إضافةخاصّة واعتبار خاصّ عند العقلاء، فتملیک العمل أو المنفعة أو التسلیط علیهما منآثارها ولوازم معناها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للانتفاع بها بعوض</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فصول </w:t>
      </w:r>
      <w:r>
        <w:rPr>
          <w:rFonts w:eastAsia="IRNazanin" w:cs="IRNazanin"/>
          <w:color w:val="111111"/>
          <w:sz w:val="28"/>
          <w:szCs w:val="28"/>
          <w:rtl w:val="true"/>
          <w:lang w:bidi="fa-IR"/>
        </w:rPr>
        <w:t xml:space="preserve">: </w:t>
      </w:r>
      <w:bookmarkStart w:id="594" w:name="pg13284_130801"/>
    </w:p>
    <w:p>
      <w:pPr>
        <w:pStyle w:val="BookText"/>
        <w:rPr/>
      </w:pPr>
      <w:bookmarkEnd w:id="594"/>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أرکانها    </w:t>
      </w:r>
    </w:p>
    <w:p>
      <w:pPr>
        <w:pStyle w:val="Heading3"/>
        <w:numPr>
          <w:ilvl w:val="2"/>
          <w:numId w:val="1"/>
        </w:numPr>
        <w:rPr/>
      </w:pPr>
      <w:bookmarkStart w:id="595" w:name="__RefHeading___Toc2055935_2322387425"/>
      <w:bookmarkStart w:id="596" w:name="_Toc217"/>
      <w:bookmarkEnd w:id="595"/>
      <w:r>
        <w:rPr>
          <w:rtl w:val="true"/>
        </w:rPr>
        <w:t>فصل</w:t>
      </w:r>
      <w:r>
        <w:rPr>
          <w:rtl w:val="true"/>
        </w:rPr>
        <w:t xml:space="preserve">: </w:t>
      </w:r>
      <w:r>
        <w:rPr>
          <w:rtl w:val="true"/>
        </w:rPr>
        <w:t>فی  أرکانها</w:t>
      </w:r>
      <w:bookmarkEnd w:id="596"/>
    </w:p>
    <w:p>
      <w:pPr>
        <w:pStyle w:val="Heading4"/>
        <w:numPr>
          <w:ilvl w:val="3"/>
          <w:numId w:val="1"/>
        </w:numPr>
        <w:rPr/>
      </w:pPr>
      <w:bookmarkStart w:id="597" w:name="__RefHeading___Toc2055937_2322387425"/>
      <w:bookmarkStart w:id="598" w:name="_Toc218"/>
      <w:bookmarkEnd w:id="597"/>
      <w:r>
        <w:rPr>
          <w:rtl w:val="true"/>
        </w:rPr>
        <w:t>اشارة</w:t>
      </w:r>
      <w:bookmarkEnd w:id="598"/>
    </w:p>
    <w:p>
      <w:pPr>
        <w:pStyle w:val="BookText"/>
        <w:rPr/>
      </w:pPr>
      <w:r>
        <w:rPr>
          <w:rFonts w:ascii="IRNazanin" w:hAnsi="IRNazanin" w:eastAsia="IRNazanin"/>
          <w:color w:val="111111"/>
          <w:sz w:val="28"/>
          <w:sz w:val="28"/>
          <w:szCs w:val="28"/>
          <w:rtl w:val="true"/>
          <w:lang w:bidi="fa-IR"/>
        </w:rPr>
        <w:t xml:space="preserve">وهی ثلاثة </w:t>
      </w:r>
      <w:r>
        <w:rPr>
          <w:rFonts w:eastAsia="IRNazanin" w:cs="IRNazanin"/>
          <w:color w:val="111111"/>
          <w:sz w:val="28"/>
          <w:szCs w:val="28"/>
          <w:rtl w:val="true"/>
          <w:lang w:bidi="fa-IR"/>
        </w:rPr>
        <w:t>:</w:t>
      </w:r>
    </w:p>
    <w:p>
      <w:pPr>
        <w:pStyle w:val="Heading4"/>
        <w:numPr>
          <w:ilvl w:val="3"/>
          <w:numId w:val="1"/>
        </w:numPr>
        <w:rPr/>
      </w:pPr>
      <w:bookmarkStart w:id="599" w:name="__RefHeading___Toc2055939_2322387425"/>
      <w:bookmarkStart w:id="600" w:name="_Toc219"/>
      <w:bookmarkEnd w:id="599"/>
      <w:r>
        <w:rPr>
          <w:rtl w:val="true"/>
        </w:rPr>
        <w:t>الأوّل</w:t>
      </w:r>
      <w:r>
        <w:rPr>
          <w:rtl w:val="true"/>
        </w:rPr>
        <w:t xml:space="preserve">: </w:t>
      </w:r>
      <w:r>
        <w:rPr>
          <w:rtl w:val="true"/>
        </w:rPr>
        <w:t>الإیجاب والقبول</w:t>
      </w:r>
      <w:bookmarkEnd w:id="6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 فیهما کلّ لفظٍ دالٍّ علی المعنی المذکور،والصریح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أکرَیتُکَ</w:t>
      </w:r>
      <w:r>
        <w:rPr>
          <w:rStyle w:val="FootnoteAnchor"/>
          <w:rtl w:val="true"/>
        </w:rPr>
        <w:footnoteReference w:id="1092"/>
      </w:r>
      <w:r>
        <w:rPr>
          <w:rFonts w:ascii="IRNazanin" w:hAnsi="IRNazanin" w:eastAsia="IRNazanin"/>
          <w:color w:val="111111"/>
          <w:sz w:val="28"/>
          <w:sz w:val="28"/>
          <w:szCs w:val="28"/>
          <w:rtl w:val="true"/>
          <w:lang w:bidi="fa-IR"/>
        </w:rPr>
        <w:t>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فیها المعاطاة</w:t>
      </w:r>
      <w:r>
        <w:rPr>
          <w:rStyle w:val="FootnoteAnchor"/>
          <w:rtl w:val="true"/>
        </w:rPr>
        <w:footnoteReference w:id="10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فی منافع الأموال،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یتحقّق إعطاء المعوّض بالشروع فی العمل فی إجارة النفس، وبتسلیم العین فیإجارتها، قاصداً فی کلیهما الإقدام بما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فی إجارة الحرّ فالشروع فی العمل بمنزلة الإیجاب، أو یکون أخذ الاُجرةبمنزلة الإیجاب ودفعها من المستأجر بمنزلة القبول إذا کان ذلک قبل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وتتحقّق فی إجارة الأعیان بتسلیم العین إلی المستأجِر، وفی إجارة الأشخاصبحضور العامل للعمل علی إشکالٍ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جریانها فی إجارة الحرّ إشکال، وإن کان غیر بعیدٍ بجعل نفسه تحت اختیارالطرف بهذا العنوان، أو بشروعه فی العمل کذلک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ظاهرٌ؛ بناءً علی کونها عقداً مملَّکاً، وشمولها لإجارة الحرّ نفسه لعملٍ مبنیّعلی کفایة الإعطاء والأخذ فی تحقّقها، أو علی کفایة الشروع فی العمل، أو کفایةتسلیم نفسه للعمل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وتتحقّق بإعطاء العین من طرف المؤجِر، والاُجرة من طرف المستأجِر، وفیإجارة الحرّ نفسه فبتسلیم نفسه للعمل، هذا هو مقتضی تعلّق الإجارة بالعین، کماذکرنا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مطلقاً، سواء کان فیها منافع للأموال أو للأعمال؛ لتحقّق معنی المعاطاة فیهما،کما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تحقّقها فی إجارة الأعیان المملوکة بإعطاء العین من طرف المُؤجِر،والاُجرة من طرف المستأجِر، وفی إجارة الحرّ بشروعه فی العمل بعنوانالإجارة وإعطاء الاُجرة من طرف الآخر، أو بتسلیم نفسه للعمل بهذا العنوان وإنلم یعمل بعدُ کذلک، وأمّا تحقّقها فی هذا القَسم بمجرّد إعطاء الاُجرة وأخذهاففیه إشکال، وإن کان لا یبعد صحّته أیضاً، کما فی المعاطاة فی بیع النسیئة أوالسَلَم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کسائر العقود</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أن یکون</w:t>
      </w:r>
      <w:r>
        <w:rPr>
          <w:rStyle w:val="FootnoteAnchor"/>
          <w:rtl w:val="true"/>
        </w:rPr>
        <w:footnoteReference w:id="1095"/>
      </w:r>
      <w:r>
        <w:rPr>
          <w:rFonts w:ascii="IRNazanin" w:hAnsi="IRNazanin" w:eastAsia="IRNazanin"/>
          <w:color w:val="111111"/>
          <w:sz w:val="28"/>
          <w:sz w:val="28"/>
          <w:szCs w:val="28"/>
          <w:rtl w:val="true"/>
          <w:lang w:bidi="fa-IR"/>
        </w:rPr>
        <w:t> الإیجاب بالقول، والقبول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w:t>
      </w:r>
      <w:r>
        <w:rPr>
          <w:rStyle w:val="FootnoteAnchor"/>
          <w:rtl w:val="true"/>
        </w:rPr>
        <w:footnoteReference w:id="10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اشتراط الصراحة باستعمال الألفاظ الحقیقیّة، ولکنّ القولبالصحّة غیر بعید؛ بشرط الظهور العرفیّ، واستحسان الطبع لمثل هذا المجاز،وعدم المجاجة والاستبشاع هناک، ودعوی الإجماع علی خلافه غیر تامّة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الصحّة مورد الإشکال، بل المنع، والمیزان صدق العنوان ولو ببرکة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أن یقول</w:t>
      </w:r>
      <w:r>
        <w:rPr>
          <w:rStyle w:val="FootnoteAnchor"/>
          <w:rtl w:val="true"/>
        </w:rPr>
        <w:footnoteReference w:id="10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الإیجاب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وإن قصد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بأس به إذا کانت قرینة حالیّة أو مقالیّة تدلّ علی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بِعتُکَ منفعةَ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استعمال ألفاظ العقود بعضها فی بعضٍ مجاز بل ومجاز بعید، ویشکل الحکمبتأثیره ولزومه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قصد تملیک المنفعة وهو من آثار الإجارة، لکن بشرط الظهور العرفیّ للّفظفی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هذا أو أشباهه مبنیّ علی جواز التجوّز فی صیغ العقود، وصحّة إنشاء کلّواحدٍ منهما بلفظ الآخر، وهو فی غایة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یبعد؛ فإنّ الالتزام بصحّة إیقاع معاملة بلفط غیرها تجوّزاً فی غایة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الصحّة، مع الظهور العرفیّ المستند إلی القرائن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وکذا إنشاء کلّ عقدٍ بلفظِ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601" w:name="pg13284_130804"/>
    </w:p>
    <w:p>
      <w:pPr>
        <w:pStyle w:val="BookText"/>
        <w:rPr/>
      </w:pPr>
      <w:bookmarkEnd w:id="601"/>
      <w:r>
        <w:rPr>
          <w:rFonts w:ascii="IRNazanin" w:hAnsi="IRNazanin" w:eastAsia="IRNazanin"/>
          <w:color w:val="111111"/>
          <w:sz w:val="28"/>
          <w:sz w:val="28"/>
          <w:szCs w:val="28"/>
          <w:rtl w:val="true"/>
          <w:lang w:bidi="fa-IR"/>
        </w:rPr>
        <w:t>قصد</w:t>
      </w:r>
      <w:r>
        <w:rPr>
          <w:rStyle w:val="FootnoteAnchor"/>
          <w:rtl w:val="true"/>
        </w:rPr>
        <w:footnoteReference w:id="1098"/>
      </w:r>
      <w:r>
        <w:rPr>
          <w:rFonts w:ascii="Amiri" w:hAnsi="Amiri" w:eastAsia="Amiri" w:cs="Amiri"/>
          <w:color w:val="111111"/>
          <w:sz w:val="28"/>
          <w:sz w:val="28"/>
          <w:szCs w:val="28"/>
          <w:rtl w:val="true"/>
          <w:lang w:bidi="ar-SA"/>
        </w:rPr>
        <w:t> الإجارة</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2055941_2322387425"/>
      <w:bookmarkStart w:id="603" w:name="_Toc220"/>
      <w:bookmarkEnd w:id="602"/>
      <w:r>
        <w:rPr>
          <w:rtl w:val="true"/>
        </w:rPr>
        <w:t>الثانی</w:t>
      </w:r>
      <w:r>
        <w:rPr>
          <w:rtl w:val="true"/>
        </w:rPr>
        <w:t xml:space="preserve">: </w:t>
      </w:r>
      <w:r>
        <w:rPr>
          <w:rtl w:val="true"/>
        </w:rPr>
        <w:t>المتعاقدان وما یشترط فیهما</w:t>
      </w:r>
      <w:bookmarkEnd w:id="60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المتعاقدان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w:t>
      </w:r>
      <w:r>
        <w:rPr>
          <w:rStyle w:val="FootnoteAnchor"/>
          <w:rtl w:val="true"/>
        </w:rPr>
        <w:footnoteReference w:id="1099"/>
      </w:r>
      <w:r>
        <w:rPr>
          <w:rFonts w:ascii="IRNazanin" w:hAnsi="IRNazanin" w:eastAsia="IRNazanin"/>
          <w:color w:val="111111"/>
          <w:sz w:val="28"/>
          <w:sz w:val="28"/>
          <w:szCs w:val="28"/>
          <w:rtl w:val="true"/>
          <w:lang w:bidi="fa-IR"/>
        </w:rPr>
        <w:t> فیهما</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w:t>
      </w:r>
      <w:r>
        <w:rPr>
          <w:rStyle w:val="FootnoteAnchor"/>
          <w:rtl w:val="true"/>
        </w:rPr>
        <w:footnoteReference w:id="1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 هذه الشروط تکون شرطاً للنفوذ، لا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والاختیار، وعدم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مع إجازة مَن له الأمر فی الثلاثة، بل فی الممیِّز أیضاً علی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إجازة مَن له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مع إجازة مَن له حقّها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4" w:name="pg13284_130805"/>
    </w:p>
    <w:p>
      <w:pPr>
        <w:pStyle w:val="BookText"/>
        <w:rPr/>
      </w:pPr>
      <w:bookmarkEnd w:id="604"/>
      <w:r>
        <w:rPr>
          <w:rFonts w:ascii="Amiri" w:hAnsi="Amiri" w:eastAsia="Amiri" w:cs="Amiri"/>
          <w:color w:val="111111"/>
          <w:sz w:val="28"/>
          <w:sz w:val="28"/>
          <w:szCs w:val="28"/>
          <w:rtl w:val="true"/>
          <w:lang w:bidi="ar-SA"/>
        </w:rPr>
        <w:t>لِفَلَسٍ</w:t>
      </w:r>
      <w:r>
        <w:rPr>
          <w:rStyle w:val="FootnoteAnchor"/>
          <w:rtl w:val="true"/>
        </w:rPr>
        <w:footnoteReference w:id="1102"/>
      </w:r>
      <w:r>
        <w:rPr>
          <w:rFonts w:ascii="Amiri" w:hAnsi="Amiri" w:eastAsia="Amiri" w:cs="Amiri"/>
          <w:color w:val="111111"/>
          <w:sz w:val="28"/>
          <w:sz w:val="28"/>
          <w:szCs w:val="28"/>
          <w:rtl w:val="true"/>
          <w:lang w:bidi="ar-SA"/>
        </w:rPr>
        <w:t> أو سَفَهٍ أو رِقِّیّة</w:t>
      </w:r>
      <w:r>
        <w:rPr>
          <w:rStyle w:val="FootnoteAnchor"/>
          <w:rtl w:val="true"/>
        </w:rPr>
        <w:footnoteReference w:id="1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الفعلیّة لمعاملات المذکورِین موقوفة علی إجازة الدیّان، أو إشراف الولیّ،أو إذن السیّد أو إجازته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Heading4"/>
        <w:numPr>
          <w:ilvl w:val="3"/>
          <w:numId w:val="1"/>
        </w:numPr>
        <w:rPr/>
      </w:pPr>
      <w:bookmarkStart w:id="605" w:name="__RefHeading___Toc2055943_2322387425"/>
      <w:bookmarkStart w:id="606" w:name="_Toc221"/>
      <w:bookmarkEnd w:id="605"/>
      <w:r>
        <w:rPr>
          <w:rtl w:val="true"/>
        </w:rPr>
        <w:t>الثالث</w:t>
      </w:r>
      <w:r>
        <w:rPr>
          <w:rtl w:val="true"/>
        </w:rPr>
        <w:t xml:space="preserve">: </w:t>
      </w:r>
      <w:r>
        <w:rPr>
          <w:rtl w:val="true"/>
        </w:rPr>
        <w:t>العوضان وما یشترط فیهما</w:t>
      </w:r>
      <w:bookmarkEnd w:id="60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ویشترط فیهما اُمور</w:t>
      </w:r>
      <w:r>
        <w:rPr>
          <w:rStyle w:val="FootnoteAnchor"/>
          <w:rtl w:val="true"/>
        </w:rPr>
        <w:footnoteReference w:id="1104"/>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المعلومیّة</w:t>
      </w:r>
      <w:r>
        <w:rPr>
          <w:rStyle w:val="FootnoteAnchor"/>
          <w:rtl w:val="true"/>
        </w:rPr>
        <w:footnoteReference w:id="1105"/>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فی کلّ شیءٍ بحسبه بحیث لا یکون هناک غُرَر</w:t>
      </w:r>
      <w:r>
        <w:rPr>
          <w:rStyle w:val="FootnoteAnchor"/>
          <w:rtl w:val="true"/>
        </w:rPr>
        <w:footnoteReference w:id="1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المانع الجهالة ولو لم یصدق الغُرر محتملٌ،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مع الجهل بأحد العوضین البطلان وإن لم یکن هناک 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جهالة، وأمّا لو کان المراد منه هو الخطر الّذی یکون الجهل أعمّ منه فلا دلیلعلی اختصاص البطلان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آجره داراً أو حِماراً من غیر مشاهدةٍ ولا وصفٍ رافعٍ للجهالة  </w:t>
      </w:r>
    </w:p>
    <w:p>
      <w:pPr>
        <w:pStyle w:val="BookText"/>
        <w:rPr/>
      </w:pPr>
      <w:r>
        <w:rPr>
          <w:rFonts w:ascii="IRNazanin" w:hAnsi="IRNazanin" w:eastAsia="IRNazanin"/>
          <w:color w:val="111111"/>
          <w:sz w:val="28"/>
          <w:sz w:val="28"/>
          <w:szCs w:val="28"/>
          <w:rtl w:val="true"/>
          <w:lang w:bidi="fa-IR"/>
        </w:rPr>
        <w:t>بطل، وکذا لو جعل العوض شیئاً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یکونا مقدورَی</w:t>
      </w:r>
      <w:r>
        <w:rPr>
          <w:rStyle w:val="FootnoteAnchor"/>
          <w:rtl w:val="true"/>
        </w:rPr>
        <w:footnoteReference w:id="1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الشرط کسابقه فی کونه مبنیّاً علی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یقال بکفایة کونهما مقدورَی التسلّم، وهو لا بأس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کفایة مقدوریّة التسلّم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التسلّم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 تصحّ إجارة العبد الآبق، وفی کفایة ضمّ الضمیمة 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 عدم 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ینشأ الإشکال فی الصحّة من شبهة القیاس، وفی البطلان من وحدة الملاک فیالمقامَین، وهو کون العِوض فی مقابل ما نقده، والأظهر عدم الصحّة فیما إذا کانتالضمیمة غیر المنفعة تحفّظاً علی حقیقة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الکفایة بعد ورود الخبر فی البیع علی خلاف القاعدة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الکفایة للأخبارالواردة فی البیع وإن کان عدمهاأحوط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إشکال مع عدم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کفایة ضمّ الضمیمة فی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یکونا مَملوکَیْن</w:t>
      </w:r>
      <w:r>
        <w:rPr>
          <w:rStyle w:val="FootnoteAnchor"/>
          <w:rtl w:val="true"/>
        </w:rPr>
        <w:footnoteReference w:id="1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تفصیل ما یأتی فی فصل یکفی فی صحّة 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تصحّ إجارة مال الغیر، ولا إجارة بمال الغیر إلّا مع الإجازة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المستأجَرَة ممّا یمکن الانتفاع بها مع بقائها، فلا تصحّ إجارة الخبز للأکل مثلاً، ولا الحطب للإشعال،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المنفعة مباحةً</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اشتراط مملوکیّة المنفعة یغنی عن هذا الشرط؛ فإنّ المنفعة المحرّمة غیر مملوکة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فعلاً ولو عرضاً، کما لو طرأ علی بعض الأمثلة المذکورة عنوان مجوّز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ذکره بعد اشتراط المملوکیّة مستغنیً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تصحّ إجارة المساکن لإحراز   </w:t>
      </w:r>
    </w:p>
    <w:p>
      <w:pPr>
        <w:pStyle w:val="BookText"/>
        <w:rPr/>
      </w:pPr>
      <w:r>
        <w:rPr>
          <w:rFonts w:ascii="IRNazanin" w:hAnsi="IRNazanin" w:eastAsia="IRNazanin"/>
          <w:color w:val="111111"/>
          <w:sz w:val="28"/>
          <w:sz w:val="28"/>
          <w:szCs w:val="28"/>
          <w:rtl w:val="true"/>
          <w:lang w:bidi="fa-IR"/>
        </w:rPr>
        <w:t>المحرّمات أو الدکاکین لبیعها، أو الدوابّ لحملها، أو الجاریة للغناء، أو العبد لکتابة الکفر ونحو ذلک، وتحرم الاُجرة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ممّا یمکن استیفاء</w:t>
      </w:r>
      <w:r>
        <w:rPr>
          <w:rStyle w:val="FootnoteAnchor"/>
          <w:rtl w:val="true"/>
        </w:rPr>
        <w:footnoteReference w:id="1110"/>
      </w:r>
      <w:r>
        <w:rPr>
          <w:rFonts w:ascii="Amiri" w:hAnsi="Amiri" w:eastAsia="Amiri" w:cs="Amiri"/>
          <w:color w:val="111111"/>
          <w:sz w:val="28"/>
          <w:sz w:val="28"/>
          <w:szCs w:val="28"/>
          <w:rtl w:val="true"/>
          <w:lang w:bidi="ar-SA"/>
        </w:rPr>
        <w:t> المنفعة المقصودة</w:t>
      </w:r>
      <w:r>
        <w:rPr>
          <w:rStyle w:val="FootnoteAnchor"/>
          <w:rtl w:val="true"/>
        </w:rPr>
        <w:footnoteReference w:id="1111"/>
      </w:r>
      <w:r>
        <w:rPr>
          <w:rFonts w:ascii="Amiri" w:hAnsi="Amiri" w:eastAsia="Amiri" w:cs="Amiri"/>
          <w:color w:val="111111"/>
          <w:sz w:val="28"/>
          <w:sz w:val="28"/>
          <w:szCs w:val="28"/>
          <w:rtl w:val="true"/>
          <w:lang w:bidi="ar-SA"/>
        </w:rPr>
        <w:t> بها، فلا تصحّ إجارة أرض للزراعة</w:t>
      </w:r>
      <w:r>
        <w:rPr>
          <w:rStyle w:val="FootnoteAnchor"/>
          <w:rtl w:val="true"/>
        </w:rPr>
        <w:footnoteReference w:id="1112"/>
      </w:r>
      <w:r>
        <w:rPr>
          <w:rFonts w:ascii="IRNazanin" w:hAnsi="IRNazanin" w:eastAsia="IRNazanin"/>
          <w:color w:val="111111"/>
          <w:sz w:val="28"/>
          <w:sz w:val="28"/>
          <w:szCs w:val="28"/>
          <w:rtl w:val="true"/>
          <w:lang w:bidi="fa-IR"/>
        </w:rPr>
        <w:t> إذا لم یمکن إیصال الماء إلیها، مع عدم إمکان الزراعة بماء السماء، أو عدم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Style w:val="FootnoteAnchor"/>
          <w:rtl w:val="true"/>
        </w:rPr>
        <w:footnoteReference w:id="1113"/>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یتمکّن</w:t>
      </w:r>
      <w:r>
        <w:rPr>
          <w:rStyle w:val="FootnoteAnchor"/>
          <w:rtl w:val="true"/>
        </w:rPr>
        <w:footnoteReference w:id="1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بدّلَه بإمکان حصول المنفعة المستأجَرة کان أولی وأشمل، ویخرج به ما لاتدخله النیابة أیضاً، ولو لا اشتغال ذمّته العامل به، وأمّا المثال فقد خرج باشتراطمملوکیّة المنفعة وإباحتها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یمکن حصول المنفعة المقصودة له من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یتمّ ذلک إذا کان عدم التمکّن لمنع شرعی، أو لقصورٍ فی العَین، ولا یتمّ إذا کانلمانعٍ یمنعه، أو قصور فی 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الانتفاع بالعین المستأجَرة، فلا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07" w:name="pg13284_130809"/>
    </w:p>
    <w:p>
      <w:pPr>
        <w:pStyle w:val="BookText"/>
        <w:rPr/>
      </w:pPr>
      <w:bookmarkEnd w:id="607"/>
      <w:r>
        <w:rPr>
          <w:rFonts w:ascii="Amiri" w:hAnsi="Amiri" w:eastAsia="Amiri" w:cs="Amiri"/>
          <w:color w:val="111111"/>
          <w:sz w:val="28"/>
          <w:sz w:val="28"/>
          <w:szCs w:val="28"/>
          <w:rtl w:val="true"/>
          <w:lang w:bidi="ar-SA"/>
        </w:rPr>
        <w:t>تصحّ</w:t>
      </w:r>
      <w:r>
        <w:rPr>
          <w:rStyle w:val="FootnoteAnchor"/>
          <w:rtl w:val="true"/>
        </w:rPr>
        <w:footnoteReference w:id="1115"/>
      </w:r>
      <w:r>
        <w:rPr>
          <w:rFonts w:ascii="Amiri" w:hAnsi="Amiri" w:eastAsia="Amiri" w:cs="Amiri"/>
          <w:color w:val="111111"/>
          <w:sz w:val="28"/>
          <w:sz w:val="28"/>
          <w:szCs w:val="28"/>
          <w:rtl w:val="true"/>
          <w:lang w:bidi="ar-SA"/>
        </w:rPr>
        <w:t> إجارة</w:t>
      </w:r>
      <w:r>
        <w:rPr>
          <w:rStyle w:val="FootnoteAnchor"/>
          <w:rtl w:val="true"/>
        </w:rPr>
        <w:footnoteReference w:id="1116"/>
      </w:r>
      <w:r>
        <w:rPr>
          <w:rFonts w:ascii="IRNazanin" w:hAnsi="IRNazanin" w:eastAsia="IRNazanin"/>
          <w:color w:val="111111"/>
          <w:sz w:val="28"/>
          <w:sz w:val="28"/>
          <w:szCs w:val="28"/>
          <w:rtl w:val="true"/>
          <w:lang w:bidi="fa-IR"/>
        </w:rPr>
        <w:t> الحائض</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2055945_2322387425"/>
      <w:bookmarkStart w:id="609" w:name="_Toc222"/>
      <w:bookmarkEnd w:id="608"/>
      <w:r>
        <w:rPr>
          <w:rtl w:val="true"/>
        </w:rPr>
        <w:t>إعتبار الاختیار وعدم الإکراه</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تصحّ الإجارة إذا کان المُؤجِر أو المستأجِر مُکرَهاً علیها إلّا مع الإجازة اللاحقة، بل الأحوط</w:t>
      </w:r>
      <w:r>
        <w:rPr>
          <w:rStyle w:val="FootnoteAnchor"/>
          <w:rtl w:val="true"/>
        </w:rPr>
        <w:footnoteReference w:id="1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ویکفی الرضا اللاحق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الراجح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یُترک، ویجدّد العقد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الاکتفاء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تجدید</w:t>
      </w:r>
      <w:bookmarkStart w:id="610" w:name="pg13284_130810"/>
    </w:p>
    <w:p>
      <w:pPr>
        <w:pStyle w:val="BookText"/>
        <w:rPr/>
      </w:pPr>
      <w:bookmarkEnd w:id="610"/>
      <w:r>
        <w:rPr>
          <w:rFonts w:ascii="Amiri" w:hAnsi="Amiri" w:eastAsia="Amiri" w:cs="Amiri"/>
          <w:color w:val="111111"/>
          <w:sz w:val="28"/>
          <w:sz w:val="28"/>
          <w:szCs w:val="28"/>
          <w:rtl w:val="true"/>
          <w:lang w:bidi="ar-SA"/>
        </w:rPr>
        <w:t>العقد إذا رَضِیا، نعم، تصحّ مع الاضطرار، کما إذا طلب منه ظالم مالاً فاضطرّ إلی إجارة دار سکناه لذلک، فإنّها تصحّ حینئذٍ، کما أنّه إذا اضطُرَّ إلی بیعها صحّ</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2055947_2322387425"/>
      <w:bookmarkStart w:id="612" w:name="_Toc223"/>
      <w:bookmarkEnd w:id="611"/>
      <w:r>
        <w:rPr>
          <w:rtl w:val="true"/>
        </w:rPr>
        <w:t>إجارة المفلَّس والسفیه</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تصحّ</w:t>
      </w:r>
      <w:r>
        <w:rPr>
          <w:rStyle w:val="FootnoteAnchor"/>
          <w:rtl w:val="true"/>
        </w:rPr>
        <w:footnoteReference w:id="1119"/>
      </w:r>
      <w:r>
        <w:rPr>
          <w:rFonts w:ascii="Amiri" w:hAnsi="Amiri" w:eastAsia="Amiri" w:cs="Amiri"/>
          <w:color w:val="111111"/>
          <w:sz w:val="28"/>
          <w:sz w:val="28"/>
          <w:szCs w:val="28"/>
          <w:rtl w:val="true"/>
          <w:lang w:bidi="ar-SA"/>
        </w:rPr>
        <w:t> إجارة المُفَلَّسِ بعد الحَجْرِ علیه داره</w:t>
      </w:r>
      <w:r>
        <w:rPr>
          <w:rStyle w:val="FootnoteAnchor"/>
          <w:rtl w:val="true"/>
        </w:rPr>
        <w:footnoteReference w:id="1120"/>
      </w:r>
      <w:r>
        <w:rPr>
          <w:rFonts w:ascii="IRNazanin" w:hAnsi="IRNazanin" w:eastAsia="IRNazanin"/>
          <w:color w:val="111111"/>
          <w:sz w:val="28"/>
          <w:sz w:val="28"/>
          <w:szCs w:val="28"/>
          <w:rtl w:val="true"/>
          <w:lang w:bidi="fa-IR"/>
        </w:rPr>
        <w:t> أو عقاره</w:t>
      </w:r>
      <w:r>
        <w:rPr>
          <w:rStyle w:val="FootnoteAnchor"/>
          <w:rtl w:val="true"/>
        </w:rPr>
        <w:footnoteReference w:id="1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غیر دار سکناه فإنّها من المستثنیات، فلو قتَّر علی نفسه وآجرها صحّتعلی الظاهر؛ لاختصاص المنع بما للدیّان استیفاء الدین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نعم، تصحّ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إجارته نفسه 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خدمة، وأمّا السفیه فهل هو کذلک ـ أی تصحّ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إجارة نفسه للاکتساب مع کونه محجوراً عن إجارة داره مثلاً ـ أوْ لا؟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العدم، وکذا فی السَفِیهة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الأوّل، وفی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احتمل الأمران فالأقوی الصحّة ظاهراً؛حتّی ینکشف الحال، وفی العاشرة الصحّة فی الشهر الأوّل مع اللزوم، والصحّة بدوناللزوم فی الباقی، ویکون إباحة بعوض، وفی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الصحّة ولو بعنوانالإجارة، ومثل هذه الجهالة لا تقدح، ومثله فی الثانیة عشرة فی 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إنأوصلتُکَ فی الوقت الفلانی إلی آخره ومن راجع أخبار الباب یجد فیها صحّة أکثرهذه الصور، کصحیحتَی الحلبیّ ومحمّد بن مسلم ومصحّحة أبی حمزة ومکاتبةالهمدانی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الثانی، وهو الأظهر فی تزویج السفیهة، لا للدعوی المذکورة، بل للنصّوالفتوی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عدم الصحّة، خصوصاً إذا کان کَسوباً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العدم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الصحّة، مع إشراف الولیّ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عدم الصحّة، وکذا الحال فی تزویج السفیهة نفسها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أوّلهما من القوّة؛ نظراً إلی مناط رعایة مصالحه، وإلی إطلاق الأمر فیخبر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الوجه الأوّل هو الأوجه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یفصّل بین السفیه فی المالیّات فقط، فتصحّ إجارته نفسه، وبین السفیه مطلقاًفلا تصحّ، وهو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عدم الجواز، لا لما أفاده، بل للنصوص الدالّة منطوقاً أو مفهوماً علی عدمجواز أمر السفیه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قولان، الظاهر هو القول بعدم الصحّة، خصوصاً إذا کان کَسوباً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هو الوجه الأوّل، خصوصاً إذا کان کَسوباً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من التصرّف</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المالیّ</w:t>
      </w:r>
      <w:r>
        <w:rPr>
          <w:rStyle w:val="FootnoteAnchor"/>
          <w:rtl w:val="true"/>
        </w:rPr>
        <w:footnoteReference w:id="1122"/>
      </w:r>
      <w:r>
        <w:rPr>
          <w:rFonts w:ascii="IRNazanin" w:hAnsi="IRNazanin" w:eastAsia="IRNazanin"/>
          <w:color w:val="111111"/>
          <w:sz w:val="28"/>
          <w:sz w:val="28"/>
          <w:szCs w:val="28"/>
          <w:rtl w:val="true"/>
          <w:lang w:bidi="fa-IR"/>
        </w:rPr>
        <w:t xml:space="preserve"> وهو محجور، ومن أنّه لیس تصرّفاً فی ماله </w:t>
      </w:r>
    </w:p>
    <w:p>
      <w:pPr>
        <w:pStyle w:val="BookText"/>
        <w:rPr/>
      </w:pPr>
      <w:r>
        <w:rPr>
          <w:rFonts w:ascii="IRNazanin" w:hAnsi="IRNazanin" w:eastAsia="IRNazanin"/>
          <w:color w:val="111111"/>
          <w:sz w:val="28"/>
          <w:sz w:val="28"/>
          <w:szCs w:val="28"/>
          <w:rtl w:val="true"/>
          <w:lang w:bidi="fa-IR"/>
        </w:rPr>
        <w:t>الموجود</w:t>
      </w:r>
      <w:r>
        <w:rPr>
          <w:rStyle w:val="FootnoteAnchor"/>
          <w:rtl w:val="true"/>
        </w:rPr>
        <w:footnoteReference w:id="1123"/>
      </w:r>
      <w:r>
        <w:rPr>
          <w:rFonts w:ascii="IRNazanin" w:hAnsi="IRNazanin" w:eastAsia="IRNazanin"/>
          <w:color w:val="111111"/>
          <w:sz w:val="28"/>
          <w:sz w:val="28"/>
          <w:szCs w:val="28"/>
          <w:rtl w:val="true"/>
          <w:lang w:bidi="fa-IR"/>
        </w:rPr>
        <w:t>، بل هو تحصیل للمال، ولا تُعدّ منافعه من أمواله، خصوصاً إذا لم یکن کسوباً، ومن هنا یظهر النظر فیما ذکره بعضهم من حجر السفیهة</w:t>
      </w:r>
      <w:r>
        <w:rPr>
          <w:rStyle w:val="FootnoteAnchor"/>
          <w:rtl w:val="true"/>
        </w:rPr>
        <w:footnoteReference w:id="1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الخصوص النصّ الوارد فی المورد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إشراف الولیّ علی نکاحها، کما هو المنصوص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تزویج نفسها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هو لمکان النصّ الخالص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بدعوی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منفعة البُضْع 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أیضاً محلّ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1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کذلک لو کان المستند الدعوی المذکورة، وأمّا إذا کان المستند هی صحیحةالفضلاء، عن أبی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الّتی ملکت نفسها غیر السفیهة ولا المولّی علیهاتزویجها بغیر ولیٍّ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إشکال فی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مقتضی بعض الأخبار المعتبرة حَجْرها عن تزویج نفسها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الحَجر، وعدم الصحّة بعد ورود صحیحة الفضلاء وروایة ابن بکیر،وإطلاق الأمر فی خبر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 وأولیاء العقد، 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للإشکال بعد ورود النصّ علی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کون البُضع منفعة، وأمّا نکاح السفیهة بغیر إذن الولیّ فظاهرهم التسلیم علیبطلانه، بل ادُّعِیَ علیه الإجماع والضرورة، وتدلّ علیه صحیحة الفضلاء، عن أبیجعفر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الّتی ملکت نفسها غیر السفیهة ولا المولَّی علیها تزویجها بغیرولیّ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وموثّقة ابن بکیر، عن زرارة، عنه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المرأة مالکةً أمرها تبیعوتشتری وتعتق وتشهد وتُعطِی من مالها ما شاءت فإنّ أمرها جائز تتزوّج إن شاءتبغیر إذن ولیّها، وإن لم تکن کذلک فلا یجوز تزویجها إلّا بأمر ولیّها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فیه عدم الصحّة للنصّ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کذلک إذا کان المستند الدعوی المذکورة، وأمّا إن کان المستند هیالنصوص المشار إلیها، أو صحیح الفضلاء، عن 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الّتی ملکتنفسها غیر السفیهة ولا المولّی علیها تزویجها بغیر ولیٍّ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موثّق موسیبن بکیر، فلا إشکال فی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مع قطع النظر عن النصّ والإجماع، بل الضرورة کما ادّعیا، وأمّا مع ملاحظتها فلا ینبغی الإشکال فی البطلان بدون إذن الولیّ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الإشکال بالنسبة إلی العلیل المذکور فی محلّه؛ لأنّه علیل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الإشکال فیأصل حکم السفیه فلا وقع له بعد ورود الروایات المعتبرة بمهجوریّتها عن الزواجاستقلالاً؛ فلذا ذکر تقیّد الأصحاب فی باب التزویج بکون المرأة رشیدة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3284_130814"/>
    </w:p>
    <w:p>
      <w:pPr>
        <w:pStyle w:val="Heading4"/>
        <w:numPr>
          <w:ilvl w:val="3"/>
          <w:numId w:val="1"/>
        </w:numPr>
        <w:rPr/>
      </w:pPr>
      <w:bookmarkStart w:id="614" w:name="__RefHeading___Toc2055949_2322387425"/>
      <w:bookmarkStart w:id="615" w:name="_Toc224"/>
      <w:bookmarkEnd w:id="613"/>
      <w:bookmarkEnd w:id="614"/>
      <w:r>
        <w:rPr>
          <w:rtl w:val="true"/>
        </w:rPr>
        <w:t>إعتبار الحریّة وتعیین العین والمنفعة ومعلومیّتها</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w:t>
      </w:r>
      <w:r>
        <w:rPr>
          <w:rStyle w:val="FootnoteAnchor"/>
          <w:rtl w:val="true"/>
        </w:rPr>
        <w:footnoteReference w:id="1126"/>
      </w:r>
      <w:r>
        <w:rPr>
          <w:rFonts w:ascii="Amiri" w:hAnsi="Amiri" w:eastAsia="Amiri" w:cs="Amiri"/>
          <w:color w:val="111111"/>
          <w:sz w:val="28"/>
          <w:sz w:val="28"/>
          <w:szCs w:val="28"/>
          <w:rtl w:val="true"/>
          <w:lang w:bidi="ar-SA"/>
        </w:rPr>
        <w:t> للعبد أن یُؤجِرَ نفسَه أو مالَه أو مالَ مولاهُ إلّا بإذنه، أو إجازته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لابدّ من تعیین العین المستأجَرَة، فلو آجَره أحد هذین العبدین أو إحدی هاتین الدارین لم یصحّ</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الصحّة فی المتساویَیْن فی الأوصاف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الصحّة فی المتساویَین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کان غُرراً، لا مطلقاً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یکون مورد الإجارة الفرد المردّد الّذی لا مصداق له، وأمّا لو کان المرادالکلّیّ فی المعیّن فالأظهر الصحّة، واشتراط عدم الغُرر فی جمیع الأقسام مبنیّ علیالاحتیاط، وممّا ذُکر یظهر الحال بالنسبة إلی اشتراط المعلومیّة فی الفرع الخامسوفی بقیّة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بقیّة الفرع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والصحیح ما استظهرناه وأثبتناه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یصحّ فی المتساویَین الصفات إذا کان ذلک علی وجه الکلّیِّ فی المعیَّن، أو کانمعیّناً فی نفسه، مردّداً عندهما أو عند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الروحانی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کانا مختلفَین فی الأوصاف الموجبة لتفاوت الرغبات، وأمّا مع التساوی منجمیع هذه الجهات فلا یبعد الحکم بالصحّة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أیضاً من تعیین نوع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المنفعة إذا کانت للعین منافع متعدّدة، نعم، تصحّ إجارتها بجمیع</w:t>
      </w:r>
      <w:r>
        <w:rPr>
          <w:rStyle w:val="FootnoteAnchor"/>
          <w:rtl w:val="true"/>
        </w:rPr>
        <w:footnoteReference w:id="1128"/>
      </w:r>
      <w:r>
        <w:rPr>
          <w:rFonts w:ascii="IRNazanin" w:hAnsi="IRNazanin" w:eastAsia="IRNazanin"/>
          <w:color w:val="111111"/>
          <w:sz w:val="28"/>
          <w:sz w:val="28"/>
          <w:szCs w:val="28"/>
          <w:rtl w:val="true"/>
          <w:lang w:bidi="fa-IR"/>
        </w:rPr>
        <w:t> منافعها</w:t>
      </w:r>
      <w:r>
        <w:rPr>
          <w:rStyle w:val="FootnoteAnchor"/>
          <w:rtl w:val="true"/>
        </w:rPr>
        <w:footnoteReference w:id="1129"/>
      </w:r>
      <w:r>
        <w:rPr>
          <w:rFonts w:ascii="Amiri" w:hAnsi="Amiri" w:eastAsia="Amiri" w:cs="Amiri"/>
          <w:color w:val="111111"/>
          <w:sz w:val="28"/>
          <w:sz w:val="28"/>
          <w:szCs w:val="28"/>
          <w:rtl w:val="true"/>
          <w:lang w:bidi="ar-SA"/>
        </w:rPr>
        <w:t>مع التعدّد، فیکون المستأجِر مخیَّراً</w:t>
      </w:r>
      <w:r>
        <w:rPr>
          <w:rStyle w:val="FootnoteAnchor"/>
          <w:rtl w:val="true"/>
        </w:rPr>
        <w:footnoteReference w:id="1130"/>
      </w:r>
      <w:r>
        <w:rPr>
          <w:rFonts w:ascii="IRNazanin" w:hAnsi="IRNazanin" w:eastAsia="IRNazanin"/>
          <w:color w:val="111111"/>
          <w:sz w:val="28"/>
          <w:sz w:val="28"/>
          <w:szCs w:val="28"/>
          <w:rtl w:val="true"/>
          <w:lang w:bidi="fa-IR"/>
        </w:rPr>
        <w:t> بینها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معلومیّة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بتقدیر المدّة کسُکنی الدار شهراً</w:t>
      </w:r>
      <w:r>
        <w:rPr>
          <w:rStyle w:val="FootnoteAnchor"/>
          <w:rtl w:val="true"/>
        </w:rPr>
        <w:footnoteReference w:id="1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شهراً معلوماً بالتعیین، أو الإطلاق المنصرف إلی الاتّصال، وأمّا معلومیّة الدارفاعتبارها مستفاد من المسألة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والخیاطة یوماً، أو منفعة رکوب الدابّة إلی زمان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بتقدیر العمل، کخیاطة الثوب المعلوم طوله وعرضه ورقّته وغلظته، فارسیّة أو رومیّة، من غیر تعرّضٍ للزمان، نعم، یلزم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دخالته فی الرغبات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کان الزمان دخیلاً فی الغرض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اختلاف أغراض العقلاء الناشئ من اختلاف الرغبات والمالیّة حسب الأزمنةالمختلفة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اختلاف الأغراض العقلائیّة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لزومه فی غیر ما دخل الزمان فی مالیّته غیر معلوم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الزمان دخیلاً فی الغرض المعاملی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الزمان</w:t>
      </w:r>
      <w:r>
        <w:rPr>
          <w:rStyle w:val="FootnoteAnchor"/>
          <w:rtl w:val="true"/>
        </w:rPr>
        <w:footnoteReference w:id="1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مراده أنّ هذا التعیین من شروط صحّة الإجارة وإلّا تبطل فلیس کذلکیقیناً، وینافی ما صرّح فیما بعد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أطلق اقتضی التعجیل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فرض اختلاف المالیّة حسب اختلاف الأزمنة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یلزم ذلک؛ وعلیه فیملک المستأجر علی الأجیر کُلّیَّ العمل، فیجبعلیه تسلیمه حین المطالبة فی أوّل أزمنة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التعلیقة وردت فی نسخةٍ اُخری غیر ما بأیدینا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اختلاف أغراض العقلاء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غُرراً بدون التعیین، وإلّا فالظاهر عدم اللزوم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اختلاف الأغراض العقلائیّة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هذا العمل،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الجمعة مثلاً، وإن أطلق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اقتضی التعجیل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الموارد لا مطلقاً، وسیأتی منه منعه مطلقاً؛ ولذا حکم بلزوم التعیین،نعم، فی ما قلنا بعدم لزومه فالظاهر أنّه یجب الإتیان به عند المطالبة، کَالدَین، إلّا معالانصراف فإنّه أیضاً تعیین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الوجه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العرفیّ،</w:t>
      </w:r>
      <w:r>
        <w:rPr>
          <w:rStyle w:val="FootnoteAnchor"/>
          <w:rtl w:val="true"/>
        </w:rPr>
        <w:footnoteReference w:id="1134"/>
      </w:r>
      <w:r>
        <w:rPr>
          <w:rFonts w:ascii="IRNazanin" w:hAnsi="IRNazanin" w:eastAsia="IRNazanin"/>
          <w:color w:val="111111"/>
          <w:sz w:val="28"/>
          <w:sz w:val="28"/>
          <w:szCs w:val="28"/>
          <w:rtl w:val="true"/>
          <w:lang w:bidi="fa-IR"/>
        </w:rPr>
        <w:t> وفی مثل استئجار الفحل</w:t>
      </w:r>
      <w:r>
        <w:rPr>
          <w:rStyle w:val="FootnoteAnchor"/>
          <w:rtl w:val="true"/>
        </w:rPr>
        <w:footnoteReference w:id="1135"/>
      </w:r>
      <w:r>
        <w:rPr>
          <w:rFonts w:ascii="Amiri" w:hAnsi="Amiri" w:eastAsia="Amiri" w:cs="Amiri"/>
          <w:color w:val="111111"/>
          <w:sz w:val="28"/>
          <w:sz w:val="28"/>
          <w:szCs w:val="28"/>
          <w:rtl w:val="true"/>
          <w:lang w:bidi="ar-SA"/>
        </w:rPr>
        <w:t> للضراب یعیّن بالمرّة والمرّتین</w:t>
      </w:r>
      <w:r>
        <w:rPr>
          <w:rStyle w:val="FootnoteAnchor"/>
          <w:rtl w:val="true"/>
        </w:rPr>
        <w:footnoteReference w:id="1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الإحبال، أو نحو ذلک ما یرفع الغُرر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قدّر المدّة والعمل علی وجه التطبیق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اُرید من التطبیق علی وجه الدقّة من کون أوّل العمل فی أوّل الزمان وآخره فیآخره فالإجارة باطلة، سواء وسِعَ الوقت،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اُرید إیقاع العمل فی ملک المدّةلا فی خارجها ـ وهو التطبیق العرفی ـ فإن وسِعَ الزمان صحّ، وإلّا بطل، وإن احتملالأمران فالأقوی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سِعَة الزمان له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تعلّق الغرض العقلائیّ بالتطبیق، وکون الأجیر قادراً علیه، وإن کان متعسّراً فیحقّه أو نادر الوقوع فی الخارج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تمکّنه منه، وتعلّق غرضٍ عقلائیٍّ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ذکره یتمّ إذا اُرید وقوع العمل فی الزمان، وإن اُرید التطبیق علیه أوّلاً وآخراًیتمّ ما أفاده أیضاً إذا علم بإمکان التطبیق، وإلّا فالأظهر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w:t>
      </w:r>
    </w:p>
    <w:p>
      <w:pPr>
        <w:pStyle w:val="BookText"/>
        <w:rPr/>
      </w:pPr>
      <w:r>
        <w:rPr>
          <w:rFonts w:ascii="IRNazanin" w:hAnsi="IRNazanin" w:eastAsia="IRNazanin"/>
          <w:color w:val="111111"/>
          <w:sz w:val="28"/>
          <w:sz w:val="28"/>
          <w:szCs w:val="28"/>
          <w:rtl w:val="true"/>
          <w:lang w:bidi="fa-IR"/>
        </w:rPr>
        <w:t>وإن علم</w:t>
      </w:r>
      <w:r>
        <w:rPr>
          <w:rStyle w:val="FootnoteAnchor"/>
          <w:rtl w:val="true"/>
        </w:rPr>
        <w:footnoteReference w:id="1137"/>
      </w:r>
      <w:r>
        <w:rPr>
          <w:rFonts w:ascii="IRNazanin" w:hAnsi="IRNazanin" w:eastAsia="IRNazanin"/>
          <w:color w:val="111111"/>
          <w:sz w:val="28"/>
          <w:sz w:val="28"/>
          <w:szCs w:val="28"/>
          <w:rtl w:val="true"/>
          <w:lang w:bidi="fa-IR"/>
        </w:rPr>
        <w:t> عدمها بطل</w:t>
      </w:r>
      <w:r>
        <w:rPr>
          <w:rStyle w:val="FootnoteAnchor"/>
          <w:rtl w:val="true"/>
        </w:rPr>
        <w:footnoteReference w:id="1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تحقّق الغُرر العرفی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احتمل الأمران ففیه قولان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مراعاة الصحّة بواقعه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الإصطهباناتی، الأراکی، محمّد رضاالگلپایگانی،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الصحّة مع الانحلال، والبطلان بدونه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مراعیً بواقعه، فیکشف عن صحّته أو بطلانه، ولیس المراد بهعلی وجه التطبیق أن یکون علی وجه الدقّة حتّی یُستشکل علیه بعدم إمکان وقوعهعادة، بل یکفی التطبیق العرفی، وهو ممّا یتحقّق غالباً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حینئذٍ کون الصحّة مراعیً لواقعه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کونها مراعیً بالواقع لا یخلو من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البطلان إن کان التطبیق دخیلاً فی الرغبات، وإلّا فالصحّة تابعة لواقعه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البطلان لو کان التطبیق دخیلاً فی الغرض أو المالیّة شطراً أو شرطاً، وإلّافالصحّة والبطلان تتّبعان الواقع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البطلان مع الإطلاق، والصحّة مع التعلیق علی السِعَة والقدرة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 البطلان علی تحقّق الغُرر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أقربهما الصحّة، خصوصاً إذا کان نحو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والفساد فی مفروض الکلام دائران مدار قدرة الأجیر وعدمها، فتصحّالإجارة فی الصورة الاُولی، وتفسد فی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هو البطلان، من دون فرقٍ بین أن یکون التطبیق ملحوظاً ابتداءً وانتهاءً،أو بالإضافة إلی خصوص أحدهما، ومن دون فرقٍ أیضاً بین أن یکون الزمان فیالفروض الثلاثة مأخوذاً بنحو التقیید، أو بنحو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3284_130819"/>
    </w:p>
    <w:p>
      <w:pPr>
        <w:pStyle w:val="Heading4"/>
        <w:numPr>
          <w:ilvl w:val="3"/>
          <w:numId w:val="1"/>
        </w:numPr>
        <w:rPr/>
      </w:pPr>
      <w:bookmarkStart w:id="617" w:name="__RefHeading___Toc2055951_2322387425"/>
      <w:bookmarkStart w:id="618" w:name="_Toc225"/>
      <w:bookmarkEnd w:id="616"/>
      <w:bookmarkEnd w:id="617"/>
      <w:r>
        <w:rPr>
          <w:rtl w:val="true"/>
        </w:rPr>
        <w:t>اُمور لابدّ من تعیینها</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دابّةً للحمل علیها لابدّ من تعیین ما یُحمَل علیها بحسب الجنس إن کان تختلف الأغراض باختلافه، وبحسب الوزن ولو بالمشاهدة والتخمین إن ارتفع به الغُرر، وکذا بالنسبة إلی الرکوب لابدّ من مشاهدة الراکب أو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لابدّ من مشاهدة الدابّة أو وصفها حتّی الذکوریّة والاُنوثیّة إن اختلفت الأغراض بحسبهما، 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تعیین الحمل والمحمول علیه والراکب والمرکوب علیه من کلّ جهة یختلف غرض العقلاء باختلافهما</w:t>
      </w:r>
      <w:r>
        <w:rPr>
          <w:rStyle w:val="FootnoteAnchor"/>
          <w:rtl w:val="true"/>
        </w:rPr>
        <w:footnoteReference w:id="1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ممّا یکون عدم تعیینها غرراً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استأجر دابّةً لحرث جَریبٍ معلومٍ فلابدّ من مشاهدة </w:t>
      </w:r>
    </w:p>
    <w:p>
      <w:pPr>
        <w:pStyle w:val="BookText"/>
        <w:rPr/>
      </w:pPr>
      <w:r>
        <w:rPr>
          <w:rFonts w:ascii="IRNazanin" w:hAnsi="IRNazanin" w:eastAsia="IRNazanin"/>
          <w:color w:val="111111"/>
          <w:sz w:val="28"/>
          <w:sz w:val="28"/>
          <w:szCs w:val="28"/>
          <w:rtl w:val="true"/>
          <w:lang w:bidi="fa-IR"/>
        </w:rPr>
        <w:t>الأرض، أو وصفها علی وجهٍ یرتفع الغُرر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 دابّةً للسفر مسافةً لابدّ</w:t>
      </w:r>
      <w:r>
        <w:rPr>
          <w:rStyle w:val="FootnoteAnchor"/>
          <w:rtl w:val="true"/>
        </w:rPr>
        <w:footnoteReference w:id="1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اختلاف الأغراض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بیان زمان السیر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لیلٍ أو نهار، إلّا إذا کان هناک عادة متّبعة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معلومة عند الطرفین ولو ارتکازاً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لم یختلف الحال فی السَیْرَین؛ لاعتدال الهواء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فی صورة عدم اختلاف المالیّة والأغراض العقلائیّة والرغبات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لم تختلف بذلک الأغراض والمالیّة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لم تختلف بذلک أغراض العقلاء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لم تختلف الأغراض والمالیّة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کانت الاُجرة ممّا یُکال أو یُوزَن لابدّ من تعیین کیلها أو وزنها، ولا تکفی المشاهدة</w:t>
      </w:r>
      <w:r>
        <w:rPr>
          <w:rStyle w:val="FootnoteAnchor"/>
          <w:rtl w:val="true"/>
        </w:rPr>
        <w:footnoteReference w:id="1141"/>
      </w:r>
      <w:r>
        <w:rPr>
          <w:rFonts w:ascii="IRNazanin" w:hAnsi="IRNazanin" w:eastAsia="IRNazanin"/>
          <w:color w:val="111111"/>
          <w:sz w:val="28"/>
          <w:sz w:val="28"/>
          <w:szCs w:val="28"/>
          <w:rtl w:val="true"/>
          <w:lang w:bidi="fa-IR"/>
        </w:rPr>
        <w:t>، وإن کانت ممّا یعدّ لابدّ من تعیین عددها، وتکفی المشاهدة فی ما یکون اعتباره بها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معلومیّته بتقدیر المدّة لابدّ من تعیینها شهراً أوسنة أو نحو ذلک،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إلی شهر أو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کلّ شهرٍ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ففی صحّته مطلقاً</w:t>
      </w:r>
      <w:r>
        <w:rPr>
          <w:rStyle w:val="FootnoteAnchor"/>
          <w:rtl w:val="true"/>
        </w:rPr>
        <w:footnoteReference w:id="1142"/>
      </w:r>
      <w:r>
        <w:rPr>
          <w:rFonts w:ascii="IRNazanin" w:hAnsi="IRNazanin" w:eastAsia="IRNazanin"/>
          <w:color w:val="111111"/>
          <w:sz w:val="28"/>
          <w:sz w:val="28"/>
          <w:szCs w:val="28"/>
          <w:rtl w:val="true"/>
          <w:lang w:bidi="fa-IR"/>
        </w:rPr>
        <w:t xml:space="preserve">، أو بطلانه مطلقاً، أو صحّته فی   </w:t>
      </w:r>
    </w:p>
    <w:p>
      <w:pPr>
        <w:pStyle w:val="BookText"/>
        <w:rPr/>
      </w:pPr>
      <w:r>
        <w:rPr>
          <w:rFonts w:ascii="IRNazanin" w:hAnsi="IRNazanin" w:eastAsia="IRNazanin"/>
          <w:color w:val="111111"/>
          <w:sz w:val="28"/>
          <w:sz w:val="28"/>
          <w:szCs w:val="28"/>
          <w:rtl w:val="true"/>
          <w:lang w:bidi="fa-IR"/>
        </w:rPr>
        <w:t>شهر وبطلانه فی الزیادة ـ فإن سکن فاُجرة المثل بالنسبة إلی الزیادة، أو الفرق بین التعبیر المذکور وبین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آجَرتُکَ شهراً</w:t>
      </w:r>
      <w:r>
        <w:rPr>
          <w:rStyle w:val="FootnoteAnchor"/>
          <w:rtl w:val="true"/>
        </w:rPr>
        <w:footnoteReference w:id="1143"/>
      </w:r>
      <w:r>
        <w:rPr>
          <w:rFonts w:ascii="Amiri" w:hAnsi="Amiri" w:eastAsia="Amiri" w:cs="Amiri"/>
          <w:color w:val="111111"/>
          <w:sz w:val="28"/>
          <w:sz w:val="28"/>
          <w:szCs w:val="28"/>
          <w:rtl w:val="true"/>
          <w:lang w:bidi="ar-SA"/>
        </w:rPr>
        <w:t> بِدِرهَمٍ</w:t>
      </w:r>
      <w:r>
        <w:rPr>
          <w:rStyle w:val="FootnoteAnchor"/>
          <w:rtl w:val="true"/>
        </w:rPr>
        <w:footnoteReference w:id="1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الصحّة فی الشهر فی هذا المثال، وجملة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زِدتَ فبحسابه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منباب الشرط حتّی یوجب جهالته بطلان العقد، بل هو شبیه الجعالة، ولیس فیه إلزام،بل تعیین للإجارة علی تقدیر إرادته السکنی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زدت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 فی الأوّل، والصحّة فی شهرٍ فی الثانی ـ   </w:t>
      </w:r>
    </w:p>
    <w:p>
      <w:pPr>
        <w:pStyle w:val="BookText"/>
        <w:rPr/>
      </w:pPr>
      <w:r>
        <w:rPr>
          <w:rFonts w:ascii="IRNazanin" w:hAnsi="IRNazanin" w:eastAsia="IRNazanin"/>
          <w:color w:val="111111"/>
          <w:sz w:val="28"/>
          <w:sz w:val="28"/>
          <w:szCs w:val="28"/>
          <w:rtl w:val="true"/>
          <w:lang w:bidi="fa-IR"/>
        </w:rPr>
        <w:t>أقوال</w:t>
      </w:r>
      <w:r>
        <w:rPr>
          <w:rStyle w:val="FootnoteAnchor"/>
          <w:rtl w:val="true"/>
        </w:rPr>
        <w:footnoteReference w:id="1145"/>
      </w:r>
      <w:r>
        <w:rPr>
          <w:rFonts w:ascii="IRNazanin" w:hAnsi="IRNazanin" w:eastAsia="IRNazanin"/>
          <w:color w:val="111111"/>
          <w:sz w:val="28"/>
          <w:sz w:val="28"/>
          <w:szCs w:val="28"/>
          <w:rtl w:val="true"/>
          <w:lang w:bidi="fa-IR"/>
        </w:rPr>
        <w:t>، أقواها الثانی</w:t>
      </w:r>
      <w:r>
        <w:rPr>
          <w:rStyle w:val="FootnoteAnchor"/>
          <w:rtl w:val="true"/>
        </w:rPr>
        <w:footnoteReference w:id="1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البطلان فی التعبیر الأوّل، والصحّة فی شهرٍ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صحّة الإجارة فی الشهر الأوّل إذا علم المبدأ بالتعیین أو الانصراف لاتخلو منقوّة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الرابع، مع معلومیّة المبدأ بالتعیین أو الانصراف، وإطلاق التعلیلالمذکور فی المتن محلّ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أقواهما الثالث، ولا سیمّا إذا کان الإنشاء بالتعبیر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الرابع إذا کان المبدأ معلوماً ولو بالانصراف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المبدأ معلوماً تعییناً أو انصرافاً لا تبعد الصحّة فی تمام التعبیرات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البطلان فی التعبیر الأوّلی، والصحّة فی الشهر الأوّل فی التعبیر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الرابع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فرق بین التعبیرین، وفی التعبیر الثانی ـ أعنی آجَرتُکَ شهراً بِدِرهَمٍ ـ إذاکان المبدأ معلوماً بالتعیّن، وبالانصراف الصحّة، ولا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الأوّلصحیحٌ، وأمّا الشهور التالیة فلا یبعد الصحّة فیها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الأوّل، وهی الصحّة مطلقاً فی کلا التعبیرین، غایة الأمر أنّ استحقاقاُجرة مازاد علی الشهر فی الأوّل علی تقدیر السکونة إنّما یکون بنفس الإجارة وفیالثانی بالشرط الواقع فی ضمنها، ولا دلیل علی قدح هذا المقدار من الجهالة فیالإجارة، وسائر وجوه البطلان غیر تامّ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وذلک لعدم تعیین المدّة الموجب لجهالة الاُجرة،  </w:t>
      </w:r>
    </w:p>
    <w:p>
      <w:pPr>
        <w:pStyle w:val="BookText"/>
        <w:rPr/>
      </w:pPr>
      <w:r>
        <w:rPr>
          <w:rFonts w:ascii="IRNazanin" w:hAnsi="IRNazanin" w:eastAsia="IRNazanin"/>
          <w:color w:val="111111"/>
          <w:sz w:val="28"/>
          <w:sz w:val="28"/>
          <w:szCs w:val="28"/>
          <w:rtl w:val="true"/>
          <w:lang w:bidi="fa-IR"/>
        </w:rPr>
        <w:t>بل جهالة المنفعة أیضاً، من غیر فرقٍ بین أن یعیّن المبدأ، أوْ لا، بل علی فرض عدم تعیین المبدأ یلزم جهالة اُخری،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حینئذٍ ینصرف إلی المتّصل بالعقد، هذا إذا کان بعنوان الإجارة، وأمّا إذا کان بعنوان الجعالة</w:t>
      </w:r>
      <w:r>
        <w:rPr>
          <w:rStyle w:val="FootnoteAnchor"/>
          <w:rtl w:val="true"/>
        </w:rPr>
        <w:footnoteReference w:id="1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المتعارف علی 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بعنوان الإباحة بالعِوض لا الجعالة؛ إذ لیس المقام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مثل هذه الجعالة؛ فإنّها غیر الجعالة المعهودة شرعاً الّتی هی جعل شیءعلی نفسه بإزاء عمل الغیر، کأن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رَدّ عبدی فله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الجعالة هیجعل شیء لنفسه علی الغیر بإزاء منفعة مال من أمواله، نعم، تکون الجعالة فیالمسألة التالیة هی الجعالة المعهودة، وأمّا الإباحة بالعِوض فی کلتا المسألتین فمحلّتأمّل وإشکال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ذلک من الجُعالة الشرعیّة، فیرجع إلی الإباحة بالعِوض، وهی إنّما تُورِثإباحة التصرّف، وتوجب المسمّی إذا لم یزد علی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معنی للجعالة فی نظائر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معنی للجعالة؛ لأنّها جعل الشیء علی نفسه، لا لنفسه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والعمل الّذی بإزائه الجعل تسلیم مورد المنفعة، فلا یَرِد علیه ما قیل من عدممعنیً للجعالة هنا؛ حیث إنّه جعل شیئاً لنفسه علی مَن یستوفی منفعة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معنی الجُعالة جعل الاُجرة بإزاء المنفعة المستوفاة فهی إجارة، وإن کانغیر ذلک فلا ینطبق علی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لیست هذه هی الجعالة المتعارفة وإن لا یبعد صحّتها، ولعلّها ترجع إلی الإباحةبالعِوض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خفیٍّ أنّها لا تنطبق علی المورد بوجهٍ إلّا بتمحُّل وتکلُّف مستغنیً عنه،کجعل العمل إعطاء الدرهم، والجُعل ـ بالضمّ ـ سکنی الدار ومنفعتها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یجعل منفعة الدار لمن أعطاه درهماً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جعل أحد علی نفسه لمن أسکنه داره کلّ شهر کذا، وأمّا إذا جعل المالکلنفسه علی مَن سکن داره کلّ شهر کذا فهو خلاف المعهود من الجعالة، وإن کان فیخبر السکونی ما یشعر بذلک، حیث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إنّما أخذ الجُعلَ علی الحمّام ولمیأخذ علی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مراد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أعطانی فی کلّ شهرٍ درهماً مثلاً فله سکنی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المتعارف لا ینطبق علی الجُعالة، وأمّا بعنوان الإباحة بالعِوض والتصرّفبالرضا مع العِوض فلا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فرض الجُعالة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المالک المنفعة فی قبال بذلکذا مقدارٍ من المال،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الطرف المقابل الجعل فی قبال إسکان الدارمثلاً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یجعل منفعة الدار لمن أعطاه درهماً مثلاً، فلا یرد علیه ما ذکره جمع من أنّهلا معنی للجُعالة هنا، والأظهر بطلانها أیضاً، وأمّا إذا کان بعنوان الإباحة بالعِوض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بلفظٍ ظاهرٍ فیها صحّ، وإلّا بطل؛ لأنّ إنشاء عقدٍ بما وضع لآخر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موقوف علی وضوح معنی الجُعالة، فإن کان هو العقد الّذی ثمرته تحصیلالمنفعة بعِوض فما نحن فیه أجنبیّ عن حقیقة الجُعالة، وإن کان هو العقد الموجِبلتحصیل الشیء الأعمّ من المال والمنفعة بعِوض مطلقٍ فحینئذٍ إذا جعل منفعة دارهلمن یعطیه درهماً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أعطانی فی کلِّ شهرٍ درهماً مثلاً فله منفعة داریبالسکنی، فیکون من مصادیق الجعالة، ولکنّ المشهور منها هو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أنّ الجاعِل هو مالک العین؛ ولذا اُورِد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معنی للجُعالة هنا؛ فإنّ الجُعالة هی جعل شیء علی نفسه لمن یعمل عملاً له، وهاهنا جعل شیئاً لنفسه علیمن یستوفی منفعة ملکه، ویمکن أن یکون الجاعل هو الساکن، والاُجرة مجعولة فیمقابل السکنی أو الإسکان، کما أنّه یمکن أن یکون الجاعل هو المالک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مَندفع إلیّ درهماً من المال فله استیفاء منفعة الدار شهراً، مثلاً ولا یردّ علیه ما أورد،ولکن مع ذلک کلّه الحکم بجریان الجُعالة فی مثل المقام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3284_130825"/>
      <w:bookmarkStart w:id="620" w:name="pg13284_130825"/>
      <w:bookmarkEnd w:id="620"/>
    </w:p>
    <w:p>
      <w:pPr>
        <w:pStyle w:val="BookText"/>
        <w:rPr/>
      </w:pPr>
      <w:bookmarkStart w:id="621" w:name="pg13284_130825"/>
      <w:bookmarkEnd w:id="621"/>
      <w:r>
        <w:rPr>
          <w:rFonts w:ascii="IRNazanin" w:hAnsi="IRNazanin" w:eastAsia="IRNazanin"/>
          <w:color w:val="111111"/>
          <w:sz w:val="28"/>
          <w:sz w:val="28"/>
          <w:szCs w:val="28"/>
          <w:rtl w:val="true"/>
          <w:lang w:bidi="fa-IR"/>
        </w:rPr>
        <w:t>مانع</w:t>
      </w:r>
      <w:r>
        <w:rPr>
          <w:rStyle w:val="FootnoteAnchor"/>
          <w:rtl w:val="true"/>
        </w:rPr>
        <w:footnoteReference w:id="1148"/>
      </w:r>
      <w:r>
        <w:rPr>
          <w:rFonts w:ascii="IRNazanin" w:hAnsi="IRNazanin" w:eastAsia="IRNazanin"/>
          <w:color w:val="111111"/>
          <w:sz w:val="28"/>
          <w:sz w:val="28"/>
          <w:szCs w:val="28"/>
          <w:rtl w:val="true"/>
          <w:lang w:bidi="fa-IR"/>
        </w:rPr>
        <w:t> منه</w:t>
      </w:r>
      <w:r>
        <w:rPr>
          <w:rStyle w:val="FootnoteAnchor"/>
          <w:rtl w:val="true"/>
        </w:rPr>
        <w:footnoteReference w:id="1149"/>
      </w:r>
      <w:r>
        <w:rPr>
          <w:rFonts w:ascii="IRNazanin" w:hAnsi="IRNazanin" w:eastAsia="IRNazanin"/>
          <w:color w:val="111111"/>
          <w:sz w:val="28"/>
          <w:sz w:val="28"/>
          <w:szCs w:val="28"/>
          <w:rtl w:val="true"/>
          <w:lang w:bidi="fa-IR"/>
        </w:rPr>
        <w:t>؛ لأنّه یُغتَفَر فیها مثل هذه الجهالة، وکذا إذا کان بعنوان  الإباحة</w:t>
      </w:r>
      <w:r>
        <w:rPr>
          <w:rStyle w:val="FootnoteAnchor"/>
          <w:rtl w:val="true"/>
        </w:rPr>
        <w:footnoteReference w:id="1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لا خفاء فی تقوّم الجعالة بأن یکون تعیین الجعل والالتزام به ممّن یبذلهدون الطرف الآخر، وأن یکون بإزاءِ عملٍ محترمٍ دون منافع الأموال، فکون المعاملةالمذکورة أجنبیّة عنها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إذا کان بعنوان الإذن فی استیفاء المنفعة بالعِوض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کونها معاوضةً صحیحةً مخصوصةً خارجةً عن العناوین المعروفة فیباب المعاوضات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2055953_2322387425"/>
      <w:bookmarkStart w:id="623" w:name="_Toc226"/>
      <w:bookmarkEnd w:id="622"/>
      <w:r>
        <w:rPr>
          <w:rtl w:val="true"/>
        </w:rPr>
        <w:t>الإجارة بنحو التردید بین وجهین وأجرین</w:t>
      </w:r>
      <w:bookmarkEnd w:id="62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خِطْتَ هذا الثوب فارسیّاً ـ أی بدرز ـ فلک درهم، وإن کان خِطتَه رُومیّاً ـ أی بدرزین ـ فلک درهمان، فإن کان بعنوان </w:t>
      </w:r>
    </w:p>
    <w:p>
      <w:pPr>
        <w:pStyle w:val="BookText"/>
        <w:rPr/>
      </w:pPr>
      <w:r>
        <w:rPr>
          <w:rFonts w:ascii="Amiri" w:hAnsi="Amiri" w:eastAsia="Amiri" w:cs="Amiri"/>
          <w:color w:val="111111"/>
          <w:sz w:val="28"/>
          <w:sz w:val="28"/>
          <w:szCs w:val="28"/>
          <w:rtl w:val="true"/>
          <w:lang w:bidi="ar-SA"/>
        </w:rPr>
        <w:t>الإجارة بطل</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صحّته، فیکون علیه أحد العملَین بإحدی الاُجرتَین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 المتباینَین، وأمّا فی الأقلّ والأکثر کما هو مفروض المثال فیمکن تصحیحالإجارة بالإضافة إلی الأقلّ، ویشترط الزیادة بالنسبة إلی الأکثر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الصحّة هنا وفی الفرض الآتی، والاستناد فی البطلان إلی الجهالة ممّالا وجه له بعد کون المانع فی المقام علی تقدیر المانعیّة هو الإبهام والتردید، لاالجهل وعدم العلم، ولم ینهض دلیل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ما بعده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لعدم التعیین، والإبهام فی متعلّق الإجارة الّذی تقدّم أنّه موجب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الصحّة فی الفرض، وما ذکره المصنّف من الجهالة غیر صحیح؛ إذ لاجهالة فی المقام، نعم، فی العمل تردید وإبهام، ولا دلیل علی کونه موجباً للبطلان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محتملة؛ إذ لا جهالة فی البین، والإبهام الموجود غیر قادحٍ بعد عدم کونهواقعیّاً، وتفویض التعیین إلی اختیار العامل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الإجارة واحدةً وکان متعلّقها مردّداً بین أمرین فالبطلان من جهة إبهامالمتعلّق، وعدم تعیّنه حتّی فی الواقع، وأمّا إذا کانت متعدّدة وکان متعلّق کلٍّ منهمامعلوماً فلا جهالة، ولکنّها مع ذلک باطلة؛ لاستحالة صحّتهما معاً، وترجیح إحداهماعلی الاُخری بلا مرجّح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لأجل الإبهام؛ فإنّ العرف لم یساعد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کلّ منهما معلوماً فی الجملة، وکان من إیکال الأمر إلیه فالظاهر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البطلان التردید؛ فإنّ المردَّد لا واقع له، فلا متعلّق للإجارة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جهالة العمل بحسب عدم التعیّن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بعنوان الجعالة</w:t>
      </w:r>
    </w:p>
    <w:p>
      <w:pPr>
        <w:pStyle w:val="BookText"/>
        <w:rPr/>
      </w:pPr>
      <w:r>
        <w:rPr>
          <w:rFonts w:ascii="IRNazanin" w:hAnsi="IRNazanin" w:eastAsia="IRNazanin"/>
          <w:color w:val="111111"/>
          <w:sz w:val="28"/>
          <w:sz w:val="28"/>
          <w:szCs w:val="28"/>
          <w:rtl w:val="true"/>
          <w:lang w:bidi="fa-IR"/>
        </w:rPr>
        <w:t>ـ کما هو ظاهر العبارة ـ صحّ</w:t>
      </w:r>
      <w:r>
        <w:rPr>
          <w:rStyle w:val="FootnoteAnchor"/>
          <w:rtl w:val="true"/>
        </w:rPr>
        <w:footnoteReference w:id="1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بطل وإن کان بهذا العنوان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أنّه یصحّ بنحو إجارةٍ واشتراط، بأن یستأجِرَه للخیاطة بدرزٍ واحدٍ بدرهم،واشترط علیه أنّه إن زاد درزاً آخر استحقّ درهماً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وکذا الحال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عَمِلتَ العملَ الفُلانیَّ فی هذا الیوم فلک درهمان، وإن عَمِلتَه فی الغَدِ فلک دِرهَم، والقول بالصحّة إجارة فی الفرضین ضعیف، وأضعف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بالفرق بینهما بالصحّة فی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من البطلان فعلی تقدیر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یستحقّ  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فی المسألة السابقة إذا سکن الدار شهراً أو أقلّ أو أکثر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24" w:name="pg13284_130828"/>
    </w:p>
    <w:p>
      <w:pPr>
        <w:pStyle w:val="Heading4"/>
        <w:numPr>
          <w:ilvl w:val="3"/>
          <w:numId w:val="1"/>
        </w:numPr>
        <w:rPr/>
      </w:pPr>
      <w:bookmarkStart w:id="625" w:name="__RefHeading___Toc2055955_2322387425"/>
      <w:bookmarkStart w:id="626" w:name="_Toc227"/>
      <w:bookmarkEnd w:id="624"/>
      <w:bookmarkEnd w:id="625"/>
      <w:r>
        <w:rPr>
          <w:rtl w:val="true"/>
        </w:rPr>
        <w:t>اشتراط وقت معیّن فی الإجارة وحکم تخلّف الشرط</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استأجره أو دابّتَه لیحمله، أو یحمل متاعه إلی مکان معیّن، فی وقت معیّن، باُجرة معیّنة، کأن استأجَر منه دابّةً لإیصاله إلی کربلاء قبل لیلة النصف من شعبان ولم یوصله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لعدم سِعَة الوقت وعدم إمکان الإیصال فالإجارة باطلة</w:t>
      </w:r>
      <w:r>
        <w:rPr>
          <w:rStyle w:val="FootnoteAnchor"/>
          <w:rtl w:val="true"/>
        </w:rPr>
        <w:footnoteReference w:id="1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هو ظاهر العنوان من التقیید، وإلّا فقد تقدّم أنّه فی صورة الاشتراط یصحّالعقد ویبطل الشرط، کما لا یخفی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التفصیل المذکور فی الفرع اللاحق بین الشرطیّة والقیدیّة جارٍ هنا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علی وجه القیدیّة والعنوانیّة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علی نحو الموضوعیّة، وأمّا إذا کانت علی نحو الاشتراط فالشرط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إذا کان ذلک بنحو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جعل الزمان قیداً وعنواناً علی نحو وحدة المطلوب، کما عن بعضمشایخنا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قیل بإفساد الشرط الفاسد العقد المشروط فیه، أو لکون المعاملةالکذائیّة غیر عقلائیّة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متعلّق الإجارة هو الدابّة، وکان الإیصال شرطاً فهو من اشتراط أمرٍ غیرمقدور، والصحیح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العقد، وإلغاء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ذلک علی وجه العنوانیّة والتقیید، وأمّا إن کان علی وجه الشرطیّةفالإجارة صحیحة، والشرط لغو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علی وجه التقیید، وإن کان علی وجه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وجه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فالإجارة صحیحة، والحکم کما سیذکره الماتن قدس سره فی الفرض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علی وجه العنوانیّة، وأمّا إن کان علی وجه الشرطیّة ـ کما سیذکره ـفیبتنی البطلان علی کون الشرط الفاسد مفسِداً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تکون صحیحةً إذا کان ذلک علی وجه الشرطیّة، نعم، للمستأجِر الخیار، فإنأمضاه کان علیه تمام الاُجرة، وإن فسخ العقد رجعت الاُجرة المسمّاة إلی المستأجِر،ورجع العمل الخاصّ إلی المؤجِر، ویکون مستحقّاً لاُجرة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الإیصال فی ذلک الوقت مأخوذاً بنحو العنوانیّة والتقیید، وأمّا إذا کانمأخوذاً بنحو الاشتراط فالبطلان عارض للشرط خاصّة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الزمان واسعاً</w:t>
      </w:r>
    </w:p>
    <w:p>
      <w:pPr>
        <w:pStyle w:val="BookText"/>
        <w:rPr/>
      </w:pPr>
      <w:r>
        <w:rPr>
          <w:rFonts w:ascii="Amiri" w:hAnsi="Amiri" w:eastAsia="Amiri" w:cs="Amiri"/>
          <w:color w:val="111111"/>
          <w:sz w:val="28"/>
          <w:sz w:val="28"/>
          <w:szCs w:val="28"/>
          <w:rtl w:val="true"/>
          <w:lang w:bidi="ar-SA"/>
        </w:rPr>
        <w:t>ومع هذا قصّر</w:t>
      </w:r>
      <w:r>
        <w:rPr>
          <w:rStyle w:val="FootnoteAnchor"/>
          <w:rtl w:val="true"/>
        </w:rPr>
        <w:footnoteReference w:id="1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لم یتحقّق الإیصال ولو اتّفاقاً من دون تقصیر، کما یظهر من الفرض الّذی جعلهنظیراً للمقام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علی وجه العنوانیّة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استأجره لعملٍ فی ذمّته ـ وهو الإیصال إلی کربلاء فی الوقت المذکور ـ فهذاهو المنطبق علی القیدیّة والعنوانیّة، وإنّما یفرض الشرطیّة فیما لو استأجر دابّته أوسفینته إلی کربلاء وشرط علیه الإیصال المذکور،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فمورد العنوانیّة غیرمورد الشرطیّة، ولا ینطبق مورد واحد علی أحدهما تارةً وعلی الآخَر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تُتَصوّر العنوانیّة فیما إذا تملّک العمل الکلّیّ فی ذمّته، أی الإیصال إلی محلّکذا فی زمان کذا؛ لإمکان تقیّده بهما معاً، ویتصوّر فیه الشرط أیضاً بأن یتملّکالإیصال إلی مکان کذا وشرط علیه أن یوصله فی زمان کذا، وأمّا إذا استأجر دابّةمعیّنة إلی مکان کذا فلا یتقیّد بالزمان؛ لعدم کون الزمان من قیوده ومقسّماته، بللابدّ من أن یکون الإیصال فی الزمان شرطاً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ثابت فی صورة التقصیر والاشتباه 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والتقیید</w:t>
      </w:r>
      <w:r>
        <w:rPr>
          <w:rStyle w:val="FootnoteAnchor"/>
          <w:rtl w:val="true"/>
        </w:rPr>
        <w:footnoteReference w:id="1155"/>
      </w:r>
      <w:r>
        <w:rPr>
          <w:rFonts w:ascii="Amiri" w:hAnsi="Amiri" w:eastAsia="Amiri" w:cs="Amiri"/>
          <w:color w:val="111111"/>
          <w:sz w:val="28"/>
          <w:sz w:val="28"/>
          <w:szCs w:val="28"/>
          <w:rtl w:val="true"/>
          <w:lang w:bidi="ar-SA"/>
        </w:rPr>
        <w:t> لم یستحقّ شیئاً</w:t>
      </w:r>
      <w:r>
        <w:rPr>
          <w:rStyle w:val="FootnoteAnchor"/>
          <w:rtl w:val="true"/>
        </w:rPr>
        <w:footnoteReference w:id="1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وله تفصیل مذکور فی 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للمستأجر خیار فسخ الإجارة؛ من جهة تعذّر التسلیم، أو إبقائها، فیستحقّالأجیر اُجرة المسمّی، ویضمن للمستأجر 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یستحقّ الاُجرة المسمّاة، ولکنّه یضمن للمستأجر اُجرة المثل، نعم، لایستحقّ علیه المطالبة ما لم یدفعها، وللمستأجر أن یفسخ المعاملة، لتعذّر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مقتضی القاعدة استحقاقه للمسمّی، وضمانه لقیمة العمل، کما فی تعذّر تسلیمالثمن بعد ما کان مقدوراً علیه، ولکنّ ظاهرهم فی المقام التسالم علی عدمالاستحقاق، والمتیقّن منه عدم استحقاق المطالبة، لا بطلان الإجارة، ونفی أصلالاستحقاق رأساً حتّی یکون منافیاً للقاعدة، وسیأتی منه فی 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یملکالمستأجر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ینافی المقام، ثمّ إنّه لا وجه للاختصاصبالتقصیر، بل الظاهر التعمیم؛ لصورة الاشتباه أیضاً، کما سیأتی التصریح منه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الاُجرة المسمّاة، ویضمن للمستأجِر اُجرة المثل للعمل الخاصّالممتنع تسلیمه، وأمّا العمل المأتیّ به فلا یستحقّ شیئاً من ناحیته؛ لأنّه هتک حرمتهبنفسه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لعدم العمل</w:t>
      </w:r>
      <w:r>
        <w:rPr>
          <w:rStyle w:val="FootnoteAnchor"/>
          <w:rtl w:val="true"/>
        </w:rPr>
        <w:footnoteReference w:id="1157"/>
      </w:r>
      <w:r>
        <w:rPr>
          <w:rFonts w:ascii="IRNazanin" w:hAnsi="IRNazanin" w:eastAsia="IRNazanin"/>
          <w:color w:val="111111"/>
          <w:sz w:val="28"/>
          <w:sz w:val="28"/>
          <w:szCs w:val="28"/>
          <w:rtl w:val="true"/>
          <w:lang w:bidi="fa-IR"/>
        </w:rPr>
        <w:t> بمقتضی الإجارة أصلاً، نظیر ما إذا استأجره لیصوم یوم الجمعة فاشتبه وصام یوم السبت، وإن کان ذلک علی وجه الشرطیّة بأن یکون متعلّق الإجارة</w:t>
      </w:r>
      <w:r>
        <w:rPr>
          <w:rStyle w:val="FootnoteAnchor"/>
          <w:rtl w:val="true"/>
        </w:rPr>
        <w:footnoteReference w:id="1158"/>
      </w:r>
      <w:r>
        <w:rPr>
          <w:rFonts w:ascii="IRNazanin" w:hAnsi="IRNazanin" w:eastAsia="IRNazanin"/>
          <w:color w:val="111111"/>
          <w:sz w:val="28"/>
          <w:sz w:val="28"/>
          <w:szCs w:val="28"/>
          <w:rtl w:val="true"/>
          <w:lang w:bidi="fa-IR"/>
        </w:rPr>
        <w:t>الإیصال إلی کربلاء</w:t>
      </w:r>
      <w:r>
        <w:rPr>
          <w:rStyle w:val="FootnoteAnchor"/>
          <w:rtl w:val="true"/>
        </w:rPr>
        <w:footnoteReference w:id="1159"/>
      </w:r>
      <w:r>
        <w:rPr>
          <w:rFonts w:ascii="IRNazanin" w:hAnsi="IRNazanin" w:eastAsia="IRNazanin"/>
          <w:color w:val="111111"/>
          <w:sz w:val="28"/>
          <w:sz w:val="28"/>
          <w:szCs w:val="28"/>
          <w:rtl w:val="true"/>
          <w:lang w:bidi="fa-IR"/>
        </w:rPr>
        <w:t>، ولکن اشترط علیه الإیصال فی ذلک الوقت فالإجارة صحیحة، والاُجرة المعیّنة لازمة، لکن له خیار الفسخ من جهة تخلّف الشرط، ومعه یرجع إلی اُجرة المثل، ولو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تُوصِلْنی فی وقت کذا فالاُجرة کذا أقلّ ممّا عیّن أوّلاً، فهذا أیضاً قسمان</w:t>
      </w:r>
      <w:r>
        <w:rPr>
          <w:rStyle w:val="FootnoteAnchor"/>
          <w:rtl w:val="true"/>
        </w:rPr>
        <w:footnoteReference w:id="1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انطباق هذا الفرض علی اشتراط نقص الاُجرة علی تقدیر عدم الإیصال،ولا إشکال فی صحّته، وإنّما یفرض القسم الأوّل فیما إذا کانت الإجارة واقعة علیالمردّد بین الوجهین بأن یستأجره علی الإیصال فی وقتٍ باُجرة، وفی الآخرباُخری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هذا الکلام هو القسم الثانی، ولیس نتیجة التردید والإبهام فی متعلّقالإجارة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یکون ذلک بحیث تکون کلتا الصورتَین من الإیصال فی ذلک الوقت، وعدم الإیصال فیه مورداً للإجارة، فیرجع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باُجرَةِ کذا إن أوصلتُکَ فی الوقت الفلانیّ، وباُجرة کذا إن لم اُوصِلْکَ فی ذلک الوقت، وهذا باطل</w:t>
      </w:r>
      <w:r>
        <w:rPr>
          <w:rStyle w:val="FootnoteAnchor"/>
          <w:rtl w:val="true"/>
        </w:rPr>
        <w:footnoteReference w:id="1161"/>
      </w:r>
      <w:r>
        <w:rPr>
          <w:rFonts w:ascii="Amiri" w:hAnsi="Amiri" w:eastAsia="Amiri" w:cs="Amiri"/>
          <w:color w:val="111111"/>
          <w:sz w:val="28"/>
          <w:sz w:val="28"/>
          <w:szCs w:val="28"/>
          <w:rtl w:val="true"/>
          <w:lang w:bidi="ar-SA"/>
        </w:rPr>
        <w:t> للجهالة</w:t>
      </w:r>
      <w:r>
        <w:rPr>
          <w:rStyle w:val="FootnoteAnchor"/>
          <w:rtl w:val="true"/>
        </w:rPr>
        <w:footnoteReference w:id="1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 الأقرب صحّته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سبق أنّ الأقوی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للتردید فی الإیجاب المنافی لتحقّق المبادلة، نعم، یصحّ جعالة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للإبهام، وهو لیس بواقعی، فللصحّة وجه،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وجه البطلان فی المسألة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للإبهام،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تقدّم أنّه لا تبعد الصحّة فیه إجارةً وجعالة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النظر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مرّ أنّ البطلان ناشٍ من التردید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الإجارة بنحو التخییر، وأمّا إن کانت بنحو الترتیب بأن تکون الإجارةالثانیة مترتّبة علی عدم الوفاء بالإجارة الاُولی، أو عدم الوفاء بقیده أی الإیصال فیالیوم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القید فی الإجارة الاُولی عنواناً صحّت الإجارتان، وإن کانشرطاً صحّت الاُولی، وبطلت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جهالة العمل بحسب عدم التعیّن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نظیر ما ذکر فی المسألة  </w:t>
      </w:r>
    </w:p>
    <w:p>
      <w:pPr>
        <w:pStyle w:val="BookText"/>
        <w:rPr/>
      </w:pPr>
      <w:r>
        <w:rPr>
          <w:rFonts w:ascii="Amiri" w:hAnsi="Amiri" w:eastAsia="Amiri" w:cs="Amiri"/>
          <w:color w:val="111111"/>
          <w:sz w:val="28"/>
          <w:sz w:val="28"/>
          <w:szCs w:val="28"/>
          <w:rtl w:val="true"/>
          <w:lang w:bidi="ar-SA"/>
        </w:rPr>
        <w:t>السابقة</w:t>
      </w:r>
      <w:r>
        <w:rPr>
          <w:rStyle w:val="FootnoteAnchor"/>
          <w:rtl w:val="true"/>
        </w:rPr>
        <w:footnoteReference w:id="1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مرّت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البطلان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عَمِلتَ فی هذا الیوم فلک دِرهَمان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مورد الإجارة هو الإیصال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مورد الإجارة هو الإیصال فمع عدمه لا یستحقّ المؤجِر شیئاً علی مااختاره قدس سره ، فلا معنی لاشتراط النقص، وأمّا النصّ فمورده هو إیجار الدابّة، واشتراطالنقص علی تقدیر عدم الإیصال، وهو غیر مفروض الکلام، نعم، علی ما اخترناهیصحّ هذا الاشتراط علی القاعدة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مورد الإجارة هو الإیصال فی ذلک الوقت فاشتراط نقص الاُجرة علیتقدیر عدمه شرط علی خلاف مقتضی عقد الإجارة، ومعه لا مورد للحکم بالصحّة،ولا للتمسّک بعموم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حدیث الرسول الأکرم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المرویّ فی الخلاف للطوسی </w:t>
      </w:r>
      <w:r>
        <w:rPr>
          <w:rFonts w:eastAsia="IRNazanin" w:cs="IRNazanin"/>
          <w:color w:val="111111"/>
          <w:sz w:val="28"/>
          <w:szCs w:val="28"/>
          <w:rtl w:val="true"/>
          <w:lang w:bidi="fa-IR"/>
        </w:rPr>
        <w:t>:</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والمهذّب لابن البرّاج </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السِیَر الکبیر للسرخسی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،والمدوّنة الکبری لمالک </w:t>
      </w:r>
      <w:r>
        <w:rPr>
          <w:rFonts w:eastAsia="IRNazanin" w:cs="IRNazanin"/>
          <w:color w:val="111111"/>
          <w:sz w:val="28"/>
          <w:szCs w:val="28"/>
          <w:rtl w:val="true"/>
          <w:lang w:bidi="fa-IR"/>
        </w:rPr>
        <w:t xml:space="preserve">: </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أنّه أجنبیّ عن مورد الصحیحة؛ لأنّها وردتفی الاستئجار لحمل المتاع إلی موضع معیّن مع اشتراط الإیصال فی یوم کذا، وإنلم یوصله حُطَّ من الأجر، ولعلّ مقصوده قدس سره هذا الفرض، لکنّ العبارة غیر وافیة،ویمکن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فرض عدم الإیصال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وقدّمهالناسخ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العبارة أن تکون هکذا، وقد یکون مورد الإجارة هو الإیصال، ویشترط أنینقص من الاُجرة علی فرض عدم الإیصال فی الوقت المخصوص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للإیصال، فلا تحتاج العبارة إلی التأویل، وحقّ العبارة أنتکون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یکون مورد الإجارة هو الإیصال، ویشترط أن ینقص من الاُجرةعلی فرض عدم الإیصال فی الوقت المخصوص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علیه</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الإجارة هو الإیصال، واشترط علیه الإیصال فی ذلکالوقت، وإن لم یوصله فی ذلک الوقت ینقص من الاُجرة کذا، وإنّما وقع سهو فیالعبارة، وذلک بقرینة تمسّکه بصحیحة الحلبی، فإنّ مفادها مع إلغاء الخصوصیّة عرفاًمن قبیل ما ذکرنا، لا ما ذکره، وکیف کان فإن کان مراده ما ذکرنا فلا إشکال فیه،وإن کان المراد ظاهر العبارة فالظاهر رجوعه إلی ما حکم ببطلانه، ولا ینطبق علیهالنصّ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معنیً صحیحاً لاشتراط، إلّا أن یرجع إلی عقدٍ آخر، وهو غیر الموردالأوّل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الاُجرة 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فرض عدم         </w:t>
      </w:r>
    </w:p>
    <w:p>
      <w:pPr>
        <w:pStyle w:val="BookText"/>
        <w:rPr/>
      </w:pPr>
      <w:r>
        <w:rPr>
          <w:rFonts w:ascii="IRNazanin" w:hAnsi="IRNazanin" w:eastAsia="IRNazanin"/>
          <w:color w:val="111111"/>
          <w:sz w:val="28"/>
          <w:sz w:val="28"/>
          <w:szCs w:val="28"/>
          <w:rtl w:val="true"/>
          <w:lang w:bidi="fa-IR"/>
        </w:rPr>
        <w:t>الإیصال</w:t>
      </w:r>
      <w:r>
        <w:rPr>
          <w:rStyle w:val="FootnoteAnchor"/>
          <w:rtl w:val="true"/>
        </w:rPr>
        <w:footnoteReference w:id="1165"/>
      </w:r>
      <w:r>
        <w:rPr>
          <w:rFonts w:ascii="Amiri" w:hAnsi="Amiri" w:eastAsia="Amiri" w:cs="Amiri"/>
          <w:color w:val="111111"/>
          <w:sz w:val="28"/>
          <w:sz w:val="28"/>
          <w:szCs w:val="28"/>
          <w:rtl w:val="true"/>
          <w:lang w:bidi="ar-SA"/>
        </w:rPr>
        <w:t>، والظاهر الصحّة</w:t>
      </w:r>
      <w:r>
        <w:rPr>
          <w:rStyle w:val="FootnoteAnchor"/>
          <w:rtl w:val="true"/>
        </w:rPr>
        <w:footnoteReference w:id="1166"/>
      </w:r>
      <w:r>
        <w:rPr>
          <w:rFonts w:ascii="IRNazanin" w:hAnsi="IRNazanin" w:eastAsia="IRNazanin"/>
          <w:color w:val="111111"/>
          <w:sz w:val="28"/>
          <w:sz w:val="28"/>
          <w:szCs w:val="28"/>
          <w:rtl w:val="true"/>
          <w:lang w:bidi="fa-IR"/>
        </w:rPr>
        <w:t> فی هذه الصورة</w:t>
      </w:r>
      <w:r>
        <w:rPr>
          <w:rStyle w:val="FootnoteAnchor"/>
          <w:rtl w:val="true"/>
        </w:rPr>
        <w:footnoteReference w:id="1167"/>
      </w:r>
      <w:r>
        <w:rPr>
          <w:rFonts w:ascii="IRNazanin" w:hAnsi="IRNazanin" w:eastAsia="IRNazanin"/>
          <w:color w:val="111111"/>
          <w:sz w:val="28"/>
          <w:sz w:val="28"/>
          <w:szCs w:val="28"/>
          <w:rtl w:val="true"/>
          <w:lang w:bidi="fa-IR"/>
        </w:rPr>
        <w:t>؛ لعموم</w:t>
      </w:r>
      <w:r>
        <w:rPr>
          <w:rStyle w:val="FootnoteAnchor"/>
          <w:rtl w:val="true"/>
        </w:rPr>
        <w:footnoteReference w:id="1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الشرط لا یکون مشرَّعاً، لکن یکفی للحکم بالصحّة الحدیث المشار إلیه فیکلامه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 مضافاً إلی 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صحیحة الحلبی ما إذا استأجر الإبل لحمل متاعه إلی موضعٍ معیّنٍ معشرط الزمان المعیّن، والحطّ من الکِراء لو احتبس عن ذلک مذکور فی ضمنالشرط؛ وعلیه فلا ینطبق مع ما هو المفروض فی کلامه بعد إلغاء الخصوصیّة؛ لأنّظاهر العبارة أنّ مورد الإجارة لیس مجرّد الإیصال، بل مقیّداً بذلک الوقت؛ وعلیهفاشتراط النقص مع المخالفة لا یجتمع مع مورد الإجارة، ولعلّ مراده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ینطبقعلی مورد النصّ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الحلبیّ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استأجره لحمل متاعه إلی موضعٍ وشرط علیه إیصالهفی یوم کذا،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وفی بعض النسخ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کذا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یوصله فیه حطّ من أجره، وهو غیر ما فرضه من کونالإیصال فی یوم کذا مورداً للإجارة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صحّتها غیر بعیدة، وإن کان فی منصور بن یونس 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تُوصِلْنِی فلا</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اُجرةَ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علی وجه الشرطیّة</w:t>
      </w:r>
      <w:r>
        <w:rPr>
          <w:rStyle w:val="FootnoteAnchor"/>
          <w:rtl w:val="true"/>
        </w:rPr>
        <w:footnoteReference w:id="1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اشتراط سقوط الاُجرة علی فرض عدم الإیصال ممّا لا یعقل فیهالعنوانیّة أصلاً، ویکون شرطاً علی کلّ تقدیر، وموکّداً لمقتضی العقد إن تعلّق بنفسالإیصال فی الوقت المذکور، ومنافیاً له إن کان الإیصال شرطاً خارجاً عمّا تعلّق به،وموجباً للبطلان حینئذٍ، کما نُسِبَ إلی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اختصاص الغرض علی الشرطیّة والعنوانیّة والقیدیّة، بأن یجعل کلتاالصورتَین ـ أی صورة الإیصال وعدم الإیصال ـ فی الوقت المخصوص مورداًالإجارة، إلّا فی صورة الثانیة بلا اُجرة، خلاف مفاد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یکون متعلّق الإجارة هو الإیصال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الکذائیّ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تعدّد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واشترط علیه عدم الاُجرة علی تقدیر المخالفة   </w:t>
      </w:r>
    </w:p>
    <w:p>
      <w:pPr>
        <w:pStyle w:val="BookText"/>
        <w:rPr/>
      </w:pPr>
      <w:r>
        <w:rPr>
          <w:rFonts w:ascii="Amiri" w:hAnsi="Amiri" w:eastAsia="Amiri" w:cs="Amiri"/>
          <w:color w:val="111111"/>
          <w:sz w:val="28"/>
          <w:sz w:val="28"/>
          <w:szCs w:val="28"/>
          <w:rtl w:val="true"/>
          <w:lang w:bidi="ar-SA"/>
        </w:rPr>
        <w:t>صحّ</w:t>
      </w:r>
      <w:r>
        <w:rPr>
          <w:rStyle w:val="FootnoteAnchor"/>
          <w:rtl w:val="true"/>
        </w:rPr>
        <w:footnoteReference w:id="1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ذیل صحیح الحلبی بطلان هذا الشرط، وقد أفتی المشهور أیضاًبفساده؛ إذ سقُوط الاُجرة إنّما هو بعد ثبوتها، فقولهم کما فی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شرطسقوط الاُجرة إن لم یوصله فیه لم 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ناظر إلی الاشتراط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وبطل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الشرط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موکّداً لمقتضی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علی  وجه القیدیّة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جعل کِلتا الصورتَین مورداً للإجارة، إلّا أنّ فی الصورة الثانیة بلا اُجرة یکون باطلاً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منشأ البطلان هو الإبهام فقد عرفت عدم الدلیل علی قدحه، وإن کانمنشؤه کون الإجارة بلا اُجرة فذلک لا یقتضی بطلان الإجارة الاُولی المشتملة علیالاُجرة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ولعلّ هذه الصورة مراد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بل الظاهر متابعة المشهور للنصّ، کصحیحة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اتّحاد مرادهم مع مورد الروایة، ویمکن کون مرادهم شرط عدم الاُجرة،ولا ریب أنّ هذا الشرط باطل فی صورة تملّک منفعة دابّةٍ معیّنةٍ معلومة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مراد المشهور عین ما هو مورد الصحیحة؛ حیث 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شرطه هذاجائز ما لم یحطّ بجمیع الکِری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الإجارة،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بجمیع ما اکتراه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الکِری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الظاهر من المشهور هو اشتراط عدم الاُجرة موجباً للبطلان دون النقصفی الاُجرة، فإنّه صحیحٌ وموجب للصحّة، ویستفاد من الروایة المتقدّمة الصحّة فیصورة النقص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صورة عدم الاُجرة منشأ البطلان لیسبموجود، مع اقتضاء القاعدة للصحّة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إیراد علی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 مراد المشهور هو الفرض الثالث الّذی وقع التعرّض له فی النصّ،وهو ما لو کان الزمان المعیّن مأخوذاً بنحو الاشتراط، وسقوط الاُجرة علی فرضالعدم مذکوراً فیه، غایة الأمر أنّ مفاد النصّ مجرّد بطلان الشرط، وظاهر المشهوربطلان العقد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القائِلِینَ  </w:t>
      </w:r>
      <w:bookmarkStart w:id="627" w:name="pg13284_130838"/>
    </w:p>
    <w:p>
      <w:pPr>
        <w:pStyle w:val="BookText"/>
        <w:rPr/>
      </w:pPr>
      <w:bookmarkEnd w:id="627"/>
      <w:r>
        <w:rPr>
          <w:rFonts w:ascii="Amiri" w:hAnsi="Amiri" w:eastAsia="Amiri" w:cs="Amiri"/>
          <w:color w:val="111111"/>
          <w:sz w:val="28"/>
          <w:sz w:val="28"/>
          <w:szCs w:val="28"/>
          <w:rtl w:val="true"/>
          <w:lang w:bidi="ar-SA"/>
        </w:rPr>
        <w:t>بالبطلان دون الاُولی، حیث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سقوط الاُجرة إن لم یُوصِلْه لم یَجُزْ</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055957_2322387425"/>
      <w:bookmarkStart w:id="629" w:name="_Toc228"/>
      <w:bookmarkEnd w:id="628"/>
      <w:r>
        <w:rPr>
          <w:rtl w:val="true"/>
        </w:rPr>
        <w:t>عدم الخیار مع عدم تقیید الإجارة</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منه دابّةً لزیارة النصف من شعبان مثلاً ولکن لم یشترط</w:t>
      </w:r>
      <w:r>
        <w:rPr>
          <w:rStyle w:val="FootnoteAnchor"/>
          <w:rtl w:val="true"/>
        </w:rPr>
        <w:footnoteReference w:id="1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یکن مبنیّاً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المؤُجِر ذلک، ولم یکن علی وجه العنوانیّة أیضاً، واتّفق أنّه لم یُوصِلْه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ذلک الیوم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عدم الإیصال لأجل عدم إمکانه فالإجارة باطلة، ولا تبعّض فیها،وتشتغل ذمّة المستأجِر بالمثل فی المقدار الّذی استفاد، وإن کان عدم الإیصال منمسامحة المؤجِر یکون المستأجِر مخیّراً بین إمضاء العقد وأخذ اُجرة المثل بالنسبةإلی الفائت، وبین الفسخ وردّ الاُجرة المسمّاة، واشتغال ذمّته بالمثل فی مقابل مااستفاد مبنیّ علی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الوقت الّذی یدرک الزیارة المخصوصة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 خیار الفسخ، وعلیه تمام المسمّی من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w:t>
      </w:r>
    </w:p>
    <w:p>
      <w:pPr>
        <w:pStyle w:val="BookText"/>
        <w:rPr/>
      </w:pPr>
      <w:r>
        <w:rPr>
          <w:rFonts w:ascii="Amiri" w:hAnsi="Amiri" w:eastAsia="Amiri" w:cs="Amiri"/>
          <w:color w:val="111111"/>
          <w:sz w:val="28"/>
          <w:sz w:val="28"/>
          <w:szCs w:val="28"/>
          <w:rtl w:val="true"/>
          <w:lang w:bidi="ar-SA"/>
        </w:rPr>
        <w:t>یُوصِلْه إلی کربلاءَ أصلاً سقط من المسمّی</w:t>
      </w:r>
      <w:r>
        <w:rPr>
          <w:rStyle w:val="FootnoteAnchor"/>
          <w:rtl w:val="true"/>
        </w:rPr>
        <w:footnoteReference w:id="1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القدرة علی الإیصال، وعدم فسخ المستأجِر للإجارة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بحساب ما بقی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عدم الوصول من قبل المؤجِر فیتخیّر المستأجر بین الفسخ والإبقاء، فإنفسخ فیجب علیه إعطاء اُجرة المثل لِما مضی من المقدار، وإن لم یفسخ فعلیه تمامالاُجرة المسمّاة، فیجب علی المؤجِر أن یعطیه اُجرة المثل لِمَا بقی من المقدار، وإذاکان عدم الوصول بموت الدابّة أو بمانعٍ آخر فللمستأجِر أیضاً خیار الفسخ، فإنفسخ فعلیه أن یعطی المؤجِر اُجرة المثل لِما مضی، وإن لم یفسخ سقط من المسمّیبحساب ما بقی، واستحقّ المؤجِر بمقدار ما مضی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واستحقّ بمقدار ما مضی، والفرق بین هذه المسألة وما مرّ فی المسألة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الإیصال هنا غرض وداع، وفی ما مرّ قید أو شرط</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630" w:name="pg13284_130840"/>
    </w:p>
    <w:p>
      <w:pPr>
        <w:pStyle w:val="BookText"/>
        <w:rPr/>
      </w:pPr>
      <w:bookmarkEnd w:id="630"/>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من العقود اللازمة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1" w:name="__RefHeading___Toc2055959_2322387425"/>
      <w:bookmarkStart w:id="632" w:name="_Toc229"/>
      <w:bookmarkEnd w:id="631"/>
      <w:r>
        <w:rPr>
          <w:rtl w:val="true"/>
        </w:rPr>
        <w:t>فصل</w:t>
      </w:r>
      <w:r>
        <w:rPr>
          <w:rtl w:val="true"/>
        </w:rPr>
        <w:t xml:space="preserve">: </w:t>
      </w:r>
      <w:r>
        <w:rPr>
          <w:rtl w:val="true"/>
        </w:rPr>
        <w:t>الإجارة  من العقود اللازمة</w:t>
      </w:r>
      <w:bookmarkEnd w:id="632"/>
    </w:p>
    <w:p>
      <w:pPr>
        <w:pStyle w:val="Heading4"/>
        <w:numPr>
          <w:ilvl w:val="3"/>
          <w:numId w:val="1"/>
        </w:numPr>
        <w:rPr/>
      </w:pPr>
      <w:bookmarkStart w:id="633" w:name="__RefHeading___Toc2055961_2322387425"/>
      <w:bookmarkStart w:id="634" w:name="_Toc230"/>
      <w:bookmarkEnd w:id="633"/>
      <w:r>
        <w:rPr>
          <w:rtl w:val="true"/>
        </w:rPr>
        <w:t>کلام فی المعاطاة</w:t>
      </w:r>
      <w:bookmarkEnd w:id="634"/>
    </w:p>
    <w:p>
      <w:pPr>
        <w:pStyle w:val="BookText"/>
        <w:rPr/>
      </w:pPr>
      <w:r>
        <w:rPr>
          <w:rFonts w:ascii="IRNazanin" w:hAnsi="IRNazanin" w:eastAsia="IRNazanin"/>
          <w:color w:val="111111"/>
          <w:sz w:val="28"/>
          <w:sz w:val="28"/>
          <w:szCs w:val="28"/>
          <w:rtl w:val="true"/>
          <w:lang w:bidi="fa-IR"/>
        </w:rPr>
        <w:t>الإجارة من العقود اللازمة لا تنفسخ إلّا بالتقایُل، أو شرط الخیار</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لأحدهما، أو کلیهما إذا اختار الفسخ، نعم، الإجارة المعاطاتیّة جائزة</w:t>
      </w:r>
      <w:r>
        <w:rPr>
          <w:rStyle w:val="FootnoteAnchor"/>
          <w:rtl w:val="true"/>
        </w:rPr>
        <w:footnoteReference w:id="1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المعاطاة فیها مساوقة للّزوم غالباً؛ لِما ذکرناه من أنّ إیجاب المتقدّرة منها بالعملیکون بالشروع فیه، وفی المتقدّرة بالزمان بتسلیم العین فی جزءٍ منه، وکِلاهمامستلزم لتلفِ جزءٍ من المعوّض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کونها لازمة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هی لازمة؛ لبناء العرف علی اللزوم فیها، لکنّ الاحتیاط 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لزومها، کما أنّ الأقوی لزوم البیع المعاطاتیّ أیضاً، لکن لا ینبغی ترکمراعاة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إنّها لازمة کالمعاطاتی من البیع علی الأقوی، بل هی أولی منه باللزوم،لأنّ إیجابها دائماً أو غالباً مستلزم لتلفِ جزءٍ من العوض، سواء أکانت مقدّرةبالزمان أم بالعمل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أنّها أیضاً 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اُخری منه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لزومها، ورعایة الاحتیاط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المعاطاة قریب جدّاً، خصوصاً فی الإجارة المعاطاتیّة الّتی یستلزم تحقّقهاالتصرّف الموجب للّزومِ غالباً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لزومها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لزومها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لازمة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باللزوم لیس بعیداً عن الصواب، إلّا أنّ شبهة الإجماع مراعاة الاحتیاط إلی الواقعأقرب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کونها لازمة أیضاً، وعلی تقدیر الجواز فالملزِم لا ینحصر بالتصرّف،کما أنّ الظاهر عدم کون کلّ تصرّفٍ ملزِماً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35" w:name="pg13284_130841"/>
    </w:p>
    <w:p>
      <w:pPr>
        <w:pStyle w:val="BookText"/>
        <w:rPr/>
      </w:pPr>
      <w:bookmarkEnd w:id="635"/>
      <w:r>
        <w:rPr>
          <w:rFonts w:ascii="IRNazanin" w:hAnsi="IRNazanin" w:eastAsia="IRNazanin"/>
          <w:color w:val="111111"/>
          <w:sz w:val="28"/>
          <w:sz w:val="28"/>
          <w:szCs w:val="28"/>
          <w:rtl w:val="true"/>
          <w:lang w:bidi="fa-IR"/>
        </w:rPr>
        <w:t>یجوز لکلٍّ منهما الفسخ، ما لم تلزم بتصرّفهما</w:t>
      </w:r>
      <w:r>
        <w:rPr>
          <w:rStyle w:val="FootnoteAnchor"/>
          <w:rtl w:val="true"/>
        </w:rPr>
        <w:footnoteReference w:id="1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الملزِم هو التلف، أو التصرّف المغیّر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فیما  انتقل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2055963_2322387425"/>
      <w:bookmarkStart w:id="637" w:name="_Toc231"/>
      <w:bookmarkEnd w:id="636"/>
      <w:r>
        <w:rPr>
          <w:rtl w:val="true"/>
        </w:rPr>
        <w:t>بیع العین المستأجرة</w:t>
      </w:r>
      <w:bookmarkEnd w:id="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بیع العین المستأجَرَة قبل تمام مدّة الإجارة، ولا تنفسخ الإجارة به، فتنتقل إلی المشتری مسلوبَةَ المنفعة مدّة الإجارة، نعم، للمشتری مع جهله بالإجارة خیار فسخ البیع</w:t>
      </w:r>
      <w:r>
        <w:rPr>
          <w:rStyle w:val="FootnoteAnchor"/>
          <w:rtl w:val="true"/>
        </w:rPr>
        <w:footnoteReference w:id="1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کلام فی ثبوت الخیار، إلّا أنّه لیس من جهة العیب، بل من جهة تخلّف الشرطالضمنی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نقص المنفعة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عیب</w:t>
      </w:r>
      <w:r>
        <w:rPr>
          <w:rStyle w:val="FootnoteAnchor"/>
          <w:rtl w:val="true"/>
        </w:rPr>
        <w:footnoteReference w:id="1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یعد نقص المنفعة عیباً، فالظاهر أنّ الخیار لتخلّف الشرط الضمنی؛ إذ بناءالعرف علی کون العین المبیعة ذات منفعة مرسلة، ویمکن أن تجعل المنفعة وصفاً،ویقال بأنّ للمشتری خیار تخلّف الوصف، لکنّه أیضاً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التعلیل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ولکون الخیار من باب تخلّف الشرط 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من خیار تخلّف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 کون العین غیر مسلوب المنفعة شرط ضمنیّ للمتعاقدین فی نوعالمعاملات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ظاهره أنّ الخیار هنا خیار العیب وأنّ عدم ثبوت الأرش إنّما هو لأجل عدم کونکلّ عیب موجباً لثبوته، ولکنّه مخدوش؛ لأنّ العیب الحقیقی ما کان نقصاً أو زیادةفی الخلقة الأصلیّة، والمفروض عدم ثبوته فی المقام، والعیب الحکمی یحتاج إلیالدلیل؛ وعلیه فالظاهر ما أفاده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الخیار فی المقام خیار تعذّرالتسلیم؛ لاقتضاء إطلاق العقد تعجیل التسلیم للانتفاع، وهنا احتمالات اُخر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ولکن لیس کسائر العیوب ممّا یکون المشتری معه مخیّراً بین الردّ والأرش، فلیس له أن لا یفسخ ویطالب بالأرش؛ فإنّ العیب الموجب للأرش ما کان نقصاً فی الشیء فی حدّ نفسه، مثل العَمَی والعَرَج، وکونه مقطوع الید، أو نحو ذلک، لا مثل المقام الّذی العین فی حدّ نفسها لا عیب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علم المشتری أنّها مستأجَرَة ومع ذلک أقدم علی الشراء فلیس له الفسخ أیضاً، نعم، لو اعتقد کون مدّة الإجارة کذا مقداراً فبان أنّها أزید له الخیار أیضاً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فسخ المستأجِر الإجارة رجعت المنفعة فی بقیّة المدّة إلی البائع، کلّاً </w:t>
      </w:r>
    </w:p>
    <w:p>
      <w:pPr>
        <w:pStyle w:val="BookText"/>
        <w:rPr/>
      </w:pPr>
      <w:r>
        <w:rPr>
          <w:rFonts w:ascii="IRNazanin" w:hAnsi="IRNazanin" w:eastAsia="IRNazanin"/>
          <w:color w:val="111111"/>
          <w:sz w:val="28"/>
          <w:sz w:val="28"/>
          <w:szCs w:val="28"/>
          <w:rtl w:val="true"/>
          <w:lang w:bidi="fa-IR"/>
        </w:rPr>
        <w:t>إلی المشتری</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اعتقد البائع والمشتری بقاء مدّة الإجارة وأنّ العین مسلوبة المنفعة إلی زمان کذا، وتبیّن أنّ المدّة منقضیة، فهل منفعة تلک المدّة للبائع حیث إنّه کأنّه شرط کونها مسلوبة المنفعة إلی زمان کذا، أو للمشتری لأنّها تابعة للعین ما لم تفرز بالنقل إلی الغیر أو بالاستثناء، والمفروض عدمها؟ وجهان، والأقوی الثانی</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الأوّل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 لأنّ تبعیّة المنافع للعین مادام لم یکن مقروناً بقصد عدم انتقالها معالعین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الأوّل، وکذا فی الصورة اللاحقة، وما ذکر فی وجه الثانی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نعم، لو شَرَطَا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إذا لم یرجع إلی التوصیف فإنّه حینئذٍ ترجع المنفعة إلی المشتری، ویثبتالخیار للبائع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لو کان بنحو التوصیف أیضاً یکون کذلک، سواء کان الوصف هو مسلوبیّةالمنفعة فی برهةٍ من الزمان، أم کونها 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w:t>
      </w:r>
      <w:r>
        <w:rPr>
          <w:rStyle w:val="FootnoteAnchor"/>
          <w:rtl w:val="true"/>
        </w:rPr>
        <w:footnoteReference w:id="1180"/>
      </w:r>
      <w:r>
        <w:rPr>
          <w:rFonts w:ascii="IRNazanin" w:hAnsi="IRNazanin" w:eastAsia="IRNazanin"/>
          <w:color w:val="111111"/>
          <w:sz w:val="28"/>
          <w:sz w:val="28"/>
          <w:szCs w:val="28"/>
          <w:rtl w:val="true"/>
          <w:lang w:bidi="fa-IR"/>
        </w:rPr>
        <w:t> مسلوبةَ المنفعة إلی زمانِ کذا بعد اعتقاد بقاء المدّة کان لِمَا</w:t>
      </w:r>
      <w:r>
        <w:rPr>
          <w:rStyle w:val="FootnoteAnchor"/>
          <w:rtl w:val="true"/>
        </w:rPr>
        <w:footnoteReference w:id="1181"/>
      </w:r>
      <w:r>
        <w:rPr>
          <w:rFonts w:ascii="Amiri" w:hAnsi="Amiri" w:eastAsia="Amiri" w:cs="Amiri"/>
          <w:color w:val="111111"/>
          <w:sz w:val="28"/>
          <w:sz w:val="28"/>
          <w:szCs w:val="28"/>
          <w:rtl w:val="true"/>
          <w:lang w:bidi="ar-SA"/>
        </w:rPr>
        <w:t> ذُکِر وجه</w:t>
      </w:r>
      <w:r>
        <w:rPr>
          <w:rStyle w:val="FootnoteAnchor"/>
          <w:rtl w:val="true"/>
        </w:rPr>
        <w:footnoteReference w:id="1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حیث إنّه لم یشترط کون المنفعة للبائع فی تلک المدّة، ولا لغیره،إلّا بعنوان الإجارة الّتی قد تبیّن عدمها، فتبقی قاعدة تبعیّة ملکیّة المنفعة لملکیّةالعین علی حالها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وجیه إن کان بعنوان الاستثناء دون التوصیف المخالف للواقع، ویکفی ذلک فیبقائه فی ملک البائع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إذ هذا الشرط لمّا کان مبتنیاً علی اعتقاد بقاء مدّة الإجارة والفرض تبیّن الخلاف لم یکن بمنزلة الاستثناء، فتبقی قاعدة تبعیّة ملک المنفعةلملک العین علی حالها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وجیه؛ لأنّه لم یشترط کونها للبائع، فتکون تابعة للعین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الأوجه تبعیّة النماء للعین أیضاً، وهذا کما لو توهّم عدم المنفعة للعین مدّةواشترط مسلوبیّة المنفعة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غیر مقبول، والحَرِیّ بالقبول الالتزام بالتبعیّة، ودوران الأمر مدار الواقع، لاالاعتقاد، ولیس المقام من باب الاستثناء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الشرط بعنوان الاستثناء، وأمّا إن کان بعنوان التوصیف فالمنفعة للمشتری،وللبائع خیار تخلّف الوصف إذا کانت منافع تلک المدّة معتدّاً بها بحیث تختلفبلحاظها الرغبات فی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بنحو الاستثناء مطلقاً ومع تبیّن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بناءً علی ما هو الأقوی من رجوع المنفعة فی الصورة السابقة  </w:t>
      </w:r>
    </w:p>
    <w:p>
      <w:pPr>
        <w:pStyle w:val="BookText"/>
        <w:rPr/>
      </w:pPr>
      <w:r>
        <w:rPr>
          <w:rFonts w:ascii="IRNazanin" w:hAnsi="IRNazanin" w:eastAsia="IRNazanin"/>
          <w:color w:val="111111"/>
          <w:sz w:val="28"/>
          <w:sz w:val="28"/>
          <w:szCs w:val="28"/>
          <w:rtl w:val="true"/>
          <w:lang w:bidi="fa-IR"/>
        </w:rPr>
        <w:t>إلی المشتری فهل للبائع الخیار، أوْ لا؟ وجهان، لا یخلو أوّلهما من قوّة</w:t>
      </w:r>
      <w:r>
        <w:rPr>
          <w:rStyle w:val="FootnoteAnchor"/>
          <w:rtl w:val="true"/>
        </w:rPr>
        <w:footnoteReference w:id="1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إشکال، إلّا إذا أوجب ذلک الغَبن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اختلفت الرغبات، وإلّا فالأقوی اختصاص الخیار بصورة الغَبن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منفعة تلک المدّة معتدّاً بها بحیث تختلف رغبات الناس فی العین بثبوتهاونفیها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إن رجع إلی تخلّف شرطٍ ضمنی، أو ثبوت غَبن، وإلّا فالقوّة فیخلافه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أوجب الغَبن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قوّته نظر بعد عدم ضرر مالی بالنسبة إلی البائع، نعم، فی فرض إیجابه الغَبنهو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الغَبن فقط،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الغَبن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صورتَی استفادة الشرطیّة الضمنیة من الکلام، أو تحقّق الغَبن؛ حیث تکونالمنفعة معتدّاً بها لدی العقلاء بمثابة تتوجّه رغباتهم إلیها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الثانی، إلّا إذا کان ذلک موجباً للغَبن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الغَبن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غَبن، أو زیادة الاُجرة بحیث تختلف رغبات العقلاء فی العین بسببها،وإلّا فالثانی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هذا الفرض إن لم یرجع إلی تخلّف شرط ضمنی ولم یوجب الغَبن فمحلّإشکالٍ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خصوص ما إذا أوجب الغَبن فی المعاملة البیعیّة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اختصاص الخیار بهذه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صورة الغَبن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أنّ الخیار للبائع فی خصوص هذه الصورة؛ إذ لا موجب له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الغَبن سبب مستقلّ للخیار، وخیار التخلّف لا یُبتنی علیه،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بِیعَت العین المستأجَرة علی غیر المستأجِر، أمّا لو بِیعَت علیه ففی انفساخ الإجارة وجهان، أقواهما</w:t>
      </w:r>
    </w:p>
    <w:p>
      <w:pPr>
        <w:pStyle w:val="BookText"/>
        <w:rPr/>
      </w:pPr>
      <w:r>
        <w:rPr>
          <w:rFonts w:ascii="IRNazanin" w:hAnsi="IRNazanin" w:eastAsia="IRNazanin"/>
          <w:color w:val="111111"/>
          <w:sz w:val="28"/>
          <w:sz w:val="28"/>
          <w:szCs w:val="28"/>
          <w:rtl w:val="true"/>
          <w:lang w:bidi="fa-IR"/>
        </w:rPr>
        <w:t>العدم</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احتمال الانفساخ فی غایة الضعف والسقوط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للانفساخ، واحتماله فی غایة السقوط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الإضافة المعتبرة بین العین والمستأجِر بینها وبین المالک فی غایةالإشکال، وکذا اعتبار ملک المنفعة استقلالاً لمالک العین، کما نبّه علیه غیر واحدٍ منأساطین الفنّ، فالأحوط التصالح فی منفعة تلک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ویتفرّع علی ذلک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الثمن، والاُجرة علیه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ملکه للمنفعة فی مدّة تلک الإجارة لو فسخ البیع بأحد أسبابه، بخلاف ما لو قیل بانفساخ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من المنفعة فی تلک المدّة لو مات الزوج المستأجِر بعد شرائه لتلک العین، وإن کانت ممّا لا ترث الزوجة منه،بخلاف ما لو قیل بالانفساخ بمجرّد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المشتری</w:t>
      </w:r>
      <w:r>
        <w:rPr>
          <w:rStyle w:val="FootnoteAnchor"/>
          <w:rtl w:val="true"/>
        </w:rPr>
        <w:footnoteReference w:id="1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حین تلف العین؛ فإنّه بهذا القید من متفرّعات عدم الانفساخ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انّه یرجع إلی البائع علی أیّ حال، فمن حین التلف بناءً علی عدمالانفساخ، وکشف التلف عن البطلان من حینه، لا من أصله، ومن حین البیع علیالانفساخ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انفساخ الإجارة موجب لرجوع الاُجرة إلی مالکها الأوّل، وهو فی المقامالمشتری، ولا فرق فی ذلک بین الانفساخ بتلف العین وبین الانفساخ بالبیع لو قلنابه، إلّا أن یقول أحد بانفساخ الإجارة بالبیع، وعدم رجوع المشتری ـ وهوالمستأجِر ـ إلی الاُجرة، لکنّه اشتباه فی اشتباه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المشتری یرجع علی البائع علی التقدیرین، لکنّه من حین البیع علی الانفساخ،ومن حین التلف علی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من حین التلف، وأمّا علی الانفساخ فیرجع بالاُجرة من حین البیع الّذی هوزمان الانفساخ علی هذا القول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تلف العین بعد قبضها وقبل   </w:t>
      </w:r>
      <w:bookmarkStart w:id="638" w:name="pg13284_130848"/>
    </w:p>
    <w:p>
      <w:pPr>
        <w:pStyle w:val="BookText"/>
        <w:rPr/>
      </w:pPr>
      <w:bookmarkEnd w:id="638"/>
      <w:r>
        <w:rPr>
          <w:rFonts w:ascii="Amiri" w:hAnsi="Amiri" w:eastAsia="Amiri" w:cs="Amiri"/>
          <w:color w:val="111111"/>
          <w:sz w:val="28"/>
          <w:sz w:val="28"/>
          <w:szCs w:val="28"/>
          <w:rtl w:val="true"/>
          <w:lang w:bidi="ar-SA"/>
        </w:rPr>
        <w:t>انقضاء مدّة الإجارة، فإنّ تَعَذُّر استیفاء المنفعة یکشف عن بطلان</w:t>
      </w:r>
      <w:r>
        <w:rPr>
          <w:rStyle w:val="FootnoteAnchor"/>
          <w:rtl w:val="true"/>
        </w:rPr>
        <w:footnoteReference w:id="1187"/>
      </w:r>
      <w:r>
        <w:rPr>
          <w:rFonts w:ascii="Amiri" w:hAnsi="Amiri" w:eastAsia="Amiri" w:cs="Amiri"/>
          <w:color w:val="111111"/>
          <w:sz w:val="28"/>
          <w:sz w:val="28"/>
          <w:szCs w:val="28"/>
          <w:rtl w:val="true"/>
          <w:lang w:bidi="ar-SA"/>
        </w:rPr>
        <w:t xml:space="preserve"> الإجارة</w:t>
      </w:r>
      <w:r>
        <w:rPr>
          <w:rStyle w:val="FootnoteAnchor"/>
          <w:rtl w:val="true"/>
        </w:rPr>
        <w:footnoteReference w:id="1188"/>
      </w:r>
      <w:r>
        <w:rPr>
          <w:rFonts w:ascii="IRNazanin" w:hAnsi="IRNazanin" w:eastAsia="IRNazanin"/>
          <w:color w:val="111111"/>
          <w:sz w:val="28"/>
          <w:sz w:val="28"/>
          <w:szCs w:val="28"/>
          <w:rtl w:val="true"/>
          <w:lang w:bidi="fa-IR"/>
        </w:rPr>
        <w:t>، ویوجب الرجوع بالعوض وإن کان تلف العین علیه</w:t>
      </w:r>
      <w:r>
        <w:rPr>
          <w:rFonts w:eastAsia="IRNazanin" w:cs="IRNazanin"/>
          <w:color w:val="111111"/>
          <w:sz w:val="28"/>
          <w:szCs w:val="28"/>
          <w:rtl w:val="true"/>
          <w:lang w:bidi="fa-IR"/>
        </w:rPr>
        <w:t>.</w:t>
      </w:r>
    </w:p>
    <w:p>
      <w:pPr>
        <w:pStyle w:val="Heading4"/>
        <w:numPr>
          <w:ilvl w:val="3"/>
          <w:numId w:val="1"/>
        </w:numPr>
        <w:rPr/>
      </w:pPr>
      <w:bookmarkStart w:id="639" w:name="__RefHeading___Toc2055965_2322387425"/>
      <w:bookmarkStart w:id="640" w:name="_Toc232"/>
      <w:bookmarkEnd w:id="639"/>
      <w:r>
        <w:rPr>
          <w:rtl w:val="true"/>
        </w:rPr>
        <w:t>وقوع البیع والإجارة فی زمانٍ واحد</w:t>
      </w:r>
      <w:bookmarkEnd w:id="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وقع البیع والإجارة فی زمانٍ واحد، کما لو باع  العین مالکها علی شخصٍ وآجرها وکیله علی شخصٍ آخر، واتّفق وقوعهما فی زمانٍ واحد، فهل یصحّان معاً ویملکها المشتری مسلوبة المنفعة، کما لو سبقت الإجارة، أو یبطلان معاً؛ للتزاحم فی ملکیّة المنفعة، أو یبطلان معاً بالنسبة إلی تملیک المنفعة فیصحّ البیع علی أنّها مسلوبة المنفعة تلک المدّة، فتبقی المنفعة علی ملک البائع؟ وجوه، أقواها الأوّل</w:t>
      </w:r>
      <w:r>
        <w:rPr>
          <w:rStyle w:val="FootnoteAnchor"/>
          <w:rtl w:val="true"/>
        </w:rPr>
        <w:footnoteReference w:id="1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یثبت الخیار للبائع مع 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وللمشتری خیار تخلّف الشرط الضمنی،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التزام الخیار للمشتری، ثمّ ما قوّاه لا یخلو من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الأخیر؛ لتزاحم العَقدَین فی التأثیر زماناً، ولا أثر للتقدّم والتأخّر فیالرتبة فی المقام ونحوه، کما حقّق فی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کونهما متزاحمَین عرفاً، فإمّا یتساقطان، أو تخییر المالک فی إمضاءأیّهما شاء، کالفضولیَّین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الثانی؛ لأنّ البیع واقع علی الموصوف، والمفروض أنّ تملیک المنفعةبالإجارة یزاحم تملیک الموصوف، والتبعیض لا دلیل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التزاحم</w:t>
      </w:r>
      <w:r>
        <w:rPr>
          <w:rStyle w:val="FootnoteAnchor"/>
          <w:rtl w:val="true"/>
        </w:rPr>
        <w:footnoteReference w:id="1190"/>
      </w:r>
      <w:r>
        <w:rPr>
          <w:rFonts w:ascii="IRNazanin" w:hAnsi="IRNazanin" w:eastAsia="IRNazanin"/>
          <w:color w:val="111111"/>
          <w:sz w:val="28"/>
          <w:sz w:val="28"/>
          <w:szCs w:val="28"/>
          <w:rtl w:val="true"/>
          <w:lang w:bidi="fa-IR"/>
        </w:rPr>
        <w:t>، فإنّ البائع</w:t>
      </w:r>
      <w:r>
        <w:rPr>
          <w:rStyle w:val="FootnoteAnchor"/>
          <w:rtl w:val="true"/>
        </w:rPr>
        <w:footnoteReference w:id="1191"/>
      </w:r>
      <w:r>
        <w:rPr>
          <w:rFonts w:ascii="IRNazanin" w:hAnsi="IRNazanin" w:eastAsia="IRNazanin"/>
          <w:color w:val="111111"/>
          <w:sz w:val="28"/>
          <w:sz w:val="28"/>
          <w:szCs w:val="28"/>
          <w:rtl w:val="true"/>
          <w:lang w:bidi="fa-IR"/>
        </w:rPr>
        <w:t> لا یملک</w:t>
      </w:r>
      <w:r>
        <w:rPr>
          <w:rStyle w:val="FootnoteAnchor"/>
          <w:rtl w:val="true"/>
        </w:rPr>
        <w:footnoteReference w:id="1192"/>
      </w:r>
      <w:r>
        <w:rPr>
          <w:rFonts w:ascii="IRNazanin" w:hAnsi="IRNazanin" w:eastAsia="IRNazanin"/>
          <w:color w:val="111111"/>
          <w:sz w:val="28"/>
          <w:sz w:val="28"/>
          <w:szCs w:val="28"/>
          <w:rtl w:val="true"/>
          <w:lang w:bidi="fa-IR"/>
        </w:rPr>
        <w:t> المنفعة، وإنّما یملک العین، وملکیّة العین توجب ملکیّة المنفعة للتبعیّة، وهی متأخّرة</w:t>
      </w:r>
      <w:r>
        <w:rPr>
          <w:rStyle w:val="FootnoteAnchor"/>
          <w:rtl w:val="true"/>
        </w:rPr>
        <w:footnoteReference w:id="11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لأنّ الملکیّة التبعیّة بما أنّها أمر طبعیّ أوّلیّ یشترط فیها عدم وجود مانعٍ عنها،وعدم مقتضٍ لملکیّة اُخری، وتملیک المنفعة بالإجارة مانع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bookmarkStart w:id="641" w:name="pg13284_130850"/>
    </w:p>
    <w:p>
      <w:pPr>
        <w:pStyle w:val="BookText"/>
        <w:rPr/>
      </w:pPr>
      <w:bookmarkEnd w:id="641"/>
      <w:r>
        <w:rPr>
          <w:rFonts w:ascii="Amiri" w:hAnsi="Amiri" w:eastAsia="Amiri" w:cs="Amiri"/>
          <w:color w:val="111111"/>
          <w:sz w:val="28"/>
          <w:sz w:val="28"/>
          <w:szCs w:val="28"/>
          <w:rtl w:val="true"/>
          <w:lang w:bidi="ar-SA"/>
        </w:rPr>
        <w:t>عن الإجارة</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ملکیّة المنفعة متأخّرة رتبةً لا زماناً عن ملکیّة العین المتأخّرة رتبةً لا زماناًعن تملیک البائع للعین، وهو متّحد زماناً مع الإجارة، فملکیّة المفنعة غیر متأخّرةٍعن الإجارة رتبةً فضلاً عن تأخّرها زماناً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الإجارة فی عرض علّتها، وهی ملکیّة العین، لکنّ هذا التأخّر لیس زمانیّاً،بل فی کونه رُتبیّاً أیضاً إشکال؛ لأنّ ما مع العلّة زماناً کما فی ما نحن فیه لا یلزم أنیکون المعلول متأخّراً عنه رتبةً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البجنوردی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أثر للتقدّم والتأخّر فی الرتبة فی المقام، مع أنّ ملک المنفعة متأخّر عن ملکالعین بالبیع، لا عن الإجارة، ولکنّ الحکم ما ذکره ؛ وله وجه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2055967_2322387425"/>
      <w:bookmarkStart w:id="643" w:name="_Toc233"/>
      <w:bookmarkEnd w:id="642"/>
      <w:r>
        <w:rPr>
          <w:rtl w:val="true"/>
        </w:rPr>
        <w:t>هل تبطل الإجارة بموت المؤجر أو المستأجر؟</w:t>
      </w:r>
      <w:bookmarkEnd w:id="643"/>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 الإجارة</w:t>
      </w:r>
      <w:r>
        <w:rPr>
          <w:rStyle w:val="FootnoteAnchor"/>
          <w:rtl w:val="true"/>
        </w:rPr>
        <w:footnoteReference w:id="1195"/>
      </w:r>
      <w:r>
        <w:rPr>
          <w:rFonts w:ascii="IRNazanin" w:hAnsi="IRNazanin" w:eastAsia="IRNazanin"/>
          <w:color w:val="111111"/>
          <w:sz w:val="28"/>
          <w:sz w:val="28"/>
          <w:szCs w:val="28"/>
          <w:rtl w:val="true"/>
          <w:lang w:bidi="fa-IR"/>
        </w:rPr>
        <w:t> بموت الموجِر، ولا بموت المستأجِر علی الأقوی، نعم، فی إجارة العین</w:t>
      </w:r>
      <w:r>
        <w:rPr>
          <w:rStyle w:val="FootnoteAnchor"/>
          <w:rtl w:val="true"/>
        </w:rPr>
        <w:footnoteReference w:id="1196"/>
      </w:r>
      <w:r>
        <w:rPr>
          <w:rFonts w:ascii="Amiri" w:hAnsi="Amiri" w:eastAsia="Amiri" w:cs="Amiri"/>
          <w:color w:val="111111"/>
          <w:sz w:val="28"/>
          <w:sz w:val="28"/>
          <w:szCs w:val="28"/>
          <w:rtl w:val="true"/>
          <w:lang w:bidi="ar-SA"/>
        </w:rPr>
        <w:t> الموقوفة إذا آجر البطن السابق تبطل بموته</w:t>
      </w:r>
      <w:r>
        <w:rPr>
          <w:rStyle w:val="FootnoteAnchor"/>
          <w:rtl w:val="true"/>
        </w:rPr>
        <w:footnoteReference w:id="1197"/>
      </w:r>
      <w:r>
        <w:rPr>
          <w:rFonts w:ascii="IRNazanin" w:hAnsi="IRNazanin" w:eastAsia="IRNazanin"/>
          <w:color w:val="111111"/>
          <w:sz w:val="28"/>
          <w:sz w:val="28"/>
          <w:szCs w:val="28"/>
          <w:rtl w:val="true"/>
          <w:lang w:bidi="fa-IR"/>
        </w:rPr>
        <w:t> بعد الانتقال إلی البطن اللاحق</w:t>
      </w:r>
      <w:r>
        <w:rPr>
          <w:rStyle w:val="FootnoteAnchor"/>
          <w:rtl w:val="true"/>
        </w:rPr>
        <w:footnoteReference w:id="1198"/>
      </w:r>
      <w:r>
        <w:rPr>
          <w:rFonts w:ascii="IRNazanin" w:hAnsi="IRNazanin" w:eastAsia="IRNazanin"/>
          <w:color w:val="111111"/>
          <w:sz w:val="28"/>
          <w:sz w:val="28"/>
          <w:szCs w:val="28"/>
          <w:rtl w:val="true"/>
          <w:lang w:bidi="fa-IR"/>
        </w:rPr>
        <w:t>؛ لأنّ الملکیّة محدودة، ومثله ما لو کانت المنفعة موصیً بها للموجِر ما دام حیّاً، بخلاف ما إذا کان الموجِر هو المتولّی للوقف، وآجر لمصلحة البطون إلی مدّة فإنّها لا تبطل بموته</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تأمّل، وکذا فی موت البطن الموجود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بموت البطن الموجود حال الإجارة، وکذا تبطل</w:t>
      </w:r>
      <w:r>
        <w:rPr>
          <w:rStyle w:val="FootnoteAnchor"/>
          <w:rtl w:val="true"/>
        </w:rPr>
        <w:footnoteReference w:id="1200"/>
      </w:r>
      <w:r>
        <w:rPr>
          <w:rFonts w:ascii="IRNazanin" w:hAnsi="IRNazanin" w:eastAsia="IRNazanin"/>
          <w:color w:val="111111"/>
          <w:sz w:val="28"/>
          <w:sz w:val="28"/>
          <w:szCs w:val="28"/>
          <w:rtl w:val="true"/>
          <w:lang w:bidi="fa-IR"/>
        </w:rPr>
        <w:t> إذا آجر نفسه</w:t>
      </w:r>
      <w:r>
        <w:rPr>
          <w:rStyle w:val="FootnoteAnchor"/>
          <w:rtl w:val="true"/>
        </w:rPr>
        <w:footnoteReference w:id="1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فی هذه الصورة وفی الصورة الثانیـة إنّما هو فیما إذا کان متعلّق الإجارةمقیّداً بزمانٍ قد تحقّق الموت قبله، أو فی أثنائه، أو کان الموت واقعاً قبل مضیّ زمانٍیَسَع متعلّق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یختصّ البطلان فی هذه الصورة وما یلیها بما إذا کانت الإجارة مقیّدةً بزمانٍومات قبل مجیء زمانه، أو فی أثنائه، أو وقع الموت قبل مضیّ زمانٍ یَسَع متعلّقالإجارة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للعمل بنفسه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المنفعة الخاصّة، لا اشتراط المباشرة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یکون عمل نفسه متعلّقاً للإجارة، وبشرط أن یکون الموت قبل مضیّزمانٍ یمکن أن یقع متعلّق الإجارة فیه، وکذلک فی الصورة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کون القید هنا وفی الفرض الآتی دخیلاً فی المطلوب الواحد، وأمّا لو کانبنحو تعدّد المطلوب فالإجارة صحیحة، غایة الأمر ثبوت خیار تعذّر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خدمة أو غیرها، فإنّه إذا مات لا یبقی محلّ للإجارة،    </w:t>
      </w:r>
    </w:p>
    <w:p>
      <w:pPr>
        <w:pStyle w:val="BookText"/>
        <w:rPr/>
      </w:pPr>
      <w:r>
        <w:rPr>
          <w:rFonts w:ascii="IRNazanin" w:hAnsi="IRNazanin" w:eastAsia="IRNazanin"/>
          <w:color w:val="111111"/>
          <w:sz w:val="28"/>
          <w:sz w:val="28"/>
          <w:szCs w:val="28"/>
          <w:rtl w:val="true"/>
          <w:lang w:bidi="fa-IR"/>
        </w:rPr>
        <w:t>وکذا إذا مات المستأجِر الّذی هو محلّ العمل من خدمة، أو عمل آخر متعلّق به بنفسه، ولو جعل العمل فی ذمّته</w:t>
      </w:r>
      <w:r>
        <w:rPr>
          <w:rStyle w:val="FootnoteAnchor"/>
          <w:rtl w:val="true"/>
        </w:rPr>
        <w:footnoteReference w:id="1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دون اعتبار المباشرة قیداً أو شرطاً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تقدیر اشتراط المباشرة بنفسه یثبت الخیار، وکذا الحال بالنسبة إلیالمستأجِر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بموته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یُستوفَی من ترکته، وکذا بالنسبة إلی المستأجر إذا لم یکن محلّاً للعمل، بل کان مالکاً له علی الموجِر، کما إذا آجره للخدمة من غیر تقییدٍ بکونها له فإنّه إذا مات تنتقل إلی وارثه، فهم یملکون علیه ذلک العمل، وإذا آجر الدار واشترط علی المستأجِر سکناه بنفسه لا تبطل بموته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البطلان، وعلی فرض الصحّة فثبوت الخیار علی تقدیر تخلّفهم عن العملبما اشترط، وإلّا فلا مسرح للخیار له؛ لعدم موجبٍ فی حقّه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ویکون للموجِر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البطلان فی صورة اشتراط سکناه بنفسه مشکل؛ فإنّ ملکیّة الورثة لمنفعةدار لا یستحقّون استیفاءَها بوجهٍ بمقتضی الشرط مشکل، نعم، إن کان الشرط عدمسکنی غیره ویتصوّر غرض عقلائیّ للورثة فی إبقائها فارغةً لا تبطل، وحینئذٍیختصّ خیار المؤجِر بصورة سکنی الغیر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bookmarkStart w:id="644" w:name="pg13284_130853"/>
    </w:p>
    <w:p>
      <w:pPr>
        <w:pStyle w:val="BookText"/>
        <w:rPr/>
      </w:pPr>
      <w:bookmarkEnd w:id="644"/>
      <w:r>
        <w:rPr>
          <w:rFonts w:ascii="IRNazanin" w:hAnsi="IRNazanin" w:eastAsia="IRNazanin"/>
          <w:color w:val="111111"/>
          <w:sz w:val="28"/>
          <w:sz w:val="28"/>
          <w:szCs w:val="28"/>
          <w:rtl w:val="true"/>
          <w:lang w:bidi="fa-IR"/>
        </w:rPr>
        <w:t>خیار</w:t>
      </w:r>
      <w:r>
        <w:rPr>
          <w:rStyle w:val="FootnoteAnchor"/>
          <w:rtl w:val="true"/>
        </w:rPr>
        <w:footnoteReference w:id="1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للخیار بمجرّد موت المستأجِر، نعم، إذا صدر من الورثة ما یوجب تخلّفالشرط یکون للمؤجِر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 الخیار بین فسخ العقد أو إسقاط شرطه، وحینئذٍ فإن رَضِیَت الورثة بذلک فلاإشکال، وإن لم ترضَ وأراد المؤجر إبقاء العقد مع تعذّر الشرط ومطالبة الاُجرة منالترکة ففیه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تخلّفت الورثة عن العمل بالشرط بأن سکنوا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إذا اعتبر سکناه علی وجه القیدیّة تبطل بموته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055969_2322387425"/>
      <w:bookmarkStart w:id="646" w:name="_Toc234"/>
      <w:bookmarkEnd w:id="645"/>
      <w:r>
        <w:rPr>
          <w:rtl w:val="true"/>
        </w:rPr>
        <w:t>حدود الولایة علی الصبی فی المقام </w:t>
      </w:r>
      <w:bookmarkEnd w:id="64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الولیّ أو الوصیّ الصبیّ المولّی علیه مدّة تزید علی زمان بلوغه ورشده بطلت فی المتیقّن بلوغه فیه، بمعنی أنّها موقوفة علی إجازته، وصحّت واقعاً وظاهراً بالنسبة إلی المتیقّن صغره، وظاهراً بالنسبة إلی المحتمل</w:t>
      </w:r>
      <w:r>
        <w:rPr>
          <w:rStyle w:val="FootnoteAnchor"/>
          <w:rtl w:val="true"/>
        </w:rPr>
        <w:footnoteReference w:id="1204"/>
      </w:r>
      <w:r>
        <w:rPr>
          <w:rFonts w:ascii="IRNazanin" w:hAnsi="IRNazanin" w:eastAsia="IRNazanin"/>
          <w:color w:val="111111"/>
          <w:sz w:val="28"/>
          <w:sz w:val="28"/>
          <w:szCs w:val="28"/>
          <w:rtl w:val="true"/>
          <w:lang w:bidi="fa-IR"/>
        </w:rPr>
        <w:t>، فإذا بلغ له أن یفسخ علی الأقوی، أی لا یجیز، خلافاً لبعضهم</w:t>
      </w:r>
      <w:r>
        <w:rPr>
          <w:rStyle w:val="FootnoteAnchor"/>
          <w:rtl w:val="true"/>
        </w:rPr>
        <w:footnoteReference w:id="120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فحکم</w:t>
      </w:r>
      <w:r>
        <w:rPr>
          <w:rStyle w:val="FootnoteAnchor"/>
          <w:rtl w:val="true"/>
        </w:rPr>
        <w:footnoteReference w:id="1206"/>
      </w:r>
      <w:r>
        <w:rPr>
          <w:rFonts w:ascii="IRNazanin" w:hAnsi="IRNazanin" w:eastAsia="IRNazanin"/>
          <w:color w:val="111111"/>
          <w:sz w:val="28"/>
          <w:sz w:val="28"/>
          <w:szCs w:val="28"/>
          <w:rtl w:val="true"/>
          <w:lang w:bidi="fa-IR"/>
        </w:rPr>
        <w:t> بلزومها</w:t>
      </w:r>
      <w:r>
        <w:rPr>
          <w:rStyle w:val="FootnoteAnchor"/>
          <w:rtl w:val="true"/>
        </w:rPr>
        <w:footnoteReference w:id="1207"/>
      </w:r>
      <w:r>
        <w:rPr>
          <w:rFonts w:ascii="IRNazanin" w:hAnsi="IRNazanin" w:eastAsia="IRNazanin"/>
          <w:color w:val="111111"/>
          <w:sz w:val="28"/>
          <w:sz w:val="28"/>
          <w:szCs w:val="28"/>
          <w:rtl w:val="true"/>
          <w:lang w:bidi="fa-IR"/>
        </w:rPr>
        <w:t> علیه</w:t>
      </w:r>
      <w:r>
        <w:rPr>
          <w:rStyle w:val="FootnoteAnchor"/>
          <w:rtl w:val="true"/>
        </w:rPr>
        <w:footnoteReference w:id="1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لأنّ المستفاد من أدلّة الولایة أنّها قبل البلوغ مطلقة غیر مقیّدةبشیء غیر المصلحة، فله قبل البلوغ ما للمولّی علیه لو کان بالغاً مع مراعاةالمصلحة، فیکون البلوغ غایةً للولایة، لا قیداً لما فیه الولایة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لوقوعها من أهلها فی محلّها فی وقتٍ لم یعلم لها منافٍ، وهو کما تری، نعم، لو اقتضت المصلحةُ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بجواز إجارة الولیّ الصبیّ مدّة تزید علی مدّة صغره مشکل؛ لعدم الدلیل،نعم، بالنسبة إلی التصرّف المالیّ إطلاق دلیل الولایة یقتضی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اللازمةُ المراعاة إجارته مدّة زائدة علی زمان البلوغ، بحیث تکون إجارته أقلّ من تلک المدّة خلاف مصلحته تکون لازمةً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نعم، هی کذلک فی إجارة الأملاک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لو تمّ فإنّما هو فی إجارة أملاکه دون غیرها، مع أنّ تمامیّته فیها محلّ تأمّلأیضاً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bookmarkStart w:id="647" w:name="pg13284_130855"/>
    </w:p>
    <w:p>
      <w:pPr>
        <w:pStyle w:val="BookText"/>
        <w:rPr/>
      </w:pPr>
      <w:bookmarkEnd w:id="647"/>
      <w:r>
        <w:rPr>
          <w:rFonts w:ascii="IRNazanin" w:hAnsi="IRNazanin" w:eastAsia="IRNazanin"/>
          <w:color w:val="111111"/>
          <w:sz w:val="28"/>
          <w:sz w:val="28"/>
          <w:szCs w:val="28"/>
          <w:rtl w:val="true"/>
          <w:lang w:bidi="fa-IR"/>
        </w:rPr>
        <w:t>لیس</w:t>
      </w:r>
      <w:r>
        <w:rPr>
          <w:rStyle w:val="FootnoteAnchor"/>
          <w:rtl w:val="true"/>
        </w:rPr>
        <w:footnoteReference w:id="1209"/>
      </w:r>
      <w:r>
        <w:rPr>
          <w:rFonts w:ascii="IRNazanin" w:hAnsi="IRNazanin" w:eastAsia="IRNazanin"/>
          <w:color w:val="111111"/>
          <w:sz w:val="28"/>
          <w:sz w:val="28"/>
          <w:szCs w:val="28"/>
          <w:rtl w:val="true"/>
          <w:lang w:bidi="fa-IR"/>
        </w:rPr>
        <w:t> له فسخها</w:t>
      </w:r>
      <w:r>
        <w:rPr>
          <w:rStyle w:val="FootnoteAnchor"/>
          <w:rtl w:val="true"/>
        </w:rPr>
        <w:footnoteReference w:id="1210"/>
      </w:r>
      <w:r>
        <w:rPr>
          <w:rFonts w:ascii="IRNazanin" w:hAnsi="IRNazanin" w:eastAsia="IRNazanin"/>
          <w:color w:val="111111"/>
          <w:sz w:val="28"/>
          <w:sz w:val="28"/>
          <w:szCs w:val="28"/>
          <w:rtl w:val="true"/>
          <w:lang w:bidi="fa-IR"/>
        </w:rPr>
        <w:t> بعد بلوغه، وکذا الکلام</w:t>
      </w:r>
      <w:r>
        <w:rPr>
          <w:rStyle w:val="FootnoteAnchor"/>
          <w:rtl w:val="true"/>
        </w:rPr>
        <w:footnoteReference w:id="1211"/>
      </w:r>
      <w:r>
        <w:rPr>
          <w:rFonts w:ascii="IRNazanin" w:hAnsi="IRNazanin" w:eastAsia="IRNazanin"/>
          <w:color w:val="111111"/>
          <w:sz w:val="28"/>
          <w:sz w:val="28"/>
          <w:szCs w:val="28"/>
          <w:rtl w:val="true"/>
          <w:lang w:bidi="fa-IR"/>
        </w:rPr>
        <w:t> فی</w:t>
      </w:r>
      <w:r>
        <w:rPr>
          <w:rStyle w:val="FootnoteAnchor"/>
          <w:rtl w:val="true"/>
        </w:rPr>
        <w:footnoteReference w:id="1212"/>
      </w:r>
      <w:r>
        <w:rPr>
          <w:rFonts w:ascii="IRNazanin" w:hAnsi="IRNazanin" w:eastAsia="IRNazanin"/>
          <w:color w:val="111111"/>
          <w:sz w:val="28"/>
          <w:sz w:val="28"/>
          <w:szCs w:val="28"/>
          <w:rtl w:val="true"/>
          <w:lang w:bidi="fa-IR"/>
        </w:rPr>
        <w:t> إجارة أملاکه</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تصحّ إجارة أملاکه مطلقاً، والتردید لو کان فإنّما هو فی إجارة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الظاهر أنّ مقتضی إطلاق دلیل الولایة علی الأملاک النفوذ، وعدم جوازالفسخ مطلقاً، وأمّا الولایة علی النفس فالحکم بإطلاقها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2055971_2322387425"/>
      <w:bookmarkStart w:id="649" w:name="_Toc235"/>
      <w:bookmarkEnd w:id="648"/>
      <w:r>
        <w:rPr>
          <w:rtl w:val="true"/>
        </w:rPr>
        <w:t>إجارة المرأة نفسها مدّة ثمّ أقدمت علی الزواج فی أثنائها</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آجرت امرأة نفسها للخدمة مدّةً معیّنةً، فتزوّجت قبل انقضائها لم تبطل</w:t>
      </w:r>
      <w:r>
        <w:rPr>
          <w:rStyle w:val="FootnoteAnchor"/>
          <w:rtl w:val="true"/>
        </w:rPr>
        <w:footnoteReference w:id="1214"/>
      </w:r>
      <w:r>
        <w:rPr>
          <w:rFonts w:ascii="Amiri" w:hAnsi="Amiri" w:eastAsia="Amiri" w:cs="Amiri"/>
          <w:color w:val="111111"/>
          <w:sz w:val="28"/>
          <w:sz w:val="28"/>
          <w:szCs w:val="28"/>
          <w:rtl w:val="true"/>
          <w:lang w:bidi="ar-SA"/>
        </w:rPr>
        <w:t> الإجارة</w:t>
      </w:r>
      <w:r>
        <w:rPr>
          <w:rStyle w:val="FootnoteAnchor"/>
          <w:rtl w:val="true"/>
        </w:rPr>
        <w:footnoteReference w:id="12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الخدمة منافیةً لحقّ الزوج، ولم یشترط فی عقد النکاح ـ لا صریحاً ولاضمناً ـ ذلک فالأصحّ أنّ للزوج حقّ إبطال الإجارة، فإذا أبطلها کان للمستأجِر خیارتبعیض الصفقة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کانت الخدمة</w:t>
      </w:r>
      <w:bookmarkStart w:id="650" w:name="pg13284_130856"/>
    </w:p>
    <w:p>
      <w:pPr>
        <w:pStyle w:val="BookText"/>
        <w:rPr/>
      </w:pPr>
      <w:bookmarkEnd w:id="650"/>
      <w:r>
        <w:rPr>
          <w:rFonts w:ascii="IRNazanin" w:hAnsi="IRNazanin" w:eastAsia="IRNazanin"/>
          <w:color w:val="111111"/>
          <w:sz w:val="28"/>
          <w:sz w:val="28"/>
          <w:szCs w:val="28"/>
          <w:rtl w:val="true"/>
          <w:lang w:bidi="fa-IR"/>
        </w:rPr>
        <w:t>منافیة لاستمتاع الزوج</w:t>
      </w:r>
      <w:r>
        <w:rPr>
          <w:rStyle w:val="FootnoteAnchor"/>
          <w:rtl w:val="true"/>
        </w:rPr>
        <w:footnoteReference w:id="1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ما یتعلّق بالمقام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الحجّ الواجب بالنذر،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Heading4"/>
        <w:numPr>
          <w:ilvl w:val="3"/>
          <w:numId w:val="1"/>
        </w:numPr>
        <w:rPr/>
      </w:pPr>
      <w:bookmarkStart w:id="651" w:name="__RefHeading___Toc2055973_2322387425"/>
      <w:bookmarkStart w:id="652" w:name="_Toc236"/>
      <w:bookmarkEnd w:id="651"/>
      <w:r>
        <w:rPr>
          <w:rtl w:val="true"/>
        </w:rPr>
        <w:t>أحکام تابعیّة المملوک المستخدم بعد عتقه من مولاه</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عبده</w:t>
      </w:r>
      <w:r>
        <w:rPr>
          <w:rStyle w:val="FootnoteAnchor"/>
          <w:rtl w:val="true"/>
        </w:rPr>
        <w:footnoteReference w:id="1217"/>
      </w:r>
      <w:r>
        <w:rPr>
          <w:rFonts w:ascii="Amiri" w:hAnsi="Amiri" w:eastAsia="Amiri" w:cs="Amiri"/>
          <w:color w:val="111111"/>
          <w:sz w:val="28"/>
          <w:sz w:val="28"/>
          <w:szCs w:val="28"/>
          <w:rtl w:val="true"/>
          <w:lang w:bidi="ar-SA"/>
        </w:rPr>
        <w:t> أو أمته للخدمة ثمّ أعتقه لا تبطل الإجارة</w:t>
      </w:r>
      <w:r>
        <w:rPr>
          <w:rStyle w:val="FootnoteAnchor"/>
          <w:rtl w:val="true"/>
        </w:rPr>
        <w:footnoteReference w:id="1218"/>
      </w:r>
      <w:r>
        <w:rPr>
          <w:rFonts w:ascii="IRNazanin" w:hAnsi="IRNazanin" w:eastAsia="IRNazanin"/>
          <w:color w:val="111111"/>
          <w:sz w:val="28"/>
          <w:sz w:val="28"/>
          <w:szCs w:val="28"/>
          <w:rtl w:val="true"/>
          <w:lang w:bidi="fa-IR"/>
        </w:rPr>
        <w:t> بالعتق، ولیس له الرجوع علی مولاه بعوض تلک الخدمة فی بقیّة المدّة؛ لأنّه کان مالکاً لمنافعه أبداً وقد استوفاها بالنسبة إلی تلک المدّة، فدعوی أنّه فوَّت علی العبد ما کان له حال حرّیّته کما تری، نعم، یبقی الکلام فی نفقته فی بقیّة المدّة إن لم یکن شرط کونها علی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المسألة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علی المولی؛ لأنّه حیث استوفی بالإجارة منافعه فکأنّه</w:t>
      </w:r>
      <w:r>
        <w:rPr>
          <w:rStyle w:val="FootnoteAnchor"/>
          <w:rtl w:val="true"/>
        </w:rPr>
        <w:footnoteReference w:id="1219"/>
      </w:r>
      <w:r>
        <w:rPr>
          <w:rFonts w:ascii="IRNazanin" w:hAnsi="IRNazanin" w:eastAsia="IRNazanin"/>
          <w:color w:val="111111"/>
          <w:sz w:val="28"/>
          <w:sz w:val="28"/>
          <w:szCs w:val="28"/>
          <w:rtl w:val="true"/>
          <w:lang w:bidi="fa-IR"/>
        </w:rPr>
        <w:t>باقٍ علی ملکه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کسبه</w:t>
      </w:r>
      <w:r>
        <w:rPr>
          <w:rStyle w:val="FootnoteAnchor"/>
          <w:rtl w:val="true"/>
        </w:rPr>
        <w:footnoteReference w:id="1220"/>
      </w:r>
      <w:r>
        <w:rPr>
          <w:rFonts w:ascii="IRNazanin" w:hAnsi="IRNazanin" w:eastAsia="IRNazanin"/>
          <w:color w:val="111111"/>
          <w:sz w:val="28"/>
          <w:sz w:val="28"/>
          <w:szCs w:val="28"/>
          <w:rtl w:val="true"/>
          <w:lang w:bidi="fa-IR"/>
        </w:rPr>
        <w:t> إن أمکن له الاکتساب لنفسه</w:t>
      </w:r>
      <w:r>
        <w:rPr>
          <w:rStyle w:val="FootnoteAnchor"/>
          <w:rtl w:val="true"/>
        </w:rPr>
        <w:footnoteReference w:id="1221"/>
      </w:r>
      <w:r>
        <w:rPr>
          <w:rFonts w:ascii="IRNazanin" w:hAnsi="IRNazanin" w:eastAsia="IRNazanin"/>
          <w:color w:val="111111"/>
          <w:sz w:val="28"/>
          <w:sz w:val="28"/>
          <w:szCs w:val="28"/>
          <w:rtl w:val="true"/>
          <w:lang w:bidi="fa-IR"/>
        </w:rPr>
        <w:t> فی غیر زمان الخدمة، وإن لم یمکن فمن بیت المال</w:t>
      </w:r>
      <w:r>
        <w:rPr>
          <w:rStyle w:val="FootnoteAnchor"/>
          <w:rtl w:val="true"/>
        </w:rPr>
        <w:footnoteReference w:id="1222"/>
      </w:r>
      <w:r>
        <w:rPr>
          <w:rFonts w:ascii="IRNazanin" w:hAnsi="IRNazanin" w:eastAsia="IRNazanin"/>
          <w:color w:val="111111"/>
          <w:sz w:val="28"/>
          <w:sz w:val="28"/>
          <w:szCs w:val="28"/>
          <w:rtl w:val="true"/>
          <w:lang w:bidi="fa-IR"/>
        </w:rPr>
        <w:t xml:space="preserve">، وإن لم یکن فعلی </w:t>
      </w:r>
    </w:p>
    <w:p>
      <w:pPr>
        <w:pStyle w:val="BookText"/>
        <w:rPr/>
      </w:pPr>
      <w:r>
        <w:rPr>
          <w:rFonts w:ascii="IRNazanin" w:hAnsi="IRNazanin" w:eastAsia="IRNazanin"/>
          <w:color w:val="111111"/>
          <w:sz w:val="28"/>
          <w:sz w:val="28"/>
          <w:szCs w:val="28"/>
          <w:rtl w:val="true"/>
          <w:lang w:bidi="fa-IR"/>
        </w:rPr>
        <w:t>المسلمین</w:t>
      </w:r>
      <w:r>
        <w:rPr>
          <w:rStyle w:val="FootnoteAnchor"/>
          <w:rtl w:val="true"/>
        </w:rPr>
        <w:footnoteReference w:id="1223"/>
      </w:r>
      <w:r>
        <w:rPr>
          <w:rFonts w:ascii="IRNazanin" w:hAnsi="IRNazanin" w:eastAsia="IRNazanin"/>
          <w:color w:val="111111"/>
          <w:sz w:val="28"/>
          <w:sz w:val="28"/>
          <w:szCs w:val="28"/>
          <w:rtl w:val="true"/>
          <w:lang w:bidi="fa-IR"/>
        </w:rPr>
        <w:t> کفایة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لم یمکن اکتسابه فی غیر زمان الخدمة ففی کسبه وإن کان منافیاً</w:t>
      </w:r>
      <w:r>
        <w:rPr>
          <w:rStyle w:val="FootnoteAnchor"/>
          <w:rtl w:val="true"/>
        </w:rPr>
        <w:footnoteReference w:id="1225"/>
      </w:r>
      <w:r>
        <w:rPr>
          <w:rFonts w:ascii="Amiri" w:hAnsi="Amiri" w:eastAsia="Amiri" w:cs="Amiri"/>
          <w:color w:val="111111"/>
          <w:sz w:val="28"/>
          <w:sz w:val="28"/>
          <w:szCs w:val="28"/>
          <w:rtl w:val="true"/>
          <w:lang w:bidi="ar-SA"/>
        </w:rPr>
        <w:t> للخدمة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کسبه، ویتعلّق مقدار ما یفوت منه من الخدمة بذمّته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بیت المال</w:t>
      </w:r>
      <w:r>
        <w:rPr>
          <w:rStyle w:val="FootnoteAnchor"/>
          <w:rtl w:val="true"/>
        </w:rPr>
        <w:footnoteReference w:id="1227"/>
      </w:r>
      <w:r>
        <w:rPr>
          <w:rFonts w:ascii="Amiri" w:hAnsi="Amiri" w:eastAsia="Amiri" w:cs="Amiri"/>
          <w:color w:val="111111"/>
          <w:sz w:val="28"/>
          <w:sz w:val="28"/>
          <w:szCs w:val="28"/>
          <w:rtl w:val="true"/>
          <w:lang w:bidi="ar-SA"/>
        </w:rPr>
        <w:t> من الأوّل، ولا یبعد قوّة</w:t>
      </w:r>
      <w:r>
        <w:rPr>
          <w:rStyle w:val="FootnoteAnchor"/>
          <w:rtl w:val="true"/>
        </w:rPr>
        <w:footnoteReference w:id="1228"/>
      </w:r>
      <w:r>
        <w:rPr>
          <w:rFonts w:ascii="IRNazanin" w:hAnsi="IRNazanin" w:eastAsia="IRNazanin"/>
          <w:color w:val="111111"/>
          <w:sz w:val="28"/>
          <w:sz w:val="28"/>
          <w:szCs w:val="28"/>
          <w:rtl w:val="true"/>
          <w:lang w:bidi="fa-IR"/>
        </w:rPr>
        <w:t> الوجه</w:t>
      </w:r>
      <w:r>
        <w:rPr>
          <w:rStyle w:val="FootnoteAnchor"/>
          <w:rtl w:val="true"/>
        </w:rPr>
        <w:footnoteReference w:id="12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الأقوی هو الوجه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1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الأخیر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الوجه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البجنوردی، أحمد الخونساری،الخوئی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بل الأوجه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هو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أقواها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تعذّر الثانی بمراتبه جاز له تحصیل ما یسدّ رمقه وإنزاحم ما علیه من الخدمة، وحینئذٍ یتعلّق عوض الفائت منها بذمّته یطالب به عندیساره، ویحتمل أن یکون للمستأجِر حینئذٍ الرجوع علی مولاه بما یقابل ما فاتتهمن الخدمة من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تقدیم الکسب فی غیر زمان الخدمة، ثمّ الاستدانة إلی میسِرِهِ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الفانی،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أشبه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الوجه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لکنّ کونه من بیت المال أو علی المسلمین فبمقدار الضرورة، أمّا بقدرالمتعارف فمشکل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لا لما أفاده، بل لأنّ تسلیم المنفعة حدوثاً وبقاءً واجب علیالمؤجِر، وهو إنّما یکون بإدامة العین بحیث یمکن الانتفاع بها علی الوجه المقصود،وإدامة العبد إنّما هی بحفظ حیاته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الوجه الثانی هو الأوجه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3284_130859"/>
    </w:p>
    <w:p>
      <w:pPr>
        <w:pStyle w:val="Heading4"/>
        <w:numPr>
          <w:ilvl w:val="3"/>
          <w:numId w:val="1"/>
        </w:numPr>
        <w:rPr/>
      </w:pPr>
      <w:bookmarkStart w:id="654" w:name="__RefHeading___Toc2055975_2322387425"/>
      <w:bookmarkStart w:id="655" w:name="_Toc237"/>
      <w:bookmarkEnd w:id="653"/>
      <w:bookmarkEnd w:id="654"/>
      <w:r>
        <w:rPr>
          <w:rtl w:val="true"/>
        </w:rPr>
        <w:t>تبیّن العیب فی العین المستأجرة</w:t>
      </w:r>
      <w:bookmarkEnd w:id="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وجد المستأجِر فی العین المستأجَرَة عیباً سابقاً لی العقد وکان جاهلاً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ممّا تنقص به المنفعة فلا إشکال</w:t>
      </w:r>
      <w:r>
        <w:rPr>
          <w:rStyle w:val="FootnoteAnchor"/>
          <w:rtl w:val="true"/>
        </w:rPr>
        <w:footnoteReference w:id="1231"/>
      </w:r>
      <w:r>
        <w:rPr>
          <w:rFonts w:ascii="IRNazanin" w:hAnsi="IRNazanin" w:eastAsia="IRNazanin"/>
          <w:color w:val="111111"/>
          <w:sz w:val="28"/>
          <w:sz w:val="28"/>
          <w:szCs w:val="28"/>
          <w:rtl w:val="true"/>
          <w:lang w:bidi="fa-IR"/>
        </w:rPr>
        <w:t>فی ثبوت الخیار</w:t>
      </w:r>
      <w:r>
        <w:rPr>
          <w:rStyle w:val="FootnoteAnchor"/>
          <w:rtl w:val="true"/>
        </w:rPr>
        <w:footnoteReference w:id="1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فی ثبوته بین إطلاع المستأجِر بالعَیب قبل استیفاء شیءٍ من المنفعة، أوبعده، نعم، للمؤجِر فی صورة الاستیفاء من الاُجرة المسمّاة بنسبة المنفعة المستوفاة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بین الفسخ والإبقاء، والظاهر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جواز مطالبة الأرش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توجیه جواز مطالبة الأرش بتوضیحٍ فی المقام،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العیب فی العینالمستأجَرَة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لنقصان بعض أجزاء العین ممّا تتقوّم به المنفعة، کانهدامبعض بیوت الدار، ولا إشکال فی نقصان بعض الاُجرة بسببه؛ لانبساط الاُجرة علیجمیع أجزاء العین، واستلزام ذلک تقسیط الاُجرة علیها حسب کون المنفعة قائمةبها، وحینئذٍ یکون للمستأجِر خیار تبعّض الصفقة أیضاً، أو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یکون العیب لنقصان وصفٍ من أوصاف العین المستأجَرة، کالعَرَج فیالدابّة، وفی مثله یکون للمستأجِر خیار تخلّف الشرط الضمنیّ؛ لبناء العرف فیالمعاملات علی الالتزام بالصحّة إذا کان فی الوصف دخل فی الغرض المعاملی، ثمّإنّ الوصف المفقود إن کان دخیلاً فی مالیّة المنفعة وموجباً لازدیاد الاُجرة، وإن لمیکن بنفسه مقابلاً للاُجرة، لأنّها تقع فی مقابل المنفعة القائمة بالعین لا بالوصففیمکن المصیر فی مثله إلی الأرش، بتقریب أنّ مثل هذا الوصف یکون ملحوظاً فیعالم جعل الاُجرة؛ إذ به تتفاوت الاُجرة وجوداً وعدماً، فله البرزخیّة بین الجزءوالشرط؛ حیث إنّه ممّا یقع تحت الالتزام الضمنیّ المعاملی، ویکون موجباً لازدیادالاُجرة، فبالاعتبار الأوّل یکون شرطاً،وبالاعتبار الثانی یکون کالجزء الّذی یقعبعض الاُجرة فی مقابل بعض المنفعة القائم به، وبهذا اللحاظ یکون ممّا یؤخذالأرش لفقدانه؛ إذ هذا الملاک ـ وهو تفاوت العوض بعینه ـ موجود فی العیبالوصفیّ الموجود فی باب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قلنا بأنّ الأرش فی البیع إنّما ثبت بالإجماع لصحّ القول بأنّ التعدّی عنه إلیباب الإجارة قیاس، ولکنّه ضعیف؛ إذ مع احتمال استناد المُجمِعِین إلی الطریقة العقلائیّةفی باب المبادلات، ولحاظ تفاوت الثمن لجملةٍ من الأوصاف وجوداً وعدماً لم یکن هذاالإجماع کاشفاً تعبّدیّاً عن رأی المعصوم علیه السلام ، وتوهّم استنادهم إلی الفقه الرضوی فاسدقطعاً؛ إذ هذا الکتاب لم یکن متداولاً بین قدماء الأصحاب، بل لم یُعرَف إلّا فی الأزمنةالمتأخّرة، مضافاً إلی عدم إحراز کونه من الرضا علیه السلام ، فهو لیس بحجّة قطعاً، ولم یکنمستنداً لفتوی القدماء یقیناً، هذا کلّه إذا کان الوصف المفقود دخیلاً فی ازدیاد الاُجرة،وأمّا إذا لم یکن کذلک ولکن کان ممّا یعتنی بوجوده العقلاء فی معاملاتهم بحیث کانوجوده مورداً للالتزام الضمنیّ فیکون نقصانه موجباً لخیار تخلّف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الناقص من الأجزاء المقابلة بالاُجرة، وإن کان فله المطالبة، ولکنّهلیس من باب الأرش المصطلح فی باب العیب، بل المراد به التقسیط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یسقط الاُجرة إن کان ممّا تقسط علیه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وما بعده محلّ نظر، من جهة الفرق فی نقص المنفعة المقصودة للمستأجِر بینالجزء الفائت وبین الوصف الفائت، مع وجود المقتضی فیهما بجواز تدارک النقصبالأرش إذا ألقینا خصوصیّة عقد البیع، فهو أیضاً محلّ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لعدم الدلیل علیه فی غیر البیع وإلغاء الخصوصیّة عنه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فله الفسخ أو الرضا بها مجّاناً، نعم، لو کان العیب مثل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خراب</w:t>
      </w:r>
      <w:r>
        <w:rPr>
          <w:rStyle w:val="FootnoteAnchor"/>
          <w:rtl w:val="true"/>
        </w:rPr>
        <w:footnoteReference w:id="1233"/>
      </w:r>
      <w:r>
        <w:rPr>
          <w:rFonts w:ascii="IRNazanin" w:hAnsi="IRNazanin" w:eastAsia="IRNazanin"/>
          <w:color w:val="111111"/>
          <w:sz w:val="28"/>
          <w:sz w:val="28"/>
          <w:szCs w:val="28"/>
          <w:rtl w:val="true"/>
          <w:lang w:bidi="fa-IR"/>
        </w:rPr>
        <w:t> بعض بیوت الدار فالظاهر تقسیط</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غیر الأرش المصطلح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 خیار الفسخ أیضاً، هذا إذا لم یمکن الانتفاع من الخراب ولو بغیر السکنی،وإلّا ففی تقسیط الاُجرة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لأنّه یکون حینئذٍ من قبیل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تبعّض الصفقة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خیار الرؤیة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ولو کان العیب ممّا لا تنقص معه المنفعة، کما</w:t>
      </w:r>
    </w:p>
    <w:p>
      <w:pPr>
        <w:pStyle w:val="BookText"/>
        <w:rPr/>
      </w:pPr>
      <w:r>
        <w:rPr>
          <w:rFonts w:ascii="IRNazanin" w:hAnsi="IRNazanin" w:eastAsia="IRNazanin"/>
          <w:color w:val="111111"/>
          <w:sz w:val="28"/>
          <w:sz w:val="28"/>
          <w:szCs w:val="28"/>
          <w:rtl w:val="true"/>
          <w:lang w:bidi="fa-IR"/>
        </w:rPr>
        <w:t>إذا تبیّن کون الدابّة مقطوع الاُذن أو الذنب فربّما یُستشکَل فی ثبوت الخیار معه، لکنّ الأقوی ثبوته إذا کان ممّا تختلف به الرغبات، وتتفاوت به الاُجرة</w:t>
      </w:r>
      <w:r>
        <w:rPr>
          <w:rStyle w:val="FootnoteAnchor"/>
          <w:rtl w:val="true"/>
        </w:rPr>
        <w:footnoteReference w:id="1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وإن لم تتفاوت به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له الخیار إذا حدث فیها عیب بعد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القبض، بل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وإن کان استُوفِیَ بعض المنفعة ومضی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فالأحوط فی هذه الصورة التراضی فی الفسخ والإبقاء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العیب ممّا یکون مانعاً عن الانتفاع أو موجباً لصعوبةالانتفاع فعلی المؤجِر إصلاحه، فإذا لم یفعل یثبت له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کانت العین شخصیّة، وأمّا إذا کانت کلّیّةً وکان الفرد المقبوض مَعِیباً فلیس له فسخ العقد، بل له مطالبة البَدَل، نعم، لو تعذّر البَدَل کان له </w:t>
      </w:r>
      <w:bookmarkStart w:id="656" w:name="pg13284_130863"/>
    </w:p>
    <w:p>
      <w:pPr>
        <w:pStyle w:val="BookText"/>
        <w:rPr/>
      </w:pPr>
      <w:bookmarkEnd w:id="656"/>
      <w:r>
        <w:rPr>
          <w:rFonts w:ascii="IRNazanin" w:hAnsi="IRNazanin" w:eastAsia="IRNazanin"/>
          <w:color w:val="111111"/>
          <w:sz w:val="28"/>
          <w:sz w:val="28"/>
          <w:szCs w:val="28"/>
          <w:rtl w:val="true"/>
          <w:lang w:bidi="fa-IR"/>
        </w:rPr>
        <w:t>الخیار فی أصل العقد</w:t>
      </w:r>
      <w:r>
        <w:rPr>
          <w:rFonts w:eastAsia="IRNazanin" w:cs="IRNazanin"/>
          <w:color w:val="111111"/>
          <w:sz w:val="28"/>
          <w:szCs w:val="28"/>
          <w:rtl w:val="true"/>
          <w:lang w:bidi="fa-IR"/>
        </w:rPr>
        <w:t>.</w:t>
      </w:r>
    </w:p>
    <w:p>
      <w:pPr>
        <w:pStyle w:val="Heading4"/>
        <w:numPr>
          <w:ilvl w:val="3"/>
          <w:numId w:val="1"/>
        </w:numPr>
        <w:rPr/>
      </w:pPr>
      <w:bookmarkStart w:id="657" w:name="__RefHeading___Toc2055977_2322387425"/>
      <w:bookmarkStart w:id="658" w:name="_Toc238"/>
      <w:bookmarkEnd w:id="657"/>
      <w:r>
        <w:rPr>
          <w:rtl w:val="true"/>
        </w:rPr>
        <w:t>تبیّن العیب فی الاُجرة</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وجد الموجِر عیباً سابقاً</w:t>
      </w:r>
      <w:r>
        <w:rPr>
          <w:rStyle w:val="FootnoteAnchor"/>
          <w:rtl w:val="true"/>
        </w:rPr>
        <w:footnoteReference w:id="1236"/>
      </w:r>
      <w:r>
        <w:rPr>
          <w:rFonts w:ascii="IRNazanin" w:hAnsi="IRNazanin" w:eastAsia="IRNazanin"/>
          <w:color w:val="111111"/>
          <w:sz w:val="28"/>
          <w:sz w:val="28"/>
          <w:szCs w:val="28"/>
          <w:rtl w:val="true"/>
          <w:lang w:bidi="fa-IR"/>
        </w:rPr>
        <w:t> فی الاُجرة ولم یکن عالماً به  کان له فسخ العقد، وله الرضا به، وهل له مُطالبة الأرش معه؟ لا یبعد</w:t>
      </w:r>
      <w:r>
        <w:rPr>
          <w:rStyle w:val="FootnoteAnchor"/>
          <w:rtl w:val="true"/>
        </w:rPr>
        <w:footnoteReference w:id="1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وثبوته فی البیع خلافاً للقاعدة بسبب الدلیل الخاصّ المفقود فی المقام،والمناط غیر منصوص، ولا منقّح، والمخرج الظنّیّ منه غیر مفید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الأرش فی المقام، ولا اعتبار بعدم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العدم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کمال البعد؛ لعدم تنقیح مناط الثمن فی المقام، ومجرّد اشتراک باب الإجارةمع البیع فی غالب الأحکام بدلیل خاصّ لا یقتضی التسویة فی جمیع الأحکام، کمالا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أحمد الخونساری، عبدالله الشیرازی، الخوئی،الأراکی، حسن القمّی،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ثبت الإجماع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بدعوی استفادته من أدلّة ثبوته فی البیع بإلقاء خصوصیّة کون الناقل للمعیب عقدالبیع بعد حفظ کون المنقول عیناً کما فی البیع، ولکنّها لا تخلو من إشکال، ودعویعدم الخلاف فی مثلها لا تفید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ممّا یأتی فیه الأرش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إن لم یثبت الإجماع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فالأحوط التراضی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ربّما یدّعی عدم الخلاف فیه، لکنّ هذا إذا لم تکن الاُجرة منفعة</w:t>
      </w:r>
      <w:bookmarkStart w:id="659" w:name="pg13284_130864"/>
    </w:p>
    <w:p>
      <w:pPr>
        <w:pStyle w:val="BookText"/>
        <w:rPr/>
      </w:pPr>
      <w:bookmarkEnd w:id="659"/>
      <w:r>
        <w:rPr>
          <w:rFonts w:ascii="Amiri" w:hAnsi="Amiri" w:eastAsia="Amiri" w:cs="Amiri"/>
          <w:color w:val="111111"/>
          <w:sz w:val="28"/>
          <w:sz w:val="28"/>
          <w:szCs w:val="28"/>
          <w:rtl w:val="true"/>
          <w:lang w:bidi="ar-SA"/>
        </w:rPr>
        <w:t>عین، وإلّا فلا أرشَ فیه</w:t>
      </w:r>
      <w:r>
        <w:rPr>
          <w:rStyle w:val="FootnoteAnchor"/>
          <w:rtl w:val="true"/>
        </w:rPr>
        <w:footnoteReference w:id="1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فی المسألة السابقة نفی البُعد عن جواز مطالبة الأرش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 ما مرّ فی المسألة السابقة من کون العین المستأجَرة معیباً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الکلام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الاُجرة عیناً شخصیّة، وأمّا إذا کانت کلّیّةً فله مطالبة البدل، لا فسخ أصل العقد، إلّا مع تعذّر البدل، علی حَذوِ ما مرّ فی المسألة السابقة</w:t>
      </w:r>
      <w:r>
        <w:rPr>
          <w:rFonts w:eastAsia="IRNazanin" w:cs="IRNazanin"/>
          <w:color w:val="111111"/>
          <w:sz w:val="28"/>
          <w:szCs w:val="28"/>
          <w:rtl w:val="true"/>
          <w:lang w:bidi="fa-IR"/>
        </w:rPr>
        <w:t>.</w:t>
      </w:r>
    </w:p>
    <w:p>
      <w:pPr>
        <w:pStyle w:val="Heading4"/>
        <w:numPr>
          <w:ilvl w:val="3"/>
          <w:numId w:val="1"/>
        </w:numPr>
        <w:rPr/>
      </w:pPr>
      <w:bookmarkStart w:id="660" w:name="__RefHeading___Toc2055979_2322387425"/>
      <w:bookmarkStart w:id="661" w:name="_Toc239"/>
      <w:bookmarkEnd w:id="660"/>
      <w:r>
        <w:rPr>
          <w:rtl w:val="true"/>
        </w:rPr>
        <w:t>إفلاس المستأجر</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أفلس المستأجِر بالاُجرة کان للموجِر الخیار</w:t>
      </w:r>
      <w:r>
        <w:rPr>
          <w:rStyle w:val="FootnoteAnchor"/>
          <w:rtl w:val="true"/>
        </w:rPr>
        <w:footnoteReference w:id="1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فالأحوط التخلّص بالتصالح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فلا یُترک الاحتیاط بالتصالح ونحوه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الجزم بالخیار مشکل؛ لعدم الدلیل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الفسخ واسترداد العین وبین الضرب مع الغرماء، نظیر ما أفلس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 والظاهر أنّ الأصحّ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لو أفلس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المشتری بالثمن؛ حیث إنّ للبائع الخیار إذا وجد عین ماله</w:t>
      </w:r>
      <w:r>
        <w:rPr>
          <w:rFonts w:eastAsia="IRNazanin" w:cs="IRNazanin"/>
          <w:color w:val="111111"/>
          <w:sz w:val="28"/>
          <w:szCs w:val="28"/>
          <w:rtl w:val="true"/>
          <w:lang w:bidi="fa-IR"/>
        </w:rPr>
        <w:t>.</w:t>
      </w:r>
      <w:bookmarkStart w:id="662" w:name="pg13284_130865"/>
    </w:p>
    <w:p>
      <w:pPr>
        <w:pStyle w:val="Heading4"/>
        <w:numPr>
          <w:ilvl w:val="3"/>
          <w:numId w:val="1"/>
        </w:numPr>
        <w:rPr/>
      </w:pPr>
      <w:bookmarkStart w:id="663" w:name="__RefHeading___Toc2055981_2322387425"/>
      <w:bookmarkStart w:id="664" w:name="_Toc240"/>
      <w:bookmarkEnd w:id="662"/>
      <w:bookmarkEnd w:id="663"/>
      <w:r>
        <w:rPr>
          <w:rtl w:val="true"/>
        </w:rPr>
        <w:t>جریان خیار الغبن فی الإجارة</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تبیّن غَبْن الموجِر أو المستأجِر فله الخیار</w:t>
      </w:r>
      <w:r>
        <w:rPr>
          <w:rStyle w:val="FootnoteAnchor"/>
          <w:rtl w:val="true"/>
        </w:rPr>
        <w:footnoteReference w:id="1240"/>
      </w:r>
      <w:r>
        <w:rPr>
          <w:rFonts w:ascii="IRNazanin" w:hAnsi="IRNazanin" w:eastAsia="IRNazanin"/>
          <w:color w:val="111111"/>
          <w:sz w:val="28"/>
          <w:sz w:val="28"/>
          <w:szCs w:val="28"/>
          <w:rtl w:val="true"/>
          <w:lang w:bidi="fa-IR"/>
        </w:rPr>
        <w:t> إذا لم یکن عالماً به حال العقد، إلّا إذا اشترطا سقوطه فی ضمن العقد</w:t>
      </w:r>
      <w:r>
        <w:rPr>
          <w:rFonts w:eastAsia="IRNazanin" w:cs="IRNazanin"/>
          <w:color w:val="111111"/>
          <w:sz w:val="28"/>
          <w:szCs w:val="28"/>
          <w:rtl w:val="true"/>
          <w:lang w:bidi="fa-IR"/>
        </w:rPr>
        <w:t>.</w:t>
      </w:r>
    </w:p>
    <w:p>
      <w:pPr>
        <w:pStyle w:val="Heading4"/>
        <w:numPr>
          <w:ilvl w:val="3"/>
          <w:numId w:val="1"/>
        </w:numPr>
        <w:rPr/>
      </w:pPr>
      <w:bookmarkStart w:id="665" w:name="__RefHeading___Toc2055983_2322387425"/>
      <w:bookmarkStart w:id="666" w:name="_Toc241"/>
      <w:bookmarkEnd w:id="665"/>
      <w:r>
        <w:rPr>
          <w:rtl w:val="true"/>
        </w:rPr>
        <w:t>ما یجری وما لا یجری من الخیارات فی الإجارة</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الإجارة خیار المجلس</w:t>
      </w:r>
      <w:r>
        <w:rPr>
          <w:rStyle w:val="FootnoteAnchor"/>
          <w:rtl w:val="true"/>
        </w:rPr>
        <w:footnoteReference w:id="1241"/>
      </w:r>
      <w:r>
        <w:rPr>
          <w:rFonts w:ascii="IRNazanin" w:hAnsi="IRNazanin" w:eastAsia="IRNazanin"/>
          <w:color w:val="111111"/>
          <w:sz w:val="28"/>
          <w:sz w:val="28"/>
          <w:szCs w:val="28"/>
          <w:rtl w:val="true"/>
          <w:lang w:bidi="fa-IR"/>
        </w:rPr>
        <w:t>، ولا خیار الحیوان، بل ولا خیار التأخیر</w:t>
      </w:r>
      <w:r>
        <w:rPr>
          <w:rStyle w:val="FootnoteAnchor"/>
          <w:rtl w:val="true"/>
        </w:rPr>
        <w:footnoteReference w:id="1242"/>
      </w:r>
      <w:r>
        <w:rPr>
          <w:rFonts w:ascii="IRNazanin" w:hAnsi="IRNazanin" w:eastAsia="IRNazanin"/>
          <w:color w:val="111111"/>
          <w:sz w:val="28"/>
          <w:sz w:val="28"/>
          <w:szCs w:val="28"/>
          <w:rtl w:val="true"/>
          <w:lang w:bidi="fa-IR"/>
        </w:rPr>
        <w:t> علی الوجه</w:t>
      </w:r>
      <w:r>
        <w:rPr>
          <w:rStyle w:val="FootnoteAnchor"/>
          <w:rtl w:val="true"/>
        </w:rPr>
        <w:footnoteReference w:id="1243"/>
      </w:r>
      <w:r>
        <w:rPr>
          <w:rFonts w:ascii="IRNazanin" w:hAnsi="IRNazanin" w:eastAsia="IRNazanin"/>
          <w:color w:val="111111"/>
          <w:sz w:val="28"/>
          <w:sz w:val="28"/>
          <w:szCs w:val="28"/>
          <w:rtl w:val="true"/>
          <w:lang w:bidi="fa-IR"/>
        </w:rPr>
        <w:t> المذکور فی البیع، ویجری فیها خیار  الشرط حتّی للأجنبیّ</w:t>
      </w:r>
      <w:r>
        <w:rPr>
          <w:rStyle w:val="FootnoteAnchor"/>
          <w:rtl w:val="true"/>
        </w:rPr>
        <w:footnoteReference w:id="1244"/>
      </w:r>
      <w:r>
        <w:rPr>
          <w:rFonts w:ascii="IRNazanin" w:hAnsi="IRNazanin" w:eastAsia="IRNazanin"/>
          <w:color w:val="111111"/>
          <w:sz w:val="28"/>
          <w:sz w:val="28"/>
          <w:szCs w:val="28"/>
          <w:rtl w:val="true"/>
          <w:lang w:bidi="fa-IR"/>
        </w:rPr>
        <w:t>، وخیار العَیب</w:t>
      </w:r>
      <w:r>
        <w:rPr>
          <w:rStyle w:val="FootnoteAnchor"/>
          <w:rtl w:val="true"/>
        </w:rPr>
        <w:footnoteReference w:id="1245"/>
      </w:r>
      <w:r>
        <w:rPr>
          <w:rFonts w:ascii="IRNazanin" w:hAnsi="IRNazanin" w:eastAsia="IRNazanin"/>
          <w:color w:val="111111"/>
          <w:sz w:val="28"/>
          <w:sz w:val="28"/>
          <w:szCs w:val="28"/>
          <w:rtl w:val="true"/>
          <w:lang w:bidi="fa-IR"/>
        </w:rPr>
        <w:t> والغَبن، کما ذکرنا، بل یجری فیها  سائر الخیارات، کخیار الاشتراط، وتبعّض الصفقة، وتعذّر التسلیم، والتَفلِیس</w:t>
      </w:r>
      <w:r>
        <w:rPr>
          <w:rStyle w:val="FootnoteAnchor"/>
          <w:rtl w:val="true"/>
        </w:rPr>
        <w:footnoteReference w:id="1246"/>
      </w:r>
      <w:r>
        <w:rPr>
          <w:rFonts w:ascii="IRNazanin" w:hAnsi="IRNazanin" w:eastAsia="IRNazanin"/>
          <w:color w:val="111111"/>
          <w:sz w:val="28"/>
          <w:sz w:val="28"/>
          <w:szCs w:val="28"/>
          <w:rtl w:val="true"/>
          <w:lang w:bidi="fa-IR"/>
        </w:rPr>
        <w:t>، والتَدلِیس، والشِرکة، وما یفسد لیومه</w:t>
      </w:r>
      <w:r>
        <w:rPr>
          <w:rStyle w:val="FootnoteAnchor"/>
          <w:rtl w:val="true"/>
        </w:rPr>
        <w:footnoteReference w:id="1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کانت الاُجرة من ذلک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جریان الخیار 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إذا کانت الاُجرة ما یفسد لیومه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إذا کانت الاُجرة ما یفسد لیومه، ومع ذلک جریان هذا الخیار فیها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وخیار شرط ردّ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67" w:name="pg13284_130866"/>
    </w:p>
    <w:p>
      <w:pPr>
        <w:pStyle w:val="BookText"/>
        <w:rPr/>
      </w:pPr>
      <w:bookmarkEnd w:id="667"/>
      <w:r>
        <w:rPr>
          <w:rFonts w:ascii="IRNazanin" w:hAnsi="IRNazanin" w:eastAsia="IRNazanin"/>
          <w:color w:val="111111"/>
          <w:sz w:val="28"/>
          <w:sz w:val="28"/>
          <w:szCs w:val="28"/>
          <w:rtl w:val="true"/>
          <w:lang w:bidi="fa-IR"/>
        </w:rPr>
        <w:t>العوض</w:t>
      </w:r>
      <w:r>
        <w:rPr>
          <w:rStyle w:val="FootnoteAnchor"/>
          <w:rtl w:val="true"/>
        </w:rPr>
        <w:footnoteReference w:id="1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استوفی شیئاً من المنفعة قبل الردّ فعلیه اُجرته من المسمّی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شرط ردّ الثمن فی البیع</w:t>
      </w:r>
      <w:r>
        <w:rPr>
          <w:rFonts w:eastAsia="IRNazanin" w:cs="IRNazanin"/>
          <w:color w:val="111111"/>
          <w:sz w:val="28"/>
          <w:szCs w:val="28"/>
          <w:rtl w:val="true"/>
          <w:lang w:bidi="fa-IR"/>
        </w:rPr>
        <w:t>.</w:t>
      </w:r>
    </w:p>
    <w:p>
      <w:pPr>
        <w:pStyle w:val="Heading4"/>
        <w:numPr>
          <w:ilvl w:val="3"/>
          <w:numId w:val="1"/>
        </w:numPr>
        <w:rPr/>
      </w:pPr>
      <w:bookmarkStart w:id="668" w:name="__RefHeading___Toc2055985_2322387425"/>
      <w:bookmarkStart w:id="669" w:name="_Toc242"/>
      <w:bookmarkEnd w:id="668"/>
      <w:r>
        <w:rPr>
          <w:rtl w:val="true"/>
        </w:rPr>
        <w:t>بیع العین المستأجرة علی المستأجر</w:t>
      </w:r>
      <w:bookmarkEnd w:id="669"/>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w:t>
      </w:r>
      <w:r>
        <w:rPr>
          <w:rStyle w:val="FootnoteAnchor"/>
          <w:rtl w:val="true"/>
        </w:rPr>
        <w:footnoteReference w:id="1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تکرار لِما تقدّم فی المسألة الثانیة، وقد مرّ الإشکال، ثمّ المختار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کالتکرار لِما 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تکرار لِما سبق فی المسألة الاُولی من هذا الفصل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داره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ثمّ باعه من المستأجِر لم تبطل 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فیکون للمشتری منفعة العبد مثلاً من جهة الإجارة قبل انقضاء مدّتها، لا من جهة تبعیّة العَین، ولو فسخت الإجارة رجعت إلی البائع، ولو مات بعد القبض رجع المشتری المستأجِر علی البائع بما یقابل بقیّة المدّة من الاُجرة، وإن کان تلف العین علیه،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70" w:name="pg13284_130867"/>
    </w:p>
    <w:p>
      <w:pPr>
        <w:pStyle w:val="BookText"/>
        <w:rPr/>
      </w:pPr>
      <w:bookmarkEnd w:id="670"/>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المستأجر المنفعة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1" w:name="__RefHeading___Toc2055987_2322387425"/>
      <w:bookmarkStart w:id="672" w:name="_Toc243"/>
      <w:bookmarkEnd w:id="671"/>
      <w:r>
        <w:rPr>
          <w:rtl w:val="true"/>
        </w:rPr>
        <w:t>فصل</w:t>
      </w:r>
      <w:r>
        <w:rPr>
          <w:rtl w:val="true"/>
        </w:rPr>
        <w:t xml:space="preserve">: </w:t>
      </w:r>
      <w:r>
        <w:rPr>
          <w:rtl w:val="true"/>
        </w:rPr>
        <w:t>یملک المستأجر المنفعة</w:t>
      </w:r>
      <w:bookmarkEnd w:id="672"/>
    </w:p>
    <w:p>
      <w:pPr>
        <w:pStyle w:val="Heading4"/>
        <w:numPr>
          <w:ilvl w:val="3"/>
          <w:numId w:val="1"/>
        </w:numPr>
        <w:rPr/>
      </w:pPr>
      <w:bookmarkStart w:id="673" w:name="__RefHeading___Toc2055989_2322387425"/>
      <w:bookmarkStart w:id="674" w:name="_Toc244"/>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یملک المستأجِر المنفعة فی إجارة الأعیان، والعمل فی الإجارة</w:t>
      </w:r>
    </w:p>
    <w:p>
      <w:pPr>
        <w:pStyle w:val="BookText"/>
        <w:rPr/>
      </w:pPr>
      <w:r>
        <w:rPr>
          <w:rFonts w:ascii="IRNazanin" w:hAnsi="IRNazanin" w:eastAsia="IRNazanin"/>
          <w:color w:val="111111"/>
          <w:sz w:val="28"/>
          <w:sz w:val="28"/>
          <w:szCs w:val="28"/>
          <w:rtl w:val="true"/>
          <w:lang w:bidi="fa-IR"/>
        </w:rPr>
        <w:t>علی الأعمال بنفس العقد من غیر توقّفٍ علی شیء، کما هو مقتضی</w:t>
      </w:r>
    </w:p>
    <w:p>
      <w:pPr>
        <w:pStyle w:val="BookText"/>
        <w:rPr/>
      </w:pPr>
      <w:r>
        <w:rPr>
          <w:rFonts w:ascii="Amiri" w:hAnsi="Amiri" w:eastAsia="Amiri" w:cs="Amiri"/>
          <w:color w:val="111111"/>
          <w:sz w:val="28"/>
          <w:sz w:val="28"/>
          <w:szCs w:val="28"/>
          <w:rtl w:val="true"/>
          <w:lang w:bidi="ar-SA"/>
        </w:rPr>
        <w:t>سببیّة العقود، کما أنّ الموجِر یملک</w:t>
      </w:r>
      <w:r>
        <w:rPr>
          <w:rStyle w:val="FootnoteAnchor"/>
          <w:rtl w:val="true"/>
        </w:rPr>
        <w:footnoteReference w:id="1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وسیجیء التصریح باستثناء 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ملکیّةً متزلزلةً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مستقرّة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تزلزل فی الملک بما له من المعنی الإضافیّ الاعتباریّ، وعدم استحقاقالمؤجِر الاُجرة إلّا بتسلیم العین إنّما هو للشرط الضمنیّ المبنیّ علیه المعاملة منالتسلیم فی مقابل التسلیم، کما أنّ تبعّض الاُجرة بتبعّض المنفعة إنّما هو لانفساخالإجارة بالنسبة إلی بقیّة المدّة فیما إذا حصل مانع عن استیفاء المنفعة، ولیسللتزلزل فی الملکیّة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هذه العبارة وکذا عبارة الذیل أنّ تزلزل الملکیّة إنّما هو من ناحیة المؤجِربالإضافة إلی الاُجرة، وأمّا المستأجِر فالملکیّة الثابتة له ملکیّة مستقرّة غیر متزلزلة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 علیه مضافاً إلی أنّه لم یعلم الفرق بینهما بعد کون مقتضی سببیّة العقود حصولالملکیّة للطرفین بنحوٍ واحدٍ، خصوصاً بعد کون منشأ التزلزل فی الاُجرة حصولالمانع عن استیفاء المنفعة، کانهدام الدار مثلاً، کما یظهر من 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حصل مانعإلی آخر، وعلیه فکیف یمکن اتّصاف ملکیّة الاُجرة بالتزلزل دون ملکیّة المنفعة؟ إنّتحقّق موجب الانفساخ أحیاناً لا یوجب اتّصاف الملکیّة بالتزلزل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بنحو ملکیّة المنفعة؛ لأنّ مقتضی العقد بالنسبة إلیهما علی السواء، نعم،للمستأجر حقّ الامتناع عن أداء الاُجرة ما لم یستوفِ المنفعة، ولا ربط له باستقرارالملکیّة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ولکن لا 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أنّه یستحقّها المستأجِر مطلقاً، والمؤجِر بعد تسلیم العین، أو بنسبة ماعمل، ولکلٍّ منهما التأخیر والمنع لتأخِیرِ الآخر أو منعه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الموجِر مطالبة الاُجرة إلّا بتسلیم العین أو العمل، کما لا یستحقّ المستأجِر مطالبتهما إلّا بتسلیم الاُجرة، کما هو مقتضی المعاوضة، وتستقرّ ملکیّة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باستیفاء المنفعة،</w:t>
      </w:r>
      <w:bookmarkStart w:id="675" w:name="pg13284_130869"/>
    </w:p>
    <w:p>
      <w:pPr>
        <w:pStyle w:val="BookText"/>
        <w:rPr/>
      </w:pPr>
      <w:bookmarkEnd w:id="675"/>
      <w:r>
        <w:rPr>
          <w:rFonts w:ascii="IRNazanin" w:hAnsi="IRNazanin" w:eastAsia="IRNazanin"/>
          <w:color w:val="111111"/>
          <w:sz w:val="28"/>
          <w:sz w:val="28"/>
          <w:szCs w:val="28"/>
          <w:rtl w:val="true"/>
          <w:lang w:bidi="fa-IR"/>
        </w:rPr>
        <w:t>أو العمل، أو ما بحکمه، فأصل الملکیّة للطرفَین موقوف علی تمامیة العقد، وجواز المطالبة موقوف علی التسلیم، واستقرار ملکیّة الاُجرة موقوف علی استیفاء المنفعة، أو إتمام العمل، أو ما بحکمهما، فلو حصل مانع عن الاستیفاء</w:t>
      </w:r>
      <w:r>
        <w:rPr>
          <w:rStyle w:val="FootnoteAnchor"/>
          <w:rtl w:val="true"/>
        </w:rPr>
        <w:footnoteReference w:id="1252"/>
      </w:r>
      <w:r>
        <w:rPr>
          <w:rFonts w:ascii="IRNazanin" w:hAnsi="IRNazanin" w:eastAsia="IRNazanin"/>
          <w:color w:val="111111"/>
          <w:sz w:val="28"/>
          <w:sz w:val="28"/>
          <w:szCs w:val="28"/>
          <w:rtl w:val="true"/>
          <w:lang w:bidi="fa-IR"/>
        </w:rPr>
        <w:t> أو عن العمل تنفسخ</w:t>
      </w:r>
      <w:r>
        <w:rPr>
          <w:rStyle w:val="FootnoteAnchor"/>
          <w:rtl w:val="true"/>
        </w:rPr>
        <w:footnoteReference w:id="1253"/>
      </w:r>
      <w:r>
        <w:rPr>
          <w:rFonts w:ascii="IRNazanin" w:hAnsi="IRNazanin" w:eastAsia="IRNazanin"/>
          <w:color w:val="111111"/>
          <w:sz w:val="28"/>
          <w:sz w:val="28"/>
          <w:szCs w:val="28"/>
          <w:rtl w:val="true"/>
          <w:lang w:bidi="fa-IR"/>
        </w:rPr>
        <w:t> الإجارة، کما سیأتی  تفصیله</w:t>
      </w:r>
      <w:r>
        <w:rPr>
          <w:rFonts w:eastAsia="IRNazanin" w:cs="IRNazanin"/>
          <w:color w:val="111111"/>
          <w:sz w:val="28"/>
          <w:szCs w:val="28"/>
          <w:rtl w:val="true"/>
          <w:lang w:bidi="fa-IR"/>
        </w:rPr>
        <w:t>.</w:t>
      </w:r>
    </w:p>
    <w:p>
      <w:pPr>
        <w:pStyle w:val="Heading4"/>
        <w:numPr>
          <w:ilvl w:val="3"/>
          <w:numId w:val="1"/>
        </w:numPr>
        <w:rPr/>
      </w:pPr>
      <w:bookmarkStart w:id="676" w:name="__RefHeading___Toc2055991_2322387425"/>
      <w:bookmarkStart w:id="677" w:name="_Toc245"/>
      <w:bookmarkEnd w:id="676"/>
      <w:r>
        <w:rPr>
          <w:rtl w:val="true"/>
        </w:rPr>
        <w:t>استقرار الاُجرة مع تسلّم العین بلا توقّف علی الاستیفاء</w:t>
      </w:r>
      <w:bookmarkEnd w:id="6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استأجر داراً مثلاً وتسلّمها ومضت مدّة الإجارة استقرّت الاُجرة علیه، سواء سکنها أم لم یسکنها باختیاره، وکذا إذا استأجر دابّةً للرکوب أو لحمل المتاع إلی مکان کذا ومضی زمان یمکن له ذلک وجب علیه الاُجرة، واستقرّت وإن لم یرکب، أو لم یحمل، بشرط أن یکون</w:t>
      </w:r>
      <w:r>
        <w:rPr>
          <w:rStyle w:val="FootnoteAnchor"/>
          <w:rtl w:val="true"/>
        </w:rPr>
        <w:footnoteReference w:id="1254"/>
      </w:r>
      <w:r>
        <w:rPr>
          <w:rFonts w:ascii="Amiri" w:hAnsi="Amiri" w:eastAsia="Amiri" w:cs="Amiri"/>
          <w:color w:val="111111"/>
          <w:sz w:val="28"/>
          <w:sz w:val="28"/>
          <w:szCs w:val="28"/>
          <w:rtl w:val="true"/>
          <w:lang w:bidi="ar-SA"/>
        </w:rPr>
        <w:t> مقدّراً بالزمان المتّصل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عیّنا وقتاً فبعد مضیّ ذلک الوقت، هذا إذا کانت الإجارة واقعةً علی عینٍ معیّنةٍ شخصیّةٍ فی وقتٍ معیّن، وأمّا إن وقعت علی کلّیٍّ وعیّن فی فردٍ وتَسَلَّمَهُ فالأقوی أنّه کذلک مع تعیین الوقت</w:t>
      </w:r>
      <w:r>
        <w:rPr>
          <w:rStyle w:val="FootnoteAnchor"/>
          <w:rtl w:val="true"/>
        </w:rPr>
        <w:footnoteReference w:id="125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وانقضائه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مع</w:t>
      </w:r>
      <w:r>
        <w:rPr>
          <w:rStyle w:val="FootnoteAnchor"/>
          <w:rtl w:val="true"/>
        </w:rPr>
        <w:footnoteReference w:id="1256"/>
      </w:r>
      <w:r>
        <w:rPr>
          <w:rFonts w:ascii="IRNazanin" w:hAnsi="IRNazanin" w:eastAsia="IRNazanin"/>
          <w:color w:val="111111"/>
          <w:sz w:val="28"/>
          <w:sz w:val="28"/>
          <w:szCs w:val="28"/>
          <w:rtl w:val="true"/>
          <w:lang w:bidi="fa-IR"/>
        </w:rPr>
        <w:t> عدم</w:t>
      </w:r>
      <w:r>
        <w:rPr>
          <w:rStyle w:val="FootnoteAnchor"/>
          <w:rtl w:val="true"/>
        </w:rPr>
        <w:footnoteReference w:id="1257"/>
      </w:r>
      <w:r>
        <w:rPr>
          <w:rFonts w:ascii="IRNazanin" w:hAnsi="IRNazanin" w:eastAsia="IRNazanin"/>
          <w:color w:val="111111"/>
          <w:sz w:val="28"/>
          <w:sz w:val="28"/>
          <w:szCs w:val="28"/>
          <w:rtl w:val="true"/>
          <w:lang w:bidi="fa-IR"/>
        </w:rPr>
        <w:t> تعیین</w:t>
      </w:r>
      <w:r>
        <w:rPr>
          <w:rStyle w:val="FootnoteAnchor"/>
          <w:rtl w:val="true"/>
        </w:rPr>
        <w:footnoteReference w:id="1258"/>
      </w:r>
      <w:r>
        <w:rPr>
          <w:rFonts w:ascii="IRNazanin" w:hAnsi="IRNazanin" w:eastAsia="IRNazanin"/>
          <w:color w:val="111111"/>
          <w:sz w:val="28"/>
          <w:sz w:val="28"/>
          <w:szCs w:val="28"/>
          <w:rtl w:val="true"/>
          <w:lang w:bidi="fa-IR"/>
        </w:rPr>
        <w:t> الوقت</w:t>
      </w:r>
      <w:r>
        <w:rPr>
          <w:rStyle w:val="FootnoteAnchor"/>
          <w:rtl w:val="true"/>
        </w:rPr>
        <w:footnoteReference w:id="1259"/>
      </w:r>
      <w:r>
        <w:rPr>
          <w:rFonts w:ascii="IRNazanin" w:hAnsi="IRNazanin" w:eastAsia="IRNazanin"/>
          <w:color w:val="111111"/>
          <w:sz w:val="28"/>
          <w:sz w:val="28"/>
          <w:szCs w:val="28"/>
          <w:rtl w:val="true"/>
          <w:lang w:bidi="fa-IR"/>
        </w:rPr>
        <w:t> فالظاهر</w:t>
      </w:r>
      <w:r>
        <w:rPr>
          <w:rStyle w:val="FootnoteAnchor"/>
          <w:rtl w:val="true"/>
        </w:rPr>
        <w:footnoteReference w:id="1260"/>
      </w:r>
      <w:r>
        <w:rPr>
          <w:rFonts w:ascii="IRNazanin" w:hAnsi="IRNazanin" w:eastAsia="IRNazanin"/>
          <w:color w:val="111111"/>
          <w:sz w:val="28"/>
          <w:sz w:val="28"/>
          <w:szCs w:val="28"/>
          <w:rtl w:val="true"/>
          <w:lang w:bidi="fa-IR"/>
        </w:rPr>
        <w:t> عدم</w:t>
      </w:r>
      <w:r>
        <w:rPr>
          <w:rStyle w:val="FootnoteAnchor"/>
          <w:rtl w:val="true"/>
        </w:rPr>
        <w:footnoteReference w:id="1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استقرارها مع انقضاء زمانٍ یمکن الاستیفاء، وعدم ضمان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خلافه، ولا وجه لضمان اُجرة المثل، والظاهر أنّ حکمه ببقاء الإجارةوثبوت اُجرة المثل جمع بین المتنافِیَین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الاستقرار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استقرار المسمّی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استقرارها إذا کان التسلیم والتسلّم بعنوان عدم تعیین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استقرارها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الکلّیّ علی الخارج موجب لتسلیم العین المستأجَرة إلی المستأجِر، فلاحالة منتظرة لاستقرار الاُجرة، ولا معنی لضمان المستأجِر اُجرة المثل لما له اُجرةالمسمّی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استقرار الاُجرة المسمّاة له وجه بشرط مضیِّ زمان إمکان الاستیفاء، وکونالتسلیم من باب الوفاء، لا الأمانة وتفویض اختیار الوقت وتعیینه إلی المستأجرحتّی یضمن باُجرة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الاستقرار إذا کان التسلیم بعنوان الوفاء؛ حیث لا یعتبر فیه وقت، نعم،إن کان بعنوان الأمانة وإیکال الوقت إلی المستأجِر فلا تستقرّ الاُجرة المسمّاة إلّابعد التعیین، ویضمن اُجرة المثل قبله إن لم یأذن فی بقائه عنده مجّاناً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هو الاستقرار، وسیأتی منه ؛ فی المسألة الثالثة ما ظاهره المنافاةللمقام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الاُجرة</w:t>
      </w:r>
      <w:r>
        <w:rPr>
          <w:rStyle w:val="FootnoteAnchor"/>
          <w:rtl w:val="true"/>
        </w:rPr>
        <w:footnoteReference w:id="1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الأظهر استقرار المسمّی، کما فی العین الشخصیّة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استقرار الاُجرة لا یخلو من قوّة؛ لصدق الکلّیّ علی ما تسمّه من العین، فتکونمثل العین الشخصیّة الخارجیّة فی استقرار الاُجرة علیه، ففرض عدم تعیّن الوقت لایغیّر العنوان بعد کون التسلیم والتسلّم بهذا العنوان، کما سیأتی فی المسألة الثانیة،ولکن یمکن عدم تعیّن الوقت فی هذه المسألة لأجل اقتضاء الإطلاق الاتصال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المسمّاة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بعد تسلّمه للعین بعنوان کونه مصداقاً لذلک الکلّی وطبّق علیه لا یبقیفرق بینه وبین العین الشخصیّة فی استقرار الاُجرة، عیَّنَ الوقت أو لم یعیِّن، وعدمضمان اُجرة المثل لتلک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استقرارها، وقد التزم قدس سره باستقرارها فی العین الشخصیّة؛ إذ لا فرق بینالعین الشخصیّة والکلّیّة بعدما کان التعیین بید الموجِر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حاشیةٍ من نسخةٍ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باستقرارها فی نظیره فی المسألة 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استقرارها، کما سیأتی فی المسألة الثالثة نظیره، والتزام الماتن قدس سره باستقرارها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الاستقرار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وبقاء الإجارة وإن کان</w:t>
      </w:r>
      <w:bookmarkStart w:id="678" w:name="pg13284_130872"/>
    </w:p>
    <w:p>
      <w:pPr>
        <w:pStyle w:val="BookText"/>
        <w:rPr/>
      </w:pPr>
      <w:bookmarkEnd w:id="678"/>
      <w:r>
        <w:rPr>
          <w:rFonts w:ascii="Amiri" w:hAnsi="Amiri" w:eastAsia="Amiri" w:cs="Amiri"/>
          <w:color w:val="111111"/>
          <w:sz w:val="28"/>
          <w:sz w:val="28"/>
          <w:szCs w:val="28"/>
          <w:rtl w:val="true"/>
          <w:lang w:bidi="ar-SA"/>
        </w:rPr>
        <w:t>ضامناً</w:t>
      </w:r>
      <w:r>
        <w:rPr>
          <w:rStyle w:val="FootnoteAnchor"/>
          <w:rtl w:val="true"/>
        </w:rPr>
        <w:footnoteReference w:id="1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لتلک المدّة؛ من جهة تفویته المنفعة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الموجِر</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2055993_2322387425"/>
      <w:bookmarkStart w:id="680" w:name="_Toc246"/>
      <w:bookmarkEnd w:id="679"/>
      <w:r>
        <w:rPr>
          <w:rtl w:val="true"/>
        </w:rPr>
        <w:t>حکم الاُجرة مع بذل العین وعدم تسلّمها</w:t>
      </w:r>
      <w:bookmarkEnd w:id="68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بذل الموجِر العین المستأجَرَة للمستأجِر ولم یتسلّم حتّی انقضت المدّة استقرّت علیه الاُجرة، وکذا إذا استأجره لیخیط له ثوباً معیّناً مثلاً فی وقتٍ معیّنٍ وامتنع من دفع الثوب إلیه حتّی مضی ذلک الوقت فإنّه یجب علیه دفع الاُجرة، سواء اشتغل</w:t>
      </w:r>
      <w:r>
        <w:rPr>
          <w:rStyle w:val="FootnoteAnchor"/>
          <w:rtl w:val="true"/>
        </w:rPr>
        <w:footnoteReference w:id="1264"/>
      </w:r>
      <w:r>
        <w:rPr>
          <w:rFonts w:ascii="IRNazanin" w:hAnsi="IRNazanin" w:eastAsia="IRNazanin"/>
          <w:color w:val="111111"/>
          <w:sz w:val="28"/>
          <w:sz w:val="28"/>
          <w:szCs w:val="28"/>
          <w:rtl w:val="true"/>
          <w:lang w:bidi="fa-IR"/>
        </w:rPr>
        <w:t> فی ذلک الوقت</w:t>
      </w:r>
      <w:r>
        <w:rPr>
          <w:rStyle w:val="FootnoteAnchor"/>
          <w:rtl w:val="true"/>
        </w:rPr>
        <w:footnoteReference w:id="1265"/>
      </w:r>
      <w:r>
        <w:rPr>
          <w:rFonts w:ascii="IRNazanin" w:hAnsi="IRNazanin" w:eastAsia="IRNazanin"/>
          <w:color w:val="111111"/>
          <w:sz w:val="28"/>
          <w:sz w:val="28"/>
          <w:szCs w:val="28"/>
          <w:rtl w:val="true"/>
          <w:lang w:bidi="fa-IR"/>
        </w:rPr>
        <w:t xml:space="preserve"> مع امتناع </w:t>
      </w:r>
      <w:bookmarkStart w:id="681" w:name="pg13284_130873"/>
    </w:p>
    <w:p>
      <w:pPr>
        <w:pStyle w:val="BookText"/>
        <w:rPr/>
      </w:pPr>
      <w:bookmarkEnd w:id="681"/>
      <w:r>
        <w:rPr>
          <w:rFonts w:ascii="IRNazanin" w:hAnsi="IRNazanin" w:eastAsia="IRNazanin"/>
          <w:color w:val="111111"/>
          <w:sz w:val="28"/>
          <w:sz w:val="28"/>
          <w:szCs w:val="28"/>
          <w:rtl w:val="true"/>
          <w:lang w:bidi="fa-IR"/>
        </w:rPr>
        <w:t>المستأجِر من دفع الثوب إلیه بشغل آخر</w:t>
      </w:r>
      <w:r>
        <w:rPr>
          <w:rStyle w:val="FootnoteAnchor"/>
          <w:rtl w:val="true"/>
        </w:rPr>
        <w:footnoteReference w:id="1266"/>
      </w:r>
      <w:r>
        <w:rPr>
          <w:rFonts w:ascii="IRNazanin" w:hAnsi="IRNazanin" w:eastAsia="IRNazanin"/>
          <w:color w:val="111111"/>
          <w:sz w:val="28"/>
          <w:sz w:val="28"/>
          <w:szCs w:val="28"/>
          <w:rtl w:val="true"/>
          <w:lang w:bidi="fa-IR"/>
        </w:rPr>
        <w:t> لنفسه أو لغیره</w:t>
      </w:r>
      <w:r>
        <w:rPr>
          <w:rStyle w:val="FootnoteAnchor"/>
          <w:rtl w:val="true"/>
        </w:rPr>
        <w:footnoteReference w:id="1267"/>
      </w:r>
      <w:r>
        <w:rPr>
          <w:rFonts w:ascii="IRNazanin" w:hAnsi="IRNazanin" w:eastAsia="IRNazanin"/>
          <w:color w:val="111111"/>
          <w:sz w:val="28"/>
          <w:sz w:val="28"/>
          <w:szCs w:val="28"/>
          <w:rtl w:val="true"/>
          <w:lang w:bidi="fa-IR"/>
        </w:rPr>
        <w:t> أو جلس فارغاً</w:t>
      </w:r>
      <w:r>
        <w:rPr>
          <w:rFonts w:eastAsia="IRNazanin" w:cs="IRNazanin"/>
          <w:color w:val="111111"/>
          <w:sz w:val="28"/>
          <w:szCs w:val="28"/>
          <w:rtl w:val="true"/>
          <w:lang w:bidi="fa-IR"/>
        </w:rPr>
        <w:t>.</w:t>
      </w:r>
    </w:p>
    <w:p>
      <w:pPr>
        <w:pStyle w:val="Heading4"/>
        <w:numPr>
          <w:ilvl w:val="3"/>
          <w:numId w:val="1"/>
        </w:numPr>
        <w:rPr/>
      </w:pPr>
      <w:bookmarkStart w:id="682" w:name="__RefHeading___Toc2055995_2322387425"/>
      <w:bookmarkStart w:id="683" w:name="_Toc247"/>
      <w:bookmarkEnd w:id="682"/>
      <w:r>
        <w:rPr>
          <w:rtl w:val="true"/>
        </w:rPr>
        <w:t>ما تستقرّ فیه الاُجرة من المنافع</w:t>
      </w:r>
      <w:bookmarkEnd w:id="68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استأجره لقلع ضرسه</w:t>
      </w:r>
      <w:r>
        <w:rPr>
          <w:rStyle w:val="FootnoteAnchor"/>
          <w:rtl w:val="true"/>
        </w:rPr>
        <w:footnoteReference w:id="1268"/>
      </w:r>
      <w:r>
        <w:rPr>
          <w:rFonts w:ascii="Amiri" w:hAnsi="Amiri" w:eastAsia="Amiri" w:cs="Amiri"/>
          <w:color w:val="111111"/>
          <w:sz w:val="28"/>
          <w:sz w:val="28"/>
          <w:szCs w:val="28"/>
          <w:rtl w:val="true"/>
          <w:lang w:bidi="ar-SA"/>
        </w:rPr>
        <w:t> ومضت المدّة</w:t>
      </w:r>
      <w:r>
        <w:rPr>
          <w:rStyle w:val="FootnoteAnchor"/>
          <w:rtl w:val="true"/>
        </w:rPr>
        <w:footnoteReference w:id="1269"/>
      </w:r>
      <w:r>
        <w:rPr>
          <w:rFonts w:ascii="IRNazanin" w:hAnsi="IRNazanin" w:eastAsia="IRNazanin"/>
          <w:color w:val="111111"/>
          <w:sz w:val="28"/>
          <w:sz w:val="28"/>
          <w:szCs w:val="28"/>
          <w:rtl w:val="true"/>
          <w:lang w:bidi="fa-IR"/>
        </w:rPr>
        <w:t>الّتی یمکن إیقاع ذلک فیها وکان الموجِر باذلاً نفسه استقرّت</w:t>
      </w:r>
      <w:r>
        <w:rPr>
          <w:rStyle w:val="FootnoteAnchor"/>
          <w:rtl w:val="true"/>
        </w:rPr>
        <w:footnoteReference w:id="1270"/>
      </w:r>
      <w:r>
        <w:rPr>
          <w:rFonts w:ascii="Amiri" w:hAnsi="Amiri" w:eastAsia="Amiri" w:cs="Amiri"/>
          <w:color w:val="111111"/>
          <w:sz w:val="28"/>
          <w:sz w:val="28"/>
          <w:szCs w:val="28"/>
          <w:rtl w:val="true"/>
          <w:lang w:bidi="ar-SA"/>
        </w:rPr>
        <w:t>الاُجرة</w:t>
      </w:r>
      <w:r>
        <w:rPr>
          <w:rStyle w:val="FootnoteAnchor"/>
          <w:rtl w:val="true"/>
        </w:rPr>
        <w:footnoteReference w:id="1271"/>
      </w:r>
      <w:r>
        <w:rPr>
          <w:rFonts w:ascii="IRNazanin" w:hAnsi="IRNazanin" w:eastAsia="IRNazanin"/>
          <w:color w:val="111111"/>
          <w:sz w:val="28"/>
          <w:sz w:val="28"/>
          <w:szCs w:val="28"/>
          <w:rtl w:val="true"/>
          <w:lang w:bidi="fa-IR"/>
        </w:rPr>
        <w:t>، سواء کان الموجر حرّاً أم عبداً بإذن مولاه، واحتمال الفرق بینهما بالاستقرار فی الثانی دون الأوّل ـ لأنّ منافع الحرّ لا تضمن إلّا بالاستیفاء</w:t>
      </w:r>
      <w:r>
        <w:rPr>
          <w:rStyle w:val="FootnoteAnchor"/>
          <w:rtl w:val="true"/>
        </w:rPr>
        <w:footnoteReference w:id="1272"/>
      </w:r>
      <w:r>
        <w:rPr>
          <w:rFonts w:ascii="IRNazanin" w:hAnsi="IRNazanin" w:eastAsia="IRNazanin"/>
          <w:color w:val="111111"/>
          <w:sz w:val="28"/>
          <w:sz w:val="28"/>
          <w:szCs w:val="28"/>
          <w:rtl w:val="true"/>
          <w:lang w:bidi="fa-IR"/>
        </w:rPr>
        <w:t xml:space="preserve"> ـ لا وجه له؛ لأنّ منافعه بعد العقد علیها </w:t>
      </w:r>
    </w:p>
    <w:p>
      <w:pPr>
        <w:pStyle w:val="BookText"/>
        <w:rPr/>
      </w:pPr>
      <w:r>
        <w:rPr>
          <w:rFonts w:ascii="IRNazanin" w:hAnsi="IRNazanin" w:eastAsia="IRNazanin"/>
          <w:color w:val="111111"/>
          <w:sz w:val="28"/>
          <w:sz w:val="28"/>
          <w:szCs w:val="28"/>
          <w:rtl w:val="true"/>
          <w:lang w:bidi="fa-IR"/>
        </w:rPr>
        <w:t>صارت مالاً للمستحقّ، فإذا بذلها ولم یقبل کان تلفها منه، مع أنّا لا نسلّم</w:t>
      </w:r>
      <w:r>
        <w:rPr>
          <w:rStyle w:val="FootnoteAnchor"/>
          <w:rtl w:val="true"/>
        </w:rPr>
        <w:footnoteReference w:id="12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لابدّ من تسلیم ذلک، حیث إنّ عمل الحُرّ ما لم یُستوفَ، أو لم یُعقَد علیه لا یُعدّمالاً عند العقلاء کافّة، ودعوی الشهرة علی الضمان مجازفة واضحة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منافعه لا تضمن إلّا بالاستیفاء، بل تُضمَن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بالتفویت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ضمانه نظر؛ لعدم إضافة منافع الأحرار بالإضافة الملکیّة إلی أنفسهم، فلایشمله إتلاف مال الغیر وإن کان مثل هذه الأعمال والمنافع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المطبوع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المنافع والأموال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ما أثبتناه هو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الأموال،ولکنّ مجرّد ذلک لا یجدی فی التضمین ما لم یکن ملک أحد، وبذلک یفرق حبسالحرّ غیر المستأجَر علیه عن حبسه المستأجرة، أو المملوک لغیره من العبید والإماءبالتضمین فی الأخیرین دون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الضمان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الضمان بمجرّد صدق التفویت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قاعدة الید، أو لأجل قاعدة الإتلاف، وکلاهما لا یجریان فیالمقام، ولا استیفاء المنافع الّذی هو سبب آخر، ولا سبب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ضمانه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ولازمه الالتزام بالضمان فی حبس أرباب الحرف ومنعهم عن العمل، وهو کماتری، فاحتمال عدم الضمان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بل الظاهر 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عدم الضمان؛ فإنّ مجرّد صدق التفویت لا یوجب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أنّها لا تضمن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إشکال،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الصغری صدق التفویت، والإتلاف الّذی هو سببالضمان حقیقةً، وإن صدقا فهما عرفیّان أیضاً؛ لأنّ التفویت فی حکم إتلاف الشیء،فهو یتعلّق بالأمر الوجود، فلیس فی المقام شیء موجوداً، وثانیاً، من جهة الکبریلعدم الدلیل علی أنّ کلّ تفویت حقیقی أو عرفی علی النحو الموجبة الکلیّة موجبللضمان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کما إذا حبسه وکان کَسوباً فإنّه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العرف أنّه فوَّت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ولو استأجره لقلع ضرسه فزال الألم</w:t>
      </w:r>
      <w:r>
        <w:rPr>
          <w:rStyle w:val="FootnoteAnchor"/>
          <w:rtl w:val="true"/>
        </w:rPr>
        <w:footnoteReference w:id="1275"/>
      </w:r>
      <w:r>
        <w:rPr>
          <w:rFonts w:ascii="IRNazanin" w:hAnsi="IRNazanin" w:eastAsia="IRNazanin"/>
          <w:color w:val="111111"/>
          <w:sz w:val="28"/>
          <w:sz w:val="28"/>
          <w:szCs w:val="28"/>
          <w:rtl w:val="true"/>
          <w:lang w:bidi="fa-IR"/>
        </w:rPr>
        <w:t> بعد العقد لم تثبت</w:t>
      </w:r>
      <w:r>
        <w:rPr>
          <w:rStyle w:val="FootnoteAnchor"/>
          <w:rtl w:val="true"/>
        </w:rPr>
        <w:footnoteReference w:id="1276"/>
      </w:r>
      <w:r>
        <w:rPr>
          <w:rFonts w:ascii="Amiri" w:hAnsi="Amiri" w:eastAsia="Amiri" w:cs="Amiri"/>
          <w:color w:val="111111"/>
          <w:sz w:val="28"/>
          <w:sz w:val="28"/>
          <w:szCs w:val="28"/>
          <w:rtl w:val="true"/>
          <w:lang w:bidi="ar-SA"/>
        </w:rPr>
        <w:t> الاُجرة؛ لانفساخ</w:t>
      </w:r>
      <w:r>
        <w:rPr>
          <w:rStyle w:val="FootnoteAnchor"/>
          <w:rtl w:val="true"/>
        </w:rPr>
        <w:footnoteReference w:id="1277"/>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w:t>
      </w:r>
      <w:bookmarkStart w:id="684" w:name="pg13284_130876"/>
    </w:p>
    <w:p>
      <w:pPr>
        <w:pStyle w:val="BookText"/>
        <w:rPr/>
      </w:pPr>
      <w:bookmarkEnd w:id="684"/>
      <w:r>
        <w:rPr>
          <w:rFonts w:ascii="Amiri" w:hAnsi="Amiri" w:eastAsia="Amiri" w:cs="Amiri"/>
          <w:color w:val="111111"/>
          <w:sz w:val="28"/>
          <w:sz w:val="28"/>
          <w:szCs w:val="28"/>
          <w:rtl w:val="true"/>
          <w:lang w:bidi="ar-SA"/>
        </w:rPr>
        <w:t>الإجارة</w:t>
      </w:r>
      <w:r>
        <w:rPr>
          <w:rStyle w:val="FootnoteAnchor"/>
          <w:rtl w:val="true"/>
        </w:rPr>
        <w:footnoteReference w:id="1278"/>
      </w:r>
      <w:r>
        <w:rPr>
          <w:rFonts w:ascii="Amiri" w:hAnsi="Amiri" w:eastAsia="Amiri" w:cs="Amiri"/>
          <w:color w:val="111111"/>
          <w:sz w:val="28"/>
          <w:sz w:val="28"/>
          <w:szCs w:val="28"/>
          <w:rtl w:val="true"/>
          <w:lang w:bidi="ar-SA"/>
        </w:rPr>
        <w:t> حینئذٍ</w:t>
      </w:r>
      <w:r>
        <w:rPr>
          <w:rStyle w:val="FootnoteAnchor"/>
          <w:rtl w:val="true"/>
        </w:rPr>
        <w:footnoteReference w:id="1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الإطلاق محلّ نظر، نعم، تنفسخ الإجارة فیما إذا لم یکن فی موردها غرضمتعارف من سنخ الإجارة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Heading4"/>
        <w:numPr>
          <w:ilvl w:val="3"/>
          <w:numId w:val="1"/>
        </w:numPr>
        <w:rPr/>
      </w:pPr>
      <w:bookmarkStart w:id="685" w:name="__RefHeading___Toc2055997_2322387425"/>
      <w:bookmarkStart w:id="686" w:name="_Toc248"/>
      <w:bookmarkEnd w:id="685"/>
      <w:r>
        <w:rPr>
          <w:rtl w:val="true"/>
        </w:rPr>
        <w:t>تلف العین المستأجرة قبل الاستیفاء وتمام المدّة</w:t>
      </w:r>
      <w:bookmarkEnd w:id="6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تُلفت العین المستأجَرة قبل قبض المستأجِر بطلت الإجارة</w:t>
      </w:r>
      <w:r>
        <w:rPr>
          <w:rStyle w:val="FootnoteAnchor"/>
          <w:rtl w:val="true"/>
        </w:rPr>
        <w:footnoteReference w:id="1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تلفها کاشفاً عن بطلان الإجارة من أصلها علی التحقیق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تلفت عقیب قبضها بلا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وأمّا إذا تُلفت بعد استیفاء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إمکان استیفائها بعد القبض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مضیّ مدّةٍ یمکنه فیها الاستیفاء وإن لم یستوفِ وکانت بعض المدّة، لا 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منفعتها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بعض المدّة فتبطل بالنسبة إلی بقیّة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یکون للمستأجِر خیار التبعّض بالنسبة إلی ما مضی إن کان التبعّضضرریّاً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ثبوت خیار التبعّض 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فیُرجِع من 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قابل المتخلّف من المدّة، إن نِصفاً فنِصف، وإن ثُلُثاً فثُلُث،  </w:t>
      </w:r>
      <w:bookmarkStart w:id="687" w:name="pg13284_130877"/>
    </w:p>
    <w:p>
      <w:pPr>
        <w:pStyle w:val="BookText"/>
        <w:rPr/>
      </w:pPr>
      <w:bookmarkEnd w:id="687"/>
      <w:r>
        <w:rPr>
          <w:rFonts w:ascii="IRNazanin" w:hAnsi="IRNazanin" w:eastAsia="IRNazanin"/>
          <w:color w:val="111111"/>
          <w:sz w:val="28"/>
          <w:sz w:val="28"/>
          <w:szCs w:val="28"/>
          <w:rtl w:val="true"/>
          <w:lang w:bidi="fa-IR"/>
        </w:rPr>
        <w:t>مع تساوی الأجزاء بحسب الأوقات، ومع التفاوت تلاحظ النسبة</w:t>
      </w:r>
      <w:r>
        <w:rPr>
          <w:rFonts w:eastAsia="IRNazanin" w:cs="IRNazanin"/>
          <w:color w:val="111111"/>
          <w:sz w:val="28"/>
          <w:szCs w:val="28"/>
          <w:rtl w:val="true"/>
          <w:lang w:bidi="fa-IR"/>
        </w:rPr>
        <w:t>.</w:t>
      </w:r>
    </w:p>
    <w:p>
      <w:pPr>
        <w:pStyle w:val="Heading4"/>
        <w:numPr>
          <w:ilvl w:val="3"/>
          <w:numId w:val="1"/>
        </w:numPr>
        <w:rPr/>
      </w:pPr>
      <w:bookmarkStart w:id="688" w:name="__RefHeading___Toc2055999_2322387425"/>
      <w:bookmarkStart w:id="689" w:name="_Toc249"/>
      <w:bookmarkEnd w:id="688"/>
      <w:r>
        <w:rPr>
          <w:rtl w:val="true"/>
        </w:rPr>
        <w:t>فسخ الإجارة فی أثناء المدّة</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حصل الفسخ فی أثناء المدّة بأحد أسبابه تثبت الاُجرة المسمّاة بالنسبة إلی ما مضی، ویرجع منها بالنسبة إلی ما بقی</w:t>
      </w:r>
      <w:r>
        <w:rPr>
          <w:rStyle w:val="FootnoteAnchor"/>
          <w:rtl w:val="true"/>
        </w:rPr>
        <w:footnoteReference w:id="1281"/>
      </w:r>
      <w:r>
        <w:rPr>
          <w:rFonts w:ascii="IRNazanin" w:hAnsi="IRNazanin" w:eastAsia="IRNazanin"/>
          <w:color w:val="111111"/>
          <w:sz w:val="28"/>
          <w:sz w:val="28"/>
          <w:szCs w:val="28"/>
          <w:rtl w:val="true"/>
          <w:lang w:bidi="fa-IR"/>
        </w:rPr>
        <w:t>، کما ذکرنا فی البطلان علی المشهور</w:t>
      </w:r>
      <w:r>
        <w:rPr>
          <w:rStyle w:val="FootnoteAnchor"/>
          <w:rtl w:val="true"/>
        </w:rPr>
        <w:footnoteReference w:id="1282"/>
      </w:r>
      <w:r>
        <w:rPr>
          <w:rFonts w:ascii="IRNazanin" w:hAnsi="IRNazanin" w:eastAsia="IRNazanin"/>
          <w:color w:val="111111"/>
          <w:sz w:val="28"/>
          <w:sz w:val="28"/>
          <w:szCs w:val="28"/>
          <w:rtl w:val="true"/>
          <w:lang w:bidi="fa-IR"/>
        </w:rPr>
        <w:t>، ویحتمل</w:t>
      </w:r>
      <w:r>
        <w:rPr>
          <w:rStyle w:val="FootnoteAnchor"/>
          <w:rtl w:val="true"/>
        </w:rPr>
        <w:footnoteReference w:id="1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المتعیّن، ولم یعلم ذهاب المشهور إلی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الشهرة غیر ثابتة، والاحتمال المذکور قریب فی بادئ النظر فیما کان منشأ الخیارثابتاً حین العقد وتبیّن فی الأثناء، ولکن فیه إشکالات عویصة لا یَسِعها المقام،والمسألة تحتاج إلی مزید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هو التفصیل بین الموارد، فإن کان سبب الفسخ هو اشتراط الخیار فی متنالعقد فالظاهر أنّه تابع لکیفیّة الاشتراط من جهة التأثیر من الأصل أو من الحین، وإنکان السبب هو الخیار الّذی مستنده قاعدة نفی الضرر کخیار الغبن ونحوه فاللازمملاحظة أنّ الضرر هل یندفع بالانحلال من الحین، أو بالانفساخ من الأصل؟ وإنکان السبب هو الخیار الثابت بمقتضی الأدلّة الخاصّة کخیار العیب ونحوه فاللازمملاحظتها، ولا یبعد دعوی کون الظاهر أو المتیقّن منها هو الفسخ فی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قـریـبـاً</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إن قلنا بعدم التبعیض فی فسخ العقد، وإلّا فما عن المشهور أقربلو قصد ولو بحکم الارتکاز فسخ ما بقی من العقد،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اختلاف الموارد 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أصل التعلیقتین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والصحیح ما أثبتناه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المقتضیات والأسباب، فإذا تحقّق موجبالخیار من الأوّل یُفسَخ من الأوّل، وإذا تحقّق فی الأثناء یُفسَخ من الأثناء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المتعیّن مع ثبوت الخیار من حین العقد، وأمّا إذا طرأ الخیار فیالأثناء کما فیما فرضه فی المسألة التاسعة فالأقوی ما علیه المشهور، ولا بأسبالتبعّض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قریب فیما إذا کان موجب الفسخ موجوداً حین العقد، وأمّا إذا کانفی الأثناء کما إذا حصل العَرَج فی الدابّة مع إمکان الانتفاع به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وأقرب منه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کان منشأ الخیار حادثاً فیفسخ فی بقیّة المدّة، وماکان من حین العقد فیفسخ من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فیما إذا کان حقّ الفسخ والخیار بسببٍ کان حین العقد، کما إذاتبیّن الغَبن، أو وُجِد العیب السابق، وأمّا مع عروض ذلک فی الأثناء فالأقوی هوالتوزیع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فیما لو کان موجب الخیار من حین العقد، ویترتّب علیه ما أفاده،وأمّا لو کان ناشئاً فی الأثناء فالظاهر أنّه لا محذور فی فسخ البعض، والضررالمتوجّه من التبعّض یُتدارک بالخیار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المتعیّن فی الخیارات الثابتة بالنصّ المستفاد منها حقّ فسخ مجموع العقدبمقتضی ظهور الدلیل، أو المتیقّن منه، وأمّا الخیارات الناشئة من الضرر أو الشرط أو تخلّف الوصف أو الشرط فالظاهر أنّه لا مانع فی فسخ البعض، وضرر التبعّض ینجبربخیاره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الفرق بین طروء سبب الخیار کانهدام الدار فیفسخ فی بقیّة المدّة، وبین ماکان من حین العقد کالغَبن فالبطلان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المتعیّن، لکنّه فی خصوص الخیار الثابت بالاشتراط تابع لِما اشترط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قرب فیه؛ فإنّ القاعدة تقتضی ما ذهب إلیه المشهور، ولیس مقتضی الفسخعلی الإطلاق العود مطلقاً، بل العود تابع الفسخ؛ فإن تعلّق الفسخ بأصل العقد یعودعلی الإطلاق، وإن تعلّق به من الحین لا وجه للعود بالنسبة إلی ما مضی، وعلیالجملة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الفسخ وزان الطلاق فی باب النکاح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المتعیّن، إلّا فی بعض موارد خیار الشرط، کجعل الخیار بردّ مثل بعضالثمن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     .     .     .     .     .     .     .     .</w:t>
      </w:r>
    </w:p>
    <w:p>
      <w:pPr>
        <w:pStyle w:val="BookText"/>
        <w:rPr/>
      </w:pPr>
      <w:r>
        <w:rPr>
          <w:rFonts w:ascii="IRNazanin" w:hAnsi="IRNazanin" w:eastAsia="IRNazanin"/>
          <w:color w:val="111111"/>
          <w:sz w:val="28"/>
          <w:sz w:val="28"/>
          <w:szCs w:val="28"/>
          <w:rtl w:val="true"/>
          <w:lang w:bidi="fa-IR"/>
        </w:rPr>
        <w:t>یرجع</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قویّ إذا کان سبب الخیار عند العقد، کالغبن والعیب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المسمّی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مع ثبوت موجب الخیار من أوّل العقد، کما إذا وُجِد فیه عیبسابق، أو ظهر فی المعاملة غَبن، أمّا إذا طرأ موجب الخیار فی الأثناء فالأقوی فیهما نسبه إلی المشهور من التبعیض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المتعیّن، إلّا أن یکون الخیار ثابتاً بالاشتراط الظاهر عرفاً فیتقسیط الاُجرة المسمّاة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ویکون للموجِر اُجرة المثل بالنسبة إلی ما  </w:t>
      </w:r>
    </w:p>
    <w:p>
      <w:pPr>
        <w:pStyle w:val="BookText"/>
        <w:rPr/>
      </w:pPr>
      <w:r>
        <w:rPr>
          <w:rFonts w:ascii="IRNazanin" w:hAnsi="IRNazanin" w:eastAsia="IRNazanin"/>
          <w:color w:val="111111"/>
          <w:sz w:val="28"/>
          <w:sz w:val="28"/>
          <w:szCs w:val="28"/>
          <w:rtl w:val="true"/>
          <w:lang w:bidi="fa-IR"/>
        </w:rPr>
        <w:t>مضی</w:t>
      </w:r>
      <w:r>
        <w:rPr>
          <w:rStyle w:val="FootnoteAnchor"/>
          <w:rtl w:val="true"/>
        </w:rPr>
        <w:footnoteReference w:id="1286"/>
      </w:r>
      <w:r>
        <w:rPr>
          <w:rFonts w:ascii="IRNazanin" w:hAnsi="IRNazanin" w:eastAsia="IRNazanin"/>
          <w:color w:val="111111"/>
          <w:sz w:val="28"/>
          <w:sz w:val="28"/>
          <w:szCs w:val="28"/>
          <w:rtl w:val="true"/>
          <w:lang w:bidi="fa-IR"/>
        </w:rPr>
        <w:t>؛ لأنّ المفروض أنّه یفسخ العقد</w:t>
      </w:r>
      <w:r>
        <w:rPr>
          <w:rStyle w:val="FootnoteAnchor"/>
          <w:rtl w:val="true"/>
        </w:rPr>
        <w:footnoteReference w:id="1287"/>
      </w:r>
      <w:r>
        <w:rPr>
          <w:rFonts w:ascii="IRNazanin" w:hAnsi="IRNazanin" w:eastAsia="IRNazanin"/>
          <w:color w:val="111111"/>
          <w:sz w:val="28"/>
          <w:sz w:val="28"/>
          <w:szCs w:val="28"/>
          <w:rtl w:val="true"/>
          <w:lang w:bidi="fa-IR"/>
        </w:rPr>
        <w:t> الواقع</w:t>
      </w:r>
      <w:r>
        <w:rPr>
          <w:rStyle w:val="FootnoteAnchor"/>
          <w:rtl w:val="true"/>
        </w:rPr>
        <w:footnoteReference w:id="1288"/>
      </w:r>
      <w:r>
        <w:rPr>
          <w:rFonts w:ascii="IRNazanin" w:hAnsi="IRNazanin" w:eastAsia="IRNazanin"/>
          <w:color w:val="111111"/>
          <w:sz w:val="28"/>
          <w:sz w:val="28"/>
          <w:szCs w:val="28"/>
          <w:rtl w:val="true"/>
          <w:lang w:bidi="fa-IR"/>
        </w:rPr>
        <w:t> أوّلاً، ومقتضی الفسخ  عود کلّ عوض إلی مالکه، بل یحتمل أن یکون الأمر کذلک فی صورة البطلان أیضاً</w:t>
      </w:r>
      <w:r>
        <w:rPr>
          <w:rStyle w:val="FootnoteAnchor"/>
          <w:rtl w:val="true"/>
        </w:rPr>
        <w:footnoteReference w:id="1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کونه من حین العقد والاطّلاع علیه فی الأثناء، لا فیما لو کان الطروءفی الأثناء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لکنّه بعید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وجه له 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3284_130881"/>
    </w:p>
    <w:p>
      <w:pPr>
        <w:pStyle w:val="Heading4"/>
        <w:numPr>
          <w:ilvl w:val="3"/>
          <w:numId w:val="1"/>
        </w:numPr>
        <w:rPr/>
      </w:pPr>
      <w:bookmarkStart w:id="691" w:name="__RefHeading___Toc2056001_2322387425"/>
      <w:bookmarkStart w:id="692" w:name="_Toc250"/>
      <w:bookmarkEnd w:id="690"/>
      <w:bookmarkEnd w:id="691"/>
      <w:r>
        <w:rPr>
          <w:rtl w:val="true"/>
        </w:rPr>
        <w:t>تلف بعض العین المستأجرة</w:t>
      </w:r>
      <w:bookmarkEnd w:id="6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تلف بعض العین المستأجَرة تبطل بنسبته</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فیما إذا کان تلف البعض موجباً لانعدام المنفعة وزوالها رأساً، کما فی استئجاربَقَرَتَینِ لحرث الأرض إذا فرض تقوّم الغرض بهما جمیعاً، کما فی بعض البلاد فإنّالظاهر فی مثل ذلک البطلان رأساً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ویجیء خیار تبعّض الصفقة</w:t>
      </w:r>
      <w:r>
        <w:rPr>
          <w:rFonts w:eastAsia="IRNazanin" w:cs="IRNazanin"/>
          <w:color w:val="111111"/>
          <w:sz w:val="28"/>
          <w:szCs w:val="28"/>
          <w:rtl w:val="true"/>
          <w:lang w:bidi="fa-IR"/>
        </w:rPr>
        <w:t>.</w:t>
      </w:r>
    </w:p>
    <w:p>
      <w:pPr>
        <w:pStyle w:val="Heading4"/>
        <w:numPr>
          <w:ilvl w:val="3"/>
          <w:numId w:val="1"/>
        </w:numPr>
        <w:rPr/>
      </w:pPr>
      <w:bookmarkStart w:id="693" w:name="__RefHeading___Toc2056003_2322387425"/>
      <w:bookmarkStart w:id="694" w:name="_Toc251"/>
      <w:bookmarkEnd w:id="693"/>
      <w:r>
        <w:rPr>
          <w:rtl w:val="true"/>
        </w:rPr>
        <w:t>استظهار ملکیّة الاُجرة من حین العقد وتبعات ذلک</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کلمات العلماء</w:t>
      </w:r>
      <w:r>
        <w:rPr>
          <w:rStyle w:val="FootnoteAnchor"/>
          <w:rtl w:val="true"/>
        </w:rPr>
        <w:footnoteReference w:id="1291"/>
      </w:r>
      <w:r>
        <w:rPr>
          <w:rFonts w:ascii="IRNazanin" w:hAnsi="IRNazanin" w:eastAsia="IRNazanin"/>
          <w:color w:val="111111"/>
          <w:sz w:val="28"/>
          <w:sz w:val="28"/>
          <w:szCs w:val="28"/>
          <w:rtl w:val="true"/>
          <w:lang w:bidi="fa-IR"/>
        </w:rPr>
        <w:t> أنّ الاُجرة من حین العقد مملوکة  للموجِر</w:t>
      </w:r>
      <w:r>
        <w:rPr>
          <w:rStyle w:val="FootnoteAnchor"/>
          <w:rtl w:val="true"/>
        </w:rPr>
        <w:footnoteReference w:id="1292"/>
      </w:r>
      <w:r>
        <w:rPr>
          <w:rFonts w:ascii="IRNazanin" w:hAnsi="IRNazanin" w:eastAsia="IRNazanin"/>
          <w:color w:val="111111"/>
          <w:sz w:val="28"/>
          <w:sz w:val="28"/>
          <w:szCs w:val="28"/>
          <w:rtl w:val="true"/>
          <w:lang w:bidi="fa-IR"/>
        </w:rPr>
        <w:t> بتمامها، وبالتلف قبل القبض أو بعده أو فی أثناء المدّة ترجع إلی المستأجِر کلّاً أو بعضاً من حین</w:t>
      </w:r>
      <w:r>
        <w:rPr>
          <w:rStyle w:val="FootnoteAnchor"/>
          <w:rtl w:val="true"/>
        </w:rPr>
        <w:footnoteReference w:id="1293"/>
      </w:r>
      <w:r>
        <w:rPr>
          <w:rFonts w:ascii="IRNazanin" w:hAnsi="IRNazanin" w:eastAsia="IRNazanin"/>
          <w:color w:val="111111"/>
          <w:sz w:val="28"/>
          <w:sz w:val="28"/>
          <w:szCs w:val="28"/>
          <w:rtl w:val="true"/>
          <w:lang w:bidi="fa-IR"/>
        </w:rPr>
        <w:t> البطلان، کما هو الحال عندهم فی تلف المبیع قبل القبض، لا أن یکون کاشفاً عن عدم ملکیّتها من الأوّل، وهو مشکل</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لعدم وجهٍ لرجوع تمام الاُجرة فی هذه الصورة بعد تأثیر العقدالضمنیّ فی الانتقال بالنسبة إلی المقدار الموجود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کما یظهر وجهه بالتأمّل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الإشکال، بل ممنوع؛ لِما ذکره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وقوله فی بیان الفرق بین تلف المبیع قبل القبض وبین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وأمّاالمنفعة فی المقام فلم تکن موجودةً حین العقد، ولا فی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إذالعین إذا کان لها اقتضاء البقاء فالمنفعة موجودة عرفاً، فلو آجره دابّةً رکوبَ شهرٍفقتل واحدٌ الدابّةَ فکما یصدق التلف علی العین یصدق علی المنفعة أیضاً،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المنفعة؛ ولذا لو جعل منفعة الدابّة أو الدار مثلاً إلی سنةٍ ثمناً لمبیع أو صداقاًلامرأته فأتلفَ الدابّة مُتلِف فی الأثناء أو خرّبها ضمن قیمة المنفعة للبائع وللمرأة،ولا ینکشف بطلان المبیع؛ للکشف عن عدم وجود الثمن فی الواقع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 مع التلف ینکشف عدم کون الموجِر مالکاً للمنفعة إلی تمام</w:t>
      </w:r>
    </w:p>
    <w:p>
      <w:pPr>
        <w:pStyle w:val="BookText"/>
        <w:rPr/>
      </w:pPr>
      <w:r>
        <w:rPr>
          <w:rFonts w:ascii="IRNazanin" w:hAnsi="IRNazanin" w:eastAsia="IRNazanin"/>
          <w:color w:val="111111"/>
          <w:sz w:val="28"/>
          <w:sz w:val="28"/>
          <w:szCs w:val="28"/>
          <w:rtl w:val="true"/>
          <w:lang w:bidi="fa-IR"/>
        </w:rPr>
        <w:t>المدّة، فلم ینتقل ما یقابل المتخلّف من الأوّل إلیه، وفرق واضح بین تلف المبیع قبل القبض وتلف العین هنا؛ لأنّ المبیع حین بیعه کان مالاً</w:t>
      </w:r>
      <w:r>
        <w:rPr>
          <w:rStyle w:val="FootnoteAnchor"/>
          <w:rtl w:val="true"/>
        </w:rPr>
        <w:footnoteReference w:id="1295"/>
      </w:r>
      <w:r>
        <w:rPr>
          <w:rFonts w:ascii="IRNazanin" w:hAnsi="IRNazanin" w:eastAsia="IRNazanin"/>
          <w:color w:val="111111"/>
          <w:sz w:val="28"/>
          <w:sz w:val="28"/>
          <w:szCs w:val="28"/>
          <w:rtl w:val="true"/>
          <w:lang w:bidi="fa-IR"/>
        </w:rPr>
        <w:t> موجوداً قوبل بالعوض، وأمّا المنفعة فی المقام فلم تکن موجودةً حین العقد، ولا فی علم الله إلّا بمقدار بقاء العین، وعلی هذا فإذا تصرّف فی الاُجرة یکون تصرّفه بالنسبة إلی ما</w:t>
      </w:r>
      <w:r>
        <w:rPr>
          <w:rStyle w:val="FootnoteAnchor"/>
          <w:rtl w:val="true"/>
        </w:rPr>
        <w:footnoteReference w:id="1296"/>
      </w:r>
      <w:r>
        <w:rPr>
          <w:rFonts w:ascii="Amiri" w:hAnsi="Amiri" w:eastAsia="Amiri" w:cs="Amiri"/>
          <w:color w:val="111111"/>
          <w:sz w:val="28"/>
          <w:sz w:val="28"/>
          <w:szCs w:val="28"/>
          <w:rtl w:val="true"/>
          <w:lang w:bidi="ar-SA"/>
        </w:rPr>
        <w:t> یقابل المتخلّف فضولیّاً</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إذا نمت الاُجرة بین العقد وتلف العین المستأجَرة کان نماوها للمستأجِر، أومشترکاً بینهما بنسبة الزمانین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بالنسبة إلی نماء الاُجرة الراجع إلی زمان التخالف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ونماء الاُجرة المقابلة بالغیر المتخلّف للمستأجِر، ونماؤها المقابلة بالمتخلّفللمؤجِر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نماوه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 أجاز المستأجِر یکون منفعة ما یقابل التخلّف للمؤجِر، وإلّا فللمستأجِرالمالک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هذا یظهر أنّ وجه البطلان  </w:t>
      </w:r>
      <w:bookmarkStart w:id="695" w:name="pg13284_130883"/>
    </w:p>
    <w:p>
      <w:pPr>
        <w:pStyle w:val="BookText"/>
        <w:rPr/>
      </w:pPr>
      <w:bookmarkEnd w:id="695"/>
      <w:r>
        <w:rPr>
          <w:rFonts w:ascii="Amiri" w:hAnsi="Amiri" w:eastAsia="Amiri" w:cs="Amiri"/>
          <w:color w:val="111111"/>
          <w:sz w:val="28"/>
          <w:sz w:val="28"/>
          <w:szCs w:val="28"/>
          <w:rtl w:val="true"/>
          <w:lang w:bidi="ar-SA"/>
        </w:rPr>
        <w:t>فی صورة التلف کلّاً أو بعضاً انکشاف عدم الملکیّة للمعوّض</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056005_2322387425"/>
      <w:bookmarkStart w:id="697" w:name="_Toc252"/>
      <w:bookmarkEnd w:id="696"/>
      <w:r>
        <w:rPr>
          <w:rtl w:val="true"/>
        </w:rPr>
        <w:t>الإجارة علی الکلّی وتلف فرد منه</w:t>
      </w:r>
      <w:bookmarkEnd w:id="6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دابّةً کلّیّةً ودفع فرداً منها فتلف لا تنفسخ الإجارة، بل ینفسخ الوفاء</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التعبیر مسامحة واضحة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إلزامه بدفع فردٍ آخر بعد کون مورد الإجارة کلّیّاً وبعد تسلّم المستأجِر وکونالتلف عنده لا یخلو من تأمّل، ثمّ التعبیر بالانفساخ عن عدم التحقّق من الأوّل غیرسدید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یدفع فرداً آخر</w:t>
      </w:r>
      <w:r>
        <w:rPr>
          <w:rFonts w:eastAsia="IRNazanin" w:cs="IRNazanin"/>
          <w:color w:val="111111"/>
          <w:sz w:val="28"/>
          <w:szCs w:val="28"/>
          <w:rtl w:val="true"/>
          <w:lang w:bidi="fa-IR"/>
        </w:rPr>
        <w:t>. </w:t>
      </w:r>
    </w:p>
    <w:p>
      <w:pPr>
        <w:pStyle w:val="Heading4"/>
        <w:numPr>
          <w:ilvl w:val="3"/>
          <w:numId w:val="1"/>
        </w:numPr>
        <w:rPr/>
      </w:pPr>
      <w:bookmarkStart w:id="698" w:name="__RefHeading___Toc2056007_2322387425"/>
      <w:bookmarkStart w:id="699" w:name="_Toc253"/>
      <w:bookmarkEnd w:id="698"/>
      <w:r>
        <w:rPr>
          <w:rtl w:val="true"/>
        </w:rPr>
        <w:t>انهدام الدار المستأجرة</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آجره داراً فانهدمت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خرجت عن الانتفاع</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عن الانتفاع الّذی استأجرها له بنحو وحدة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عن الانتفاع الّذی استأجرها له بنحو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عن الانتفاع الداعی لإنشاء الإجارة مقیّدة علی نحو وحدة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خرجت عمّا استأجرها له بنحو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عن الانتفاع المقیّد، أی علی نحو وحدة المطلوب الّذی استأجرها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عن الانتفاع الّذی استأجرها له بنحو التقیید ووحدة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w:t>
      </w:r>
    </w:p>
    <w:p>
      <w:pPr>
        <w:pStyle w:val="BookText"/>
        <w:rPr/>
      </w:pPr>
      <w:r>
        <w:rPr>
          <w:rFonts w:ascii="IRNazanin" w:hAnsi="IRNazanin" w:eastAsia="IRNazanin"/>
          <w:color w:val="111111"/>
          <w:sz w:val="28"/>
          <w:sz w:val="28"/>
          <w:szCs w:val="28"/>
          <w:rtl w:val="true"/>
          <w:lang w:bidi="fa-IR"/>
        </w:rPr>
        <w:t>بطلت</w:t>
      </w:r>
      <w:r>
        <w:rPr>
          <w:rStyle w:val="FootnoteAnchor"/>
          <w:rtl w:val="true"/>
        </w:rPr>
        <w:footnoteReference w:id="1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خرجت عمّا استأجرها له بنحو التقیید، لا بنحو الداعی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کان قبل القبض أو بعده قبل أن یسکن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بلا فصل معتدٍّ به، أو قبل مجیء زمان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قبل الزمان الّذی استحقّ سکنی العین فیه بالإجارة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قبل مجیء الزمان الّذی عیّن فی العقد لسکناها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قبل مجیء الزمان الّذی آجرها لسکناه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قبل أن یجیء زمان المذکور فی العقد للسکنی، وقد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عدم السکنی الاختیاری، وسیأتی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عدم الانتفاعالعذری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قبل أن یتمکّن من السکنی الّذی استحقّه بالإجارة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قبل أن یجیء الزمان الّذی استأجر العین للسکنی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 رجعت الاُجرة بتمامها، وإلّا فبالنسبة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ویحتمل</w:t>
      </w:r>
    </w:p>
    <w:p>
      <w:pPr>
        <w:pStyle w:val="BookText"/>
        <w:rPr/>
      </w:pPr>
      <w:r>
        <w:rPr>
          <w:rFonts w:ascii="IRNazanin" w:hAnsi="IRNazanin" w:eastAsia="IRNazanin"/>
          <w:color w:val="111111"/>
          <w:sz w:val="28"/>
          <w:sz w:val="28"/>
          <w:szCs w:val="28"/>
          <w:rtl w:val="true"/>
          <w:lang w:bidi="fa-IR"/>
        </w:rPr>
        <w:t>تمامها فی هذه الصورة أیضاً، ویضمن اُجرة المثل بالنسبة إلی ما مضی، لکنّه بعید</w:t>
      </w:r>
      <w:r>
        <w:rPr>
          <w:rStyle w:val="FootnoteAnchor"/>
          <w:rtl w:val="true"/>
        </w:rPr>
        <w:footnoteReference w:id="1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أنّه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ولاحتمال ثبوت خیار التبعّض فی هذه الصورة للمستأجر وجه قوی، وعلیفرض الفسخ له الرجوع بتمام المسمّاة، وعلیه اُجرة المثل بما استوفی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إلّا أنّ للمستأجِر حینئذٍ خیار تبعّض الصفقة، وعلی تقدیر الفسخ یرجع بتمامالاُجرة، ویضمن اُجرة المثل بالنسبة إلی ما مضی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یبعد ثبوت خیار التبعّض للمستأجِر بالنسبة إلی ما مضی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وقد جزم هو نفسه ؛ أیضاً بالخلاف فی آخر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ممنوع، کما تقدّم منه فی المسألة الرابعة، نعم، حیث إنّ للمستأجِر حینئذٍ خیارتبعّض الصفقة، فلو أعمل خیاره وفسخ العقد یرجع بتمام الاُجرة، ویضمن للمؤجِراُجرة المثل بالنسبة إلی ما مضی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غایة البعد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أمکن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انتفاعاً یعدّ من المراتب النازلة للمنفعة المستأجِر علیها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بالمنفعة الّتی استُؤجِرت العین لأجلها ولو بالمرتبة الناقصة، لا سائر المنافع الغیرالمقصودة بالإجارة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بمرتبةٍ ناقصةٍ فی ما استأجره فیه، لا مطلق الانتفاع، وإن کان خارجاً عن موردالإجارة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Style w:val="FootnoteAnchor"/>
          <w:rtl w:val="true"/>
        </w:rPr>
        <w:footnoteReference w:id="1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بالانتفاع الّذی کان مورداً للإجارة ولو بالمرتبة الناقصة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الانتفاع الّذی استُوجِرت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ما استُؤجِر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ذلک کان للمستأجِر الخیار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الإبقاء والفسخ، وإذا فسخ کان حکم الاُجرة ما ذکرنا، ویقوی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قوّة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فیه فی المسألة 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القوّة ممنوعة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یقوّی خلافه؛ لأنّ منشأ الخیار حادث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یقوّی خلافه،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ولا مانع من فسخ البعض فی أمثال المقام، وضرر التبعّض ینجبربالخیار،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ما هو مقتضی التحقیق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المسمّی</w:t>
      </w:r>
      <w:r>
        <w:rPr>
          <w:rStyle w:val="FootnoteAnchor"/>
          <w:rtl w:val="true"/>
        </w:rPr>
        <w:footnoteReference w:id="1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لعدم ثبوت کونه مقتضی الفسخ؛ لاحتمال أن یکون الفسخ للعقد منحین الفسخ، لا من حین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ودفع اُجرة المثل بالنسبة إلی ما مضی؛ لأنّ هذا هو مقتضی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انهدم بعض بیوتها بقیت الإجارة بالنسبة إلی البقیّة، وکان للمستأجِر خیار تبعّض الصفقة، ولو بادر الموجِر إلی تعمیرها بحیث لم یَفُتِ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الانتفاع أصلاً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للمستأجر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00" w:name="pg13284_130888"/>
    </w:p>
    <w:p>
      <w:pPr>
        <w:pStyle w:val="BookText"/>
        <w:rPr/>
      </w:pPr>
      <w:bookmarkEnd w:id="700"/>
      <w:r>
        <w:rPr>
          <w:rFonts w:ascii="IRNazanin" w:hAnsi="IRNazanin" w:eastAsia="IRNazanin"/>
          <w:color w:val="111111"/>
          <w:sz w:val="28"/>
          <w:sz w:val="28"/>
          <w:szCs w:val="28"/>
          <w:rtl w:val="true"/>
          <w:lang w:bidi="fa-IR"/>
        </w:rPr>
        <w:t>الفسخ</w:t>
      </w:r>
      <w:r>
        <w:rPr>
          <w:rStyle w:val="FootnoteAnchor"/>
          <w:rtl w:val="true"/>
        </w:rPr>
        <w:footnoteReference w:id="1304"/>
      </w:r>
      <w:r>
        <w:rPr>
          <w:rFonts w:ascii="IRNazanin" w:hAnsi="IRNazanin" w:eastAsia="IRNazanin"/>
          <w:color w:val="111111"/>
          <w:sz w:val="28"/>
          <w:sz w:val="28"/>
          <w:szCs w:val="28"/>
          <w:rtl w:val="true"/>
          <w:lang w:bidi="fa-IR"/>
        </w:rPr>
        <w:t> حینئذٍ علی الأقوی</w:t>
      </w:r>
      <w:r>
        <w:rPr>
          <w:rStyle w:val="FootnoteAnchor"/>
          <w:rtl w:val="true"/>
        </w:rPr>
        <w:footnoteReference w:id="1305"/>
      </w:r>
      <w:r>
        <w:rPr>
          <w:rFonts w:ascii="Amiri" w:hAnsi="Amiri" w:eastAsia="Amiri" w:cs="Amiri"/>
          <w:color w:val="111111"/>
          <w:sz w:val="28"/>
          <w:sz w:val="28"/>
          <w:szCs w:val="28"/>
          <w:rtl w:val="true"/>
          <w:lang w:bidi="ar-SA"/>
        </w:rPr>
        <w:t>، خلافاً للثانیَین</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2056009_2322387425"/>
      <w:bookmarkStart w:id="702" w:name="_Toc254"/>
      <w:bookmarkEnd w:id="701"/>
      <w:r>
        <w:rPr>
          <w:rtl w:val="true"/>
        </w:rPr>
        <w:t>امتناع المؤجِر من التسلیم </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امتنع الموجِر من تسلیم العین المستأجَرة یجبر علیه، وإن لم یمکن إجباره للمستأجِر فسخ</w:t>
      </w:r>
      <w:r>
        <w:rPr>
          <w:rStyle w:val="FootnoteAnchor"/>
          <w:rtl w:val="true"/>
        </w:rPr>
        <w:footnoteReference w:id="1307"/>
      </w:r>
      <w:r>
        <w:rPr>
          <w:rFonts w:ascii="Amiri" w:hAnsi="Amiri" w:eastAsia="Amiri" w:cs="Amiri"/>
          <w:color w:val="111111"/>
          <w:sz w:val="28"/>
          <w:sz w:val="28"/>
          <w:szCs w:val="28"/>
          <w:rtl w:val="true"/>
          <w:lang w:bidi="ar-SA"/>
        </w:rPr>
        <w:t> الإجارة</w:t>
      </w:r>
      <w:r>
        <w:rPr>
          <w:rStyle w:val="FootnoteAnchor"/>
          <w:rtl w:val="true"/>
        </w:rPr>
        <w:footnoteReference w:id="1308"/>
      </w:r>
      <w:r>
        <w:rPr>
          <w:rFonts w:ascii="Amiri" w:hAnsi="Amiri" w:eastAsia="Amiri" w:cs="Amiri"/>
          <w:color w:val="111111"/>
          <w:sz w:val="28"/>
          <w:sz w:val="28"/>
          <w:szCs w:val="28"/>
          <w:rtl w:val="true"/>
          <w:lang w:bidi="ar-SA"/>
        </w:rPr>
        <w:t> والرجوع بالاُجرة</w:t>
      </w:r>
      <w:r>
        <w:rPr>
          <w:rStyle w:val="FootnoteAnchor"/>
          <w:rtl w:val="true"/>
        </w:rPr>
        <w:footnoteReference w:id="1309"/>
      </w:r>
      <w:r>
        <w:rPr>
          <w:rFonts w:ascii="IRNazanin" w:hAnsi="IRNazanin" w:eastAsia="IRNazanin"/>
          <w:color w:val="111111"/>
          <w:sz w:val="28"/>
          <w:sz w:val="28"/>
          <w:szCs w:val="28"/>
          <w:rtl w:val="true"/>
          <w:lang w:bidi="fa-IR"/>
        </w:rPr>
        <w:t>، وله الإبقاء ومطالبة عوض المنفعة الفائتة، وکذا إن أخذها</w:t>
      </w:r>
      <w:r>
        <w:rPr>
          <w:rStyle w:val="FootnoteAnchor"/>
          <w:rtl w:val="true"/>
        </w:rPr>
        <w:footnoteReference w:id="1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الخیار فی هذه الصورة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الخیار فی صورة الأخذ بعد التسلیم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بعد التسلیم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فصل، أو فی أثناء المدّة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ثبوت الفسخ فی هذه الصورة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الفسخ فی</w:t>
      </w:r>
    </w:p>
    <w:p>
      <w:pPr>
        <w:pStyle w:val="BookText"/>
        <w:rPr/>
      </w:pPr>
      <w:r>
        <w:rPr>
          <w:rFonts w:ascii="IRNazanin" w:hAnsi="IRNazanin" w:eastAsia="IRNazanin"/>
          <w:color w:val="111111"/>
          <w:sz w:val="28"/>
          <w:sz w:val="28"/>
          <w:szCs w:val="28"/>
          <w:rtl w:val="true"/>
          <w:lang w:bidi="fa-IR"/>
        </w:rPr>
        <w:t>الأثناء یرجع بما یقابل المتخلّف من الاُجرة، ویحتمل</w:t>
      </w:r>
      <w:r>
        <w:rPr>
          <w:rStyle w:val="FootnoteAnchor"/>
          <w:rtl w:val="true"/>
        </w:rPr>
        <w:footnoteReference w:id="1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مقتضی التحقیق فی المسألة الخامسة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عرفت ما 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ثبوت الخیار له فی فسخ المجموع والبعض، وقد مرّ وجهه فی الحواشیالسابقة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خلافه،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أنّه المتعیّن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والمتعیَّن القول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مرّ أنّ هذا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bookmarkStart w:id="703" w:name="pg13284_130890"/>
    </w:p>
    <w:p>
      <w:pPr>
        <w:pStyle w:val="BookText"/>
        <w:rPr/>
      </w:pPr>
      <w:bookmarkEnd w:id="703"/>
      <w:r>
        <w:rPr>
          <w:rFonts w:ascii="IRNazanin" w:hAnsi="IRNazanin" w:eastAsia="IRNazanin"/>
          <w:color w:val="111111"/>
          <w:sz w:val="28"/>
          <w:sz w:val="28"/>
          <w:szCs w:val="28"/>
          <w:rtl w:val="true"/>
          <w:lang w:bidi="fa-IR"/>
        </w:rPr>
        <w:t>رجوع</w:t>
      </w:r>
      <w:r>
        <w:rPr>
          <w:rStyle w:val="FootnoteAnchor"/>
          <w:rtl w:val="true"/>
        </w:rPr>
        <w:footnoteReference w:id="1312"/>
      </w:r>
      <w:r>
        <w:rPr>
          <w:rFonts w:ascii="Amiri" w:hAnsi="Amiri" w:eastAsia="Amiri" w:cs="Amiri"/>
          <w:color w:val="111111"/>
          <w:sz w:val="28"/>
          <w:sz w:val="28"/>
          <w:szCs w:val="28"/>
          <w:rtl w:val="true"/>
          <w:lang w:bidi="ar-SA"/>
        </w:rPr>
        <w:t> تمام الاُجرة</w:t>
      </w:r>
      <w:r>
        <w:rPr>
          <w:rStyle w:val="FootnoteAnchor"/>
          <w:rtl w:val="true"/>
        </w:rPr>
        <w:footnoteReference w:id="1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کان قصده فسخ تمام العقد، وإلّا فلو کان قصده فسخ العقد بالنسبة إلی ما بقی،وقلنا أیضاً بصلاحیّة الفسخ للتبعیض بالنسبة إلی العقود التحلیلیّة فلا محیص منالمصیر إلی ما هو المشهور،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یقوّی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هذا الاحتمال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اُجرة المِثل لِما مضی،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نظیره سابقاً؛ لأنّ مقتضی فسخ العقد عَود تمام کلٍّ من العِوَضین إلی مالکهما الأوّل، لکنّ هذا الاحتمال خلاف فتوی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ما علیه المشهور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2056011_2322387425"/>
      <w:bookmarkStart w:id="705" w:name="_Toc255"/>
      <w:bookmarkEnd w:id="704"/>
      <w:r>
        <w:rPr>
          <w:rtl w:val="true"/>
        </w:rPr>
        <w:t>الامتناع بمنع ظالم من الانتفاع بالعین</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منعه ظالم عن الانتفاع بالعین</w:t>
      </w:r>
      <w:r>
        <w:rPr>
          <w:rStyle w:val="FootnoteAnchor"/>
          <w:rtl w:val="true"/>
        </w:rPr>
        <w:footnoteReference w:id="1314"/>
      </w:r>
      <w:r>
        <w:rPr>
          <w:rFonts w:ascii="IRNazanin" w:hAnsi="IRNazanin" w:eastAsia="IRNazanin"/>
          <w:color w:val="111111"/>
          <w:sz w:val="28"/>
          <w:sz w:val="28"/>
          <w:szCs w:val="28"/>
          <w:rtl w:val="true"/>
          <w:lang w:bidi="fa-IR"/>
        </w:rPr>
        <w:t> قبل القبض</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تخیّر بین الفسخ</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المنع متوجّهاً إلی المؤجِر ومنعه عن التسلیم ثبت خیار تعذّر التسلیم، وإنکان متوجّهاً إلی المستأجِر تعیّن الرجوع علیه بعوض ما فات، ویمکن القولبانفساخ الإجارة فی الموردَین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والرجوع بالاُجرة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وبین الرجوع علی الظالم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بعوض ما فات، ویحتمل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یتعیّن إذا کان منع الظالم متوجّهاً إلی خصوص 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ضعیف جدّاً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النائینی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قوّته تأمّل؛ إذ لا جابر لضرره الناشئ من تعلّق غرضه بخصوص المنفعة إلّاخیاره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أحمد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بل الأقوی 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ولعلّه الأوجه حیثما کان منعه متوجّهاً إلی المستأجِر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منع الظالم متوجّهاً إلی المستأجِر فی انتفاعه ـ کما هو المفروض ظاهراً ـهذا الاحتمال متین، وأمّا إذا کان المنع متوجّهاً إلی المؤجِر فی تسلیمه فهو مخیّر بینالفسخ والرجوع إلی الظالم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فی ما هو المفروض من کون المنع متوجّهاً إلی المستأجر، والممنوع عنه هوالانتفاع بالعین؛ لعدم الفرق حینئذٍ بین ما إذا کان المنع قبل القبض أو بعده، وأمّا إذاکان المنع متوجّهاً إلی المؤجِر والممنوع عنه هو الإقباض فلا وجه لهذا الاحتمالأصلاً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الثانی</w:t>
      </w:r>
      <w:r>
        <w:rPr>
          <w:rStyle w:val="FootnoteAnchor"/>
          <w:rtl w:val="true"/>
        </w:rPr>
        <w:footnoteReference w:id="1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قوّة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المتعیّن فیما إذا کان منع الظالم متوجّهاً إلی المستأجر فیانتفاعه، لا إلی الموجِر فی تسلیمه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منع الظالم أو غصبه بعد القبض یتعیّن الوجه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الفسخ حینئذٍ، سواء کان بعد القبض فی ابتداء المدّة أم فی أثنائها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أعاد</w:t>
      </w:r>
      <w:r>
        <w:rPr>
          <w:rStyle w:val="FootnoteAnchor"/>
          <w:rtl w:val="true"/>
        </w:rPr>
        <w:footnoteReference w:id="1317"/>
      </w:r>
      <w:r>
        <w:rPr>
          <w:rFonts w:ascii="IRNazanin" w:hAnsi="IRNazanin" w:eastAsia="IRNazanin"/>
          <w:color w:val="111111"/>
          <w:sz w:val="28"/>
          <w:sz w:val="28"/>
          <w:szCs w:val="28"/>
          <w:rtl w:val="true"/>
          <w:lang w:bidi="fa-IR"/>
        </w:rPr>
        <w:t> الظالم العین المستأجَرة فی أثناء المدّة إلی المستأجِر فالخیار باقٍ</w:t>
      </w:r>
      <w:r>
        <w:rPr>
          <w:rStyle w:val="FootnoteAnchor"/>
          <w:rtl w:val="true"/>
        </w:rPr>
        <w:footnoteReference w:id="1318"/>
      </w:r>
      <w:r>
        <w:rPr>
          <w:rFonts w:ascii="IRNazanin" w:hAnsi="IRNazanin" w:eastAsia="IRNazanin"/>
          <w:color w:val="111111"/>
          <w:sz w:val="28"/>
          <w:sz w:val="28"/>
          <w:szCs w:val="28"/>
          <w:rtl w:val="true"/>
          <w:lang w:bidi="fa-IR"/>
        </w:rPr>
        <w:t xml:space="preserve">، لکن لیس له الفسخ إلّا فی الجمیع، </w:t>
      </w:r>
    </w:p>
    <w:p>
      <w:pPr>
        <w:pStyle w:val="BookText"/>
        <w:rPr/>
      </w:pPr>
      <w:r>
        <w:rPr>
          <w:rFonts w:ascii="IRNazanin" w:hAnsi="IRNazanin" w:eastAsia="IRNazanin"/>
          <w:color w:val="111111"/>
          <w:sz w:val="28"/>
          <w:sz w:val="28"/>
          <w:szCs w:val="28"/>
          <w:rtl w:val="true"/>
          <w:lang w:bidi="fa-IR"/>
        </w:rPr>
        <w:t>وربّما یحتمل</w:t>
      </w:r>
      <w:r>
        <w:rPr>
          <w:rStyle w:val="FootnoteAnchor"/>
          <w:rtl w:val="true"/>
        </w:rPr>
        <w:footnoteReference w:id="1319"/>
      </w:r>
      <w:r>
        <w:rPr>
          <w:rFonts w:ascii="IRNazanin" w:hAnsi="IRNazanin" w:eastAsia="IRNazanin"/>
          <w:color w:val="111111"/>
          <w:sz w:val="28"/>
          <w:sz w:val="28"/>
          <w:szCs w:val="28"/>
          <w:rtl w:val="true"/>
          <w:lang w:bidi="fa-IR"/>
        </w:rPr>
        <w:t> جواز</w:t>
      </w:r>
      <w:r>
        <w:rPr>
          <w:rStyle w:val="FootnoteAnchor"/>
          <w:rtl w:val="true"/>
        </w:rPr>
        <w:footnoteReference w:id="1320"/>
      </w:r>
      <w:r>
        <w:rPr>
          <w:rFonts w:ascii="IRNazanin" w:hAnsi="IRNazanin" w:eastAsia="IRNazanin"/>
          <w:color w:val="111111"/>
          <w:sz w:val="28"/>
          <w:sz w:val="28"/>
          <w:szCs w:val="28"/>
          <w:rtl w:val="true"/>
          <w:lang w:bidi="fa-IR"/>
        </w:rPr>
        <w:t> الفسخ</w:t>
      </w:r>
      <w:r>
        <w:rPr>
          <w:rStyle w:val="FootnoteAnchor"/>
          <w:rtl w:val="true"/>
        </w:rPr>
        <w:footnoteReference w:id="1321"/>
      </w:r>
      <w:r>
        <w:rPr>
          <w:rFonts w:ascii="IRNazanin" w:hAnsi="IRNazanin" w:eastAsia="IRNazanin"/>
          <w:color w:val="111111"/>
          <w:sz w:val="28"/>
          <w:sz w:val="28"/>
          <w:szCs w:val="28"/>
          <w:rtl w:val="true"/>
          <w:lang w:bidi="fa-IR"/>
        </w:rPr>
        <w:t> بالنسبة إلی ما مضی من المدّة فی ید الغاصب، والرجوع بقسطه من المسمّی واستیفاء باقی المنفعة، وهو ضعیف</w:t>
      </w:r>
      <w:r>
        <w:rPr>
          <w:rStyle w:val="FootnoteAnchor"/>
          <w:rtl w:val="true"/>
        </w:rPr>
        <w:footnoteReference w:id="1322"/>
      </w:r>
      <w:r>
        <w:rPr>
          <w:rFonts w:ascii="Amiri" w:hAnsi="Amiri" w:eastAsia="Amiri" w:cs="Amiri"/>
          <w:color w:val="111111"/>
          <w:sz w:val="28"/>
          <w:sz w:val="28"/>
          <w:szCs w:val="28"/>
          <w:rtl w:val="true"/>
          <w:lang w:bidi="ar-SA"/>
        </w:rPr>
        <w:t>؛ لِلُزوم</w:t>
      </w:r>
      <w:r>
        <w:rPr>
          <w:rStyle w:val="FootnoteAnchor"/>
          <w:rtl w:val="true"/>
        </w:rPr>
        <w:footnoteReference w:id="1323"/>
      </w:r>
      <w:r>
        <w:rPr>
          <w:rFonts w:ascii="IRNazanin" w:hAnsi="IRNazanin" w:eastAsia="IRNazanin"/>
          <w:color w:val="111111"/>
          <w:sz w:val="28"/>
          <w:sz w:val="28"/>
          <w:szCs w:val="28"/>
          <w:rtl w:val="true"/>
          <w:lang w:bidi="fa-IR"/>
        </w:rPr>
        <w:t> التبعیض</w:t>
      </w:r>
      <w:r>
        <w:rPr>
          <w:rStyle w:val="FootnoteAnchor"/>
          <w:rtl w:val="true"/>
        </w:rPr>
        <w:footnoteReference w:id="1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علی مبنی انحلال العقد إلی العقود، وإنّما الکلام فی المبنی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التبعیض من حیث هو لا محذور فیه، ولکنّ فسخ العقد بالنسبة إلی ما مضیوإبقائه لِما بقی خلاف المتعارف، بخلاف العکس، وهذا هو الفارق بین قولالمشهور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الفرق بینه وبین ما ذُکِر من مذهب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الفرق بینها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المشهور یکون الفسخ حلّ العقد من حین الفسخ، فیفرغ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والظاهر 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فیفرغ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ثبوتالعقد فیما مضی، وعدم بقائه فی ما یأتی، بخلاف ما نحن فیه فإنّه بعد الفسخ یحکمببقاء العقد بعده، مع أنّ الفسخ یوجب عدم اعتبار بقاء العقد،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یشکل</w:t>
      </w:r>
      <w:r>
        <w:rPr>
          <w:rStyle w:val="FootnoteAnchor"/>
          <w:rtl w:val="true"/>
        </w:rPr>
        <w:footnoteReference w:id="1325"/>
      </w:r>
      <w:r>
        <w:rPr>
          <w:rFonts w:ascii="IRNazanin" w:hAnsi="IRNazanin" w:eastAsia="IRNazanin"/>
          <w:color w:val="111111"/>
          <w:sz w:val="28"/>
          <w:sz w:val="28"/>
          <w:szCs w:val="28"/>
          <w:rtl w:val="true"/>
          <w:lang w:bidi="fa-IR"/>
        </w:rPr>
        <w:t> الفرق</w:t>
      </w:r>
      <w:r>
        <w:rPr>
          <w:rStyle w:val="FootnoteAnchor"/>
          <w:rtl w:val="true"/>
        </w:rPr>
        <w:footnoteReference w:id="1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فیه، والفرق بینهما واضح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التبعیض من حیث هو لا مانع منه إذا کان المقتضی موجوداً کما هناک، فلو منعمنه هنا فلقصور المقتضی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الخونساری، الأراکی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الفرق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بینهما واضح ولو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وبین ما ذکر من مذهب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الفسخ عبارة عن قطع الأمر الاستمراری، فهو إزالة بالنسبة إلی ما یأتی، ولیسإبقاء لِما مضی؛ لأنّ ما مضی کان باقیاً بطبعه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من إبقاء العقد فیما مضی، وفسخه فیما بقی؛ إذ إشکال تبعیض العقد</w:t>
      </w:r>
      <w:bookmarkStart w:id="706" w:name="pg13284_130895"/>
    </w:p>
    <w:p>
      <w:pPr>
        <w:pStyle w:val="BookText"/>
        <w:rPr/>
      </w:pPr>
      <w:bookmarkEnd w:id="706"/>
      <w:r>
        <w:rPr>
          <w:rFonts w:ascii="IRNazanin" w:hAnsi="IRNazanin" w:eastAsia="IRNazanin"/>
          <w:color w:val="111111"/>
          <w:sz w:val="28"/>
          <w:sz w:val="28"/>
          <w:szCs w:val="28"/>
          <w:rtl w:val="true"/>
          <w:lang w:bidi="fa-IR"/>
        </w:rPr>
        <w:t>مشترک</w:t>
      </w:r>
      <w:r>
        <w:rPr>
          <w:rStyle w:val="FootnoteAnchor"/>
          <w:rtl w:val="true"/>
        </w:rPr>
        <w:footnoteReference w:id="1327"/>
      </w:r>
      <w:r>
        <w:rPr>
          <w:rFonts w:ascii="IRNazanin" w:hAnsi="IRNazanin" w:eastAsia="IRNazanin"/>
          <w:color w:val="111111"/>
          <w:sz w:val="28"/>
          <w:sz w:val="28"/>
          <w:szCs w:val="28"/>
          <w:rtl w:val="true"/>
          <w:lang w:bidi="fa-IR"/>
        </w:rPr>
        <w:t> بینهما</w:t>
      </w:r>
      <w:r>
        <w:rPr>
          <w:rStyle w:val="FootnoteAnchor"/>
          <w:rtl w:val="true"/>
        </w:rPr>
        <w:footnoteReference w:id="1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ثبوت خیار تبعّض الصفقة للمؤجِر إذا أخذ المستأجِر بالخیار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Heading4"/>
        <w:numPr>
          <w:ilvl w:val="3"/>
          <w:numId w:val="1"/>
        </w:numPr>
        <w:rPr/>
      </w:pPr>
      <w:bookmarkStart w:id="707" w:name="__RefHeading___Toc2056013_2322387425"/>
      <w:bookmarkStart w:id="708" w:name="_Toc256"/>
      <w:bookmarkEnd w:id="707"/>
      <w:r>
        <w:rPr>
          <w:rtl w:val="true"/>
        </w:rPr>
        <w:t>لو تعذّر علی المستأجر الاستیفاء</w:t>
      </w:r>
      <w:bookmarkEnd w:id="70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حدث للمستأجِر عذر فی الاستیفاء، کما لو استأجَر دابّةً لتحمله إلی بلدٍ فمرض المستأجِر ولم یقدر فالظاهر البطلان</w:t>
      </w:r>
      <w:r>
        <w:rPr>
          <w:rStyle w:val="FootnoteAnchor"/>
          <w:rtl w:val="true"/>
        </w:rPr>
        <w:footnoteReference w:id="1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بل عدم البطلان لا یخلو من 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العذر إن کان عامّاً بطلت الإجارة قطعاً، وإن کان مختصّاً بالمستأجِر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کانموجباً لعدم تمکّنه من الاستیفاء شرعاً أو عقلاً، وکان متعلّق الإجارة انتفاع شخصالمستأجِر بنفسه بطلت، وإلّا فالأظهر عدم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المباشرة علی وجه القیدیّة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یکون انتفاع شخص المستأجِر بنفسه هو متعلّق الإجارة، أمّا لو شرط علیهالمباشرة عند الاستیفاء فالظاهر تخیّر الموجِر حینئذٍ بین فسخ العقد وإسقاط شرطه،ویطّرد الوجهان عند موت المستأجر أیضاً،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کونه مورداً للإجارة، کأن یستأجِرها لرکوبه بنفسه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وحدة المطلوب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کان متعلّق الإجارة هو انتفاع شخص المستأجر بنفسه، وأمّا لو کان متعلّقالإجارة هو الانتفاع فحینئذٍ یکون للمؤجِر التخیّر بین فسخ العقد وإسقاط الشرط،کما یجری هذا الکلام فی موت المستأجر أیضاً، علی ما ذکرناه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حصل له عذر آخر،</w:t>
      </w:r>
    </w:p>
    <w:p>
      <w:pPr>
        <w:pStyle w:val="BookText"/>
        <w:rPr/>
      </w:pPr>
      <w:r>
        <w:rPr>
          <w:rFonts w:ascii="IRNazanin" w:hAnsi="IRNazanin" w:eastAsia="IRNazanin"/>
          <w:color w:val="111111"/>
          <w:sz w:val="28"/>
          <w:sz w:val="28"/>
          <w:szCs w:val="28"/>
          <w:rtl w:val="true"/>
          <w:lang w:bidi="fa-IR"/>
        </w:rPr>
        <w:t>ویحتمل</w:t>
      </w:r>
      <w:r>
        <w:rPr>
          <w:rStyle w:val="FootnoteAnchor"/>
          <w:rtl w:val="true"/>
        </w:rPr>
        <w:footnoteReference w:id="13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احتمالاً قویّاً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إن کانت المباشرة علی وجه القیدیّة، کما هو مفروضالمسألة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لهذا الاحتمال بعد ما کانت العین قابلةً للاستیفاء، وإنّما المانع فیالمستأجِر، فالأقوی بقاء العقد علی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ضعیف مع کون المباشرة مورداً للعقد وبنحو وحدة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یصحّ فیما کانت المباشرة علی نحو الداعی أو الشرط، لا القید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لهذا الاحتمال فی صورة المباشرة، کما هو المفروض، بل حکمها علیمافصّلناه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لو کان هناک عذر عامّ بطلت</w:t>
      </w:r>
      <w:bookmarkStart w:id="709" w:name="pg13284_130897"/>
    </w:p>
    <w:p>
      <w:pPr>
        <w:pStyle w:val="BookText"/>
        <w:rPr/>
      </w:pPr>
      <w:bookmarkEnd w:id="709"/>
      <w:r>
        <w:rPr>
          <w:rFonts w:ascii="Amiri" w:hAnsi="Amiri" w:eastAsia="Amiri" w:cs="Amiri"/>
          <w:color w:val="111111"/>
          <w:sz w:val="28"/>
          <w:sz w:val="28"/>
          <w:szCs w:val="28"/>
          <w:rtl w:val="true"/>
          <w:lang w:bidi="ar-SA"/>
        </w:rPr>
        <w:t>قطعاً</w:t>
      </w:r>
      <w:r>
        <w:rPr>
          <w:rStyle w:val="FootnoteAnchor"/>
          <w:rtl w:val="true"/>
        </w:rPr>
        <w:footnoteReference w:id="1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 فی غیر محلّه؛ فإنّ تعلیله بعدم قابلیّة العین للاستیفاء یجری فی مثل برودةالهواء الّتی توثّر فی الشجرة وتسقط من قابلیّة الإثمار وفی الأرض وتسقطها منالإنبات، لا فی العذر کالمریض، أو منع السلطان، أو برودة الهواء الموجب لخوفالضرر عموماً أو خصوصاً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قابلیّة العین للاستیفاء حینئذٍ</w:t>
      </w:r>
      <w:r>
        <w:rPr>
          <w:rFonts w:eastAsia="IRNazanin" w:cs="IRNazanin"/>
          <w:color w:val="111111"/>
          <w:sz w:val="28"/>
          <w:szCs w:val="28"/>
          <w:rtl w:val="true"/>
          <w:lang w:bidi="fa-IR"/>
        </w:rPr>
        <w:t>.</w:t>
      </w:r>
    </w:p>
    <w:p>
      <w:pPr>
        <w:pStyle w:val="Heading4"/>
        <w:numPr>
          <w:ilvl w:val="3"/>
          <w:numId w:val="1"/>
        </w:numPr>
        <w:rPr/>
      </w:pPr>
      <w:bookmarkStart w:id="710" w:name="__RefHeading___Toc2056015_2322387425"/>
      <w:bookmarkStart w:id="711" w:name="_Toc257"/>
      <w:bookmarkEnd w:id="710"/>
      <w:r>
        <w:rPr>
          <w:rtl w:val="true"/>
        </w:rPr>
        <w:t>موجبات ما تلف بسبب سماوی أو بسبب مُتلِف</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التلف السماویّ</w:t>
      </w:r>
      <w:r>
        <w:rPr>
          <w:rStyle w:val="FootnoteAnchor"/>
          <w:rtl w:val="true"/>
        </w:rPr>
        <w:footnoteReference w:id="1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بطلان الإجارة فی جمیع صور التلف والإتلاف، وضمان المتلِف للمالک،ورجوع المستأجر إلی الموجر فی مال الإجارة، حتّی مع إتلافه العین، من غیر فرقٍبین العین المستأجَرَة ومحلّ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للعین المستأجَرة أو لمحلّ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تلف محلّ العمل أو أتلف بطلت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سیأتی حکم محلّ العمل فی الفصل التالی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فی الفصل اللاحق حکم التلف والإتلاف لمحلّ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 للبطلان، ومنه إتلاف الحیوانات، وإتلاف المستأجِر</w:t>
      </w:r>
      <w:r>
        <w:rPr>
          <w:rStyle w:val="FootnoteAnchor"/>
          <w:rtl w:val="true"/>
        </w:rPr>
        <w:footnoteReference w:id="1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 الحکم فی الفروع الثلاثة بین مشکلٍ وممنوع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القبض، وإتلاف الموجِر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 للتخییر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والفسخ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وإتلاف الأجنبیّ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ضمانه للمستأجِر ما أتلفه علیه، ولا یتصوّر لهذا وجه فی إتلافمحلّ العمل، وإن کان له وجه فی إتلاف العین المستأجَرة، لکنّ الأوجَههو البطلان فیهما،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بعد القبض، وأمّا قبل القبض فیتخیّر المستأجِر بین الفسخ وبین تضمینه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ضمان الأجنبیّ المنفعة للمستأجِر والعین للمؤجِر إن کان الإتلاف بعد القبض،وللمستأجِر الخیار بین الفسخ والرجوع إلی المؤجِر بالاُجرة المسمّاة، وعدم الفسخوالرجوع إلی الأجنبیّ بعوض المنافع الّتی لم یستوفِها إن کان الإتلاف قبل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إذا کان قبل القبض جاز للمستأجِر الفسخ، هذا بالإضافة إلی العینالمستأجَرة، وأمّا بالإضافة إلی إتلاف محلّ العمل فالظاهر هو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لضمان الأجنبیّ، فإن کان بعد القبض یضمن العین للمالک والمنفعة للمستأجِر،وإن کان قبله فالمستأجِر مخیّر بین الفسخ والرجوع إلی المالک فی الاُجرة المسمّاة،والإبقاء والرجوع إلی المتلِف فی المنافع التالفة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بعد القبض، وأمّا قبله فیکون کإتلاف المؤجِر فی التخییر بین الفسخوالتضمین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بعد القبض، وأمّا إذا کان قبله فللمستأجِر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قبل القبض جاز للمستأجِر فسخه، ویجوز له تضمین الأجنبیّ،فالأحوط الضمان، وإن کان بعد القبض فتعیّن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والعذر</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العامّ</w:t>
      </w:r>
      <w:r>
        <w:rPr>
          <w:rStyle w:val="FootnoteAnchor"/>
          <w:rtl w:val="true"/>
        </w:rPr>
        <w:footnoteReference w:id="1334"/>
      </w:r>
      <w:r>
        <w:rPr>
          <w:rFonts w:ascii="Amiri" w:hAnsi="Amiri" w:eastAsia="Amiri" w:cs="Amiri"/>
          <w:color w:val="111111"/>
          <w:sz w:val="28"/>
          <w:sz w:val="28"/>
          <w:szCs w:val="28"/>
          <w:rtl w:val="true"/>
          <w:lang w:bidi="ar-SA"/>
        </w:rPr>
        <w:t> بمنزلة التلف، وأمّا العذر الخاصّ بالمستأجِر، کما إذا استأجَر دابّةً</w:t>
      </w:r>
      <w:r>
        <w:rPr>
          <w:rStyle w:val="FootnoteAnchor"/>
          <w:rtl w:val="true"/>
        </w:rPr>
        <w:footnoteReference w:id="1335"/>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لرکوبه بنفسه</w:t>
      </w:r>
      <w:r>
        <w:rPr>
          <w:rStyle w:val="FootnoteAnchor"/>
          <w:rtl w:val="true"/>
        </w:rPr>
        <w:footnoteReference w:id="1336"/>
      </w:r>
      <w:r>
        <w:rPr>
          <w:rFonts w:ascii="IRNazanin" w:hAnsi="IRNazanin" w:eastAsia="IRNazanin"/>
          <w:color w:val="111111"/>
          <w:sz w:val="28"/>
          <w:sz w:val="28"/>
          <w:szCs w:val="28"/>
          <w:rtl w:val="true"/>
          <w:lang w:bidi="fa-IR"/>
        </w:rPr>
        <w:t> فمرض ولم یقدر</w:t>
      </w:r>
      <w:r>
        <w:rPr>
          <w:rStyle w:val="FootnoteAnchor"/>
          <w:rtl w:val="true"/>
        </w:rPr>
        <w:footnoteReference w:id="1337"/>
      </w:r>
      <w:r>
        <w:rPr>
          <w:rFonts w:ascii="IRNazanin" w:hAnsi="IRNazanin" w:eastAsia="IRNazanin"/>
          <w:color w:val="111111"/>
          <w:sz w:val="28"/>
          <w:sz w:val="28"/>
          <w:szCs w:val="28"/>
          <w:rtl w:val="true"/>
          <w:lang w:bidi="fa-IR"/>
        </w:rPr>
        <w:t> علیالمسافرة</w:t>
      </w:r>
      <w:r>
        <w:rPr>
          <w:rStyle w:val="FootnoteAnchor"/>
          <w:rtl w:val="true"/>
        </w:rPr>
        <w:footnoteReference w:id="1338"/>
      </w:r>
      <w:r>
        <w:rPr>
          <w:rFonts w:ascii="Amiri" w:hAnsi="Amiri" w:eastAsia="Amiri" w:cs="Amiri"/>
          <w:color w:val="111111"/>
          <w:sz w:val="28"/>
          <w:sz w:val="28"/>
          <w:szCs w:val="28"/>
          <w:rtl w:val="true"/>
          <w:lang w:bidi="ar-SA"/>
        </w:rPr>
        <w:t>، أو رجلاً لقلع سِنِّه فزال ألمه</w:t>
      </w:r>
      <w:r>
        <w:rPr>
          <w:rStyle w:val="FootnoteAnchor"/>
          <w:rtl w:val="true"/>
        </w:rPr>
        <w:footnoteReference w:id="1339"/>
      </w:r>
      <w:r>
        <w:rPr>
          <w:rFonts w:ascii="IRNazanin" w:hAnsi="IRNazanin" w:eastAsia="IRNazanin"/>
          <w:color w:val="111111"/>
          <w:sz w:val="28"/>
          <w:sz w:val="28"/>
          <w:szCs w:val="28"/>
          <w:rtl w:val="true"/>
          <w:lang w:bidi="fa-IR"/>
        </w:rPr>
        <w:t> أو نحو ذلک ففیه إشکال</w:t>
      </w:r>
      <w:r>
        <w:rPr>
          <w:rStyle w:val="FootnoteAnchor"/>
          <w:rtl w:val="true"/>
        </w:rPr>
        <w:footnoteReference w:id="1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الصحّة فی الفرض الأوّل، والبطلان فی الثانی؛ للفرق بین تعذّر الاستیفاءبعذر شخصیّ وبین ارتفاع موضوع الإجارة بتلف ما تعلّقت به إذا کان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 البطلان فی زوال ألم السنّ، وعدمه فی عدم القدرة علی السفر،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 البطلان فی مثل زوال الألم، وعدمه فی فرض المرض،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أقربه البطلان فی المثالین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البطلان فی مثل زوال ألم السنّ، وأمّا فی المثال الآخر فقد تقدّم ما هوالأقرب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فی المسألة السابقة أنّه یبطل العقد إذا کان علی نحو التقیید، ولا یبطل إذاکان علی نحو الداعی أو الشرط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البطلان، کما مرّ فی المسألة الثالثة والمسألة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یوجب 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البطلان فی مسألة قلع الضِرسومسألة الرکوب إذا کانت المباشرة بنحو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منه استظهار البطلان فیما إذا اشترط المباشرة علی وجه القیدیّة، ومرّ منّاأنّ الأظهر هو العدم مطلقاً فی استئجار الدابّة، وأمّا استئجار الرجل لقلع السنّ فقدعرفت أنّه لا دلیل علی الانفساخ فیما إذا لم یکن القلع محرّماً، وفی هذه الصورةیشکل الحکم، وأمّا ما ذکره من الضابط فغیر مستقیم؛ لعدم التلازم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12" w:name="pg13284_130901"/>
    </w:p>
    <w:p>
      <w:pPr>
        <w:pStyle w:val="BookText"/>
        <w:rPr/>
      </w:pPr>
      <w:bookmarkEnd w:id="712"/>
      <w:r>
        <w:rPr>
          <w:rFonts w:ascii="IRNazanin" w:hAnsi="IRNazanin" w:eastAsia="IRNazanin"/>
          <w:color w:val="111111"/>
          <w:sz w:val="28"/>
          <w:sz w:val="28"/>
          <w:szCs w:val="28"/>
          <w:rtl w:val="true"/>
          <w:lang w:bidi="fa-IR"/>
        </w:rPr>
        <w:t>ولا یبعد</w:t>
      </w:r>
      <w:r>
        <w:rPr>
          <w:rStyle w:val="FootnoteAnchor"/>
          <w:rtl w:val="true"/>
        </w:rPr>
        <w:footnoteReference w:id="1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إلّا أن یستأجِره لإزالة الألم فزال، وأمّا لو استأجره لقلع ضرسه فلا وجهلبطلان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یکون التقیید من باب الموردیّة ووحدة المطلوب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یوجب 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الصحیح إذا کانت المباشرة بنحو القیدیّة، أو کان من قبیل قلع الضرسوزوال الألم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بحیث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قبل العقد لم یصحّ معه 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2056017_2322387425"/>
      <w:bookmarkStart w:id="714" w:name="_Toc258"/>
      <w:bookmarkEnd w:id="713"/>
      <w:r>
        <w:rPr>
          <w:rtl w:val="true"/>
        </w:rPr>
        <w:t>إجارة الزوجة نفسها بلا إذن من الزوج فیما ینافی حقّ الاستمتاع</w:t>
      </w:r>
      <w:bookmarkEnd w:id="714"/>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آجَرَت الزوجةُ نفسَها بدون إذن الزوج فی ما ینافی</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حقّ الاستمتاع</w:t>
      </w:r>
      <w:r>
        <w:rPr>
          <w:rStyle w:val="FootnoteAnchor"/>
          <w:rtl w:val="true"/>
        </w:rPr>
        <w:footnoteReference w:id="1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حقّه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الزوج، بخلاف ما إذا لم یکن منافیاً فإنّها صحیحة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بالصحّة علی الإطلاق 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إذا اتّفق إرادة الزوج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للاستمتاع کشف عن فسادها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انحصر مورد الإجارة بذلک، وإلّا فیمکن القول بالصحّة وثبوت خیار تبعّضالصفقة للمستأجِر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العبارة صحّة إجارتها بدون إذنه فی ما یُضادّ الاستمتاع ما لم یُرِدِالزوج، لکن فیه إشکال؛ لأنّ التمکین متعلّق لحقّ الزوج، فلا تملک تملیک ضدّهبالإجارة، ولیس الحقّ موقوفاًعلی الإرادة، بل مطلق کلّما أراد استوفاه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توقّفها علی الإجازة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3284_130903"/>
    </w:p>
    <w:p>
      <w:pPr>
        <w:pStyle w:val="Heading4"/>
        <w:numPr>
          <w:ilvl w:val="3"/>
          <w:numId w:val="1"/>
        </w:numPr>
        <w:rPr/>
      </w:pPr>
      <w:bookmarkStart w:id="716" w:name="__RefHeading___Toc2056019_2322387425"/>
      <w:bookmarkStart w:id="717" w:name="_Toc259"/>
      <w:bookmarkEnd w:id="715"/>
      <w:bookmarkEnd w:id="716"/>
      <w:r>
        <w:rPr>
          <w:rtl w:val="true"/>
        </w:rPr>
        <w:t>شرطیّة التسلیم والتسلّم وتحقّقها باختلاف الموارد</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ذُکِرَ سابقاً أنّ کلّاً من الموجِر والمستأجِر یملک ما انتقل إلیه بالإجارة بنفس العقد، ولکن لا یجب تسلیم</w:t>
      </w:r>
      <w:r>
        <w:rPr>
          <w:rStyle w:val="FootnoteAnchor"/>
          <w:rtl w:val="true"/>
        </w:rPr>
        <w:footnoteReference w:id="1344"/>
      </w:r>
      <w:r>
        <w:rPr>
          <w:rFonts w:ascii="IRNazanin" w:hAnsi="IRNazanin" w:eastAsia="IRNazanin"/>
          <w:color w:val="111111"/>
          <w:sz w:val="28"/>
          <w:sz w:val="28"/>
          <w:szCs w:val="28"/>
          <w:rtl w:val="true"/>
          <w:lang w:bidi="fa-IR"/>
        </w:rPr>
        <w:t> أحدهما إلّا بتسلّم الآخر، وتسلیم المنفعة بتسلیم العین، وتسلیم الاُجرة بإقباضها إلّا إذا کانت منفعة أیضاً فبتسلیم العین الّتی تُستوفی منها، ولا یجب علی واحدٍ منهما الابتداء بالتسلیم</w:t>
      </w:r>
      <w:r>
        <w:rPr>
          <w:rStyle w:val="FootnoteAnchor"/>
          <w:rtl w:val="true"/>
        </w:rPr>
        <w:footnoteReference w:id="1345"/>
      </w:r>
      <w:r>
        <w:rPr>
          <w:rFonts w:ascii="IRNazanin" w:hAnsi="IRNazanin" w:eastAsia="IRNazanin"/>
          <w:color w:val="111111"/>
          <w:sz w:val="28"/>
          <w:sz w:val="28"/>
          <w:szCs w:val="28"/>
          <w:rtl w:val="true"/>
          <w:lang w:bidi="fa-IR"/>
        </w:rPr>
        <w:t>، ولو تعاسرا أجبرهما الحاکم، ولو کان أحدهما باذلاً دون الآخر ولم یمکن جبره کان للأوّل الحبس إلی أن یسلّم الآخر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إذا لم یشترط فی العقد تأجیل التسلیم فی أحدهما، وإلّا کان هو المتَّبَع، هذا، وأمّا تسلیم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مثل الصلاة والصوم والحجّ والزیارة ونحوها فبإتمامه، فقبله لا یستحقّ</w:t>
      </w:r>
      <w:r>
        <w:rPr>
          <w:rStyle w:val="FootnoteAnchor"/>
          <w:rtl w:val="true"/>
        </w:rPr>
        <w:footnoteReference w:id="1346"/>
      </w:r>
      <w:r>
        <w:rPr>
          <w:rFonts w:ascii="Amiri" w:hAnsi="Amiri" w:eastAsia="Amiri" w:cs="Amiri"/>
          <w:color w:val="111111"/>
          <w:sz w:val="28"/>
          <w:sz w:val="28"/>
          <w:szCs w:val="28"/>
          <w:rtl w:val="true"/>
          <w:lang w:bidi="ar-SA"/>
        </w:rPr>
        <w:t> الموجِر المطالبة</w:t>
      </w:r>
      <w:r>
        <w:rPr>
          <w:rStyle w:val="FootnoteAnchor"/>
          <w:rtl w:val="true"/>
        </w:rPr>
        <w:footnoteReference w:id="1347"/>
      </w:r>
      <w:r>
        <w:rPr>
          <w:rFonts w:ascii="IRNazanin" w:hAnsi="IRNazanin" w:eastAsia="IRNazanin"/>
          <w:color w:val="111111"/>
          <w:sz w:val="28"/>
          <w:sz w:val="28"/>
          <w:szCs w:val="28"/>
          <w:rtl w:val="true"/>
          <w:lang w:bidi="fa-IR"/>
        </w:rPr>
        <w:t xml:space="preserve">، وبعده لا یجوز   </w:t>
      </w:r>
    </w:p>
    <w:p>
      <w:pPr>
        <w:pStyle w:val="BookText"/>
        <w:rPr/>
      </w:pPr>
      <w:r>
        <w:rPr>
          <w:rFonts w:ascii="IRNazanin" w:hAnsi="IRNazanin" w:eastAsia="IRNazanin"/>
          <w:color w:val="111111"/>
          <w:sz w:val="28"/>
          <w:sz w:val="28"/>
          <w:szCs w:val="28"/>
          <w:rtl w:val="true"/>
          <w:lang w:bidi="fa-IR"/>
        </w:rPr>
        <w:t>للمستأجِر المماطلة، إلّا أن یکون هناک شرط أو عادة فی تقدیم الاُجرة فیتّبع، وإلّا فلا یستحقّ حتّی لو لم یمکن له العمل إلّا بعد أخذ الاُجرة، کما فی حجّ الاستئجاریّ إذا کان الموجِر مُعسِراً، وکذا فی مثل بناء جدار داره، أو حفر بئرٍ فی داره، أو نحو ذلک، فإنّ إتمام العمل تسلیم، ولا یحتاج إلی شیء آخر</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مثل الثوب الّذی أعطاه لیخیطه أو الکتاب الّذی یکتبه أو نحو ذلک ممّا کان العمل فی شیء بید الموجِر فهل یکفی إتمامه فی التسلیم فبمجرّد الإتمام یستحقّ المطالبة، أو لا، إلّا بعد تسلیم مورد العمل</w:t>
      </w:r>
      <w:r>
        <w:rPr>
          <w:rStyle w:val="FootnoteAnchor"/>
          <w:rtl w:val="true"/>
        </w:rPr>
        <w:footnoteReference w:id="134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فقبل أن یُسلِّم الثوب مثلاً لا یستحقّ مطالبة الاُجرة؟ قولان</w:t>
      </w:r>
      <w:r>
        <w:rPr>
          <w:rStyle w:val="FootnoteAnchor"/>
          <w:rtl w:val="true"/>
        </w:rPr>
        <w:footnoteReference w:id="1349"/>
      </w:r>
      <w:r>
        <w:rPr>
          <w:rFonts w:ascii="IRNazanin" w:hAnsi="IRNazanin" w:eastAsia="IRNazanin"/>
          <w:color w:val="111111"/>
          <w:sz w:val="28"/>
          <w:sz w:val="28"/>
          <w:szCs w:val="28"/>
          <w:rtl w:val="true"/>
          <w:lang w:bidi="fa-IR"/>
        </w:rPr>
        <w:t>، أقواهما</w:t>
      </w:r>
      <w:r>
        <w:rPr>
          <w:rStyle w:val="FootnoteAnchor"/>
          <w:rtl w:val="true"/>
        </w:rPr>
        <w:footnoteReference w:id="1350"/>
      </w:r>
      <w:r>
        <w:rPr>
          <w:rFonts w:ascii="Amiri" w:hAnsi="Amiri" w:eastAsia="Amiri" w:cs="Amiri"/>
          <w:color w:val="111111"/>
          <w:sz w:val="28"/>
          <w:sz w:val="28"/>
          <w:szCs w:val="28"/>
          <w:rtl w:val="true"/>
          <w:lang w:bidi="ar-SA"/>
        </w:rPr>
        <w:t>الأوّل</w:t>
      </w:r>
      <w:r>
        <w:rPr>
          <w:rStyle w:val="FootnoteAnchor"/>
          <w:rtl w:val="true"/>
        </w:rPr>
        <w:footnoteReference w:id="1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الفیروزآبادی، 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الثانی، وضابط ذلک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 مالیّة العمل باعتبار نفس صدوره منالعامل، کالعبادات مثلاً وحفر البئر وبناء الجدار وحمل المتاع ونحوه من مکانٍ إلیآخر فالفراغ عن العمل تسلیمه وإن کان الأثر المتولّد منه هو مناط مالیّته کالخیاطةوالقصارة والصیاغة ونحو ذلک، فذلک الأثر یُملَک تبعاً لتملّک العمل، ویتوقّف تسلیمما آجر نفسه له علی تسلیمه بتسلیم مورده علی الأقوی، فلو تلف قبل ذلک بعدالفراغ عن العمل المستأجَر له کالخیاطة مثلاً کان بالنسبة إلی متعلّق الإجارة منالتلف قبل القبض الموجب لانفساخها، ولو أتلفه الموجِر أو الأجنبیّ تخیّر المالکفی فسخ الإجارة، فیستوفی قیمة الثوب غیر مخیطٍ ممّن أتلفه، أو إمضائها، فیستوفیقیمته مخیطاً، ویدفع إلی العامل اُجرة الخیاطة، ویثبت للعامل حقّ حبس العین بعدإتمام العمل إلی أن یستوفی اُجرته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وفی عدم استحقاقه حبس العین، مع عدم تسلیم الاُجرة، وضمانه لو حبسهوتلفه من غیر تفریط إشکال، لا یُترک الاحتیاط بالنسبة إلی الحکم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المستأجِر علیه نفس العمل، والمفروض أنّه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حصل</w:t>
      </w:r>
      <w:r>
        <w:rPr>
          <w:rStyle w:val="FootnoteAnchor"/>
          <w:rtl w:val="true"/>
        </w:rPr>
        <w:footnoteReference w:id="1352"/>
      </w:r>
      <w:r>
        <w:rPr>
          <w:rFonts w:ascii="Amiri" w:hAnsi="Amiri" w:eastAsia="Amiri" w:cs="Amiri"/>
          <w:color w:val="111111"/>
          <w:sz w:val="28"/>
          <w:sz w:val="28"/>
          <w:szCs w:val="28"/>
          <w:rtl w:val="true"/>
          <w:lang w:bidi="ar-SA"/>
        </w:rPr>
        <w:t>، لا الصفة</w:t>
      </w:r>
      <w:r>
        <w:rPr>
          <w:rStyle w:val="FootnoteAnchor"/>
          <w:rtl w:val="true"/>
        </w:rPr>
        <w:footnoteReference w:id="1353"/>
      </w:r>
      <w:r>
        <w:rPr>
          <w:rFonts w:ascii="IRNazanin" w:hAnsi="IRNazanin" w:eastAsia="IRNazanin"/>
          <w:color w:val="111111"/>
          <w:sz w:val="28"/>
          <w:sz w:val="28"/>
          <w:szCs w:val="28"/>
          <w:rtl w:val="true"/>
          <w:lang w:bidi="fa-IR"/>
        </w:rPr>
        <w:t xml:space="preserve"> الحادثة فی الثوب مثلاً وهی المخیطیّة حتّی یقال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فی الثوب، وتسلیمها بتسلیمه</w:t>
      </w:r>
      <w:r>
        <w:rPr>
          <w:rStyle w:val="FootnoteAnchor"/>
          <w:rtl w:val="true"/>
        </w:rPr>
        <w:footnoteReference w:id="1354"/>
      </w:r>
      <w:r>
        <w:rPr>
          <w:rFonts w:ascii="IRNazanin" w:hAnsi="IRNazanin" w:eastAsia="IRNazanin"/>
          <w:color w:val="111111"/>
          <w:sz w:val="28"/>
          <w:sz w:val="28"/>
          <w:szCs w:val="28"/>
          <w:rtl w:val="true"/>
          <w:lang w:bidi="fa-IR"/>
        </w:rPr>
        <w:t>، وعلی ما ذکرنا فلو تلف الثوب مثلاً بعد تمام الخیاطة فی ید الموجِر بلا ضمانٍ یستحقّ اُجرة العمل، بخلافه</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فرق بین القولَین إلّا من ناحیة ثبوت الخیار للمستأجِر؛ إذ علی القول الثانی لهفسخ العقد؛ لأنّ المفروض أنّه لم یسلّم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جریان قاعدة التلف قبل القبض فی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هذا القول أیضاً یستحقّ اُجرة العمل؛ لأنّ المتوقّف علی تسلیم الثوب إنّماهو استحقاق المطالبة، لا أصل استحقاق الاُجرة، کیف وقد ذکر فی أوّل المسألة أنّملکیّة الاُجرة تتحقّق بنفس العقد من دون توقّفٍ علی شیء، ولم یدلّ دلیل هنا علیانفساخ الإجارة؛ لعدم کونه من التلف قبل القبض وتوقّف استحقاق المطالبة علیتسلیم الثوب إنّما هو فیما إذا أمکن، ومع عدمه کما فی المقام یستحقّ المطالبةأیضاً؟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تلف مع ضمانه أو أتلفه وجب علیه قیمته مع وصف المخیطیّة، لا قیمته قبلها، وله الاُجرة المسمّاة، بخلافه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القول الآخر</w:t>
      </w:r>
    </w:p>
    <w:p>
      <w:pPr>
        <w:pStyle w:val="BookText"/>
        <w:rPr/>
      </w:pPr>
      <w:r>
        <w:rPr>
          <w:rFonts w:ascii="IRNazanin" w:hAnsi="IRNazanin" w:eastAsia="IRNazanin"/>
          <w:color w:val="111111"/>
          <w:sz w:val="28"/>
          <w:sz w:val="28"/>
          <w:szCs w:val="28"/>
          <w:rtl w:val="true"/>
          <w:lang w:bidi="fa-IR"/>
        </w:rPr>
        <w:t>فإنّه لا یستحقّ الاُجرة، وعلیه قیمته غیر مخیط</w:t>
      </w:r>
      <w:r>
        <w:rPr>
          <w:rStyle w:val="FootnoteAnchor"/>
          <w:rtl w:val="true"/>
        </w:rPr>
        <w:footnoteReference w:id="1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علیه قیمته مخیطاً علی هذا القول أیضاً؛ فإنّه بهذا الوصف ملک للمستأجِر وإنکان الموجر لا یستحقّ مطالبة الاُجرة علی عمله قبل تسلیمه إلیه؛ وعلی هذا فإذاأعطی الموجر قیمته مخیطاً استحقّ مطالبته باُجرة عمله، فإنّه سلّم العمل إلیه ببدله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علیه قیمته بوصف المخیطیّة؛ لأنّ وصف المخیطیّة مثل أصل العین، والعملیکون ملکاً للمستأجر، وبإعطائه القیمة بوصف المخیطیّة یستحقّ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علیه قیمته مخیطاً علی هذا القول أیضاً، فإذا أعطی قیمته کذلک یستحقّالاُجرة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أنّ علیه قیمته مخیطاً علی القول الثانی أیضاً؛ لکون الثوب مضموناًعلیه بهذه الصفة، فعلی المؤجِر القیمة کذلک، کما أنّ له مطالبة اُجرة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فسخ المستأجِر الإجارة؛ لتعذّر التسلیم، وله أن لا یفسخ، ویأخذ قیمةالثوب مخیطاً، وحینئذٍ فیستحقّ الأجیر 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قیمته مخیطاً؛ لأنّ الثوب بهذا الوصف ملک للمستأجِر، وعدم استحقاقالمؤجِر مطالبة الاُجرة علی عمله قبل تسلیمه؛ إنّما هو لعدم التسلیم، نعم، لو أعطیالمؤجر قیمته مخیطاً استحقّ مطالبة اُجرة عمله؛ لتسلیمه العمل ببدله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علیه قیمته مخیطاً؛ لأنّ الوصف ملک للمستأجِر مثل أصل العین،فیضمن الثوب بهذا الوصف، فلو أعطی قیمته بوصف المخیّطة یستحقّ مطالبةالمستأجِر الاُجرة المعیّنة لعمله؛ لأنّه مسلّم للمؤجِر بدل ملکه، وهو القیمة بالوصفالمذکور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علیه قیمته مخیّطاً، ویستحقّ الاُجرة المسمّاة، کما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اللنکرانی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احتمال عدم استحقاقه الاُجرة مع ضمانه القیمة مع الوصف فبعید</w:t>
      </w:r>
      <w:r>
        <w:rPr>
          <w:rStyle w:val="FootnoteAnchor"/>
          <w:rtl w:val="true"/>
        </w:rPr>
        <w:footnoteReference w:id="1357"/>
      </w:r>
      <w:r>
        <w:rPr>
          <w:rFonts w:ascii="IRNazanin" w:hAnsi="IRNazanin" w:eastAsia="IRNazanin"/>
          <w:color w:val="111111"/>
          <w:sz w:val="28"/>
          <w:sz w:val="28"/>
          <w:szCs w:val="28"/>
          <w:rtl w:val="true"/>
          <w:lang w:bidi="fa-IR"/>
        </w:rPr>
        <w:t>، وإن کان له وجه</w:t>
      </w:r>
      <w:r>
        <w:rPr>
          <w:rStyle w:val="FootnoteAnchor"/>
          <w:rtl w:val="true"/>
        </w:rPr>
        <w:footnoteReference w:id="1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وجیه، بل المتعیّن، فإنّه بهذا الوصف ملک للمستأجِر، نعم، لا یستحقّ المُؤجِرمطالبة الاُجرة قبل أداء القیمة، وأمّا بعد أدائها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 مطالبة الاُجرة فإنّه سلّمالعمل إلیه ببدله، ولکن یمکن أن یقال بأنّ تسلیم بدله من باب الضمان، لا من جهةالمبادلة والمعاملة، والمفروض أنّه ظالمٌ،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لعرق الظالم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الموطّأ لمالک بن أنس </w:t>
      </w:r>
      <w:r>
        <w:rPr>
          <w:rFonts w:eastAsia="IRNazanin" w:cs="IRNazanin"/>
          <w:color w:val="111111"/>
          <w:sz w:val="28"/>
          <w:szCs w:val="28"/>
          <w:rtl w:val="true"/>
          <w:lang w:bidi="fa-IR"/>
        </w:rPr>
        <w:t xml:space="preserve">: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الاُمّ للشافعی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المبسوط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معتنیً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لکنّة غیر وجیه، ولا متّجه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قویّ، لکنّه ضعیف عندنا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صحیح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3284_130910"/>
    </w:p>
    <w:p>
      <w:pPr>
        <w:pStyle w:val="BookText"/>
        <w:rPr/>
      </w:pPr>
      <w:bookmarkEnd w:id="718"/>
      <w:r>
        <w:rPr>
          <w:rFonts w:ascii="Amiri" w:hAnsi="Amiri" w:eastAsia="Amiri" w:cs="Amiri"/>
          <w:color w:val="111111"/>
          <w:sz w:val="28"/>
          <w:sz w:val="28"/>
          <w:szCs w:val="28"/>
          <w:rtl w:val="true"/>
          <w:lang w:bidi="ar-SA"/>
        </w:rPr>
        <w:t>وکذا یتفرّع</w:t>
      </w:r>
      <w:r>
        <w:rPr>
          <w:rStyle w:val="FootnoteAnchor"/>
          <w:rtl w:val="true"/>
        </w:rPr>
        <w:footnoteReference w:id="1359"/>
      </w:r>
      <w:r>
        <w:rPr>
          <w:rFonts w:ascii="IRNazanin" w:hAnsi="IRNazanin" w:eastAsia="IRNazanin"/>
          <w:color w:val="111111"/>
          <w:sz w:val="28"/>
          <w:sz w:val="28"/>
          <w:szCs w:val="28"/>
          <w:rtl w:val="true"/>
          <w:lang w:bidi="fa-IR"/>
        </w:rPr>
        <w:t> علی ما ذکر أنّه لا یجوز</w:t>
      </w:r>
      <w:r>
        <w:rPr>
          <w:rStyle w:val="FootnoteAnchor"/>
          <w:rtl w:val="true"/>
        </w:rPr>
        <w:footnoteReference w:id="1360"/>
      </w:r>
      <w:r>
        <w:rPr>
          <w:rFonts w:ascii="IRNazanin" w:hAnsi="IRNazanin" w:eastAsia="IRNazanin"/>
          <w:color w:val="111111"/>
          <w:sz w:val="28"/>
          <w:sz w:val="28"/>
          <w:szCs w:val="28"/>
          <w:rtl w:val="true"/>
          <w:lang w:bidi="fa-IR"/>
        </w:rPr>
        <w:t> حبس العین</w:t>
      </w:r>
      <w:r>
        <w:rPr>
          <w:rStyle w:val="FootnoteAnchor"/>
          <w:rtl w:val="true"/>
        </w:rPr>
        <w:footnoteReference w:id="1361"/>
      </w:r>
      <w:r>
        <w:rPr>
          <w:rFonts w:ascii="IRNazanin" w:hAnsi="IRNazanin" w:eastAsia="IRNazanin"/>
          <w:color w:val="111111"/>
          <w:sz w:val="28"/>
          <w:sz w:val="28"/>
          <w:szCs w:val="28"/>
          <w:rtl w:val="true"/>
          <w:lang w:bidi="fa-IR"/>
        </w:rPr>
        <w:t> بعد إتمام العمل إلی أن یستوفی الاُجرة؛ فإنّها بیده أمانة؛ إذ لیست هی ولا الصفة الّتی فیها مورداً للمعاوضة، فلو حبسها ضمن، بخلافه</w:t>
      </w:r>
      <w:r>
        <w:rPr>
          <w:rStyle w:val="FootnoteAnchor"/>
          <w:rtl w:val="true"/>
        </w:rPr>
        <w:footnoteReference w:id="1362"/>
      </w:r>
      <w:r>
        <w:rPr>
          <w:rFonts w:ascii="IRNazanin" w:hAnsi="IRNazanin" w:eastAsia="IRNazanin"/>
          <w:color w:val="111111"/>
          <w:sz w:val="28"/>
          <w:sz w:val="28"/>
          <w:szCs w:val="28"/>
          <w:rtl w:val="true"/>
          <w:lang w:bidi="fa-IR"/>
        </w:rPr>
        <w:t> علی القول الآخر</w:t>
      </w:r>
      <w:r>
        <w:rPr>
          <w:rFonts w:eastAsia="IRNazanin" w:cs="IRNazanin"/>
          <w:color w:val="111111"/>
          <w:sz w:val="28"/>
          <w:szCs w:val="28"/>
          <w:rtl w:val="true"/>
          <w:lang w:bidi="fa-IR"/>
        </w:rPr>
        <w:t>.</w:t>
      </w:r>
    </w:p>
    <w:p>
      <w:pPr>
        <w:pStyle w:val="Heading4"/>
        <w:numPr>
          <w:ilvl w:val="3"/>
          <w:numId w:val="1"/>
        </w:numPr>
        <w:rPr/>
      </w:pPr>
      <w:bookmarkStart w:id="719" w:name="__RefHeading___Toc2056021_2322387425"/>
      <w:bookmarkStart w:id="720" w:name="_Toc260"/>
      <w:bookmarkEnd w:id="719"/>
      <w:r>
        <w:rPr>
          <w:rtl w:val="true"/>
        </w:rPr>
        <w:t>تبیّن بطلان الإجارة فی المدّة أو بعدها</w:t>
      </w:r>
      <w:bookmarkEnd w:id="720"/>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تبیّن بطلان الإجارة رجعت الاُجرة إلی المستأجِر، واستحقّ الموجِر اُجرة المِثل بمقدار ما استوفاه المستأجِر من المنفعة، أو فاتت تحت یده إذا کان جاهلاً البطلان، خصوصاً مع علم المستأجِر</w:t>
      </w:r>
      <w:r>
        <w:rPr>
          <w:rStyle w:val="FootnoteAnchor"/>
          <w:rtl w:val="true"/>
        </w:rPr>
        <w:footnoteReference w:id="1363"/>
      </w:r>
      <w:r>
        <w:rPr>
          <w:rFonts w:ascii="Amiri" w:hAnsi="Amiri" w:eastAsia="Amiri" w:cs="Amiri"/>
          <w:color w:val="111111"/>
          <w:sz w:val="28"/>
          <w:sz w:val="28"/>
          <w:szCs w:val="28"/>
          <w:rtl w:val="true"/>
          <w:lang w:bidi="ar-SA"/>
        </w:rPr>
        <w:t xml:space="preserve">، وأمّا              </w:t>
      </w:r>
    </w:p>
    <w:p>
      <w:pPr>
        <w:pStyle w:val="BookText"/>
        <w:rPr/>
      </w:pPr>
      <w:r>
        <w:rPr>
          <w:rFonts w:ascii="IRNazanin" w:hAnsi="IRNazanin" w:eastAsia="IRNazanin"/>
          <w:color w:val="111111"/>
          <w:sz w:val="28"/>
          <w:sz w:val="28"/>
          <w:szCs w:val="28"/>
          <w:rtl w:val="true"/>
          <w:lang w:bidi="fa-IR"/>
        </w:rPr>
        <w:t>إذا کان عالماً فیشکل</w:t>
      </w:r>
      <w:r>
        <w:rPr>
          <w:rStyle w:val="FootnoteAnchor"/>
          <w:rtl w:val="true"/>
        </w:rPr>
        <w:footnoteReference w:id="1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أثر لعلم المُؤجِر بالفساد فی سقوط الضمان؛ فإنّ المعاملات عرفیّة یقصد فیهاتحقّق المعانی العرفیّة، ولا تأثیر للعلم والجهل بفسادها فی معنی المعاملة، حتّی أنّالمتدیّن المقدّس لا یقصد المعاملة إلّا بمعناها العرفی، وعلی مایقصده غیره،والأحکام الشرعیّة للمعاملات خارجة عن معنی المعاملة، وبدیهیّ أنّ العالِم بفسادالمعاملة شرعاً لا یقصد الهبة والمجّانیّة فی مورد المعاملة مجّاناً، فلا یمکن القولبحلّیّة ثمن الخمر أو اُجرة الزانیة أو المأخوذ بالربا والقمار فی صورة علم الدافعبالفساد شرعاً، وکیف یمکن القول بقصد الدافع العالِم فی المعاملات الفاسدةالتسلیط المجّانیّ، مع أنّه ربّما یساوم ویصرّ فی تقلیل الثمن؟ وأمّا سقوط الضمانفی الإجارة بلا عوض، أو بما لا یتموّل فغیر مربوطٍ بالعلم والجهل، وإنّما هو منأجل عدم جعل الاُجرة، سواء کان عالِماً بالفساد أم جاهلاً، وقول الماتن وإن کانالمراد تقییده بتحقّقها الإنشائیّة فهو حاصل علی خلاف مقصوده أدلّ، فإذا کانتحقّقها بالإنشاء حاصلاً فی نظره واعتباره فإذنه فی التصرّف مبنیّ علی اعتباره مالالمستأجِر، فهو یأذن للمستأجِر فی التصرّف فی مالٍ اعتبره وزعمه ملکاً للمستأجِر،ولم یأذنه فی التصرّف فی مال نفسه ـ أی المؤجِر ـ حتّی یکون مجّاناً، ویعلم ممّاذکرناه حال الإجارة علی الأعمال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تحقّق الضمان إلّا فی صورة قصد المجّانیّة والتبرّع، وعلی هذا الأساسبَنَوا علی ضمان المقبوض بالعقد الفاسد، ولا فرق فی هذه الجهة بین المُؤجِروالمستأجِر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w:t>
      </w:r>
    </w:p>
    <w:p>
      <w:pPr>
        <w:pStyle w:val="BookText"/>
        <w:rPr/>
      </w:pPr>
      <w:r>
        <w:rPr>
          <w:rFonts w:ascii="IRNazanin" w:hAnsi="IRNazanin" w:eastAsia="IRNazanin"/>
          <w:color w:val="111111"/>
          <w:sz w:val="28"/>
          <w:sz w:val="28"/>
          <w:szCs w:val="28"/>
          <w:rtl w:val="true"/>
          <w:lang w:bidi="fa-IR"/>
        </w:rPr>
        <w:t>ضمان</w:t>
      </w:r>
      <w:r>
        <w:rPr>
          <w:rStyle w:val="FootnoteAnchor"/>
          <w:rtl w:val="true"/>
        </w:rPr>
        <w:footnoteReference w:id="1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الضمان فی غیر الإجارة بلا عوض، أو بما لا یتموّل عرفاً، من غیرالفرق فیهما بین العلم بالبطلان وعدمه، ومن هنا یظهر حال الاُجرة فی ید الموجِر؛فإنّ علیه الضمان، علم المستأجِر ببطلانها شرعاً، أوْ لا، وکذا یظهر ممّا ذکرنا حالالإجارة علی الأعمال، فإنّ العامل یستحقّ اُجرة مثل عمله إلّا فیما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الفرق بین الجاهل والعالم فی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الأقوی هو الضمان؛ لأنّه لم یسلِّطه علی المنفعة مجّاناً حتّی یکون خارجاًمن أدلّة الضمانات، فلم یهتک حرمة ماله بحسب بنائه العرفیّ وإن علم فساده شرعاً،نعم، یتمّ ذلک فی الإجارة بلا اُجرة، بل وفیما إذا کانت الاُجرة مال الغیر، فإنّ تسلیطهللمستأجر الفضولیّ علی منفعة ماله یکون مجّانیّاً بالنسبة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ضمانه للمنفعة، کضمان المؤجِر للاُجرة مع علم المستأجِر، وکذا فیالإجارة علی العمل، إلّا فی الإجارة بلا 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یضمن مطلقاً، إلّا إذا تحقّق إقدام عرفیّ معتبر علی المجّانیّة بحیث لم یبقَ فیالبین محلّ تردّد وخصومة فی تحقّق عنوان المجّانیّة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السبزواری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منع، وکذا الفرع التالی، والأقرب الضمان فی کلّ موردٍ لم یسلِّطالمؤجِر المستأجر تسلیطاً مجّانیّاً إلّا فیما خرج بدلیلٍ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کالزنا والربا والقمار ونحوها،والتفصیل فی 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الضمان، من غیر فرقٍ بین جهله وعلمه، نعم، فی الإجارة بلا اُجرةالأظهر عدم الضمان، وکذا لو جعل الاُجرة ما لا یتموّل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w:t>
      </w:r>
    </w:p>
    <w:p>
      <w:pPr>
        <w:pStyle w:val="BookText"/>
        <w:rPr/>
      </w:pPr>
      <w:r>
        <w:rPr>
          <w:rFonts w:ascii="Amiri" w:hAnsi="Amiri" w:eastAsia="Amiri" w:cs="Amiri"/>
          <w:color w:val="111111"/>
          <w:sz w:val="28"/>
          <w:sz w:val="28"/>
          <w:szCs w:val="28"/>
          <w:rtl w:val="true"/>
          <w:lang w:bidi="ar-SA"/>
        </w:rPr>
        <w:t>خصوصاً</w:t>
      </w:r>
      <w:r>
        <w:rPr>
          <w:rStyle w:val="FootnoteAnchor"/>
          <w:rtl w:val="true"/>
        </w:rPr>
        <w:footnoteReference w:id="1366"/>
      </w:r>
      <w:r>
        <w:rPr>
          <w:rFonts w:ascii="IRNazanin" w:hAnsi="IRNazanin" w:eastAsia="IRNazanin"/>
          <w:color w:val="111111"/>
          <w:sz w:val="28"/>
          <w:sz w:val="28"/>
          <w:szCs w:val="28"/>
          <w:rtl w:val="true"/>
          <w:lang w:bidi="fa-IR"/>
        </w:rPr>
        <w:t> إذا کان جاهلاً</w:t>
      </w:r>
      <w:r>
        <w:rPr>
          <w:rStyle w:val="FootnoteAnchor"/>
          <w:rtl w:val="true"/>
        </w:rPr>
        <w:footnoteReference w:id="1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الضمان، إلّا فیما إذا أقدم الموجِر أو الأجیر علی عدمه، وکذا الحال فیضمان الموجِر أو الأجیر الاُجرة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لم یظهر وجه للخصوصیّة فی شیءٍ منالموردَین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لهذه الخصوصیّة، والأقرب ضمان المستأجِر للمنفعة، کضمان المؤجِرللاُجرة فی الفرض الآتی، وهکذا فی الإجارة علی العمل، نعم، فی الإجارة بلا اُجرةالأقرب عدم الضمان، ویشکل الضمان لو جعل الاُجرة مالاً یتموّل شرعاً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عدم الفرق بین العالِم والجاهل فی الضمان؛لعموم قاعدة الید،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یضمن بصحیحه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وغیرهما، فهو لم یسلِّطهعلی المنفعة مجّاناً حتّی یکون مخصّصاً للعموم، ولم یعلم هتک حرمة ماله بحسببنائه العرفی، والعلم بالفساد شرعاً لا یقتضی الهتک، ولا سقوط الضمان وإن جعلالاُجرة ممّا لا یتموّل شرعاً کالخمر، کما هو الحال فی سائر المعاوضات، فالتسلیطبالعوض یقتضی الضمان إلّا أن یفرض الإجارة بلا عوض أو جعل الاُجرة ممّا لایتموّل عرفاً لبعض الحشرات، فحینئذٍ لا ضمان للمستأجِر، سواء کان عالماً بالفسادأم جاهلاً به أیضاً،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 بتسلیمه العین إلیه قد</w:t>
      </w:r>
    </w:p>
    <w:p>
      <w:pPr>
        <w:pStyle w:val="BookText"/>
        <w:rPr/>
      </w:pPr>
      <w:r>
        <w:rPr>
          <w:rFonts w:ascii="IRNazanin" w:hAnsi="IRNazanin" w:eastAsia="IRNazanin"/>
          <w:color w:val="111111"/>
          <w:sz w:val="28"/>
          <w:sz w:val="28"/>
          <w:szCs w:val="28"/>
          <w:rtl w:val="true"/>
          <w:lang w:bidi="fa-IR"/>
        </w:rPr>
        <w:t>هتک</w:t>
      </w:r>
      <w:r>
        <w:rPr>
          <w:rStyle w:val="FootnoteAnchor"/>
          <w:rtl w:val="true"/>
        </w:rPr>
        <w:footnoteReference w:id="1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لأنّه غیر متبرّعٍ بالنسبة إلی ماله، ولم یملکه مجّاناً، بل ملکه بالمعاوضةالعرفیّة، ولا یضرّها العلم بالفساد شرعاً، فتشملها أدلّة الضمان علی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تسلیم العین فی المعاملات الفاسدة شرعاً لیس موجباً لهتک حرمة المال ورفعالید عمّا هو مقتضی احترامه، ضرورة أنّ الإقدام والإذن إنّما هو بعنوان تلکالمعاملة، غایة الأمر أنّه مع العلم بالفساد شرعاً لا یقصد إلّا ما هو معناها بنظرالعرف، بل فی صورة الصحّة أیضاً لا یکون المقصود إلّا المعنی العرفیّ للمعاملة،وعلیه فالإقدام مع العلم بالفساد لا یکون موجباً للهتک رافعاً للضمان، نعم، فیما إذاکان الفساد لأجل عدم الاُجرة أو کونها غیر متموّلة عند العرف یکون الإقداممساوقاً للهتک ورافعاً للضمان، سواء کان ذلک مع العلم بالفساد أم مع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w:t>
      </w:r>
    </w:p>
    <w:p>
      <w:pPr>
        <w:pStyle w:val="BookText"/>
        <w:rPr/>
      </w:pPr>
      <w:r>
        <w:rPr>
          <w:rFonts w:ascii="Amiri" w:hAnsi="Amiri" w:eastAsia="Amiri" w:cs="Amiri"/>
          <w:color w:val="111111"/>
          <w:sz w:val="28"/>
          <w:sz w:val="28"/>
          <w:szCs w:val="28"/>
          <w:rtl w:val="true"/>
          <w:lang w:bidi="ar-SA"/>
        </w:rPr>
        <w:t>حرمة ماله</w:t>
      </w:r>
      <w:r>
        <w:rPr>
          <w:rStyle w:val="FootnoteAnchor"/>
          <w:rtl w:val="true"/>
        </w:rPr>
        <w:footnoteReference w:id="1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 التسلیم بعنوان الوفاء فی المعاملات الفاسدة هتکاً لحرمة المال ومُسقطاًللضمان تأمّل، بل منع؛ فإنّ أکل المال مبنیّاً علیها مصداق للأکل بالباطل حتّی فیالإجارة بلا عوض أو بعوض لا یتموّل شرعاً أو عرفاً، فالأقوی هو الضمان مطلقاً،إلّا إذا کان المستأجِر مغروراً، وکذلک الحکم فی الاُجرة إذا تلفت فی ید الموجِر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خصوصاً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للتعبیر بالخصوصیّة بعد ما دریت أنّ المعیار فی الضمان وعدمه هو التبرّعوعدمه، فالموردان من موارد التبرّع فی صورة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البطلان من جهة جعل الاُجرة ما لا یتموّل شرعاً أو عرفاً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إذا کان 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عوض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آجَره بلا اُجرة فلا ضمان، سواء کان عالماً بالفساد أم جاهلاً به، وکذا إذاجعلها ما لا یُتموّل عرفاً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اختصاص عدم الضمان بهذه الصورة، وبما لو جعل الاُجرة ما لا یتموّلعرفاً فقط دون غیرهما، کما هو الحال فی سائر المعاوضات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مرجعه إلی المجّانیّة، فیکون استثناءً منقطعاً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أنّ إقدامه وإذنه فی الاستیفاء إنّما هو بعنوان الإجارة، والمفروض عدم تحقّقها فإذنه مقیّد بما لم یتحقّق مدفوعة،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کونه مقیّداً بالتحقّق شرعاً فممنوع؛ إذ مع فرض العلم بعدم الصحّة شرعاً لا یعقل قصد تحقّقه إلّا علی وجه التشریع المعلوم عدمه، وإن کان المراد تقیّده بتحقّقها الإنشائیّة فهو حاصل</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یظهر حال الاُجرة</w:t>
      </w:r>
      <w:r>
        <w:rPr>
          <w:rStyle w:val="FootnoteAnchor"/>
          <w:rtl w:val="true"/>
        </w:rPr>
        <w:footnoteReference w:id="1371"/>
      </w:r>
      <w:r>
        <w:rPr>
          <w:rFonts w:ascii="Amiri" w:hAnsi="Amiri" w:eastAsia="Amiri" w:cs="Amiri"/>
          <w:color w:val="111111"/>
          <w:sz w:val="28"/>
          <w:sz w:val="28"/>
          <w:szCs w:val="28"/>
          <w:rtl w:val="true"/>
          <w:lang w:bidi="ar-SA"/>
        </w:rPr>
        <w:t> أیضاً</w:t>
      </w:r>
      <w:r>
        <w:rPr>
          <w:rStyle w:val="FootnoteAnchor"/>
          <w:rtl w:val="true"/>
        </w:rPr>
        <w:footnoteReference w:id="1372"/>
      </w:r>
      <w:r>
        <w:rPr>
          <w:rFonts w:ascii="IRNazanin" w:hAnsi="IRNazanin" w:eastAsia="IRNazanin"/>
          <w:color w:val="111111"/>
          <w:sz w:val="28"/>
          <w:sz w:val="28"/>
          <w:szCs w:val="28"/>
          <w:rtl w:val="true"/>
          <w:lang w:bidi="fa-IR"/>
        </w:rPr>
        <w:t>، فإنّها لو تلفت فی ید الموجِر یضمن عوضها، إلّا إذا کان المستأجِر</w:t>
      </w:r>
      <w:r>
        <w:rPr>
          <w:rStyle w:val="FootnoteAnchor"/>
          <w:rtl w:val="true"/>
        </w:rPr>
        <w:footnoteReference w:id="1373"/>
      </w:r>
      <w:r>
        <w:rPr>
          <w:rFonts w:ascii="Amiri" w:hAnsi="Amiri" w:eastAsia="Amiri" w:cs="Amiri"/>
          <w:color w:val="111111"/>
          <w:sz w:val="28"/>
          <w:sz w:val="28"/>
          <w:szCs w:val="28"/>
          <w:rtl w:val="true"/>
          <w:lang w:bidi="ar-SA"/>
        </w:rPr>
        <w:t> عالماً</w:t>
      </w:r>
      <w:r>
        <w:rPr>
          <w:rStyle w:val="FootnoteAnchor"/>
          <w:rtl w:val="true"/>
        </w:rPr>
        <w:footnoteReference w:id="13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الأظهر فیه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ببطلان</w:t>
      </w:r>
      <w:r>
        <w:rPr>
          <w:rStyle w:val="FootnoteAnchor"/>
          <w:rtl w:val="true"/>
        </w:rPr>
        <w:footnoteReference w:id="1375"/>
      </w:r>
      <w:r>
        <w:rPr>
          <w:rFonts w:ascii="Amiri" w:hAnsi="Amiri" w:eastAsia="Amiri" w:cs="Amiri"/>
          <w:color w:val="111111"/>
          <w:sz w:val="28"/>
          <w:sz w:val="28"/>
          <w:szCs w:val="28"/>
          <w:rtl w:val="true"/>
          <w:lang w:bidi="ar-SA"/>
        </w:rPr>
        <w:t> الإجارة</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فیه أیضاً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عدم الفرق فی عدم الضمان فی الاُجرة أیضاً بین کونه عالماً أو جاهلاًإذا کانت ممّا لا یتموّل عرفاً، وأمّا فی غیر ذلک فالظاهر الضمان، سواء کان عالماًبالفساد أم جاهلاً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 ذلک دفعها إلیه، نعم، إذا کانت موجودةً له أن یستردّها، هذا، وکذا فی الإجارة علی الأعمال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باطلةً یستحقّ العامل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لعمله دون المسمّاة إذا کان جاهلاً بالبطلان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وأمّا إذا کان عالماً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ذکرنا أنّ العالم أیضاً یستحقّ اُجرة المثل، إلّا فی ما إذا کان الفسادناشئاً من عدم جعل الاُجرة، أو کونها غیر متموّلة لدی 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هو المتبرّع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إذا کان إتیان العمل بأمر المستأجِر ووفاءً بالعقد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الکلام فی إجارة الأعمال هو الکلام فی إجارة المنافع، فلا فرق بین کونه عالماًأو جاهلاً، کما عرفت من التفصیل، فلیس هو متبرّع بعمله فیضمن إلّا إذا آجَر نفسهللعمل فلا اُجرة، أو جعل الاُجرة ممّا لا یتموّل عرفاً فلا ضمان حینئذٍ، سواء کانعالماً به أم جاهلاً،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بعمله</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المدار فی عدم الضمان إنّما هو علی إهدار العامل مالیّة عمله، فإذاکان العمل صادراً عنه بأمرٍ استیفائیٍّ من المستأجِر لم یکن العامل مُهدِراً لمالیّةعمله، وإن کان عالماً بأنّ الأمر المعاملی المذکور غیر ممضیً شرعاً؛ لِما عرفت منأنّ استناد العمل إلی المستأجِر حافظ لحرمة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الإجارة بلا اُجرةأو کانت بما لا یتموّل عرفاً أو شرعاً فلا 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ظهر ممّا أسلفناه أنّ الأظهر الضمان؛ فإنّه لیس بمتبرّعٍ بعمله، فیستحقّ اُجرةالمثل لعمله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للمستأجِر مطالبة الاُجرة المسمّاة وعلیه اُجرة المثل، نعم، لاضمان فیما لو کانت الإجارة بلا اُجرة، أو بما لا یتموّل عرفاً ولا شرعاً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التبرّع من العناوین القصدیّة، فلا یتحقّق ما لم یقصد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یکون متبرّعاً لو آجر نفسه بلا اُجرة، ولا تبرّع فی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سواء کان بأمرٍ من 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لا، فیجب</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21" w:name="pg13284_130919"/>
    </w:p>
    <w:p>
      <w:pPr>
        <w:pStyle w:val="BookText"/>
        <w:rPr/>
      </w:pPr>
      <w:bookmarkEnd w:id="721"/>
      <w:r>
        <w:rPr>
          <w:rFonts w:ascii="IRNazanin" w:hAnsi="IRNazanin" w:eastAsia="IRNazanin"/>
          <w:color w:val="111111"/>
          <w:sz w:val="28"/>
          <w:sz w:val="28"/>
          <w:szCs w:val="28"/>
          <w:rtl w:val="true"/>
          <w:lang w:bidi="fa-IR"/>
        </w:rPr>
        <w:t>علیه</w:t>
      </w:r>
      <w:r>
        <w:rPr>
          <w:rStyle w:val="FootnoteAnchor"/>
          <w:rtl w:val="true"/>
        </w:rPr>
        <w:footnoteReference w:id="1378"/>
      </w:r>
      <w:r>
        <w:rPr>
          <w:rFonts w:ascii="Amiri" w:hAnsi="Amiri" w:eastAsia="Amiri" w:cs="Amiri"/>
          <w:color w:val="111111"/>
          <w:sz w:val="28"/>
          <w:sz w:val="28"/>
          <w:szCs w:val="28"/>
          <w:rtl w:val="true"/>
          <w:lang w:bidi="ar-SA"/>
        </w:rPr>
        <w:t> ردّ الاُجرة المسمّاة، أو عوضها، ولا یستحقّ اُجرة</w:t>
      </w:r>
      <w:r>
        <w:rPr>
          <w:rStyle w:val="FootnoteAnchor"/>
          <w:rtl w:val="true"/>
        </w:rPr>
        <w:footnoteReference w:id="1379"/>
      </w:r>
      <w:r>
        <w:rPr>
          <w:rFonts w:ascii="IRNazanin" w:hAnsi="IRNazanin" w:eastAsia="IRNazanin"/>
          <w:color w:val="111111"/>
          <w:sz w:val="28"/>
          <w:sz w:val="28"/>
          <w:szCs w:val="28"/>
          <w:rtl w:val="true"/>
          <w:lang w:bidi="fa-IR"/>
        </w:rPr>
        <w:t>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کان المستأجِر أیضاً عالماً</w:t>
      </w:r>
      <w:r>
        <w:rPr>
          <w:rStyle w:val="FootnoteAnchor"/>
          <w:rtl w:val="true"/>
        </w:rPr>
        <w:footnoteReference w:id="1380"/>
      </w:r>
      <w:r>
        <w:rPr>
          <w:rFonts w:ascii="IRNazanin" w:hAnsi="IRNazanin" w:eastAsia="IRNazanin"/>
          <w:color w:val="111111"/>
          <w:sz w:val="28"/>
          <w:sz w:val="28"/>
          <w:szCs w:val="28"/>
          <w:rtl w:val="true"/>
          <w:lang w:bidi="fa-IR"/>
        </w:rPr>
        <w:t> فلیس</w:t>
      </w:r>
      <w:r>
        <w:rPr>
          <w:rStyle w:val="FootnoteAnchor"/>
          <w:rtl w:val="true"/>
        </w:rPr>
        <w:footnoteReference w:id="1381"/>
      </w:r>
      <w:r>
        <w:rPr>
          <w:rFonts w:ascii="Amiri" w:hAnsi="Amiri" w:eastAsia="Amiri" w:cs="Amiri"/>
          <w:color w:val="111111"/>
          <w:sz w:val="28"/>
          <w:sz w:val="28"/>
          <w:szCs w:val="28"/>
          <w:rtl w:val="true"/>
          <w:lang w:bidi="ar-SA"/>
        </w:rPr>
        <w:t> له مطالبة</w:t>
      </w:r>
      <w:r>
        <w:rPr>
          <w:rStyle w:val="FootnoteAnchor"/>
          <w:rtl w:val="true"/>
        </w:rPr>
        <w:footnoteReference w:id="1382"/>
      </w:r>
      <w:r>
        <w:rPr>
          <w:rFonts w:ascii="Amiri" w:hAnsi="Amiri" w:eastAsia="Amiri" w:cs="Amiri"/>
          <w:color w:val="111111"/>
          <w:sz w:val="28"/>
          <w:sz w:val="28"/>
          <w:szCs w:val="28"/>
          <w:rtl w:val="true"/>
          <w:lang w:bidi="ar-SA"/>
        </w:rPr>
        <w:t> الاُجرة</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المطالبة بها مطلقاً، ویجب علیه رفع اُجرة عمل المؤجِر لو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المطالبة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المطالبة لما أعطاه؛ وفاءً للعقد الفاسد عیناً وبدلاً،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تلک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المطالبة، سواء تلف أم لا، فلو أتی المؤجِر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دفع اُجرة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تلفها ولو مع عدم العمل من الموجِر</w:t>
      </w:r>
      <w:r>
        <w:rPr>
          <w:rFonts w:eastAsia="IRNazanin" w:cs="IRNazanin"/>
          <w:color w:val="111111"/>
          <w:sz w:val="28"/>
          <w:szCs w:val="28"/>
          <w:rtl w:val="true"/>
          <w:lang w:bidi="fa-IR"/>
        </w:rPr>
        <w:t>.</w:t>
      </w:r>
    </w:p>
    <w:p>
      <w:pPr>
        <w:pStyle w:val="Heading4"/>
        <w:numPr>
          <w:ilvl w:val="3"/>
          <w:numId w:val="1"/>
        </w:numPr>
        <w:rPr/>
      </w:pPr>
      <w:bookmarkStart w:id="722" w:name="__RefHeading___Toc2056023_2322387425"/>
      <w:bookmarkStart w:id="723" w:name="_Toc261"/>
      <w:bookmarkEnd w:id="722"/>
      <w:r>
        <w:rPr>
          <w:rtl w:val="true"/>
        </w:rPr>
        <w:t>إجارة الملک المشاع بإذن من الشریک فی التسلیم </w:t>
      </w:r>
      <w:bookmarkEnd w:id="72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إجارة المُشاعِ، کما یجوز بیعه وصلحه وهبته، </w:t>
      </w:r>
    </w:p>
    <w:p>
      <w:pPr>
        <w:pStyle w:val="BookText"/>
        <w:rPr/>
      </w:pPr>
      <w:r>
        <w:rPr>
          <w:rFonts w:ascii="IRNazanin" w:hAnsi="IRNazanin" w:eastAsia="IRNazanin"/>
          <w:color w:val="111111"/>
          <w:sz w:val="28"/>
          <w:sz w:val="28"/>
          <w:szCs w:val="28"/>
          <w:rtl w:val="true"/>
          <w:lang w:bidi="fa-IR"/>
        </w:rPr>
        <w:t>ولکن لا یجوز</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لا یلازم عدم صحّة التسلیم، فإذا عصی وسلّم من دون إذن الشریک یترتّبعلی التسلیم جمیع آثاره وإن کان محرّماً موجباً للضمان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تسلیمه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الشریک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مشترکاً، نعم، إذا کان المستأجر جاهلاً بکونه مشترکاً کان له خیار الفسخ للشرکة، وذلک کما إذا آجره نصف داره فتبیّن أنّ نصفها للغیر، ولم یُجِزْ ذلک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فإنّ له خیار الشرکة، بل وخیار التبعّض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آجره نصف الدار مشاعاً وکان المستأجِر معتقداً أنّ تمام الدار له فیکون شریکاً معه فی منفعتها، فتبیّن أنّ النصف الآخر مال الغیر فالشرکة مع ذلک الغیر، ففی ثبوت الخیار له حینئذٍ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أقواهما العدم، إلّا مع تخلّف شرطٍ ضمنیٍّ أو غَبنٍ أو ضررٍ أو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مهدیالشیرازی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الخیار له بمطلق المنفعة لا یخلو من نظر وإشکال، إلّا أن یکون ظاهرکلامه أنّه هو الشریک فیکون من قبیل الشرط الضمنی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أقواهما العدم، إلّا مع تخلّف شرطٍ ضمنیٍّ، أو لزوم غَبنٍ أو ضرر، أو لزوم عیب،أمّا إن کان موجباً للحرج ففیه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لا یبعد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إلّا إذا کان الموجِر أخبره بکونه بتمامه له، أو کان کلامه ظاهراً فیهبحیث کانت المعاملة مبنیّةً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إلّا فیما إذا عُدّت العین معیبةً مع تلک الشرکة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حاشیة اُخری منه ؛ فی نسخةٍ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بعید، إلّا فیما إذا شرط الخیار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بعید، إلّا إذا أوجبت الشرکة نقصاً فی العین بحیث عُدّت معیوبة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اختلاف ذلک باختلاف الموارد، فیثبت الخیار فی موارد تخلّف الأغراضالنوعیّة العقلائیّة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بعید، نعم، إذا وقعت المعاملة مبنیّةً علی کونه بتمامه له وأنّه شریکه ثبتالخیار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ثبوت خیار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کانت المعاملة مبنیّةً علی کونه شریکاً معه، سواء کانهذا المعنی مستفاداً من ظاهر کلامه أم من إخباره بکون تمام الدار معه، أو کانت فیالشرکة مع الغیر منقصة أو حرجاً ومضرّة علیه فحینئذٍ ثبوت الخیار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w:t>
      </w:r>
      <w:r>
        <w:rPr>
          <w:rStyle w:val="FootnoteAnchor"/>
          <w:rtl w:val="true"/>
        </w:rPr>
        <w:footnoteReference w:id="1385"/>
      </w:r>
      <w:r>
        <w:rPr>
          <w:rFonts w:ascii="IRNazanin" w:hAnsi="IRNazanin" w:eastAsia="IRNazanin"/>
          <w:color w:val="111111"/>
          <w:sz w:val="28"/>
          <w:sz w:val="28"/>
          <w:szCs w:val="28"/>
          <w:rtl w:val="true"/>
          <w:lang w:bidi="fa-IR"/>
        </w:rPr>
        <w:t> فی الشرکة مع ذلک الغیر منقصة</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یعدّ العین معیبة، وإلّا یشکل الجزم بالخیار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النقص المالیّ الراجع إلی الغَبن فی المعاملة ثبوت الخیار منظور فیه؛ إذ هو حینئذٍ من قبیل تخلّف الداعی، اللهمّ إلّا أن یجعل مثل هذه الخصوصیّات نظیرالأوصاف من الشرائط الضمنیّة الارتکازیّة وفیه نظر بعد عدم ظهورٍ فی تعلّق العقدبالخصوصیّة کی به یستکشف تعلّق غرضه الأقصی بمقتضی نفس عقده به، وبمثلهذه الجهة ربّما یفرق بین الأوصاف المأخوذة فی المبیع وغیرها، کما هو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یوجب الغَبن، أو ضرراً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ضرراً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موجبة للغَبن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عدّت معیوبةً أو صارت موجبةً للغَبن، وأمّا مجرّد کونها منقصةً بالإضافةإلی المستأجِر من دون أحد القیدَین فلا یوجب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3284_130922"/>
    </w:p>
    <w:p>
      <w:pPr>
        <w:pStyle w:val="Heading4"/>
        <w:numPr>
          <w:ilvl w:val="3"/>
          <w:numId w:val="1"/>
        </w:numPr>
        <w:rPr/>
      </w:pPr>
      <w:bookmarkStart w:id="725" w:name="__RefHeading___Toc2056025_2322387425"/>
      <w:bookmarkStart w:id="726" w:name="_Toc262"/>
      <w:bookmarkEnd w:id="724"/>
      <w:bookmarkEnd w:id="725"/>
      <w:r>
        <w:rPr>
          <w:rtl w:val="true"/>
        </w:rPr>
        <w:t>استئجار اثنین داراً علی الإشاعة أو بالتناوب</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باستئجار</w:t>
      </w:r>
      <w:r>
        <w:rPr>
          <w:rStyle w:val="FootnoteAnchor"/>
          <w:rtl w:val="true"/>
        </w:rPr>
        <w:footnoteReference w:id="1387"/>
      </w:r>
      <w:r>
        <w:rPr>
          <w:rFonts w:ascii="IRNazanin" w:hAnsi="IRNazanin" w:eastAsia="IRNazanin"/>
          <w:color w:val="111111"/>
          <w:sz w:val="28"/>
          <w:sz w:val="28"/>
          <w:szCs w:val="28"/>
          <w:rtl w:val="true"/>
          <w:lang w:bidi="fa-IR"/>
        </w:rPr>
        <w:t> اثنینِ داراً علی الإشاعة ثمّ یقتسمان مساکنها بالتراضی، أو بالقرعة</w:t>
      </w:r>
      <w:r>
        <w:rPr>
          <w:rStyle w:val="FootnoteAnchor"/>
          <w:rtl w:val="true"/>
        </w:rPr>
        <w:footnoteReference w:id="1388"/>
      </w:r>
      <w:r>
        <w:rPr>
          <w:rFonts w:ascii="IRNazanin" w:hAnsi="IRNazanin" w:eastAsia="IRNazanin"/>
          <w:color w:val="111111"/>
          <w:sz w:val="28"/>
          <w:sz w:val="28"/>
          <w:szCs w:val="28"/>
          <w:rtl w:val="true"/>
          <w:lang w:bidi="fa-IR"/>
        </w:rPr>
        <w:t>، وکذا یجوز استئجار اثنین دابّةً للرکوب علی التناوب، ثمّ یتّفقان علی قرار بینهما بالتعیین بفرسخ فرسخ، أو غیر ذلک، وإذا اختلفا فی المبتدَأ یرجعان إلی القرعة، وکذا یجوز استئجار اثنین دابّةً مثلاً لا علی وجه الإشاعة، بل نُوَباً معیّنةً بالمدّة أو بالفراسخ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إجارة اثنین نفسهما علی عملٍ معیّنٍ علی وجه الشرکة</w:t>
      </w:r>
      <w:r>
        <w:rPr>
          <w:rStyle w:val="FootnoteAnchor"/>
          <w:rtl w:val="true"/>
        </w:rPr>
        <w:footnoteReference w:id="13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المراد من العبارة أن یکون مجموع شخصَین طرف العقد یشکل الجزمبالصحّة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هذا من قبیل الشرکة فی الأبدان الغیر الجائزة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کحمل شیءٍ معیّنٍ</w:t>
      </w:r>
      <w:bookmarkStart w:id="727" w:name="pg13284_130923"/>
    </w:p>
    <w:p>
      <w:pPr>
        <w:pStyle w:val="BookText"/>
        <w:rPr/>
      </w:pPr>
      <w:bookmarkEnd w:id="727"/>
      <w:r>
        <w:rPr>
          <w:rFonts w:ascii="Amiri" w:hAnsi="Amiri" w:eastAsia="Amiri" w:cs="Amiri"/>
          <w:color w:val="111111"/>
          <w:sz w:val="28"/>
          <w:sz w:val="28"/>
          <w:szCs w:val="28"/>
          <w:rtl w:val="true"/>
          <w:lang w:bidi="ar-SA"/>
        </w:rPr>
        <w:t>لا یمکن إلّا بالمتعدّد</w:t>
      </w:r>
      <w:r>
        <w:rPr>
          <w:rStyle w:val="FootnoteAnchor"/>
          <w:rtl w:val="true"/>
        </w:rPr>
        <w:footnoteReference w:id="1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جدوی فی هذا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Heading4"/>
        <w:numPr>
          <w:ilvl w:val="3"/>
          <w:numId w:val="1"/>
        </w:numPr>
        <w:rPr/>
      </w:pPr>
      <w:bookmarkStart w:id="728" w:name="__RefHeading___Toc2056027_2322387425"/>
      <w:bookmarkStart w:id="729" w:name="_Toc263"/>
      <w:bookmarkEnd w:id="728"/>
      <w:r>
        <w:rPr>
          <w:rtl w:val="true"/>
        </w:rPr>
        <w:t>شرطیّة اتّصال مدّة الإجارة بالعقد</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یشترط اتّصال مدّة الإجارة بالعقد علی الأقوی، فیجوز أن یوجِره داره شهراً متأخّراً عن العقد بشهر أو سنة، سواء کانت مستأجَرة فی ذلک الشهر الفاصل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البطلان من جهة</w:t>
      </w:r>
      <w:r>
        <w:rPr>
          <w:rStyle w:val="FootnoteAnchor"/>
          <w:rtl w:val="true"/>
        </w:rPr>
        <w:footnoteReference w:id="1391"/>
      </w:r>
      <w:r>
        <w:rPr>
          <w:rFonts w:ascii="IRNazanin" w:hAnsi="IRNazanin" w:eastAsia="IRNazanin"/>
          <w:color w:val="111111"/>
          <w:sz w:val="28"/>
          <w:sz w:val="28"/>
          <w:szCs w:val="28"/>
          <w:rtl w:val="true"/>
          <w:lang w:bidi="fa-IR"/>
        </w:rPr>
        <w:t> عدم القدرة علی  التسلیم کما تری؛ إذ التسلیم لازم فی زمان الاستحقاق، لا قبله، هذا، ولو آجره داره شهراً وأطلق انصرف</w:t>
      </w:r>
      <w:r>
        <w:rPr>
          <w:rStyle w:val="FootnoteAnchor"/>
          <w:rtl w:val="true"/>
        </w:rPr>
        <w:footnoteReference w:id="1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احتمال کون المراد هو المتّصل، وأمّا مع العلم بعدم لحاظ شیء من الاتّصالوالانفصال فلا وجه للانصراف، بل 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الحکم بالبطلان علی فرض تحقّقالغَرر، وإمّا من الحکم بالصحّة من دون انصرافٍ علی فرض عدمه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الاتّصال بالعقد، نعم، لو لم یکن انصراف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للبطلان إذا کان المؤجِر قاصداً للزمان المعیّن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730" w:name="pg13284_130924"/>
    </w:p>
    <w:p>
      <w:pPr>
        <w:pStyle w:val="BookText"/>
        <w:rPr/>
      </w:pPr>
      <w:bookmarkEnd w:id="730"/>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المستأجرة فی ید المستأجر أمانة   </w:t>
      </w:r>
    </w:p>
    <w:p>
      <w:pPr>
        <w:pStyle w:val="Heading3"/>
        <w:numPr>
          <w:ilvl w:val="2"/>
          <w:numId w:val="1"/>
        </w:numPr>
        <w:rPr/>
      </w:pPr>
      <w:bookmarkStart w:id="731" w:name="__RefHeading___Toc2056029_2322387425"/>
      <w:bookmarkStart w:id="732" w:name="_Toc264"/>
      <w:bookmarkEnd w:id="731"/>
      <w:r>
        <w:rPr>
          <w:rtl w:val="true"/>
        </w:rPr>
        <w:t>فصل</w:t>
      </w:r>
      <w:r>
        <w:rPr>
          <w:rtl w:val="true"/>
        </w:rPr>
        <w:t xml:space="preserve">: </w:t>
      </w:r>
      <w:r>
        <w:rPr>
          <w:rtl w:val="true"/>
        </w:rPr>
        <w:t>العین المستأجَرَة فی ید المستأجر أمانة</w:t>
      </w:r>
      <w:bookmarkEnd w:id="732"/>
    </w:p>
    <w:p>
      <w:pPr>
        <w:pStyle w:val="Heading4"/>
        <w:numPr>
          <w:ilvl w:val="3"/>
          <w:numId w:val="1"/>
        </w:numPr>
        <w:rPr/>
      </w:pPr>
      <w:bookmarkStart w:id="733" w:name="__RefHeading___Toc2056031_2322387425"/>
      <w:bookmarkStart w:id="734" w:name="_Toc265"/>
      <w:bookmarkEnd w:id="733"/>
      <w:r>
        <w:rPr>
          <w:rtl w:val="true"/>
        </w:rPr>
        <w:t>اشتراط الضمان علی المستأجر</w:t>
      </w:r>
      <w:bookmarkEnd w:id="734"/>
    </w:p>
    <w:p>
      <w:pPr>
        <w:pStyle w:val="BookText"/>
        <w:rPr/>
      </w:pPr>
      <w:r>
        <w:rPr>
          <w:rFonts w:ascii="IRNazanin" w:hAnsi="IRNazanin" w:eastAsia="IRNazanin"/>
          <w:color w:val="111111"/>
          <w:sz w:val="28"/>
          <w:sz w:val="28"/>
          <w:szCs w:val="28"/>
          <w:rtl w:val="true"/>
          <w:lang w:bidi="fa-IR"/>
        </w:rPr>
        <w:t>العین المستأجَرَة فی ید المستأجِر أمانة، فلا یضمن تلفها أو تعیّبها إلّا بالتعدّی أو التفریط، ولو شرط الموجِر علیه ضمانها بدونهما فالمشهور عدم الصحّة</w:t>
      </w:r>
      <w:r>
        <w:rPr>
          <w:rStyle w:val="FootnoteAnchor"/>
          <w:rtl w:val="true"/>
        </w:rPr>
        <w:footnoteReference w:id="1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ما ذهب إلیه المشهور من عدم صحّة اشتراط الضمان فیها بالنسبة إلیالعین المستأجَرة، نعم، لا بأس باشتراطه علی وجه الّذی ذکره، لا بعنوان الضمان؛فإنّه لیس شرطاً مخالفاً للکتاب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نعم، یصحّ علی النحو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لا یخلو من القوّة، نعم، یصحّ علی النحو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الصحیح، نعم، لا بأس باشتراط التدارک من ماله، کما أنّه لا بأس باشتراطأداء مقدارٍ مخصوصٍ من ماله علی تقدیر التلف أو التعیّب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لکنّ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لولا قرب احتمال جریان مناط الحکم فی العاریة بالنسبة إلی المقام فی القوّةنظر؛ لظهور الأدلّة فی کون الأمانة مانعةً عن الضمان الفائت باقتضاء طبع الید، فیلزمأن یکون الشرط مقتضیاً علی خلاف اقتضاء الأمانة، فیکون مخالفاً لمقتضی السنّة،فیبطل،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کذلک لو کانت الأمانة بذاتها مانعة، وإلّا فلو کانذلک من لوازم إطلاقها فلا یرد مثل هذا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کذلک لو کان وجهالجمع بین أدلّة الشروط وأدلّة الأحکام ینفی إطلاقها بالنسبة إلی العنوان الثانوی،وهو بمعزل عن التحقیق، بل مرجع الجمع بینهما إلی عدم اقتضاء الشرط فی قبالاقتضاء غیره لولاه شیئاً، وفی مثل هذا المعنی لابدّ من ملاحظة اقتضاء العناوینالأوّلیّة فی قبال الشرط شیئاً علی خلاف مقتضاه، وفی هذه الجهة لا یکاد یتمّ هذهالجهة من الفرق بین اقتضاء ذاته أو إطلاقه؛ لأنّه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تنافی الشرط الاقتضاء لِمَاطرأ علیه من العقود فرع اقتضاء المشروط حتّی فی ظرف طروء الشرط، ولو بمالهمن العنوان الأوّلی،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نعم، یصحّ الاشتراط علی النحو الثانی بلا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بل عدم الصحّة لا یخلو من قوّة، نعم، لا إشکال فیه علی النحوالثانی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قوّة فیه فضلاً عن کونه أقوی، فالظاهر ما ذهب إلیه المشهور من عدم صحّةاشتراط الضمان بالنسبة إلی العین المستأجرة، نعم، یصحّ اشتراط تدارک التالِف منماله، کما یصحّ اشتراط أداء مقدارٍ مخصوصٍ من ماله علی تقدیر التَلَف أو التعیُّب،کما أفاده قدس سره ، فیخرج عن عنوان اشتراط الضمان، فلا یکون شرطاً مخالفاً للکتاب،کما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صحّته</w:t>
      </w:r>
      <w:r>
        <w:rPr>
          <w:rStyle w:val="FootnoteAnchor"/>
          <w:rtl w:val="true"/>
        </w:rPr>
        <w:footnoteReference w:id="1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أنّ عقد الإجارة یقتضی تسلّط المستأجِر علی العین بمقدار یتوقّف علیهاستیفاء المنفعة، وأمّا الزائد علی ذلک فاستئمان مالِکِیّ ولا ضمان فی الاستئمانالمالکیّ، وشرطه فاسد، وأمّا المقدار الّذی یقتضیه عقد الإجارة فمع عدم الشرط لاضمان فیه، وفی صحّة شرط الضمان أیضاً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نعم، لا إشکال لو کان الاشتراط علی النحو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نعم، لا إشکال فیه علی الوجه التالی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نعم، لا إشکال فی صحّة ما حکم بأنّه أولی بالصحّة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مشکل، نعم، لا إشکال فیه علی النحو التالی، سواء اشترط علیه تدارکه من ماله،أم بمقدار مخصوص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 إشکال فیها لو شرط التدارک من ماله، وعلی تأمّل فیما لو شرط النتیجة، وإنکان الأظهر ما أفاده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وأولی بالصحّة إذا اشترط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1395"/>
      </w:r>
      <w:r>
        <w:rPr>
          <w:rFonts w:ascii="IRNazanin" w:hAnsi="IRNazanin" w:eastAsia="IRNazanin"/>
          <w:color w:val="111111"/>
          <w:sz w:val="28"/>
          <w:sz w:val="28"/>
          <w:szCs w:val="28"/>
          <w:rtl w:val="true"/>
          <w:lang w:bidi="fa-IR"/>
        </w:rPr>
        <w:t> أداء مقدارٍ مخصوصٍ من ماله علی تقدیر التلف أو التعیّب، لا بعنوان الضمان، والظاهر عدم الفرق فی عدم الضمان مع عدم الأمرین بین أن یکون التلف فی أثناء المدّة، أو بعدها</w:t>
      </w:r>
      <w:r>
        <w:rPr>
          <w:rStyle w:val="FootnoteAnchor"/>
          <w:rtl w:val="true"/>
        </w:rPr>
        <w:footnoteReference w:id="1396"/>
      </w:r>
      <w:r>
        <w:rPr>
          <w:rFonts w:ascii="IRNazanin" w:hAnsi="IRNazanin" w:eastAsia="IRNazanin"/>
          <w:color w:val="111111"/>
          <w:sz w:val="28"/>
          <w:sz w:val="28"/>
          <w:szCs w:val="28"/>
          <w:rtl w:val="true"/>
          <w:lang w:bidi="fa-IR"/>
        </w:rPr>
        <w:t> إذا لم یحصل منه منع للموجِر عن عین ماله إذا طلبها</w:t>
      </w:r>
      <w:r>
        <w:rPr>
          <w:rStyle w:val="FootnoteAnchor"/>
          <w:rtl w:val="true"/>
        </w:rPr>
        <w:footnoteReference w:id="139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له المطالبة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35" w:name="pg13284_130927"/>
    </w:p>
    <w:p>
      <w:pPr>
        <w:pStyle w:val="BookText"/>
        <w:rPr/>
      </w:pPr>
      <w:bookmarkEnd w:id="735"/>
      <w:r>
        <w:rPr>
          <w:rFonts w:ascii="Amiri" w:hAnsi="Amiri" w:eastAsia="Amiri" w:cs="Amiri"/>
          <w:color w:val="111111"/>
          <w:sz w:val="28"/>
          <w:sz w:val="28"/>
          <w:szCs w:val="28"/>
          <w:rtl w:val="true"/>
          <w:lang w:bidi="ar-SA"/>
        </w:rPr>
        <w:t>بل خلّی</w:t>
      </w:r>
      <w:r>
        <w:rPr>
          <w:rStyle w:val="FootnoteAnchor"/>
          <w:rtl w:val="true"/>
        </w:rPr>
        <w:footnoteReference w:id="1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خرجت عن تحت یده واستیلائه،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دلیل علی وجوب الردّ، وعلی تقدیره لا ملازمة بینه وبین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وبینها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ملازمة مع عدم الاستیلاء الّذی هو ملاک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تخلیة یصدق معها رفع المنع عن سلطنة المالک علی ماله، نعم، إذا أبعد المستأجرالعین المستأجرة عن مالکها وجب علیه إرجاعها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وجوب ردّ العین المستأجرة بعد انقضاء مدّة الإجارة، ولا یجوز حبسهاإلّا برضا المالک، ویضمن تلفها وإن خلّی بینه وبینها مالم یصدق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الملاک عدم القصور فیما هو وظیفته فی مقام الأداء، ویختلف ذلک باختلافالموارد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یتصرّف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 فیها</w:t>
      </w:r>
      <w:r>
        <w:rPr>
          <w:rFonts w:eastAsia="IRNazanin" w:cs="IRNazanin"/>
          <w:color w:val="111111"/>
          <w:sz w:val="28"/>
          <w:szCs w:val="28"/>
          <w:rtl w:val="true"/>
          <w:lang w:bidi="fa-IR"/>
        </w:rPr>
        <w:t>.</w:t>
      </w:r>
    </w:p>
    <w:p>
      <w:pPr>
        <w:pStyle w:val="Heading4"/>
        <w:numPr>
          <w:ilvl w:val="3"/>
          <w:numId w:val="1"/>
        </w:numPr>
        <w:rPr/>
      </w:pPr>
      <w:bookmarkStart w:id="736" w:name="__RefHeading___Toc2056033_2322387425"/>
      <w:bookmarkStart w:id="737" w:name="_Toc266"/>
      <w:bookmarkEnd w:id="736"/>
      <w:r>
        <w:rPr>
          <w:rtl w:val="true"/>
        </w:rPr>
        <w:t>الضمان فی الإجارة الباطلة</w:t>
      </w:r>
      <w:bookmarkEnd w:id="737"/>
    </w:p>
    <w:p>
      <w:pPr>
        <w:pStyle w:val="BookText"/>
        <w:rPr/>
      </w:pPr>
      <w:r>
        <w:rPr>
          <w:rFonts w:ascii="IRNazanin" w:hAnsi="IRNazanin" w:eastAsia="IRNazanin"/>
          <w:color w:val="111111"/>
          <w:sz w:val="28"/>
          <w:sz w:val="28"/>
          <w:szCs w:val="28"/>
          <w:rtl w:val="true"/>
          <w:lang w:bidi="fa-IR"/>
        </w:rPr>
        <w:t>ثمّ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الأصل، والظاهر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الإجارة صحیحة، وأمّا إذا کانت باطلةً ففی ضمانها وجهان، أقواهما العدم</w:t>
      </w:r>
      <w:r>
        <w:rPr>
          <w:rStyle w:val="FootnoteAnchor"/>
          <w:rtl w:val="true"/>
        </w:rPr>
        <w:footnoteReference w:id="1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مع جهل المؤجِر وتسلیمه العین بعنوان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یُضمن بصحیحه لا یُضمن بفاسده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 المکاسب للشیخ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وجواهر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فرق بین علم المؤجِربالبطلان وجهله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الضمان؛ إذ المفروض بقاء العین تحت یده بعنوان العمل بالإجارةالباطلة، ویعلم وجهه ممّا سبق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38" w:name="pg13284_130928"/>
    </w:p>
    <w:p>
      <w:pPr>
        <w:pStyle w:val="BookText"/>
        <w:rPr/>
      </w:pPr>
      <w:bookmarkEnd w:id="738"/>
      <w:r>
        <w:rPr>
          <w:rFonts w:ascii="Amiri" w:hAnsi="Amiri" w:eastAsia="Amiri" w:cs="Amiri"/>
          <w:color w:val="111111"/>
          <w:sz w:val="28"/>
          <w:sz w:val="28"/>
          <w:szCs w:val="28"/>
          <w:rtl w:val="true"/>
          <w:lang w:bidi="ar-SA"/>
        </w:rPr>
        <w:t>خصوصاً</w:t>
      </w:r>
      <w:r>
        <w:rPr>
          <w:rStyle w:val="FootnoteAnchor"/>
          <w:rtl w:val="true"/>
        </w:rPr>
        <w:footnoteReference w:id="1400"/>
      </w:r>
      <w:r>
        <w:rPr>
          <w:rFonts w:ascii="IRNazanin" w:hAnsi="IRNazanin" w:eastAsia="IRNazanin"/>
          <w:color w:val="111111"/>
          <w:sz w:val="28"/>
          <w:sz w:val="28"/>
          <w:szCs w:val="28"/>
          <w:rtl w:val="true"/>
          <w:lang w:bidi="fa-IR"/>
        </w:rPr>
        <w:t> إذا کان</w:t>
      </w:r>
      <w:r>
        <w:rPr>
          <w:rStyle w:val="FootnoteAnchor"/>
          <w:rtl w:val="true"/>
        </w:rPr>
        <w:footnoteReference w:id="1401"/>
      </w:r>
      <w:r>
        <w:rPr>
          <w:rFonts w:ascii="Amiri" w:hAnsi="Amiri" w:eastAsia="Amiri" w:cs="Amiri"/>
          <w:color w:val="111111"/>
          <w:sz w:val="28"/>
          <w:sz w:val="28"/>
          <w:szCs w:val="28"/>
          <w:rtl w:val="true"/>
          <w:lang w:bidi="ar-SA"/>
        </w:rPr>
        <w:t> الموجِر عالماً</w:t>
      </w:r>
      <w:r>
        <w:rPr>
          <w:rStyle w:val="FootnoteAnchor"/>
          <w:rtl w:val="true"/>
        </w:rPr>
        <w:footnoteReference w:id="1402"/>
      </w:r>
      <w:r>
        <w:rPr>
          <w:rFonts w:ascii="IRNazanin" w:hAnsi="IRNazanin" w:eastAsia="IRNazanin"/>
          <w:color w:val="111111"/>
          <w:sz w:val="28"/>
          <w:sz w:val="28"/>
          <w:szCs w:val="28"/>
          <w:rtl w:val="true"/>
          <w:lang w:bidi="fa-IR"/>
        </w:rPr>
        <w:t> بالبطلان حین الإقباض دون المستأجِر</w:t>
      </w:r>
      <w:r>
        <w:rPr>
          <w:rFonts w:eastAsia="IRNazanin" w:cs="IRNazanin"/>
          <w:color w:val="111111"/>
          <w:sz w:val="28"/>
          <w:szCs w:val="28"/>
          <w:rtl w:val="true"/>
          <w:lang w:bidi="fa-IR"/>
        </w:rPr>
        <w:t>.</w:t>
      </w:r>
    </w:p>
    <w:p>
      <w:pPr>
        <w:pStyle w:val="Heading4"/>
        <w:numPr>
          <w:ilvl w:val="3"/>
          <w:numId w:val="1"/>
        </w:numPr>
        <w:rPr/>
      </w:pPr>
      <w:bookmarkStart w:id="739" w:name="__RefHeading___Toc2056035_2322387425"/>
      <w:bookmarkStart w:id="740" w:name="_Toc267"/>
      <w:bookmarkEnd w:id="739"/>
      <w:r>
        <w:rPr>
          <w:rtl w:val="true"/>
        </w:rPr>
        <w:t>حکم الضمان لعین المستأجر التی بید المؤجر</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 الّتی للمستأجِر بید الموجِر الّذی آجَر نفسه لعملٍ فیها کالثوب آجر نفسه لیخیطه أمانةً، فلا یضمن تلفها أو نقصها إلّا بالتعدّی، أو التفریط، أو اشتراط</w:t>
      </w:r>
      <w:r>
        <w:rPr>
          <w:rStyle w:val="FootnoteAnchor"/>
          <w:rtl w:val="true"/>
        </w:rPr>
        <w:footnoteReference w:id="1403"/>
      </w:r>
      <w:r>
        <w:rPr>
          <w:rFonts w:ascii="IRNazanin" w:hAnsi="IRNazanin" w:eastAsia="IRNazanin"/>
          <w:color w:val="111111"/>
          <w:sz w:val="28"/>
          <w:sz w:val="28"/>
          <w:szCs w:val="28"/>
          <w:rtl w:val="true"/>
          <w:lang w:bidi="fa-IR"/>
        </w:rPr>
        <w:t> ضمانها</w:t>
      </w:r>
      <w:r>
        <w:rPr>
          <w:rStyle w:val="FootnoteAnchor"/>
          <w:rtl w:val="true"/>
        </w:rPr>
        <w:footnoteReference w:id="14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فساد الشرط فی هذه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الکلام فیه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ما مرّ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ما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علی حذوِ</w:t>
      </w:r>
      <w:r>
        <w:rPr>
          <w:rStyle w:val="FootnoteAnchor"/>
          <w:rtl w:val="true"/>
        </w:rPr>
        <w:footnoteReference w:id="1405"/>
      </w:r>
      <w:r>
        <w:rPr>
          <w:rFonts w:ascii="Amiri" w:hAnsi="Amiri" w:eastAsia="Amiri" w:cs="Amiri"/>
          <w:color w:val="111111"/>
          <w:sz w:val="28"/>
          <w:sz w:val="28"/>
          <w:szCs w:val="28"/>
          <w:rtl w:val="true"/>
          <w:lang w:bidi="ar-SA"/>
        </w:rPr>
        <w:t> ما مرّ</w:t>
      </w:r>
      <w:r>
        <w:rPr>
          <w:rStyle w:val="FootnoteAnchor"/>
          <w:rtl w:val="true"/>
        </w:rPr>
        <w:footnoteReference w:id="14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الحال فیه، کما تقدّم آنفاً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المستأجَرَة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الإشکال فیها، لکنّ الأقوی هنا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أنّ الظاهر عدم صحّة اشتراط الضمان؛ إلّا علی الوجه الّذی بیّنّاه، وقدقیل هنا بصحّة اشتراط الضمان؛ لأجل روایة موسی بن بکیر، لکنّه محلّ تأمّل ونظر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تلفت أو أ تلفها الموجِر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فی صورة إتلاف الموجِر أو الأجنبیّ أنّ المستأجِر یتخیّر بین الفسخلتعذّر التسلیم والإبقاء والرجوع إلی المتلف فی عوض المنفعة، کما فی العین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الإشکال فی إطلاق الحکم فی غیر التلف السماوی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الأجنبیّ قبل     </w:t>
      </w:r>
      <w:r>
        <w:rPr>
          <w:rFonts w:eastAsia="IRNazanin" w:cs="IRNazanin"/>
          <w:color w:val="111111"/>
          <w:sz w:val="28"/>
          <w:szCs w:val="28"/>
          <w:rtl w:val="true"/>
          <w:lang w:bidi="fa-IR"/>
        </w:rPr>
        <w:t>.     .     .     .     .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العمل</w:t>
      </w:r>
      <w:r>
        <w:rPr>
          <w:rStyle w:val="FootnoteAnchor"/>
          <w:rtl w:val="true"/>
        </w:rPr>
        <w:footnoteReference w:id="1407"/>
      </w:r>
      <w:r>
        <w:rPr>
          <w:rFonts w:ascii="IRNazanin" w:hAnsi="IRNazanin" w:eastAsia="IRNazanin"/>
          <w:color w:val="111111"/>
          <w:sz w:val="28"/>
          <w:sz w:val="28"/>
          <w:szCs w:val="28"/>
          <w:rtl w:val="true"/>
          <w:lang w:bidi="fa-IR"/>
        </w:rPr>
        <w:t> أو فی الأثناء بطلت</w:t>
      </w:r>
      <w:r>
        <w:rPr>
          <w:rStyle w:val="FootnoteAnchor"/>
          <w:rtl w:val="true"/>
        </w:rPr>
        <w:footnoteReference w:id="1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یختصّ بالتلف السماوی وأمثاله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البطلان مشکل، کما مضی، والأحوط الفسخ، ثمّ الرجوع بالاُجرة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العقد علی وجه التقیید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عدم التفصیل هنا لا یلائم التفصیل المذکور فی المسألة الثالثة عشرة،والتوجیه ممکن، فالخطب سهل، ثمّ لاحتمال ثبوت الخیار للمستأجِر بین الفسخلتعذّر التسلیم وعدمه، والرجوع إلی المتلِف بعوض المنفعة الفائتة بالإتلاف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التفصیل بین التلف السماوی وغیره فی المسألة الثالثة عشرة من الفصلالسابق، وما ذکره قدس سره هنا یناقض ما تقدّم منه فیها، وقد تقدّم أیضاً أنّ إتلافالمستأجِر بمنزلة قبضه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هذه المسألة فی الفصل السابق، وهی المسألة الثالثة عشرة، وما ذکره فیالمقام منافٍ لِما أفاده هناک، والحقّ أنّ التلف السماویّ وإتلاف الأجنبیّ موجبانلبطلان الإجارة، وإتلاف المستأجر بمنزلة القبض، وإتلاف الأجیر موجب لتخییرالمستأجِر بین فسخ العقد وإمضائه، فإن أمضاه جاز له مطالبة الأجیر بقیمة العملالفائت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حکم المصنّف هنا بالبطلان فی الصورة یناقض ما أفاده فی المسألةالسابقة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إتلاف المستأجِر بمنزلة القبض، وإتلاف المؤجِر موجب للتخییربین ضمانه والفسخ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والتلف السماویّ موجب البطلان، ومنه إتلاف الحیوان وإتلافالأرض موجب للضمان أیضاً، ولکن یمکن الفرق بینهما من جهة أنّ الإجارة تعلّقتفی السابق علی الأعیان، وهنا علی الأعمال، وإنّما الثوب متعلّق العمل،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ورجعت الاُجرة بتمامها أو    </w:t>
      </w:r>
    </w:p>
    <w:p>
      <w:pPr>
        <w:pStyle w:val="BookText"/>
        <w:rPr/>
      </w:pPr>
      <w:r>
        <w:rPr>
          <w:rFonts w:ascii="IRNazanin" w:hAnsi="IRNazanin" w:eastAsia="IRNazanin"/>
          <w:color w:val="111111"/>
          <w:sz w:val="28"/>
          <w:sz w:val="28"/>
          <w:szCs w:val="28"/>
          <w:rtl w:val="true"/>
          <w:lang w:bidi="fa-IR"/>
        </w:rPr>
        <w:t>بعضها إلی المستأجِر، بل لو أتلفها</w:t>
      </w:r>
      <w:r>
        <w:rPr>
          <w:rStyle w:val="FootnoteAnchor"/>
          <w:rtl w:val="true"/>
        </w:rPr>
        <w:footnoteReference w:id="1409"/>
      </w:r>
      <w:r>
        <w:rPr>
          <w:rFonts w:ascii="IRNazanin" w:hAnsi="IRNazanin" w:eastAsia="IRNazanin"/>
          <w:color w:val="111111"/>
          <w:sz w:val="28"/>
          <w:sz w:val="28"/>
          <w:szCs w:val="28"/>
          <w:rtl w:val="true"/>
          <w:lang w:bidi="fa-IR"/>
        </w:rPr>
        <w:t> مالکها المستأجِر کذلک</w:t>
      </w:r>
      <w:r>
        <w:rPr>
          <w:rStyle w:val="FootnoteAnchor"/>
          <w:rtl w:val="true"/>
        </w:rPr>
        <w:footnoteReference w:id="1410"/>
      </w:r>
      <w:r>
        <w:rPr>
          <w:rFonts w:ascii="Amiri" w:hAnsi="Amiri" w:eastAsia="Amiri" w:cs="Amiri"/>
          <w:color w:val="111111"/>
          <w:sz w:val="28"/>
          <w:sz w:val="28"/>
          <w:szCs w:val="28"/>
          <w:rtl w:val="true"/>
          <w:lang w:bidi="ar-SA"/>
        </w:rPr>
        <w:t> أیضاً</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کانت الإجارة واقعة علی منفعة الموجِر بأن یملک منفعته الخیاطیّ فی یوم کذا یکون إتلافه</w:t>
      </w:r>
      <w:r>
        <w:rPr>
          <w:rStyle w:val="FootnoteAnchor"/>
          <w:rtl w:val="true"/>
        </w:rPr>
        <w:footnoteReference w:id="1412"/>
      </w:r>
      <w:r>
        <w:rPr>
          <w:rFonts w:ascii="IRNazanin" w:hAnsi="IRNazanin" w:eastAsia="IRNazanin"/>
          <w:color w:val="111111"/>
          <w:sz w:val="28"/>
          <w:sz w:val="28"/>
          <w:szCs w:val="28"/>
          <w:rtl w:val="true"/>
          <w:lang w:bidi="fa-IR"/>
        </w:rPr>
        <w:t> لمتعلّق العمل بمنزلة استیفائه</w:t>
      </w:r>
      <w:r>
        <w:rPr>
          <w:rStyle w:val="FootnoteAnchor"/>
          <w:rtl w:val="true"/>
        </w:rPr>
        <w:footnoteReference w:id="1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کذلک، بل هو بمنزلة انعدام المنفعة بانعدام موضوعها فتبطل الإجارة، بل هوهو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w:t>
      </w:r>
      <w:bookmarkStart w:id="741" w:name="pg13284_130937"/>
    </w:p>
    <w:p>
      <w:pPr>
        <w:pStyle w:val="BookText"/>
        <w:rPr/>
      </w:pPr>
      <w:bookmarkEnd w:id="741"/>
      <w:r>
        <w:rPr>
          <w:rFonts w:ascii="IRNazanin" w:hAnsi="IRNazanin" w:eastAsia="IRNazanin"/>
          <w:color w:val="111111"/>
          <w:sz w:val="28"/>
          <w:sz w:val="28"/>
          <w:szCs w:val="28"/>
          <w:rtl w:val="true"/>
          <w:lang w:bidi="fa-IR"/>
        </w:rPr>
        <w:t>بإتلافه إیّاه فوّت علی نفسه المنفعة، ففرق</w:t>
      </w:r>
      <w:r>
        <w:rPr>
          <w:rStyle w:val="FootnoteAnchor"/>
          <w:rtl w:val="true"/>
        </w:rPr>
        <w:footnoteReference w:id="1414"/>
      </w:r>
      <w:r>
        <w:rPr>
          <w:rFonts w:ascii="IRNazanin" w:hAnsi="IRNazanin" w:eastAsia="IRNazanin"/>
          <w:color w:val="111111"/>
          <w:sz w:val="28"/>
          <w:sz w:val="28"/>
          <w:szCs w:val="28"/>
          <w:rtl w:val="true"/>
          <w:lang w:bidi="fa-IR"/>
        </w:rPr>
        <w:t> بین أن یکون</w:t>
      </w:r>
      <w:r>
        <w:rPr>
          <w:rStyle w:val="FootnoteAnchor"/>
          <w:rtl w:val="true"/>
        </w:rPr>
        <w:footnoteReference w:id="1415"/>
      </w:r>
      <w:r>
        <w:rPr>
          <w:rFonts w:ascii="IRNazanin" w:hAnsi="IRNazanin" w:eastAsia="IRNazanin"/>
          <w:color w:val="111111"/>
          <w:sz w:val="28"/>
          <w:sz w:val="28"/>
          <w:szCs w:val="28"/>
          <w:rtl w:val="true"/>
          <w:lang w:bidi="fa-IR"/>
        </w:rPr>
        <w:t> العمل فی ذمّته، أو تکون منفعته الکذائیّة للمستأجِر، ففی الصورة الاُولی التلف قبل العمل موجب للبطلان</w:t>
      </w:r>
      <w:r>
        <w:rPr>
          <w:rStyle w:val="FootnoteAnchor"/>
          <w:rtl w:val="true"/>
        </w:rPr>
        <w:footnoteReference w:id="1416"/>
      </w:r>
      <w:r>
        <w:rPr>
          <w:rFonts w:ascii="IRNazanin" w:hAnsi="IRNazanin" w:eastAsia="IRNazanin"/>
          <w:color w:val="111111"/>
          <w:sz w:val="28"/>
          <w:sz w:val="28"/>
          <w:szCs w:val="28"/>
          <w:rtl w:val="true"/>
          <w:lang w:bidi="fa-IR"/>
        </w:rPr>
        <w:t>، ورجوع الاُجرة إلی المستأجِر وإن کان هو  المُتلِف، وفی الصورة الثانیة</w:t>
      </w:r>
      <w:r>
        <w:rPr>
          <w:rStyle w:val="FootnoteAnchor"/>
          <w:rtl w:val="true"/>
        </w:rPr>
        <w:footnoteReference w:id="14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خالٍ من شوب الإشکال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إتلافه بمنزلة الاستیفاء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 الصورتَین فی کون إتلاف المستأجر بمنزلةالاستیفاء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وحیث إنّه مالک لمنفعة الموجَر وقد فوّتها علی نفسه فالاُجرة ثابتة علیه</w:t>
      </w:r>
      <w:r>
        <w:rPr>
          <w:rFonts w:eastAsia="IRNazanin" w:cs="IRNazanin"/>
          <w:color w:val="111111"/>
          <w:sz w:val="28"/>
          <w:szCs w:val="28"/>
          <w:rtl w:val="true"/>
          <w:lang w:bidi="fa-IR"/>
        </w:rPr>
        <w:t>.</w:t>
      </w:r>
    </w:p>
    <w:p>
      <w:pPr>
        <w:pStyle w:val="Heading4"/>
        <w:numPr>
          <w:ilvl w:val="3"/>
          <w:numId w:val="1"/>
        </w:numPr>
        <w:rPr/>
      </w:pPr>
      <w:bookmarkStart w:id="742" w:name="__RefHeading___Toc2056037_2322387425"/>
      <w:bookmarkStart w:id="743" w:name="_Toc268"/>
      <w:bookmarkEnd w:id="742"/>
      <w:r>
        <w:rPr>
          <w:rtl w:val="true"/>
        </w:rPr>
        <w:t>المدار علی أیّ القیّم فی الضمان؟</w:t>
      </w:r>
      <w:bookmarkEnd w:id="74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المدار فی الضمان علی قیمة </w:t>
      </w:r>
    </w:p>
    <w:p>
      <w:pPr>
        <w:pStyle w:val="BookText"/>
        <w:rPr/>
      </w:pPr>
      <w:r>
        <w:rPr>
          <w:rFonts w:ascii="IRNazanin" w:hAnsi="IRNazanin" w:eastAsia="IRNazanin"/>
          <w:color w:val="111111"/>
          <w:sz w:val="28"/>
          <w:sz w:val="28"/>
          <w:szCs w:val="28"/>
          <w:rtl w:val="true"/>
          <w:lang w:bidi="fa-IR"/>
        </w:rPr>
        <w:t>یوم</w:t>
      </w:r>
      <w:r>
        <w:rPr>
          <w:rStyle w:val="FootnoteAnchor"/>
          <w:rtl w:val="true"/>
        </w:rPr>
        <w:footnoteReference w:id="1418"/>
      </w:r>
      <w:r>
        <w:rPr>
          <w:rFonts w:ascii="IRNazanin" w:hAnsi="IRNazanin" w:eastAsia="IRNazanin"/>
          <w:color w:val="111111"/>
          <w:sz w:val="28"/>
          <w:sz w:val="28"/>
          <w:szCs w:val="28"/>
          <w:rtl w:val="true"/>
          <w:lang w:bidi="fa-IR"/>
        </w:rPr>
        <w:t> الأداء</w:t>
      </w:r>
      <w:r>
        <w:rPr>
          <w:rStyle w:val="FootnoteAnchor"/>
          <w:rtl w:val="true"/>
        </w:rPr>
        <w:footnoteReference w:id="1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یوم التلف علی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القوّة تأمّل، والمسألة محلّ نظر ولو من جهة معارضة صدر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ذیله، خصوصاً مع فهم المشهور ترجیح الذیل، فتدبّر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یوم التلف علی الأقوی، والأحوط فیما لو اختلفت القیمة فی الیومین التصالح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اختلف قیمة یوم التلف ویوم الأداء فالأحوط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والأحوط التصالح 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قیمة یوم التلف ویوم الأداء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نظر، بل ظاهر الأدلّة فی القیمیّات قیمة یوم التلف، ولکنّ مراعاةالاحتیاط بالتصالح 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المدار علی قیمة یوم التلف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المبنی علی بقاء العین فی الذمّة بعد التلف، وحیث إنّ المبنی مخدوش فالأظهرکون المدار علی قیمة یوم التلف ومکانه، لا الأداء، ولا یوم المخالفة، ولا الأعلیوصحیحة أبی ولّاد لها توجیه، فلا تخالف المختار، والتحقیق موکول إلی محلّه، نعم،الأحوط التصالح فی صورة اختلاف قیم تلک الأیّام المذکورة وما بینها، کما أنّالأحوط الأولی بناءً علی جعل المدار قیمة یوم التلف أداءً أعلی القیم من یوم التلف إلی یوم الأداء، ومن مکان التلف إلی مکان الأداء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المدار علی قیمة یوم الضمان، والأحوط الرجوع إلی المصالحةعند اختلاف القیمتین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یوم التلف علی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تعارف معتبر علی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القیمیّات، لا یوم     </w:t>
      </w:r>
      <w:r>
        <w:rPr>
          <w:rFonts w:eastAsia="IRNazanin" w:cs="IRNazanin"/>
          <w:color w:val="111111"/>
          <w:sz w:val="28"/>
          <w:szCs w:val="28"/>
          <w:rtl w:val="true"/>
          <w:lang w:bidi="fa-IR"/>
        </w:rPr>
        <w:t>.     .     .     .     .</w:t>
      </w:r>
      <w:bookmarkStart w:id="744" w:name="pg13284_130941"/>
    </w:p>
    <w:p>
      <w:pPr>
        <w:pStyle w:val="BookText"/>
        <w:rPr/>
      </w:pPr>
      <w:bookmarkEnd w:id="744"/>
      <w:r>
        <w:rPr>
          <w:rFonts w:ascii="IRNazanin" w:hAnsi="IRNazanin" w:eastAsia="IRNazanin"/>
          <w:color w:val="111111"/>
          <w:sz w:val="28"/>
          <w:sz w:val="28"/>
          <w:szCs w:val="28"/>
          <w:rtl w:val="true"/>
          <w:lang w:bidi="fa-IR"/>
        </w:rPr>
        <w:t>التلف</w:t>
      </w:r>
      <w:r>
        <w:rPr>
          <w:rStyle w:val="FootnoteAnchor"/>
          <w:rtl w:val="true"/>
        </w:rPr>
        <w:footnoteReference w:id="1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لبعض الأدلّة ظهور فی ضمان قیمة وقت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أصل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کصحیحة أبیولّاد وبعضها صالحة للاستفادة قیمة یوم التلف ویوم الأداء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الید ماأخذت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للطوسی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السرائر لابن إدریس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یحتمل قاعدة الید علی قیمة یوم القبض ووضع الید علی العین، کماهو المذکور فی محلّه، وإن کان ظهورها فی قیمة یوم التلف لا یخلو من قوّة، وکیفکان فالأحوط التصالح من المالک فی صورة إختلاف القیمة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أعلی القِیَمِ علی الأقوی</w:t>
      </w:r>
      <w:r>
        <w:rPr>
          <w:rFonts w:eastAsia="IRNazanin" w:cs="IRNazanin"/>
          <w:color w:val="111111"/>
          <w:sz w:val="28"/>
          <w:szCs w:val="28"/>
          <w:rtl w:val="true"/>
          <w:lang w:bidi="fa-IR"/>
        </w:rPr>
        <w:t>.</w:t>
      </w:r>
    </w:p>
    <w:p>
      <w:pPr>
        <w:pStyle w:val="Heading4"/>
        <w:numPr>
          <w:ilvl w:val="3"/>
          <w:numId w:val="1"/>
        </w:numPr>
        <w:rPr/>
      </w:pPr>
      <w:bookmarkStart w:id="745" w:name="__RefHeading___Toc2056039_2322387425"/>
      <w:bookmarkStart w:id="746" w:name="_Toc269"/>
      <w:bookmarkEnd w:id="745"/>
      <w:r>
        <w:rPr>
          <w:rtl w:val="true"/>
        </w:rPr>
        <w:t>ضمان الأجیر إتلاف العین فی صورةٍ استحقّ الاُجرة علیها</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أتلف الثوب</w:t>
      </w:r>
      <w:r>
        <w:rPr>
          <w:rStyle w:val="FootnoteAnchor"/>
          <w:rtl w:val="true"/>
        </w:rPr>
        <w:footnoteReference w:id="1421"/>
      </w:r>
      <w:r>
        <w:rPr>
          <w:rFonts w:ascii="Amiri" w:hAnsi="Amiri" w:eastAsia="Amiri" w:cs="Amiri"/>
          <w:color w:val="111111"/>
          <w:sz w:val="28"/>
          <w:sz w:val="28"/>
          <w:szCs w:val="28"/>
          <w:rtl w:val="true"/>
          <w:lang w:bidi="ar-SA"/>
        </w:rPr>
        <w:t> بعد الخیاطة ضمن قیمته مَخِیطاً</w:t>
      </w:r>
      <w:r>
        <w:rPr>
          <w:rStyle w:val="FootnoteAnchor"/>
          <w:rtl w:val="true"/>
        </w:rPr>
        <w:footnoteReference w:id="1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أنّه علی القول الثانی فی تلک المسألة یضمن قیمته غیر مخیط وبلا اُجرة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واستحقّ الاُجرة المسمّاة، وکذا لو حمل متاعاً إلی مکانٍ معیّنٍ ثمّ تلف مضموناً، أو أتلفه فإنّه یضمن قیمته فی ذلک المکان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لا أن یکون المالک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47" w:name="pg13284_130944"/>
    </w:p>
    <w:p>
      <w:pPr>
        <w:pStyle w:val="BookText"/>
        <w:rPr/>
      </w:pPr>
      <w:bookmarkEnd w:id="747"/>
      <w:r>
        <w:rPr>
          <w:rFonts w:ascii="Amiri" w:hAnsi="Amiri" w:eastAsia="Amiri" w:cs="Amiri"/>
          <w:color w:val="111111"/>
          <w:sz w:val="28"/>
          <w:sz w:val="28"/>
          <w:szCs w:val="28"/>
          <w:rtl w:val="true"/>
          <w:lang w:bidi="ar-SA"/>
        </w:rPr>
        <w:t>مخیّراً بین</w:t>
      </w:r>
      <w:r>
        <w:rPr>
          <w:rStyle w:val="FootnoteAnchor"/>
          <w:rtl w:val="true"/>
        </w:rPr>
        <w:footnoteReference w:id="1423"/>
      </w:r>
      <w:r>
        <w:rPr>
          <w:rFonts w:ascii="IRNazanin" w:hAnsi="IRNazanin" w:eastAsia="IRNazanin"/>
          <w:color w:val="111111"/>
          <w:sz w:val="28"/>
          <w:sz w:val="28"/>
          <w:szCs w:val="28"/>
          <w:rtl w:val="true"/>
          <w:lang w:bidi="fa-IR"/>
        </w:rPr>
        <w:t> تضمینه</w:t>
      </w:r>
      <w:r>
        <w:rPr>
          <w:rStyle w:val="FootnoteAnchor"/>
          <w:rtl w:val="true"/>
        </w:rPr>
        <w:footnoteReference w:id="1424"/>
      </w:r>
      <w:r>
        <w:rPr>
          <w:rFonts w:ascii="IRNazanin" w:hAnsi="IRNazanin" w:eastAsia="IRNazanin"/>
          <w:color w:val="111111"/>
          <w:sz w:val="28"/>
          <w:sz w:val="28"/>
          <w:szCs w:val="28"/>
          <w:rtl w:val="true"/>
          <w:lang w:bidi="fa-IR"/>
        </w:rPr>
        <w:t> غیر مخیطٍ بلا اُجرةٍ، أو مَخیطاً مع الاُجرة، وکذا لا أن یکون فی المتاع مخیّراً بین قیمته غیر محمولٍ فی مکانه الأوّل، بلا اُجرة، أو فی ذلک المکان مع الاُجرة، کما قد یقال</w:t>
      </w:r>
      <w:r>
        <w:rPr>
          <w:rFonts w:eastAsia="IRNazanin" w:cs="IRNazanin"/>
          <w:color w:val="111111"/>
          <w:sz w:val="28"/>
          <w:szCs w:val="28"/>
          <w:rtl w:val="true"/>
          <w:lang w:bidi="fa-IR"/>
        </w:rPr>
        <w:t>.</w:t>
      </w:r>
    </w:p>
    <w:p>
      <w:pPr>
        <w:pStyle w:val="Heading4"/>
        <w:numPr>
          <w:ilvl w:val="3"/>
          <w:numId w:val="1"/>
        </w:numPr>
        <w:rPr/>
      </w:pPr>
      <w:bookmarkStart w:id="748" w:name="__RefHeading___Toc2056041_2322387425"/>
      <w:bookmarkStart w:id="749" w:name="_Toc270"/>
      <w:bookmarkEnd w:id="748"/>
      <w:r>
        <w:rPr>
          <w:rtl w:val="true"/>
        </w:rPr>
        <w:t>ضمان تلف العین بید من تجاوز الحدّ المأذون فیه</w:t>
      </w:r>
      <w:bookmarkEnd w:id="74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أفسد الأجیر للخیاطة أو القصارة أو لتفصیل الثوب ضمن، وکذا الحجّام إذا جنی فی حِجامته، أو الختّان فی خِتانه، وکذا الکَحّال والبَیطار، وکلّ مَن آجَر نفسه لعملٍ فی مال المستأجِر إذا أفسده یکون ضامناً إذا تجاوز عن الحدّ المأذون فیه، وإن کان بغیر قصده؛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جواهر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وللصحیح، عن أبی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یُعطِی الثوبَ لیصبغه، فقال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عاملٍ أعطیته أجراً علی أن یُصلِح فأفسد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کتاب الإجارة، ح</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ظاهر المشهور ضمانه</w:t>
      </w:r>
      <w:r>
        <w:rPr>
          <w:rStyle w:val="FootnoteAnchor"/>
          <w:rtl w:val="true"/>
        </w:rPr>
        <w:footnoteReference w:id="1425"/>
      </w:r>
      <w:r>
        <w:rPr>
          <w:rFonts w:ascii="IRNazanin" w:hAnsi="IRNazanin" w:eastAsia="IRNazanin"/>
          <w:color w:val="111111"/>
          <w:sz w:val="28"/>
          <w:sz w:val="28"/>
          <w:szCs w:val="28"/>
          <w:rtl w:val="true"/>
          <w:lang w:bidi="fa-IR"/>
        </w:rPr>
        <w:t xml:space="preserve"> وإن لم یتجاوز عن الحدّ المأذون </w:t>
      </w:r>
    </w:p>
    <w:p>
      <w:pPr>
        <w:pStyle w:val="BookText"/>
        <w:rPr/>
      </w:pPr>
      <w:r>
        <w:rPr>
          <w:rFonts w:ascii="IRNazanin" w:hAnsi="IRNazanin" w:eastAsia="IRNazanin"/>
          <w:color w:val="111111"/>
          <w:sz w:val="28"/>
          <w:sz w:val="28"/>
          <w:szCs w:val="28"/>
          <w:rtl w:val="true"/>
          <w:lang w:bidi="fa-IR"/>
        </w:rPr>
        <w:t>فیه، ولکنّه مشکل</w:t>
      </w:r>
      <w:r>
        <w:rPr>
          <w:rStyle w:val="FootnoteAnchor"/>
          <w:rtl w:val="true"/>
        </w:rPr>
        <w:footnoteReference w:id="1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ومع ذلک الظاهر هو الضمان فی مسألة الختان، إلّا إذاکان المقتول به هو الّذی سلّم نفسه له مع استجماعه شرائط التکلیف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تعلیقةٍ له من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کما ذکره قدس سره ، لکنّ الظاهر هو الضمان فی مسألة الختان، إلّاإذا کان المقتول به هو الّذی سلّم نفسه له مع استجماعه شرائط التکلیف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مات الولد بسبب الختان مع کون الختّان حاذقاً من غیر أن یتعدّی عن محلّ القطع بأن کان أصل الختان مضرّاً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ضمانه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إن لم یکن وظیفة الختّان إلّا الختان، بأن لا یکون بصیراًفی کون الختان مضرّاً أو لا، وأمّا مع بصیرته فی ذلک بحیث یعتمد علیه فیه مثلالجرّاحین فی زماننا فالأقوی الضمان إلّا مع التبرئة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یبعد الضمان إلّا مع أخذه البراءة، ومراعاته لِما یلزم مراعاته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یُترک الاحتیاط؛ فإنّ للضمان فی الفرض المذکور وجه 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عدم الضمان فیه وفی أمثاله، وهذه الاُمور یمکن إخراجها عن إطلاقالروایات الواردة فی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عدم الضمان، إلّا إذا کان التشخیصٍ فی أصل کون الختان مضرّاً أم لابعهدته أیضاً، فإنّ الظاهر فی هذه الصورة الضمان کالطبیب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0" w:name="pg13284_130948"/>
    </w:p>
    <w:p>
      <w:pPr>
        <w:pStyle w:val="Heading4"/>
        <w:numPr>
          <w:ilvl w:val="3"/>
          <w:numId w:val="1"/>
        </w:numPr>
        <w:rPr/>
      </w:pPr>
      <w:bookmarkStart w:id="751" w:name="__RefHeading___Toc2056043_2322387425"/>
      <w:bookmarkStart w:id="752" w:name="_Toc271"/>
      <w:bookmarkEnd w:id="750"/>
      <w:bookmarkEnd w:id="751"/>
      <w:r>
        <w:rPr>
          <w:rtl w:val="true"/>
        </w:rPr>
        <w:t>ارتکاب الطبیب ما یوجب الضمان</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الطبیب المباشر</w:t>
      </w:r>
      <w:r>
        <w:rPr>
          <w:rStyle w:val="FootnoteAnchor"/>
          <w:rtl w:val="true"/>
        </w:rPr>
        <w:footnoteReference w:id="1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 المباشر والأمر الّذی یظهر أنّه السبب الأقوی من المباشرغالباً؛ ولذا یؤاخذ ویعاقب فی هذا الزمان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الضمان فی جمیع الصور المفروضة فی المتن إذا کان فی مقام المعالجةوالطبابة، لا مجرّد الإخبار ومباشرة الطبیب للعلاج فرض نادر لا یُحمَل إطلاقالروایة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مطلقاً إذا کان فی مقام الطبابة والعلاج، لا مجرّد الإخبار الّذی لا یصدق معهالطبابة، کالخطیب والمؤلّف، والکاتب علی علب الأدویة ونحوهم، فإنّهم لا ضمانعلیهم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الضمان فی جمیع صور الطبابة، إلّا مع التبرّی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الطبیب مکلّفاً یحفظ النفس بمباشرته للعلاج فلا یضمن؛ لأنّ التلف لایکون إلّا خطأً منه، فالموضوع ـ وهو علاج المرض ـ منتفٍ منه، وإن کان مکلّفاًباستعمال ما یراه علاجاً مع مسّ الحاجة إلیه فلا یضمن أیضاً، وفی غیر الموردَینهذین الأمر کما ذکر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أفسد ضامن وإن کان حاذقاً، وأمّا إذا لم یکن مباشراً، بل کان آمراً ففی ضمانه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الضمان فیه وفی أمثاله أشبه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إطلاق الأخبار الحاکمة لضمان الطبیب فی کلّ ما یصدق علیهعنوان الطبابة بحسب الصدق العرفیّ، نعم، تطبیق الضمان علی قواعده العرفیّةمشکل؛ لأنّ المباشر للعلاج من حیث التطبیق لیس هو الطبیب غالباً، کما أنّ صِدقالتغریر المستلزِم لدخول الطبابة تحت عنوان الإتلاف بالتغریر أیضاً مشکل، والّذییُسهِّل الخطبَ جواز التبرّی من الطبیب، کما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مجرّد بیانوصف الدواء وأنّه نافع لمرضٍ کذائیٍّ من أحد لا یوجب الضمان إذا لم یصدق علیهالطبابة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هو الضمان مطلقاً وإن لم یکن هناک أمر، بل کان فی مقام الطبابةوالمعالجة؛ لإطلاق النصّ، فالملاک صدق عنوان التطبّب ولا یعتبر فیه المباشرة ولاالأمر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أن</w:t>
      </w:r>
    </w:p>
    <w:p>
      <w:pPr>
        <w:pStyle w:val="BookText"/>
        <w:rPr/>
      </w:pPr>
      <w:r>
        <w:rPr>
          <w:rFonts w:ascii="Amiri" w:hAnsi="Amiri" w:eastAsia="Amiri" w:cs="Amiri"/>
          <w:color w:val="111111"/>
          <w:sz w:val="28"/>
          <w:sz w:val="28"/>
          <w:szCs w:val="28"/>
          <w:rtl w:val="true"/>
          <w:lang w:bidi="ar-SA"/>
        </w:rPr>
        <w:t>یکون سبباً</w:t>
      </w:r>
      <w:r>
        <w:rPr>
          <w:rStyle w:val="FootnoteAnchor"/>
          <w:rtl w:val="true"/>
        </w:rPr>
        <w:footnoteReference w:id="1428"/>
      </w:r>
      <w:r>
        <w:rPr>
          <w:rFonts w:ascii="IRNazanin" w:hAnsi="IRNazanin" w:eastAsia="IRNazanin"/>
          <w:color w:val="111111"/>
          <w:sz w:val="28"/>
          <w:sz w:val="28"/>
          <w:szCs w:val="28"/>
          <w:rtl w:val="true"/>
          <w:lang w:bidi="fa-IR"/>
        </w:rPr>
        <w:t> وکان أقوی من المباشر</w:t>
      </w:r>
      <w:r>
        <w:rPr>
          <w:rStyle w:val="FootnoteAnchor"/>
          <w:rtl w:val="true"/>
        </w:rPr>
        <w:footnoteReference w:id="1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الغالب فی الطبیب والمریض؛ ولذا لا یکون تنزیل النصّ والفتویعلیتلک الصورة تنزیلاً للإطلاق علی النادر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إذا کان واصفاً للدواء من دون أن یکون آمراً،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دواءک کذا وکذا، بل الأقوی فیه عدم 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الفلانی نافع للمرض الفلانی فلا ینبغی الإشکال فی عدم ضمانه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 وجه لِما عن بعضهم من التأمّل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w:t>
      </w:r>
      <w:bookmarkStart w:id="753" w:name="pg13284_130953"/>
    </w:p>
    <w:p>
      <w:pPr>
        <w:pStyle w:val="BookText"/>
        <w:rPr/>
      </w:pPr>
      <w:bookmarkEnd w:id="75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مریضاً</w:t>
      </w:r>
      <w:r>
        <w:rPr>
          <w:rStyle w:val="FootnoteAnchor"/>
          <w:rtl w:val="true"/>
        </w:rPr>
        <w:footnoteReference w:id="1430"/>
      </w:r>
      <w:r>
        <w:rPr>
          <w:rFonts w:ascii="Amiri" w:hAnsi="Amiri" w:eastAsia="Amiri" w:cs="Amiri"/>
          <w:color w:val="111111"/>
          <w:sz w:val="28"/>
          <w:sz w:val="28"/>
          <w:szCs w:val="28"/>
          <w:rtl w:val="true"/>
          <w:lang w:bidi="ar-SA"/>
        </w:rPr>
        <w:t> بمثل هذا المرض لَشَرِبتُ الدواء الفلانی</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2056045_2322387425"/>
      <w:bookmarkStart w:id="755" w:name="_Toc272"/>
      <w:bookmarkEnd w:id="754"/>
      <w:r>
        <w:rPr>
          <w:rtl w:val="true"/>
        </w:rPr>
        <w:t>مسقطات الضمان عن الطبیب</w:t>
      </w:r>
      <w:bookmarkEnd w:id="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تبرّأ</w:t>
      </w:r>
      <w:r>
        <w:rPr>
          <w:rStyle w:val="FootnoteAnchor"/>
          <w:rtl w:val="true"/>
        </w:rPr>
        <w:footnoteReference w:id="1431"/>
      </w:r>
      <w:r>
        <w:rPr>
          <w:rFonts w:ascii="IRNazanin" w:hAnsi="IRNazanin" w:eastAsia="IRNazanin"/>
          <w:color w:val="111111"/>
          <w:sz w:val="28"/>
          <w:sz w:val="28"/>
          <w:szCs w:val="28"/>
          <w:rtl w:val="true"/>
          <w:lang w:bidi="fa-IR"/>
        </w:rPr>
        <w:t> الطبیب من الضمان وقَبِلَ المریض أو ولیُّه ولم  یقصّر فی الاجتهاد والاحتیاط برأ</w:t>
      </w:r>
      <w:r>
        <w:rPr>
          <w:rStyle w:val="FootnoteAnchor"/>
          <w:rtl w:val="true"/>
        </w:rPr>
        <w:footnoteReference w:id="1432"/>
      </w:r>
      <w:r>
        <w:rPr>
          <w:rFonts w:ascii="IRNazanin" w:hAnsi="IRNazanin" w:eastAsia="IRNazanin"/>
          <w:color w:val="111111"/>
          <w:sz w:val="28"/>
          <w:sz w:val="28"/>
          <w:szCs w:val="28"/>
          <w:rtl w:val="true"/>
          <w:lang w:bidi="fa-IR"/>
        </w:rPr>
        <w:t> علی الأقوی</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6" w:name="__RefHeading___Toc2056047_2322387425"/>
      <w:bookmarkStart w:id="757" w:name="_Toc273"/>
      <w:bookmarkEnd w:id="756"/>
      <w:r>
        <w:rPr>
          <w:rtl w:val="true"/>
        </w:rPr>
        <w:t>ضمان الحمّال ما یُسقطه من المتاع</w:t>
      </w:r>
      <w:bookmarkEnd w:id="75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عثر الحمّال فسقط ما کان علی رأسه أو ظهره مثلاً ضمن</w:t>
      </w:r>
      <w:r>
        <w:rPr>
          <w:rStyle w:val="FootnoteAnchor"/>
          <w:rtl w:val="true"/>
        </w:rPr>
        <w:footnoteReference w:id="1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عدم الضمان؛ لأنّه من التلف، لا الإتلاف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للضمان؛ فإنّه لا یصدق علی الحمّال فی مفروض الکلام عنوان المتلِف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انطباق القاعدة علی مثل هذه الموارد الّتی هی من قبیل القضاء والقدر مشکل،نعم، لو عَثَر بحجارةٍ أو نحوها بحیث یکون مقصّراً وجب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تکن العثرة عن مسامحة وتقصیر ففی الضمان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صدق الإتلاف مع عدم خروجه فی مشیه عن المتعارف مع کون عثرتهخارجة تحت اختیاره إشکال، بل یکون بالتلف أشبه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یستند الإتلاف إلی الغیر کواضع الحجر مثلاً فی طریق الحمّال وهو لا یعلمبواسطة ظلمة اللیل مثلاً، وإلّا فالقول بضمان الحمّال فی مثله فی غایة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الإتلاف فی الفرض مشکل، فالأظهر عدم الضمان إلّا فی صورة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صدق الإتلاف علی جمیع موارد العثور إشکال، کما إذا کان بدفعِ أحدٍ له أوهبوب الریاح مثلاً، وإن کان الضمان أحوط ، بل لا ینبغی ترکه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صدقها مطلقاً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یصدق الإتلاف إذا لم یفرّط فی مشیه، وعلیه فلا ضمان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العثور عن تقصیر، وإلّا فالأظهر عدم الضمان؛ لأنّه بالتلف أشبه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الضمان إشکال، إلّا فی صور التفریط، والاتّهام وشرط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وإشکال، والاحتیاط طریق النجاة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العثور ناشئاً عن مسامحة، کخروجه فی المشی عن المتعارف مثلاً فهوضامن، وإلّا ففی الضمان إشکال، نشأ من جهة کونه خارجاً عن اختیاره فلا یضمن،ومن جهة عدم اعتباره القصد والعمد فی تحقّق سبب الضمان فیضمن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3284_130955"/>
    </w:p>
    <w:p>
      <w:pPr>
        <w:pStyle w:val="Heading4"/>
        <w:numPr>
          <w:ilvl w:val="3"/>
          <w:numId w:val="1"/>
        </w:numPr>
        <w:rPr/>
      </w:pPr>
      <w:bookmarkStart w:id="759" w:name="__RefHeading___Toc2056049_2322387425"/>
      <w:bookmarkStart w:id="760" w:name="_Toc274"/>
      <w:bookmarkEnd w:id="758"/>
      <w:bookmarkEnd w:id="759"/>
      <w:r>
        <w:rPr>
          <w:rtl w:val="true"/>
        </w:rPr>
        <w:t>حکم الضمان بحسب الموارد والأشخاص فی جملة موارد</w:t>
      </w:r>
      <w:bookmarkEnd w:id="760"/>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قال للخیّاط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یکفینی قمیصاً فاقطعه، </w:t>
      </w:r>
    </w:p>
    <w:p>
      <w:pPr>
        <w:pStyle w:val="BookText"/>
        <w:rPr/>
      </w:pPr>
      <w:r>
        <w:rPr>
          <w:rFonts w:ascii="IRNazanin" w:hAnsi="IRNazanin" w:eastAsia="IRNazanin"/>
          <w:color w:val="111111"/>
          <w:sz w:val="28"/>
          <w:sz w:val="28"/>
          <w:szCs w:val="28"/>
          <w:rtl w:val="true"/>
          <w:lang w:bidi="fa-IR"/>
        </w:rPr>
        <w:t>فقطعه فلم یکفِ ضمن</w:t>
      </w:r>
      <w:r>
        <w:rPr>
          <w:rStyle w:val="FootnoteAnchor"/>
          <w:rtl w:val="true"/>
        </w:rPr>
        <w:footnoteReference w:id="1435"/>
      </w:r>
      <w:r>
        <w:rPr>
          <w:rFonts w:ascii="IRNazanin" w:hAnsi="IRNazanin" w:eastAsia="IRNazanin"/>
          <w:color w:val="111111"/>
          <w:sz w:val="28"/>
          <w:sz w:val="28"/>
          <w:szCs w:val="28"/>
          <w:rtl w:val="true"/>
          <w:lang w:bidi="fa-IR"/>
        </w:rPr>
        <w:t> فی وجه</w:t>
      </w:r>
      <w:r>
        <w:rPr>
          <w:rStyle w:val="FootnoteAnchor"/>
          <w:rtl w:val="true"/>
        </w:rPr>
        <w:footnoteReference w:id="14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الضمان فی الصورتَین إذا کان مقیّداً بالواقع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وفی الفرض الثانی أیضاً کذلک مع جهل المالک، وکان إذنه فی القطعمستنداً إلی تشخیص الخیّاط، نعم، إن کان الخیّاط متیقّناً بالکفایة غیر شاکٍّ فیها ففیالضمان وعدمه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ومثله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قمیصاً؟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اقطعه، فلم یکفِه، وربّما یفرّق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الحقّ، فإنّ الإذن فی الصورة الاُولی معلّق علی الکفایة، والمفروض عدمها،فالخیاط ضامن؛ لقاعدة الإتلاف، وأمّا فی الصورة الثانیة فالقطع بإذن المالک، فلاوجه للضمان إلّا فی صورة التغریر الموجب لضمان الغارّ؛ بمقتضی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یقوّی هذا الفرق بأنّ الإذن فی الأوّل مقیّد بالکفایة وفی الثانی تکون الکفایةداعیاً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الأقرب الضمان، وعدم الفرق بینهما، والکفایة قید فی کلتیهما لُبّاً، ولیست 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الفرق هو الصحیح، فإنّ الإذن فی الأوّل مقیّد بالکفایة دون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کان الخیّاط عالماً بالحال مع جهل المالک فالظاهر ثبوت الضمان فی الثانی أیضاً لقاعدة الغرور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المعقوفتین أضفناه من نسخةٍ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فی المورد الأوّل هو الضمان؛ لتقیید الإذن بالکفایة، وفی المورد الثانیعدم الضمان، إلّا مع علم الخیّاط بعدم الکفایة وجهل المالک به، فیضمن حینئذٍ؛لقاعدة الغرور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فیُحکَم بالضمان  </w:t>
      </w:r>
    </w:p>
    <w:p>
      <w:pPr>
        <w:pStyle w:val="BookText"/>
        <w:rPr/>
      </w:pPr>
      <w:r>
        <w:rPr>
          <w:rFonts w:ascii="Amiri" w:hAnsi="Amiri" w:eastAsia="Amiri" w:cs="Amiri"/>
          <w:color w:val="111111"/>
          <w:sz w:val="28"/>
          <w:sz w:val="28"/>
          <w:szCs w:val="28"/>
          <w:rtl w:val="true"/>
          <w:lang w:bidi="ar-SA"/>
        </w:rPr>
        <w:t>فی الأوّل</w:t>
      </w:r>
      <w:r>
        <w:rPr>
          <w:rStyle w:val="FootnoteAnchor"/>
          <w:rtl w:val="true"/>
        </w:rPr>
        <w:footnoteReference w:id="1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الفرق بینهما ظاهر، وبیان عدم الفرق بینهما فی الضمان أو عدم الضمان ضعیفوتکلّفٌ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الثانی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الثانی أیضاً لا یکون إذن؛ لأنّه مبنیّ علی الکفایة، کما یدلّ علیه السؤال،والمفروض عدمها، فالظاهر ثبوت الضمان فی الصورتَین؛ من جهة عدم الإذن، وأمّاقاعدة الغرور فجریانها فی المقام مشکل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بدعوی عدم الإذن فی الأوّل دون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الأوّل أیضاً الإذن</w:t>
      </w:r>
      <w:r>
        <w:rPr>
          <w:rStyle w:val="FootnoteAnchor"/>
          <w:rtl w:val="true"/>
        </w:rPr>
        <w:footnoteReference w:id="1438"/>
      </w:r>
      <w:r>
        <w:rPr>
          <w:rFonts w:ascii="IRNazanin" w:hAnsi="IRNazanin" w:eastAsia="IRNazanin"/>
          <w:color w:val="111111"/>
          <w:sz w:val="28"/>
          <w:sz w:val="28"/>
          <w:szCs w:val="28"/>
          <w:rtl w:val="true"/>
          <w:lang w:bidi="fa-IR"/>
        </w:rPr>
        <w:t> حاصل</w:t>
      </w:r>
      <w:r>
        <w:rPr>
          <w:rStyle w:val="FootnoteAnchor"/>
          <w:rtl w:val="true"/>
        </w:rPr>
        <w:footnoteReference w:id="1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بحاصل؛ لأنّه مقیّد بالکفایة، کما هو سلّمه فی تقریب 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الإذن المنوط بعنوانٍ غیر حاصلٍ لا یکون مصحّحاً لرفع الزمان، ولاالتکلیف، کما أشرنا إلیه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علی تقدیر الکفایة، لا علی تقدیر عدمها، کما هو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إذنه مقیّد بالکفایة، ففی صورة عدم الکفایة ـ کما هو المفروض فی المقام ـلا إذن فی البین، بخلاف الصورة الثانیة؛ فإنّ الإذن فیها مطلق ولو من جهة تخلیة الکفایة واعتقاده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إذنه إنّما هو علی تقدیر الکفایة، کما أنّ الإذن فی الثانی أیضاً مبنیّ علیه، ولایوجب شیء منهما رفع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حصوله کعدمه؛ لأنّه مقیّد بالکفایة، والفرض عدمها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مقیّداً بالکفایة لا مطلقاً، بخلاف الصورة الثانیة، فإنّ الإذن فیه غیر مقیّدٍ ظاهراً،لکنّ الکفایة داعیة إلی إذنه فلا یضمن، إلّا أن یحصل من قوله الاطمئنان بحیثیصدق الغرور الموجب للضمان، فحینئذٍ یضمن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وربّما یقال بعدم الضمان</w:t>
      </w:r>
    </w:p>
    <w:p>
      <w:pPr>
        <w:pStyle w:val="BookText"/>
        <w:rPr/>
      </w:pPr>
      <w:r>
        <w:rPr>
          <w:rFonts w:ascii="IRNazanin" w:hAnsi="IRNazanin" w:eastAsia="IRNazanin"/>
          <w:color w:val="111111"/>
          <w:sz w:val="28"/>
          <w:sz w:val="28"/>
          <w:szCs w:val="28"/>
          <w:rtl w:val="true"/>
          <w:lang w:bidi="fa-IR"/>
        </w:rPr>
        <w:t>فیهما؛ للإذن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مقیّد بالکفایة، إلّا أن یقال</w:t>
      </w:r>
      <w:r>
        <w:rPr>
          <w:rStyle w:val="FootnoteAnchor"/>
          <w:rtl w:val="true"/>
        </w:rPr>
        <w:footnoteReference w:id="1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مقیّد باعتقاد الکفایة، وهو حاصل، والأولی الفرق</w:t>
      </w:r>
      <w:r>
        <w:rPr>
          <w:rStyle w:val="FootnoteAnchor"/>
          <w:rtl w:val="true"/>
        </w:rPr>
        <w:footnoteReference w:id="1441"/>
      </w:r>
      <w:r>
        <w:rPr>
          <w:rFonts w:ascii="IRNazanin" w:hAnsi="IRNazanin" w:eastAsia="IRNazanin"/>
          <w:color w:val="111111"/>
          <w:sz w:val="28"/>
          <w:sz w:val="28"/>
          <w:szCs w:val="28"/>
          <w:rtl w:val="true"/>
          <w:lang w:bidi="fa-IR"/>
        </w:rPr>
        <w:t> بین الموارد والأشخاص بحسب صدق الغرور</w:t>
      </w:r>
      <w:r>
        <w:rPr>
          <w:rStyle w:val="FootnoteAnchor"/>
          <w:rtl w:val="true"/>
        </w:rPr>
        <w:footnoteReference w:id="1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الغرور یختلف بحسب الموارد، ولا شکّ فی أنّ فی کلّ مورد صدق الغروریضمن للمغرور ولو کان مأذوناً من قبله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التمسّک بقاعدة الغرور فی المقام تأمّل، والأقوی الفرق بین کون الإذن مقیّداًبالکفایة، وکون اعتقاد الکفایة داعیاً لإذنه، فیحکم بالضمان فی الأوّل دون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شکّ فی أنّ الغارّ یضمن المغرور وإن کان مأذوناً من قبله، فیکون إذنه بمنزلةعدم الإذن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الکلام فی صدق الغرور بمجرّد قوله بالکفایة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تقیّد</w:t>
      </w:r>
      <w:bookmarkStart w:id="761" w:name="pg13284_130964"/>
    </w:p>
    <w:p>
      <w:pPr>
        <w:pStyle w:val="BookText"/>
        <w:rPr/>
      </w:pPr>
      <w:bookmarkEnd w:id="761"/>
      <w:r>
        <w:rPr>
          <w:rFonts w:ascii="IRNazanin" w:hAnsi="IRNazanin" w:eastAsia="IRNazanin"/>
          <w:color w:val="111111"/>
          <w:sz w:val="28"/>
          <w:sz w:val="28"/>
          <w:szCs w:val="28"/>
          <w:rtl w:val="true"/>
          <w:lang w:bidi="fa-IR"/>
        </w:rPr>
        <w:t>الإذن</w:t>
      </w:r>
      <w:r>
        <w:rPr>
          <w:rStyle w:val="FootnoteAnchor"/>
          <w:rtl w:val="true"/>
        </w:rPr>
        <w:footnoteReference w:id="1443"/>
      </w:r>
      <w:r>
        <w:rPr>
          <w:rFonts w:ascii="IRNazanin" w:hAnsi="IRNazanin" w:eastAsia="IRNazanin"/>
          <w:color w:val="111111"/>
          <w:sz w:val="28"/>
          <w:sz w:val="28"/>
          <w:szCs w:val="28"/>
          <w:rtl w:val="true"/>
          <w:lang w:bidi="fa-IR"/>
        </w:rPr>
        <w:t> وعدمه، والأحوط مراعاة الاحتیاط</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2056051_2322387425"/>
      <w:bookmarkStart w:id="763" w:name="_Toc275"/>
      <w:bookmarkEnd w:id="762"/>
      <w:r>
        <w:rPr>
          <w:rtl w:val="true"/>
        </w:rPr>
        <w:t>ما یوجب الضمان علی العبد</w:t>
      </w:r>
      <w:bookmarkEnd w:id="763"/>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r>
        <w:rPr>
          <w:rStyle w:val="FootnoteAnchor"/>
          <w:rtl w:val="true"/>
        </w:rPr>
        <w:footnoteReference w:id="1445"/>
      </w:r>
      <w:r>
        <w:rPr>
          <w:rFonts w:ascii="IRNazanin" w:hAnsi="IRNazanin" w:eastAsia="IRNazanin"/>
          <w:color w:val="111111"/>
          <w:sz w:val="28"/>
          <w:sz w:val="28"/>
          <w:szCs w:val="28"/>
          <w:rtl w:val="true"/>
          <w:lang w:bidi="fa-IR"/>
        </w:rPr>
        <w:t> آجر عبده لعملٍ فأفسد ففی کون الضمان علیه، أو علیالعبد یتبع به بعد عتقه، أو فی کسبه</w:t>
      </w:r>
      <w:r>
        <w:rPr>
          <w:rStyle w:val="FootnoteAnchor"/>
          <w:rtl w:val="true"/>
        </w:rPr>
        <w:footnoteReference w:id="1446"/>
      </w:r>
      <w:r>
        <w:rPr>
          <w:rFonts w:ascii="IRNazanin" w:hAnsi="IRNazanin" w:eastAsia="IRNazanin"/>
          <w:color w:val="111111"/>
          <w:sz w:val="28"/>
          <w:sz w:val="28"/>
          <w:szCs w:val="28"/>
          <w:rtl w:val="true"/>
          <w:lang w:bidi="fa-IR"/>
        </w:rPr>
        <w:t>إذا کان من غیر تفریط، وفی ذمّته یتبع به بعد العتق إذا کان بتفریط، أو فی کسبه مطلقاً وجوه وأقوال، أقواها الأخیر</w:t>
      </w:r>
      <w:r>
        <w:rPr>
          <w:rStyle w:val="FootnoteAnchor"/>
          <w:rtl w:val="true"/>
        </w:rPr>
        <w:footnoteReference w:id="1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فإنّ مفاد النصّ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الأوّل؛ للنصّ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النصّ الّذی أشار إلیه فالظاهر منه غیر ما نحنفیه، أو یقیّد بالنصّ المتقدّم، والجنایة علی النفس والطرف تحتاج إلی المراجعة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الأوّل، والنصّ الّذی أشار إلیه مقیّد لو لم یُحمَل علی مورد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استهلک العبد أموالاً اُخر غیر مورد الإجارة، وأمّا الإفساد فی موردالإجارة فالأقوی فیه القول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للنصّ</w:t>
      </w:r>
      <w:r>
        <w:rPr>
          <w:rStyle w:val="FootnoteAnchor"/>
          <w:rtl w:val="true"/>
        </w:rPr>
        <w:footnoteReference w:id="1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الأوّل، والنصّ فی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استهلک مالاً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استهلک مالاً غیر ما استُؤجِر لإصلاحه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 النصّ لجمیع الصور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النصّ الصحیح إنّما یکون مختصّاً بما لو استهلک مالاً آخَرَ للمستأجر غیر مااستؤجر لإصلاحه فأفسده، وأمّا فی مورد الخطأ فی صنعة استأجر علیها کما هومفروض المسألة فالأظهر هو الأوّل؛ لما روی عن الکافی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الحَسَن،عن أبی عبدالله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صحیحة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الدالّة علی أنّه لیس علی مولاهشیء، ولکنّه یستسعی، وإن عجز عنه فلیس علی مولاه ولا علی العبد شیء، وهذهالروایة وإن کانت مخالفةً للقاعدة من جهاتٍ متعدّدةٍ لکن یُعمل بها؛ لکونها صحیحة،لکنّ الظاهر منها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فیستهلک مالاً کثیراً صدور الإتلاف فی غیر صنعةاستأجر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الروایة الحسنة المرویّة فی الکافی والتهذیب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7/213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فی قضاء أمیرالمؤمنین علیه السلام تدلّ علی صورة تضییعِ شیءٍ قد استُؤجِر فی عمل شیءٍمثل الصیاغة ونحوها، وتدلّ علی أنّ الضمان علی المولی، فیُحمَل علی صورة کونالمولی سبباً للإتلاف أو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فالمسألة لا تخلو من إشکال من حیثالنصّ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حیث القاعدة فالضمان علی العبد مطلقاً؛ لعدم الفرق فی التغریم منحیث الإتلاف والتلف تحت الید وخصوص الید عموم دلیل ضمان الصانع بإفساد مااستُؤجِر علیه بین العبد والحرّ؛ کما لا یخفی، وحیث إنّ العبد لا مال علیه فیتبع بهبعد العتق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مورده ما إذا استهلک مالاً کثیراً آخر، والمفروض فی المقام إفساد موردالإجارة، ومقتضی النصّ الحَسَن الوارد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الضمان فیه علی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فی غیر الجنایة علی نفسٍ أو طَرْف، وإلّا فیتعلّق  </w:t>
      </w:r>
      <w:bookmarkStart w:id="764" w:name="pg13284_130968"/>
    </w:p>
    <w:p>
      <w:pPr>
        <w:pStyle w:val="BookText"/>
        <w:rPr/>
      </w:pPr>
      <w:bookmarkEnd w:id="764"/>
      <w:r>
        <w:rPr>
          <w:rFonts w:ascii="IRNazanin" w:hAnsi="IRNazanin" w:eastAsia="IRNazanin"/>
          <w:color w:val="111111"/>
          <w:sz w:val="28"/>
          <w:sz w:val="28"/>
          <w:szCs w:val="28"/>
          <w:rtl w:val="true"/>
          <w:lang w:bidi="fa-IR"/>
        </w:rPr>
        <w:t>برقبته، وللمولی فداوه</w:t>
      </w:r>
      <w:r>
        <w:rPr>
          <w:rStyle w:val="FootnoteAnchor"/>
          <w:rtl w:val="true"/>
        </w:rPr>
        <w:footnoteReference w:id="1449"/>
      </w:r>
      <w:r>
        <w:rPr>
          <w:rFonts w:ascii="IRNazanin" w:hAnsi="IRNazanin" w:eastAsia="IRNazanin"/>
          <w:color w:val="111111"/>
          <w:sz w:val="28"/>
          <w:sz w:val="28"/>
          <w:szCs w:val="28"/>
          <w:rtl w:val="true"/>
          <w:lang w:bidi="fa-IR"/>
        </w:rPr>
        <w:t> بأقلّ الأمرین من الأرش والقیمة</w:t>
      </w:r>
      <w:r>
        <w:rPr>
          <w:rFonts w:eastAsia="IRNazanin" w:cs="IRNazanin"/>
          <w:color w:val="111111"/>
          <w:sz w:val="28"/>
          <w:szCs w:val="28"/>
          <w:rtl w:val="true"/>
          <w:lang w:bidi="fa-IR"/>
        </w:rPr>
        <w:t>.</w:t>
      </w:r>
    </w:p>
    <w:p>
      <w:pPr>
        <w:pStyle w:val="Heading4"/>
        <w:numPr>
          <w:ilvl w:val="3"/>
          <w:numId w:val="1"/>
        </w:numPr>
        <w:rPr/>
      </w:pPr>
      <w:bookmarkStart w:id="765" w:name="__RefHeading___Toc2056053_2322387425"/>
      <w:bookmarkStart w:id="766" w:name="_Toc276"/>
      <w:bookmarkEnd w:id="765"/>
      <w:r>
        <w:rPr>
          <w:rtl w:val="true"/>
        </w:rPr>
        <w:t>عدم ضمان صاحب الدابّة</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دابّةً لحمل متاعٍ فعثرت وتلف أو نقص لا ضمان علی صاحبها، إلّا إذا کان هو السبب بِنَخْسٍ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 الدابّةَ وغیرها نَخساً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غَرَزَ جنبَها أو مؤخّرها بعودٍ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مادةنخس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ضرب</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2056055_2322387425"/>
      <w:bookmarkStart w:id="768" w:name="_Toc277"/>
      <w:bookmarkEnd w:id="767"/>
      <w:r>
        <w:rPr>
          <w:rtl w:val="true"/>
        </w:rPr>
        <w:t>عدم ضمان صاحب السفینة</w:t>
      </w:r>
      <w:bookmarkEnd w:id="768"/>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استأجر سفینة أو دابّة لحمل متاع فنقص أو سرق لم یضمن صاحبها</w:t>
      </w:r>
      <w:r>
        <w:rPr>
          <w:rStyle w:val="FootnoteAnchor"/>
          <w:rtl w:val="true"/>
        </w:rPr>
        <w:footnoteReference w:id="1450"/>
      </w:r>
      <w:r>
        <w:rPr>
          <w:rFonts w:ascii="IRNazanin" w:hAnsi="IRNazanin" w:eastAsia="IRNazanin"/>
          <w:color w:val="111111"/>
          <w:sz w:val="28"/>
          <w:sz w:val="28"/>
          <w:szCs w:val="28"/>
          <w:rtl w:val="true"/>
          <w:lang w:bidi="fa-IR"/>
        </w:rPr>
        <w:t>، نعم، لو اشترط</w:t>
      </w:r>
      <w:r>
        <w:rPr>
          <w:rStyle w:val="FootnoteAnchor"/>
          <w:rtl w:val="true"/>
        </w:rPr>
        <w:footnoteReference w:id="1451"/>
      </w:r>
      <w:bookmarkStart w:id="769" w:name="pg13284_130970"/>
    </w:p>
    <w:p>
      <w:pPr>
        <w:pStyle w:val="BookText"/>
        <w:rPr/>
      </w:pPr>
      <w:bookmarkEnd w:id="769"/>
      <w:r>
        <w:rPr>
          <w:rFonts w:ascii="IRNazanin" w:hAnsi="IRNazanin" w:eastAsia="IRNazanin"/>
          <w:color w:val="111111"/>
          <w:sz w:val="28"/>
          <w:sz w:val="28"/>
          <w:szCs w:val="28"/>
          <w:rtl w:val="true"/>
          <w:lang w:bidi="fa-IR"/>
        </w:rPr>
        <w:t>علیه</w:t>
      </w:r>
      <w:r>
        <w:rPr>
          <w:rStyle w:val="FootnoteAnchor"/>
          <w:rtl w:val="true"/>
        </w:rPr>
        <w:footnoteReference w:id="1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مرّ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مرّ فی العین المستأجرة، وإلّا ففیه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مرّ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الصحّة تتوقّف علی کون الشرط متعلّقاً بالفعل بأن یشترط علیه تدارک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لعموم دلیل الشرط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وللنصّ</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2056057_2322387425"/>
      <w:bookmarkStart w:id="771" w:name="_Toc278"/>
      <w:bookmarkEnd w:id="770"/>
      <w:r>
        <w:rPr>
          <w:rtl w:val="true"/>
        </w:rPr>
        <w:t>ضمان المحمول زیادة علی المسمّی</w:t>
      </w:r>
      <w:bookmarkEnd w:id="7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حمّل الدابّة المستأجرة أزید من المشترط أو المقدار المتعارف مع الإطلاق ضَمِنَ تلفها أو عَوارها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حِسِّ إحدی العینین، وعَوِرَت عینه واعورَّت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بصرها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eastAsia="IRNazanin" w:cs="IRNazanin"/>
          <w:color w:val="111111"/>
          <w:sz w:val="28"/>
          <w:szCs w:val="28"/>
          <w:lang w:bidi="fa-IR"/>
        </w:rPr>
        <w:t>9/466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ثبوت</w:t>
      </w:r>
      <w:r>
        <w:rPr>
          <w:rStyle w:val="FootnoteAnchor"/>
          <w:rtl w:val="true"/>
        </w:rPr>
        <w:footnoteReference w:id="14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قیّدت المنفعة بعدم الزیادة ، وصارت بهذا اللحاظ متعلّقة للإجارة کانت مضادّةًللمنفعة مع الزیادة، وإن کانتا بحسب الوجود الخارجی متداخلتین، فاذا استوفیالمستأجر المنفعة مع الزیادة فقد أتلف علی نفسه المنفعة المتعلّقة للإجارة، وکانعلیه الاُجرة المسمّاة، وحیث استوفی المنفعة مع الزیادة کان علیه اُجرة المثل، ویکون حینئذٍ مجال توهّم ضمانه للاُجرتین، إلّا أنّ التحقیق فی المنافع المتضادّةأنّ طبیعیّ المنفعة لا یوجد بوجوداتٍ متعدّدةٍ دفعةً، بل علی نحو التبادل،ومقتضی ذلک أن یتشخّص الطبیعیّ فیما نحن فیه تارةً مع بشرط لا عن الزیادة،بأن یقتصر المستأجِر علی استیفاء ما استأجره فقط، واُخری مع بشرط شیءبأن یستوفی أزید ممّا استأجره، وحیث إنّ المستوفی بدل وجودیّ لِما لهبدل جعلیّ بالنسبة إلی المقدار المساوی لِما استأجره فلا یصحّ تضمینهإلّا بالمقدار الزائد علیه، فلا یکون ضامناً للمنفعتَین، بل علیه المسمّاة،واُجرة مثل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البیان ظهر أنّه لا فرق بین تقیید المنفعة بعدم الزیادة وبین اشتراطعدم الزیادة فی ضمان المسمّاة واُجرة مثل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یتفاوت المقام مع ما إذا کانالتضادّ من غیر جهة التقیید اللحاظی، حیث إنّ الضمان هناک لأکثر الأمرین منالمسمّاة، والمثل والفارق هو کون التضادّ فی المقام لحاظیّاً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فی مورد الاشتراط إذا فسخ المؤجِر بخیار تخلّف الشرط کان علیالمستأجِر اُجرة مثل المجموع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اُجرة</w:t>
      </w:r>
      <w:r>
        <w:rPr>
          <w:rStyle w:val="FootnoteAnchor"/>
          <w:rtl w:val="true"/>
        </w:rPr>
        <w:footnoteReference w:id="14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المسمّاة بالنسبة إلی المشترط، أو المتعارف والمثل بالنسبة إلی الزیادة،والشرط غیر آئلٍ إلی التقیید، وإن آل أو کان تصریح به فحکمه حکم المتباینین، ثمّالتقیید فی کلامه قدس سره بعدم التَلَف لا وجه له بعد کون تعدّی المستأجِر موجباً لاستقرارالاُجرة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التقیید الموجب لبطلان الإجارة وشیئاً زائداً للعمل الزائد،واُجرة المسمّی والزیادة فی غیر صورة التقیید، ثمّ إنّه لم یظهر وجه التقییدبـ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الحکم مع التلف أیضاً هو ضمان الاُجرة والقیمة معاً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محمّدالشیرازی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     .     .     .     .     .     .</w:t>
      </w:r>
    </w:p>
    <w:p>
      <w:pPr>
        <w:pStyle w:val="BookText"/>
        <w:rPr/>
      </w:pPr>
      <w:r>
        <w:rPr>
          <w:rFonts w:ascii="Amiri" w:hAnsi="Amiri" w:eastAsia="Amiri" w:cs="Amiri"/>
          <w:color w:val="111111"/>
          <w:sz w:val="28"/>
          <w:sz w:val="28"/>
          <w:szCs w:val="28"/>
          <w:rtl w:val="true"/>
          <w:lang w:bidi="ar-SA"/>
        </w:rPr>
        <w:t>المِثل</w:t>
      </w:r>
      <w:r>
        <w:rPr>
          <w:rStyle w:val="FootnoteAnchor"/>
          <w:rtl w:val="true"/>
        </w:rPr>
        <w:footnoteReference w:id="1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المتعارف عرفاً غیر صورة التقیید حتّی مع اشتراط عدم التجاوز عمّا وقع علیهالعقد، أو المتعارف مع الإطلاق والظاهر، بل المتعیّن حینئذٍ ثبوت المسمّی واُجرةالمثل بالنسبة إلی الزائد، نعم، لو فرض کونه علی وجه التقیید فحکمه حکمالمتباینین، وسیأتی إن شاء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ثبوت أکثر الأمرین فی صورة التقیید والاُجرة المسمّاة، مع اُجرة مثلالزائد فی صورة الاشتراط إذا لم یفسخ الموجِر الإجارة، وإلّا فاُجرة مثل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المسمّی، واُجرة مثل الزائد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المسمّاة واُجرة المثل بالنسبة إلی الزائد حتّی فی صورة التقیید، وما اختاره قدس سره فی تلک الصورة خلاف ما سیأتی منه فی المتباینَین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ثبوت اُجرة المسمّی، واُجرة المثل بالنسبة إلی الزیادة، کما سیُصرِّح بهالماتن فی المسألة التالیة، نعم، لو فسخ المؤجِر الإجارة تثبت اُجرة المثل، وکذا لوکان القید مورد الإجارة وجوداً وعدماً فتنفسخ الإجارة حینئذٍ بانتفائه، وتثبت اُجرةالمثل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المرتَکَز هو الاشتراط دون التقیید فالظاهر ثبوت اُجرة المسمّاة، مع اُجرةمثل الزائد ما لم یفسخ المؤجِر، وإلّا فاُجرة مثل المجموع، وأمّا فی صورة التقییدفالظاهر ثبوت الاُجرتَین، کما یصرّح به فی المسألة السادسة من الفصل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بعنوان الشرط، أو الإطلاق بمنزلة الشرط فله الفسخ، فإذا فسخ فله اُجرةمثل المجموع، وإذا لم ینفسخ فله المسمّی، أمّا ثبوت اُجرة مثل الزیادة معه لا یخلومن وجهٍ وجیه، وإن کان المستأجِر آثماً حینئذٍ بالتخلّف، وإذا کان بعنوان التقیّد علینحوٍ أن یکون المقدار مقیّداً بکونه لا مع الزیادة فحینئذٍ تثبت اُجرة المثل، وأمّا إذاقلنا بأنّ الإطلاق لیس بمنزلة الشرط فحینئذٍ ثبت المسمّی، وکونه ضامناً لاُجرة مثلالزائد لا یخلو من 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     .     .     .     .     .     .     .     .</w:t>
      </w:r>
    </w:p>
    <w:p>
      <w:pPr>
        <w:pStyle w:val="BookText"/>
        <w:rPr/>
      </w:pPr>
      <w:r>
        <w:rPr>
          <w:rFonts w:ascii="Amiri" w:hAnsi="Amiri" w:eastAsia="Amiri" w:cs="Amiri"/>
          <w:color w:val="111111"/>
          <w:sz w:val="28"/>
          <w:sz w:val="28"/>
          <w:szCs w:val="28"/>
          <w:rtl w:val="true"/>
          <w:lang w:bidi="ar-SA"/>
        </w:rPr>
        <w:t>لا المسمّی</w:t>
      </w:r>
      <w:r>
        <w:rPr>
          <w:rStyle w:val="FootnoteAnchor"/>
          <w:rtl w:val="true"/>
        </w:rPr>
        <w:footnoteReference w:id="14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الظاهر ثبوت المسمّی بالنسبة إلی المقدار المشترط أو المتعارف، واُجرة مثلالزیادة، نعم، لو فرض إیقاع الإجارة علی حمل مقدارٍ معیّنٍ بشرط لا عن غیرهفیصیر حکمه حکم المتباینَین علی ما یأتی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مع عدم التلف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التلف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 التلف فعلیه الاُجرة المسمّاة بالنسبة إلی ما بعد التلف، وبالنسبة إلی ما قبلهفکما مرّ فی الحاشیة السابقة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علی وجه التقیید تثبت الاُجرتان، کما اختاره فی المسألة السادسة منالفصل 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لأنّ العقد لم یقع علی هذا المقدار من الحمل، نعم، لو لم یکن ذلک علی وجه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الفرق بین الصورتَین، فإنّ مقتضی القاعدة ثبوت کلتا الاُجرتَین فیکلتا الصورتَین، غایة الأمر فی صورة التقیید تکون اُجرة المثل فی مقابل تمامالانتفاع العدوانی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کان المراد بالتقیید هو کون مورد الإجارة هو الحَمل المقیّد بشرط لا عنالزیادة فحکمه حکم المتباینَین، وسیجیء، وإن کان المراد به کون حمل مقدارٍ معیّنٍمأخوذاً بنحو وحدة المطلوب فی مقابل الاشتراط الّذی یکون مأخوذاً بنحو التعدّدفالفرق بینهما من هذه الجهة غیر واضح، بل الظاهر ثبوت المسمّی واُجرة المثل فیکلتا الصورتین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bookmarkStart w:id="772" w:name="pg13284_130978"/>
    </w:p>
    <w:p>
      <w:pPr>
        <w:pStyle w:val="BookText"/>
        <w:rPr/>
      </w:pPr>
      <w:bookmarkEnd w:id="772"/>
      <w:r>
        <w:rPr>
          <w:rFonts w:ascii="IRNazanin" w:hAnsi="IRNazanin" w:eastAsia="IRNazanin"/>
          <w:color w:val="111111"/>
          <w:sz w:val="28"/>
          <w:sz w:val="28"/>
          <w:szCs w:val="28"/>
          <w:rtl w:val="true"/>
          <w:lang w:bidi="fa-IR"/>
        </w:rPr>
        <w:t>ثبت</w:t>
      </w:r>
      <w:r>
        <w:rPr>
          <w:rStyle w:val="FootnoteAnchor"/>
          <w:rtl w:val="true"/>
        </w:rPr>
        <w:footnoteReference w:id="1457"/>
      </w:r>
      <w:r>
        <w:rPr>
          <w:rFonts w:ascii="IRNazanin" w:hAnsi="IRNazanin" w:eastAsia="IRNazanin"/>
          <w:color w:val="111111"/>
          <w:sz w:val="28"/>
          <w:sz w:val="28"/>
          <w:szCs w:val="28"/>
          <w:rtl w:val="true"/>
          <w:lang w:bidi="fa-IR"/>
        </w:rPr>
        <w:t> علیه</w:t>
      </w:r>
      <w:r>
        <w:rPr>
          <w:rStyle w:val="FootnoteAnchor"/>
          <w:rtl w:val="true"/>
        </w:rPr>
        <w:footnoteReference w:id="1458"/>
      </w:r>
      <w:r>
        <w:rPr>
          <w:rFonts w:ascii="IRNazanin" w:hAnsi="IRNazanin" w:eastAsia="IRNazanin"/>
          <w:color w:val="111111"/>
          <w:sz w:val="28"/>
          <w:sz w:val="28"/>
          <w:szCs w:val="28"/>
          <w:rtl w:val="true"/>
          <w:lang w:bidi="fa-IR"/>
        </w:rPr>
        <w:t> المسمّاة، واُجرة المثل بالنسبة إلی الزیادة</w:t>
      </w:r>
      <w:r>
        <w:rPr>
          <w:rFonts w:eastAsia="IRNazanin" w:cs="IRNazanin"/>
          <w:color w:val="111111"/>
          <w:sz w:val="28"/>
          <w:szCs w:val="28"/>
          <w:rtl w:val="true"/>
          <w:lang w:bidi="fa-IR"/>
        </w:rPr>
        <w:t>.</w:t>
      </w:r>
    </w:p>
    <w:p>
      <w:pPr>
        <w:pStyle w:val="Heading4"/>
        <w:numPr>
          <w:ilvl w:val="3"/>
          <w:numId w:val="1"/>
        </w:numPr>
        <w:rPr/>
      </w:pPr>
      <w:bookmarkStart w:id="773" w:name="__RefHeading___Toc2056059_2322387425"/>
      <w:bookmarkStart w:id="774" w:name="_Toc279"/>
      <w:bookmarkEnd w:id="773"/>
      <w:r>
        <w:rPr>
          <w:rtl w:val="true"/>
        </w:rPr>
        <w:t>ضمان الزیادة فی السیر عن المسمّی</w:t>
      </w:r>
      <w:bookmarkEnd w:id="77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اکتَری دابّةً فسار علیها زیادةً عن المشترط ضمن، والظاهر</w:t>
      </w:r>
      <w:r>
        <w:rPr>
          <w:rStyle w:val="FootnoteAnchor"/>
          <w:rtl w:val="true"/>
        </w:rPr>
        <w:footnoteReference w:id="14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هذه المسألة حکم المسألة المتقدّمة، ولا وجه للإطلاق هنا مع التفصیلهناک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     .     .     .     .     .     .     .     .     .</w:t>
      </w:r>
      <w:bookmarkStart w:id="775" w:name="pg13284_130980"/>
    </w:p>
    <w:p>
      <w:pPr>
        <w:pStyle w:val="BookText"/>
        <w:rPr/>
      </w:pPr>
      <w:bookmarkEnd w:id="775"/>
      <w:r>
        <w:rPr>
          <w:rFonts w:ascii="IRNazanin" w:hAnsi="IRNazanin" w:eastAsia="IRNazanin"/>
          <w:color w:val="111111"/>
          <w:sz w:val="28"/>
          <w:sz w:val="28"/>
          <w:szCs w:val="28"/>
          <w:rtl w:val="true"/>
          <w:lang w:bidi="fa-IR"/>
        </w:rPr>
        <w:t>ثبوت</w:t>
      </w:r>
      <w:r>
        <w:rPr>
          <w:rStyle w:val="FootnoteAnchor"/>
          <w:rtl w:val="true"/>
        </w:rPr>
        <w:footnoteReference w:id="1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بشرط عدم انفساخ الإجارة بإحدی الموجبات، وإلّا فاُجرة مثل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الاُجرة المسمّاة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لم یفسخ المؤجِر، وإلّا فاُجرة مثل المجموع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المقدار المشترط، واُجرة المثل بالنسبة إلی الزائد</w:t>
      </w:r>
      <w:r>
        <w:rPr>
          <w:rFonts w:eastAsia="IRNazanin" w:cs="IRNazanin"/>
          <w:color w:val="111111"/>
          <w:sz w:val="28"/>
          <w:szCs w:val="28"/>
          <w:rtl w:val="true"/>
          <w:lang w:bidi="fa-IR"/>
        </w:rPr>
        <w:t>.</w:t>
      </w:r>
    </w:p>
    <w:p>
      <w:pPr>
        <w:pStyle w:val="Heading4"/>
        <w:numPr>
          <w:ilvl w:val="3"/>
          <w:numId w:val="1"/>
        </w:numPr>
        <w:rPr/>
      </w:pPr>
      <w:bookmarkStart w:id="776" w:name="__RefHeading___Toc2056061_2322387425"/>
      <w:bookmarkStart w:id="777" w:name="_Toc280"/>
      <w:bookmarkEnd w:id="776"/>
      <w:r>
        <w:rPr>
          <w:rtl w:val="true"/>
        </w:rPr>
        <w:t>سوق الدابّة ونحوها بالمتعارف علیه من الضرب ونحوه</w:t>
      </w:r>
      <w:bookmarkEnd w:id="7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لمن استأجر دابّةً للرکوب أو الحمل أن یضربها إذا وقفت علی المتعارف، أو یَکبَحُها</w:t>
      </w:r>
      <w:r>
        <w:rPr>
          <w:rStyle w:val="FootnoteAnchor"/>
          <w:rtl w:val="true"/>
        </w:rPr>
        <w:footnoteReference w:id="1461"/>
      </w:r>
      <w:r>
        <w:rPr>
          <w:rFonts w:ascii="IRNazanin" w:hAnsi="IRNazanin" w:eastAsia="IRNazanin"/>
          <w:color w:val="111111"/>
          <w:sz w:val="28"/>
          <w:sz w:val="28"/>
          <w:szCs w:val="28"/>
          <w:rtl w:val="true"/>
          <w:lang w:bidi="fa-IR"/>
        </w:rPr>
        <w:t> باللِجام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حبل أو عصاً تُدخَل فی فم الدابّة وتُلزَق إلی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علی المتعارف، إلّا مع منع المالک</w:t>
      </w:r>
      <w:r>
        <w:rPr>
          <w:rStyle w:val="FootnoteAnchor"/>
          <w:rtl w:val="true"/>
        </w:rPr>
        <w:footnoteReference w:id="14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تحقّق الإجارة، أمّا بعده فلا أثر له مع توقّف الانتفاع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ضمن العقد، وأمّا بعد العقد فلا تأثیر فی منعه من المتعارف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حقّ له فی المنع عن المتعارف، إلّا فی صورة اشتراطه فی ضمن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لمنعه عن المتعارف، إلّا مع اشتراطه فی العقد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قبل الإجارة، أمّا بعدها مع توقّف الانتفاع المتعارف علیه فلا أثر لمنعه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بشرط کونه فی ضمن العقد، لا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Style w:val="FootnoteAnchor"/>
          <w:rtl w:val="true"/>
        </w:rPr>
        <w:footnoteReference w:id="1463"/>
      </w:r>
      <w:r>
        <w:rPr>
          <w:rFonts w:ascii="IRNazanin" w:hAnsi="IRNazanin" w:eastAsia="IRNazanin"/>
          <w:color w:val="111111"/>
          <w:sz w:val="28"/>
          <w:sz w:val="28"/>
          <w:szCs w:val="28"/>
          <w:rtl w:val="true"/>
          <w:lang w:bidi="fa-IR"/>
        </w:rPr>
        <w:t>، أو کونه معها وکان المتعارف سوقه هو، ولو تعدّی عن المتعارف أو مع منعه</w:t>
      </w:r>
      <w:r>
        <w:rPr>
          <w:rStyle w:val="FootnoteAnchor"/>
          <w:rtl w:val="true"/>
        </w:rPr>
        <w:footnoteReference w:id="1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بالشرط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نقصها أو تلفها، أمّا فی صورة الجواز ففی ضمانه مع عدم التعدّی إشکال، بل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منع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الضمان فی صورة التلف إلّا مع التعدّی، والضمان فی صورةالإتلاف إلّا مع الإذن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ضمان الإتلاف إلّا مع الإذن فیه، وعدم ضمان التلف إلّا مع التعدّی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النقص أو التلف من لوازم الفعل المأذون فیه عرفاً، أو کانت دلالة معتبرةلشمول الإذن لهما أیضاً بحیث یرجع الإذن إلی البراءة عن الضمان، ومع عدم ذلکفعدم الضمان مشکل، وقد أشکل قدس سره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ولا یبعد التفصیل بین الإتلاف فالضمان إلّا مع الإذن، وبین التلففعدم الضمان إلّا مع التعدّی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778" w:name="pg13284_130985"/>
    </w:p>
    <w:p>
      <w:pPr>
        <w:pStyle w:val="BookText"/>
        <w:rPr/>
      </w:pPr>
      <w:bookmarkEnd w:id="778"/>
      <w:r>
        <w:rPr>
          <w:rFonts w:ascii="Amiri" w:hAnsi="Amiri" w:eastAsia="Amiri" w:cs="Amiri"/>
          <w:color w:val="111111"/>
          <w:sz w:val="28"/>
          <w:sz w:val="28"/>
          <w:szCs w:val="28"/>
          <w:rtl w:val="true"/>
          <w:lang w:bidi="ar-SA"/>
        </w:rPr>
        <w:t>لأنّه مأذون</w:t>
      </w:r>
      <w:r>
        <w:rPr>
          <w:rStyle w:val="FootnoteAnchor"/>
          <w:rtl w:val="true"/>
        </w:rPr>
        <w:footnoteReference w:id="1465"/>
      </w:r>
      <w:r>
        <w:rPr>
          <w:rFonts w:ascii="IRNazanin" w:hAnsi="IRNazanin" w:eastAsia="IRNazanin"/>
          <w:color w:val="111111"/>
          <w:sz w:val="28"/>
          <w:sz w:val="28"/>
          <w:szCs w:val="28"/>
          <w:rtl w:val="true"/>
          <w:lang w:bidi="fa-IR"/>
        </w:rPr>
        <w:t> فیه</w:t>
      </w:r>
      <w:r>
        <w:rPr>
          <w:rStyle w:val="FootnoteAnchor"/>
          <w:rtl w:val="true"/>
        </w:rPr>
        <w:footnoteReference w:id="14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یُستشکَل فیه بأنّ الإذن من المالک مفروض العدم، ومن الشارع لا یستلزمعدم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لأنّه مع تعارفه لا یکون تعدّیاً أو تفریطاً حتّی تصیر یده علیها ید 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لأنّه مع التعارف لا یکون متعدّیاً حتّی تکون یده یداً عادیة، وإلّا لا إذن منالمالک، وتجویز الشارع لا ینافی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یکون تفریطاً وتعدّیاً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تأمّل؛ إذ الإذن من المالک مفروض العدم، ومن الشارع غیر مستلزم لعدمالضمان وارتفاعه، فالحَریّ بالتعلیل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یده لیست بید عدوانٍ بعد فرضالتعارف، وعدم التعدّی بالإفراط والتفریط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مجرّد التعارف لا یستلزم الإذن لیرفع الضمان، نعم، لو کان بحیث ینتزع منه الإذنلدی العقلاء صحّ ما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عدم الضمان؛ لعدم کونه متعدّیاً أو مفرطاً فی ذلک من جهة کونه متعارفاً،فلا تکون یده علیها عدواناً، فلا یحتاج إلی التعلیل بکونه مأذوناً حتّی یُستشکَل بأنّالإذن من المالک مفروض العدم، ومن الشارع لا یستلزم الضمان؛ فهو مأذون فیالسوق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ولو کان الطریق إلی ثبوته والکاشف عن تحقّقه مجرّد التعارف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9" w:name="__RefHeading___Toc2056063_2322387425"/>
      <w:bookmarkStart w:id="780" w:name="_Toc281"/>
      <w:bookmarkEnd w:id="779"/>
      <w:r>
        <w:rPr>
          <w:rtl w:val="true"/>
        </w:rPr>
        <w:t>عدم تمکّن الأجیر من حفظ ما استؤجر علیه</w:t>
      </w:r>
      <w:bookmarkEnd w:id="780"/>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استُوجِر لحفظ متاعٍ فَسُرِق لم یضمن، إلّا مع التقصیر فی </w:t>
      </w:r>
    </w:p>
    <w:p>
      <w:pPr>
        <w:pStyle w:val="BookText"/>
        <w:rPr/>
      </w:pPr>
      <w:r>
        <w:rPr>
          <w:rFonts w:ascii="Amiri" w:hAnsi="Amiri" w:eastAsia="Amiri" w:cs="Amiri"/>
          <w:color w:val="111111"/>
          <w:sz w:val="28"/>
          <w:sz w:val="28"/>
          <w:szCs w:val="28"/>
          <w:rtl w:val="true"/>
          <w:lang w:bidi="ar-SA"/>
        </w:rPr>
        <w:t>الحفظ، ولو لغلبة</w:t>
      </w:r>
      <w:r>
        <w:rPr>
          <w:rStyle w:val="FootnoteAnchor"/>
          <w:rtl w:val="true"/>
        </w:rPr>
        <w:footnoteReference w:id="1467"/>
      </w:r>
      <w:r>
        <w:rPr>
          <w:rFonts w:ascii="IRNazanin" w:hAnsi="IRNazanin" w:eastAsia="IRNazanin"/>
          <w:color w:val="111111"/>
          <w:sz w:val="28"/>
          <w:sz w:val="28"/>
          <w:szCs w:val="28"/>
          <w:rtl w:val="true"/>
          <w:lang w:bidi="fa-IR"/>
        </w:rPr>
        <w:t> النوم</w:t>
      </w:r>
      <w:r>
        <w:rPr>
          <w:rStyle w:val="FootnoteAnchor"/>
          <w:rtl w:val="true"/>
        </w:rPr>
        <w:footnoteReference w:id="1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دخل فی التقصیر فی الحفظ، وهو مطلقاً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کونها تقصیراً علی الإطلاق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الإطلاق ممنوع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التقصیر فیها، والقدرة علی دفعها، وإلّا ففیه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 کونها تقصیراً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بحیث یُعدُّ تقصیراً، وأمّا النوم المتعارف الّذی لا یکون منافیاً للحفظ فلا یضمنحینئذٍ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مع اشتراط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البروجردی، أحمد الخونساری، 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کما تقدّم، نعم، لا بأس باشتراط التدارک من ماله علی تقدیر التلف،وهو غیر شرط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بمعنی التدارک،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نعم، لا بأس باشتراط التدارک من ماله عند التلف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بنحو ما مرّ، وکذا فی المسألة التالیة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نحو الّذی ذکرنا فی العین المستأجَرَة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وهل  </w:t>
      </w:r>
      <w:bookmarkStart w:id="781" w:name="pg13284_130988"/>
    </w:p>
    <w:p>
      <w:pPr>
        <w:pStyle w:val="BookText"/>
        <w:rPr/>
      </w:pPr>
      <w:bookmarkEnd w:id="781"/>
      <w:r>
        <w:rPr>
          <w:rFonts w:ascii="IRNazanin" w:hAnsi="IRNazanin" w:eastAsia="IRNazanin"/>
          <w:color w:val="111111"/>
          <w:sz w:val="28"/>
          <w:sz w:val="28"/>
          <w:szCs w:val="28"/>
          <w:rtl w:val="true"/>
          <w:lang w:bidi="fa-IR"/>
        </w:rPr>
        <w:t>یستحقّ الاُجرة مع السرقة؟ الظاهر لا</w:t>
      </w:r>
      <w:r>
        <w:rPr>
          <w:rStyle w:val="FootnoteAnchor"/>
          <w:rtl w:val="true"/>
        </w:rPr>
        <w:footnoteReference w:id="1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کانت الإجارة علی عنوان الحفظ فی تمام المدّة علی وجه التقیید، وإلّافیستحقّ بالنسبة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الاستظهار نظر لو أتی بموجب الحفظ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المستأجَر علیه، إلّا أن یکون متعلّق الإجارة الجلوس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أشبهه من أسباب الحفظ علی المعمول المتعارف، فلو أتی بموجب الحفظفسرق استحقّ الاُجرة، ولکن لو کانت السرقة قبل الإتیان به فلا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الغرض هو الحفظ، لا أن یکون هو المستأجَر علیه</w:t>
      </w:r>
      <w:r>
        <w:rPr>
          <w:rFonts w:eastAsia="IRNazanin" w:cs="IRNazanin"/>
          <w:color w:val="111111"/>
          <w:sz w:val="28"/>
          <w:szCs w:val="28"/>
          <w:rtl w:val="true"/>
          <w:lang w:bidi="fa-IR"/>
        </w:rPr>
        <w:t>.</w:t>
      </w:r>
    </w:p>
    <w:p>
      <w:pPr>
        <w:pStyle w:val="Heading4"/>
        <w:numPr>
          <w:ilvl w:val="3"/>
          <w:numId w:val="1"/>
        </w:numPr>
        <w:rPr/>
      </w:pPr>
      <w:bookmarkStart w:id="782" w:name="__RefHeading___Toc2056065_2322387425"/>
      <w:bookmarkStart w:id="783" w:name="_Toc282"/>
      <w:bookmarkEnd w:id="782"/>
      <w:r>
        <w:rPr>
          <w:rtl w:val="true"/>
        </w:rPr>
        <w:t>عدم ضمان صاحب الحمّام حفظ الثیاب</w:t>
      </w:r>
      <w:bookmarkEnd w:id="78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الحمّام لا یضمن الثیاب، إلّا إذا اُودِعَ وفَرَّط أو تعدّی، وحینئذٍ یشکل</w:t>
      </w:r>
      <w:r>
        <w:rPr>
          <w:rStyle w:val="FootnoteAnchor"/>
          <w:rtl w:val="true"/>
        </w:rPr>
        <w:footnoteReference w:id="1470"/>
      </w:r>
      <w:r>
        <w:rPr>
          <w:rFonts w:ascii="Amiri" w:hAnsi="Amiri" w:eastAsia="Amiri" w:cs="Amiri"/>
          <w:color w:val="111111"/>
          <w:sz w:val="28"/>
          <w:sz w:val="28"/>
          <w:szCs w:val="28"/>
          <w:rtl w:val="true"/>
          <w:lang w:bidi="ar-SA"/>
        </w:rPr>
        <w:t> صحّة</w:t>
      </w:r>
      <w:r>
        <w:rPr>
          <w:rStyle w:val="FootnoteAnchor"/>
          <w:rtl w:val="true"/>
        </w:rPr>
        <w:footnoteReference w:id="1471"/>
      </w:r>
      <w:r>
        <w:rPr>
          <w:rFonts w:ascii="IRNazanin" w:hAnsi="IRNazanin" w:eastAsia="IRNazanin"/>
          <w:color w:val="111111"/>
          <w:sz w:val="28"/>
          <w:sz w:val="28"/>
          <w:szCs w:val="28"/>
          <w:rtl w:val="true"/>
          <w:lang w:bidi="fa-IR"/>
        </w:rPr>
        <w:t xml:space="preserve"> اشتراط </w:t>
      </w:r>
    </w:p>
    <w:p>
      <w:pPr>
        <w:pStyle w:val="BookText"/>
        <w:rPr/>
      </w:pPr>
      <w:r>
        <w:rPr>
          <w:rFonts w:ascii="IRNazanin" w:hAnsi="IRNazanin" w:eastAsia="IRNazanin"/>
          <w:color w:val="111111"/>
          <w:sz w:val="28"/>
          <w:sz w:val="28"/>
          <w:szCs w:val="28"/>
          <w:rtl w:val="true"/>
          <w:lang w:bidi="fa-IR"/>
        </w:rPr>
        <w:t>الضمان</w:t>
      </w:r>
      <w:r>
        <w:rPr>
          <w:rStyle w:val="FootnoteAnchor"/>
          <w:rtl w:val="true"/>
        </w:rPr>
        <w:footnoteReference w:id="1472"/>
      </w:r>
      <w:r>
        <w:rPr>
          <w:rFonts w:ascii="Amiri" w:hAnsi="Amiri" w:eastAsia="Amiri" w:cs="Amiri"/>
          <w:color w:val="111111"/>
          <w:sz w:val="28"/>
          <w:sz w:val="28"/>
          <w:szCs w:val="28"/>
          <w:rtl w:val="true"/>
          <w:lang w:bidi="ar-SA"/>
        </w:rPr>
        <w:t> أیضاً</w:t>
      </w:r>
      <w:r>
        <w:rPr>
          <w:rStyle w:val="FootnoteAnchor"/>
          <w:rtl w:val="true"/>
        </w:rPr>
        <w:footnoteReference w:id="14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صحّة الاشتراط، کما سیذکره الماتن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 محض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الضمان بمعنی التدارک فاشتراطه لا ینافی کونه أمیناً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إنّما أخذ الاُجرة علی الحمّام، ولم یأخذ علی الثیاب، نعم، لو استُوجِر مع ذلک للحفظ أیضاً ضمن مع التعدّی أو التفریط، ومع اشتراط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کان متعلّقاً بالفعل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الّذی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المذکور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النحو المتقدِّم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محمّد رضا الگلپایگانی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أیضاً؛ لأنّه حینئذٍ یأخذ الاُجرة علی الثیاب أیضاً فلا یکون أمیناً محضاً</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bookmarkStart w:id="784" w:name="pg13284_130993"/>
    </w:p>
    <w:p>
      <w:pPr>
        <w:pStyle w:val="BookText"/>
        <w:rPr/>
      </w:pPr>
      <w:bookmarkEnd w:id="784"/>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الإجارة         </w:t>
      </w:r>
    </w:p>
    <w:p>
      <w:pPr>
        <w:pStyle w:val="Heading3"/>
        <w:numPr>
          <w:ilvl w:val="2"/>
          <w:numId w:val="1"/>
        </w:numPr>
        <w:rPr/>
      </w:pPr>
      <w:bookmarkStart w:id="785" w:name="__RefHeading___Toc2056067_2322387425"/>
      <w:bookmarkStart w:id="786" w:name="_Toc283"/>
      <w:bookmarkEnd w:id="785"/>
      <w:r>
        <w:rPr>
          <w:rtl w:val="true"/>
        </w:rPr>
        <w:t>فصل</w:t>
      </w:r>
      <w:r>
        <w:rPr>
          <w:rtl w:val="true"/>
        </w:rPr>
        <w:t xml:space="preserve">: </w:t>
      </w:r>
      <w:r>
        <w:rPr>
          <w:rtl w:val="true"/>
        </w:rPr>
        <w:t>ما یکفی فی صحّة  الإجارة</w:t>
      </w:r>
      <w:bookmarkEnd w:id="786"/>
    </w:p>
    <w:p>
      <w:pPr>
        <w:pStyle w:val="Heading4"/>
        <w:numPr>
          <w:ilvl w:val="3"/>
          <w:numId w:val="1"/>
        </w:numPr>
        <w:rPr/>
      </w:pPr>
      <w:bookmarkStart w:id="787" w:name="__RefHeading___Toc2056069_2322387425"/>
      <w:bookmarkStart w:id="788" w:name="_Toc284"/>
      <w:bookmarkEnd w:id="787"/>
      <w:r>
        <w:rPr>
          <w:rtl w:val="true"/>
        </w:rPr>
        <w:t>کفایة مالکیّة المنفعة فی صحّة الإجارة</w:t>
      </w:r>
      <w:bookmarkEnd w:id="788"/>
    </w:p>
    <w:p>
      <w:pPr>
        <w:pStyle w:val="BookText"/>
        <w:rPr/>
      </w:pPr>
      <w:r>
        <w:rPr>
          <w:rFonts w:ascii="IRNazanin" w:hAnsi="IRNazanin" w:eastAsia="IRNazanin"/>
          <w:color w:val="111111"/>
          <w:sz w:val="28"/>
          <w:sz w:val="28"/>
          <w:szCs w:val="28"/>
          <w:rtl w:val="true"/>
          <w:lang w:bidi="fa-IR"/>
        </w:rPr>
        <w:t>یکفی فی صحّة الإجارة کون الموجِر مالکاً للمنفعة، أو وکیلاً عن المالک لها، أو ولیّاً علیه، وإن کانت العین للغیر کما إذا کانت مملوکة بالوصیّة أو بالصلح أو بالإجارة فیجوز للمستأجِر أن یوجِرها من الموجِر أو من غیره، لکن فی جواز تسلیمه العین إلی المستأجِر الثانی بدون إذن الموجِر</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إشکال</w:t>
      </w:r>
      <w:r>
        <w:rPr>
          <w:rStyle w:val="FootnoteAnchor"/>
          <w:rtl w:val="true"/>
        </w:rPr>
        <w:footnoteReference w:id="1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الأقرب جواز تسلیمه العین إلی المستأجِر إذا کان استیفاء المنفعة متوقّفاًعلیه، مثل سُکنی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الجواز لا یخلو من 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الجواز إذا کان المستأجِر الثانی أمیناً مع إطلاق العقد، کما هو المفروض،ومع ذلک للمالک مطالبة العین من المستأجِر الأوّل بعد انقضاء المدّة، وبذلک یظهرعدم ضمانه بالتسلیم إلی المستأجِر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جواز التسلیم، بل لزومه حیثما لم یشترط المباشرة للمستأجِرالأوّل، وکذا الکلام فی المستأجِر الثانی بالنسبة إلی الثالث، وهکذا، وأنّ لکلٍّ منهمفی هذه السلسلة الطولیّة تملّک المنفعة واستیفاءَها، المتوقّفَین علی السلطة علیالعین الحاصلة من عقد الإجارة وکونها لازمة له، فتکون أیادیهم بالنسبة إلی العینأیادی أمانة، لا أیادی عدوان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جواز التسلیم بل وجوبه فیما له التسلیم من الموجِر الأوّل بحیث لولم یسلّم إلیه یجبر علیه، من غیر فرقٍ بین ما توقّف استیفاء المنفعة علیه أو ماتعارف ذلک فی إجارته، وحینئذٍ لا ضمان مع التلف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الجواز، خصوصاً إذا کان المستأجِر الثانی أمیناً، وبه یظهر عدم ضمانهبالتسلیم إلی المستأجِر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هو الجواز، ویتبعه عدم الضمان لو تلف عند الثانی من دون تعدٍّ وتفریط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فلو استأجَر دابّةً للرکوب أو لحمل المتاع مدّةً معیّنةً فآجرها فی  </w:t>
      </w:r>
    </w:p>
    <w:p>
      <w:pPr>
        <w:pStyle w:val="BookText"/>
        <w:rPr/>
      </w:pPr>
      <w:r>
        <w:rPr>
          <w:rFonts w:ascii="IRNazanin" w:hAnsi="IRNazanin" w:eastAsia="IRNazanin"/>
          <w:color w:val="111111"/>
          <w:sz w:val="28"/>
          <w:sz w:val="28"/>
          <w:szCs w:val="28"/>
          <w:rtl w:val="true"/>
          <w:lang w:bidi="fa-IR"/>
        </w:rPr>
        <w:t>تلک المدّة أو فی بعضها من آخر یجوز، ولکن لا یسلّمها</w:t>
      </w:r>
      <w:r>
        <w:rPr>
          <w:rStyle w:val="FootnoteAnchor"/>
          <w:rtl w:val="true"/>
        </w:rPr>
        <w:footnoteReference w:id="1476"/>
      </w:r>
      <w:r>
        <w:rPr>
          <w:rFonts w:ascii="IRNazanin" w:hAnsi="IRNazanin" w:eastAsia="IRNazanin"/>
          <w:color w:val="111111"/>
          <w:sz w:val="28"/>
          <w:sz w:val="28"/>
          <w:szCs w:val="28"/>
          <w:rtl w:val="true"/>
          <w:lang w:bidi="fa-IR"/>
        </w:rPr>
        <w:t> إلیه</w:t>
      </w:r>
      <w:r>
        <w:rPr>
          <w:rStyle w:val="FootnoteAnchor"/>
          <w:rtl w:val="true"/>
        </w:rPr>
        <w:footnoteReference w:id="1477"/>
      </w:r>
      <w:r>
        <w:rPr>
          <w:rFonts w:ascii="IRNazanin" w:hAnsi="IRNazanin" w:eastAsia="IRNazanin"/>
          <w:color w:val="111111"/>
          <w:sz w:val="28"/>
          <w:sz w:val="28"/>
          <w:szCs w:val="28"/>
          <w:rtl w:val="true"/>
          <w:lang w:bidi="fa-IR"/>
        </w:rPr>
        <w:t>، بل یکون هو معها، وإن رکبها ذلک الآخر أو حمّلها متاعَه فجواز الإجارة لا یلازم</w:t>
      </w:r>
      <w:r>
        <w:rPr>
          <w:rStyle w:val="FootnoteAnchor"/>
          <w:rtl w:val="true"/>
        </w:rPr>
        <w:footnoteReference w:id="1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من ملاحظة سیرة العقلاء فی أنحاء العالم التلازم بین الأمرین؛ وعلیهیجوز تسلیم العین إلی المستأجِر الثانی، ولا ضمان علی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بعنوان التأمین المالکی، وأمّا بعنوان استفیاء المنفعة فهو من لوازم عدم اعتبارالمباشرة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 سلّمها بدون إذن المالک ضمن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إذا کانت  </w:t>
      </w:r>
      <w:bookmarkStart w:id="789" w:name="pg13284_130997"/>
    </w:p>
    <w:p>
      <w:pPr>
        <w:pStyle w:val="BookText"/>
        <w:rPr/>
      </w:pPr>
      <w:bookmarkEnd w:id="789"/>
      <w:r>
        <w:rPr>
          <w:rFonts w:ascii="IRNazanin" w:hAnsi="IRNazanin" w:eastAsia="IRNazanin"/>
          <w:color w:val="111111"/>
          <w:sz w:val="28"/>
          <w:sz w:val="28"/>
          <w:szCs w:val="28"/>
          <w:rtl w:val="true"/>
          <w:lang w:bidi="fa-IR"/>
        </w:rPr>
        <w:t>الإجارة الاُولی مطلقة</w:t>
      </w:r>
      <w:r>
        <w:rPr>
          <w:rFonts w:eastAsia="IRNazanin" w:cs="IRNazanin"/>
          <w:color w:val="111111"/>
          <w:sz w:val="28"/>
          <w:szCs w:val="28"/>
          <w:rtl w:val="true"/>
          <w:lang w:bidi="fa-IR"/>
        </w:rPr>
        <w:t>.</w:t>
      </w:r>
    </w:p>
    <w:p>
      <w:pPr>
        <w:pStyle w:val="Heading4"/>
        <w:numPr>
          <w:ilvl w:val="3"/>
          <w:numId w:val="1"/>
        </w:numPr>
        <w:rPr/>
      </w:pPr>
      <w:bookmarkStart w:id="790" w:name="__RefHeading___Toc2056071_2322387425"/>
      <w:bookmarkStart w:id="791" w:name="_Toc285"/>
      <w:bookmarkEnd w:id="790"/>
      <w:r>
        <w:rPr>
          <w:rtl w:val="true"/>
        </w:rPr>
        <w:t>اعتبار مالکیّة المنفعة فی صحّة الإجارة وفروع ذلک</w:t>
      </w:r>
      <w:bookmarkEnd w:id="791"/>
    </w:p>
    <w:p>
      <w:pPr>
        <w:pStyle w:val="BookText"/>
        <w:rPr/>
      </w:pPr>
      <w:r>
        <w:rPr>
          <w:rFonts w:ascii="IRNazanin" w:hAnsi="IRNazanin" w:eastAsia="IRNazanin"/>
          <w:color w:val="111111"/>
          <w:sz w:val="28"/>
          <w:sz w:val="28"/>
          <w:szCs w:val="28"/>
          <w:rtl w:val="true"/>
          <w:lang w:bidi="fa-IR"/>
        </w:rPr>
        <w:t>وأمّا إذا کانت مقیّدةً کأن استأجر الدابّة لرکوبه نفسه</w:t>
      </w:r>
      <w:r>
        <w:rPr>
          <w:rStyle w:val="FootnoteAnchor"/>
          <w:rtl w:val="true"/>
        </w:rPr>
        <w:footnoteReference w:id="1479"/>
      </w:r>
      <w:r>
        <w:rPr>
          <w:rFonts w:ascii="IRNazanin" w:hAnsi="IRNazanin" w:eastAsia="IRNazanin"/>
          <w:color w:val="111111"/>
          <w:sz w:val="28"/>
          <w:sz w:val="28"/>
          <w:szCs w:val="28"/>
          <w:rtl w:val="true"/>
          <w:lang w:bidi="fa-IR"/>
        </w:rPr>
        <w:t> فلا یجوز</w:t>
      </w:r>
      <w:r>
        <w:rPr>
          <w:rStyle w:val="FootnoteAnchor"/>
          <w:rtl w:val="true"/>
        </w:rPr>
        <w:footnoteReference w:id="1480"/>
      </w:r>
      <w:r>
        <w:rPr>
          <w:rFonts w:ascii="IRNazanin" w:hAnsi="IRNazanin" w:eastAsia="IRNazanin"/>
          <w:color w:val="111111"/>
          <w:sz w:val="28"/>
          <w:sz w:val="28"/>
          <w:szCs w:val="28"/>
          <w:rtl w:val="true"/>
          <w:lang w:bidi="fa-IR"/>
        </w:rPr>
        <w:t>إجارتها من آخر</w:t>
      </w:r>
      <w:r>
        <w:rPr>
          <w:rStyle w:val="FootnoteAnchor"/>
          <w:rtl w:val="true"/>
        </w:rPr>
        <w:footnoteReference w:id="1481"/>
      </w:r>
      <w:r>
        <w:rPr>
          <w:rFonts w:ascii="IRNazanin" w:hAnsi="IRNazanin" w:eastAsia="IRNazanin"/>
          <w:color w:val="111111"/>
          <w:sz w:val="28"/>
          <w:sz w:val="28"/>
          <w:szCs w:val="28"/>
          <w:rtl w:val="true"/>
          <w:lang w:bidi="fa-IR"/>
        </w:rPr>
        <w:t>، کما أنّه إذا اشترط الموجِر عدم إجارتها من غیره، أو اشترط استیفاء المنفعة بنفسه لنفسه کذلک أیضاً، أی لا یجوز إجارتها</w:t>
      </w:r>
      <w:r>
        <w:rPr>
          <w:rStyle w:val="FootnoteAnchor"/>
          <w:rtl w:val="true"/>
        </w:rPr>
        <w:footnoteReference w:id="1482"/>
      </w:r>
      <w:r>
        <w:rPr>
          <w:rFonts w:ascii="IRNazanin" w:hAnsi="IRNazanin" w:eastAsia="IRNazanin"/>
          <w:color w:val="111111"/>
          <w:sz w:val="28"/>
          <w:sz w:val="28"/>
          <w:szCs w:val="28"/>
          <w:rtl w:val="true"/>
          <w:lang w:bidi="fa-IR"/>
        </w:rPr>
        <w:t>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اشترط استیفاء المنفعة بنفسه ولم یشترط کونها لنفسه جاز أیضاً إجارتها من الغیر بشرط أن یکون هو المباشر للاستیفاء لذلک الغیر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خالف وآجر فی هذه الصور ففی الصورة الاُولی ـ وهی ما إذا استأجر الدابّة لرکوبه نفسه ـ بطلت</w:t>
      </w:r>
      <w:r>
        <w:rPr>
          <w:rStyle w:val="FootnoteAnchor"/>
          <w:rtl w:val="true"/>
        </w:rPr>
        <w:footnoteReference w:id="1483"/>
      </w:r>
      <w:r>
        <w:rPr>
          <w:rFonts w:ascii="IRNazanin" w:hAnsi="IRNazanin" w:eastAsia="IRNazanin"/>
          <w:color w:val="111111"/>
          <w:sz w:val="28"/>
          <w:sz w:val="28"/>
          <w:szCs w:val="28"/>
          <w:rtl w:val="true"/>
          <w:lang w:bidi="fa-IR"/>
        </w:rPr>
        <w:t>؛ لعدم کونه مالکاً</w:t>
      </w:r>
      <w:r>
        <w:rPr>
          <w:rStyle w:val="FootnoteAnchor"/>
          <w:rtl w:val="true"/>
        </w:rPr>
        <w:footnoteReference w:id="1484"/>
      </w:r>
      <w:r>
        <w:rPr>
          <w:rFonts w:ascii="Amiri" w:hAnsi="Amiri" w:eastAsia="Amiri" w:cs="Amiri"/>
          <w:color w:val="111111"/>
          <w:sz w:val="28"/>
          <w:sz w:val="28"/>
          <w:szCs w:val="28"/>
          <w:rtl w:val="true"/>
          <w:lang w:bidi="ar-SA"/>
        </w:rPr>
        <w:t xml:space="preserve"> إلّا </w:t>
      </w:r>
    </w:p>
    <w:p>
      <w:pPr>
        <w:pStyle w:val="BookText"/>
        <w:rPr/>
      </w:pPr>
      <w:r>
        <w:rPr>
          <w:rFonts w:ascii="IRNazanin" w:hAnsi="IRNazanin" w:eastAsia="IRNazanin"/>
          <w:color w:val="111111"/>
          <w:sz w:val="28"/>
          <w:sz w:val="28"/>
          <w:szCs w:val="28"/>
          <w:rtl w:val="true"/>
          <w:lang w:bidi="fa-IR"/>
        </w:rPr>
        <w:t>رکوبه نفسه</w:t>
      </w:r>
      <w:r>
        <w:rPr>
          <w:rStyle w:val="FootnoteAnchor"/>
          <w:rtl w:val="true"/>
        </w:rPr>
        <w:footnoteReference w:id="1485"/>
      </w:r>
      <w:r>
        <w:rPr>
          <w:rFonts w:ascii="IRNazanin" w:hAnsi="IRNazanin" w:eastAsia="IRNazanin"/>
          <w:color w:val="111111"/>
          <w:sz w:val="28"/>
          <w:sz w:val="28"/>
          <w:szCs w:val="28"/>
          <w:rtl w:val="true"/>
          <w:lang w:bidi="fa-IR"/>
        </w:rPr>
        <w:t>، فیکون المستأجِر الثانی ضامناً</w:t>
      </w:r>
      <w:r>
        <w:rPr>
          <w:rStyle w:val="FootnoteAnchor"/>
          <w:rtl w:val="true"/>
        </w:rPr>
        <w:footnoteReference w:id="1486"/>
      </w:r>
      <w:r>
        <w:rPr>
          <w:rFonts w:ascii="Amiri" w:hAnsi="Amiri" w:eastAsia="Amiri" w:cs="Amiri"/>
          <w:color w:val="111111"/>
          <w:sz w:val="28"/>
          <w:sz w:val="28"/>
          <w:szCs w:val="28"/>
          <w:rtl w:val="true"/>
          <w:lang w:bidi="ar-SA"/>
        </w:rPr>
        <w:t> لاُجرة المثل</w:t>
      </w:r>
      <w:r>
        <w:rPr>
          <w:rStyle w:val="FootnoteAnchor"/>
          <w:rtl w:val="true"/>
        </w:rPr>
        <w:footnoteReference w:id="1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وجوه اُخر،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المستأجِر الأوّل للمالک الاُجرة المسمّاة، وضمانالمستأجِر الثانی للأوّل عوض ما أتلفه علیه إن کان قد اقتصر فی الإتلاف علی ماکان یستحقّه الأوّل، وإن زاد فاُجرة المثل للزیادة للمالک،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المستأجِرالأوّل للمالک الاُجرة المسمّاة، وضمان الثانی للمالک أیضاً اُجرة المثل، وأوّل هذینالوجهین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المستأجِر الأوّل ضامن للاُجرة المسمّاة للمالک، والمستأجِر الثانیضامن لِما أتلفه علی المستأجِر الأوّل، نعم، إن کان ما استوفاه الثانی أزید ممّااستحقّه الأوّل فالثانی ضامن لاُجرة المثل للمالک بالنسبة إلی الزیادة، وإن کانللمالک الرجوع إلی کلٍّ منهما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للمالک</w:t>
      </w:r>
      <w:r>
        <w:rPr>
          <w:rStyle w:val="FootnoteAnchor"/>
          <w:rtl w:val="true"/>
        </w:rPr>
        <w:footnoteReference w:id="14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الکوه کَمَری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فعلیه یکون للمالک المسمّی علی المستأجِر، واُجرة المثل علی المستوفی، وهومشکل؛ فإنّ العین لیس لها فی زمان واحد إلّا منفعة واحدة، فکیف یملک المالکالمنفعتَین؟ وسیجیء ذلک فی المنفعتَین المتضادّتَین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استوفی المنفعة، وفی الصورة الثانیة والثالثة فی بطلان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الإجارة وعدمه وجهان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أوّلهما من قوّة، إلّا أن یجیزها المشروط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أظهرها الأوّل؛ لرجوع الشرط إلی قصر السلطنة بنحو شرط النتیجة، کما هوالمقصود فی أمثال هذه الموارد، نعم، تصحّ فی الصورة الرابعة، وللمالک إلزامالمستأجِر بالمباشرة ولو بالرجوع إلی الحاکم إن أمکن، وإلّا فله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هو الثانی؛ بناءً علی ما هو الظاهر من عدم بطلان التصرّفات المخالفةللشروط، بل موجبة للخیار فقط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أوجههما الثانی، وأولی بذلک الصورة الرابعة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الصحّة مع خیار تخلّف الشرط للمالک فی تلک الصور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أظهرهما الثانی فی الصورة الثانیة، وأمّا الصورة الثالثة فهی إن لم تکن الصورةالاُولی بعینها فمتّحدة معها حکماً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صحّة الإجارة فی الصورة الثانیة والرابعة، وللمالک خیار تخلّف الشرطمع عدم تمکّنه من إلزامه بالعمل بالشرط، وأمّا الصورة الثالثة فالظاهر أنّه یرجع إلیتحدید المنافع، وحکمه حکم الصورة الاُولی فی بطلان الإجارة والضمان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الأوّل، نعم، فی الصورة الرابعة تصحّ، وللمالک إلزام المستأجِر بالمباشرة،فإن لم یتمکّن فله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أظهرهما الصحّة، مع الخیار للمؤجِر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أوجههما الأوّل، لا لِما أفاده من التعلیل، بل لصحیح علیّ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مایقتضیه التأمّل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مبنیّان</w:t>
      </w:r>
      <w:r>
        <w:rPr>
          <w:rStyle w:val="FootnoteAnchor"/>
          <w:rtl w:val="true"/>
        </w:rPr>
        <w:footnoteReference w:id="1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أصحّهما الثانی، فإنّ الشرط فی العقود التزام فی التزام، لا تقیید، وإلّا لبطل العقدبدونه رأساً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الصحّة مع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أصحّهما الثانی؛ لأنّ المستفاد من ظاهر الأدلّة أنّ مخالفة الشروط موجبة للخیاردون البطلان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التصرّف المخالف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للشرط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لکن بمعنی وقوفه علی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لکونه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مفوِّتاً</w:t>
      </w:r>
      <w:bookmarkStart w:id="792" w:name="pg13284_131006"/>
    </w:p>
    <w:p>
      <w:pPr>
        <w:pStyle w:val="BookText"/>
        <w:rPr/>
      </w:pPr>
      <w:bookmarkEnd w:id="792"/>
      <w:r>
        <w:rPr>
          <w:rFonts w:ascii="Amiri" w:hAnsi="Amiri" w:eastAsia="Amiri" w:cs="Amiri"/>
          <w:color w:val="111111"/>
          <w:sz w:val="28"/>
          <w:sz w:val="28"/>
          <w:szCs w:val="28"/>
          <w:rtl w:val="true"/>
          <w:lang w:bidi="ar-SA"/>
        </w:rPr>
        <w:t>لحقّ</w:t>
      </w:r>
      <w:r>
        <w:rPr>
          <w:rStyle w:val="FootnoteAnchor"/>
          <w:rtl w:val="true"/>
        </w:rPr>
        <w:footnoteReference w:id="1490"/>
      </w:r>
      <w:r>
        <w:rPr>
          <w:rFonts w:ascii="IRNazanin" w:hAnsi="IRNazanin" w:eastAsia="IRNazanin"/>
          <w:color w:val="111111"/>
          <w:sz w:val="28"/>
          <w:sz w:val="28"/>
          <w:szCs w:val="28"/>
          <w:rtl w:val="true"/>
          <w:lang w:bidi="fa-IR"/>
        </w:rPr>
        <w:t> الشرط، أوْ لا</w:t>
      </w:r>
      <w:r>
        <w:rPr>
          <w:rStyle w:val="FootnoteAnchor"/>
          <w:rtl w:val="true"/>
        </w:rPr>
        <w:footnoteReference w:id="1491"/>
      </w:r>
      <w:r>
        <w:rPr>
          <w:rFonts w:ascii="IRNazanin" w:hAnsi="IRNazanin" w:eastAsia="IRNazanin"/>
          <w:color w:val="111111"/>
          <w:sz w:val="28"/>
          <w:sz w:val="28"/>
          <w:szCs w:val="28"/>
          <w:rtl w:val="true"/>
          <w:lang w:bidi="fa-IR"/>
        </w:rPr>
        <w:t>، بل حرام وموجب</w:t>
      </w:r>
      <w:r>
        <w:rPr>
          <w:rStyle w:val="FootnoteAnchor"/>
          <w:rtl w:val="true"/>
        </w:rPr>
        <w:footnoteReference w:id="1492"/>
      </w:r>
      <w:r>
        <w:rPr>
          <w:rFonts w:ascii="IRNazanin" w:hAnsi="IRNazanin" w:eastAsia="IRNazanin"/>
          <w:color w:val="111111"/>
          <w:sz w:val="28"/>
          <w:sz w:val="28"/>
          <w:szCs w:val="28"/>
          <w:rtl w:val="true"/>
          <w:lang w:bidi="fa-IR"/>
        </w:rPr>
        <w:t> للخیار</w:t>
      </w:r>
      <w:r>
        <w:rPr>
          <w:rStyle w:val="FootnoteAnchor"/>
          <w:rtl w:val="true"/>
        </w:rPr>
        <w:footnoteReference w:id="1493"/>
      </w:r>
      <w:r>
        <w:rPr>
          <w:rFonts w:ascii="IRNazanin" w:hAnsi="IRNazanin" w:eastAsia="IRNazanin"/>
          <w:color w:val="111111"/>
          <w:sz w:val="28"/>
          <w:sz w:val="28"/>
          <w:szCs w:val="28"/>
          <w:rtl w:val="true"/>
          <w:lang w:bidi="fa-IR"/>
        </w:rPr>
        <w:t>، وکذا فی الصورة الرابعة</w:t>
      </w:r>
      <w:r>
        <w:rPr>
          <w:rStyle w:val="FootnoteAnchor"/>
          <w:rtl w:val="true"/>
        </w:rPr>
        <w:footnoteReference w:id="1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الصحّة فی الصورة الرابعة، وغایة الأمر ثبوت الخیار للمؤجِر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بطلان الإجارة فی هذه الصورة؛ فإنّ حرمة التسلیم لا تلازم بطلانالإجارة، بل الظاهر عدم البطلان مع اشتراط التسلیم أیضاً؛ فإنّ بطلان الشرط لایوجب بطلان العقد الواقع فیه الشرط علی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فیها الصحّة، وثبوت الخیار لو لم یمکن الإجبار علی العمل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یستوفِ هو، بل سلّمها إلی ذلک الغیر</w:t>
      </w:r>
      <w:r>
        <w:rPr>
          <w:rFonts w:eastAsia="IRNazanin" w:cs="IRNazanin"/>
          <w:color w:val="111111"/>
          <w:sz w:val="28"/>
          <w:szCs w:val="28"/>
          <w:rtl w:val="true"/>
          <w:lang w:bidi="fa-IR"/>
        </w:rPr>
        <w:t>.</w:t>
      </w:r>
    </w:p>
    <w:p>
      <w:pPr>
        <w:pStyle w:val="Heading4"/>
        <w:numPr>
          <w:ilvl w:val="3"/>
          <w:numId w:val="1"/>
        </w:numPr>
        <w:rPr/>
      </w:pPr>
      <w:bookmarkStart w:id="793" w:name="__RefHeading___Toc2056073_2322387425"/>
      <w:bookmarkStart w:id="794" w:name="_Toc286"/>
      <w:bookmarkEnd w:id="793"/>
      <w:r>
        <w:rPr>
          <w:rtl w:val="true"/>
        </w:rPr>
        <w:t>صحّة إجارة العین المستأجرة مع عدم اشتراط المباشرة</w:t>
      </w:r>
      <w:bookmarkEnd w:id="79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للمستأجر مع عدم اشتراط المباشرة وما بمعناها أن یوجِر العین المستأجَرَة بأقلّ ممّا استأجَر، وبالمساوی له مطلقاً أیّ شیءٍ کانت، بل بأکثر منه أیضاً إذا أحدث</w:t>
      </w:r>
      <w:r>
        <w:rPr>
          <w:rStyle w:val="FootnoteAnchor"/>
          <w:rtl w:val="true"/>
        </w:rPr>
        <w:footnoteReference w:id="1495"/>
      </w:r>
      <w:r>
        <w:rPr>
          <w:rFonts w:ascii="IRNazanin" w:hAnsi="IRNazanin" w:eastAsia="IRNazanin"/>
          <w:color w:val="111111"/>
          <w:sz w:val="28"/>
          <w:sz w:val="28"/>
          <w:szCs w:val="28"/>
          <w:rtl w:val="true"/>
          <w:lang w:bidi="fa-IR"/>
        </w:rPr>
        <w:t xml:space="preserve"> فیها حدثاً، أو کانت الاُجرة </w:t>
      </w:r>
    </w:p>
    <w:p>
      <w:pPr>
        <w:pStyle w:val="BookText"/>
        <w:rPr/>
      </w:pPr>
      <w:r>
        <w:rPr>
          <w:rFonts w:ascii="IRNazanin" w:hAnsi="IRNazanin" w:eastAsia="IRNazanin"/>
          <w:color w:val="111111"/>
          <w:sz w:val="28"/>
          <w:sz w:val="28"/>
          <w:szCs w:val="28"/>
          <w:rtl w:val="true"/>
          <w:lang w:bidi="fa-IR"/>
        </w:rPr>
        <w:t>من غیر جنس</w:t>
      </w:r>
      <w:r>
        <w:rPr>
          <w:rStyle w:val="FootnoteAnchor"/>
          <w:rtl w:val="true"/>
        </w:rPr>
        <w:footnoteReference w:id="1496"/>
      </w:r>
      <w:r>
        <w:rPr>
          <w:rFonts w:ascii="Amiri" w:hAnsi="Amiri" w:eastAsia="Amiri" w:cs="Amiri"/>
          <w:color w:val="111111"/>
          <w:sz w:val="28"/>
          <w:sz w:val="28"/>
          <w:szCs w:val="28"/>
          <w:rtl w:val="true"/>
          <w:lang w:bidi="ar-SA"/>
        </w:rPr>
        <w:t> الاُجرة</w:t>
      </w:r>
      <w:r>
        <w:rPr>
          <w:rStyle w:val="FootnoteAnchor"/>
          <w:rtl w:val="true"/>
        </w:rPr>
        <w:footnoteReference w:id="1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ترک الإجارة بالأکثر ولو کانت الاُجرة من غیر جنس الاُجرة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کانت الاُجرة فی الإجارتَین من النقود وما فی حکمها فالأحوط أن لایؤاجرها بأکثر ولو من غیر الجنس من النقود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مع عدم الشرطَین أیضاً فیما عدا البیت والدار والدُکّان والأجیر، وأمّا فیها فإشکال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والأقرب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فیها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فیها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اللنکرانی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الجواز وعدم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أنّه لا وجه للإشکال بالنسبة إلی الدار والدُکّان والأجیر؛ لتمامیّة الدلیلعلی المدّعی، وأمّا بالنسبة إلی البیت والرَحَی والسفینة فلا بأس بترک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هو المنع، ویلحق بها السفینة، ولا یلحق بها الرَحَی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فعدم الجواز فیها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یُترک</w:t>
      </w:r>
      <w:r>
        <w:rPr>
          <w:rStyle w:val="FootnoteAnchor"/>
          <w:rtl w:val="true"/>
        </w:rPr>
        <w:footnoteReference w:id="1498"/>
      </w:r>
      <w:r>
        <w:rPr>
          <w:rFonts w:ascii="IRNazanin" w:hAnsi="IRNazanin" w:eastAsia="IRNazanin"/>
          <w:color w:val="111111"/>
          <w:sz w:val="28"/>
          <w:sz w:val="28"/>
          <w:szCs w:val="28"/>
          <w:rtl w:val="true"/>
          <w:lang w:bidi="fa-IR"/>
        </w:rPr>
        <w:t> الاحتیاط</w:t>
      </w:r>
      <w:r>
        <w:rPr>
          <w:rStyle w:val="FootnoteAnchor"/>
          <w:rtl w:val="true"/>
        </w:rPr>
        <w:footnoteReference w:id="14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الجواز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بترک إجارتها بالأکثر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عدم الإلحاق لا یخلو من قوّة، وکذا الخان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إلحاق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والسفینة بها أیضاً فی ذلک، والأقوی جواز ذلک مع عدم الشرطَین فی الأرض علی کراهة،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أیضاً، بل الأحوط الترک فی مطلق الأعیان، إلّا مع إحداث حدثٍ فیها،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یجوز</w:t>
      </w:r>
      <w:r>
        <w:rPr>
          <w:rStyle w:val="FootnoteAnchor"/>
          <w:rtl w:val="true"/>
        </w:rPr>
        <w:footnoteReference w:id="15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الجواز فی الأبعاض خلاف الصناعة؛ إذ الدلیل یختصّ بإجارة الکلّ، نعم،مقتضی الاحتیاط هو الإلحاق، ولا یُترک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یوجِر بعض أحد الأربعة المذکورة بأزید من الاُجرة،</w:t>
      </w:r>
      <w:bookmarkStart w:id="795" w:name="pg13284_131012"/>
    </w:p>
    <w:p>
      <w:pPr>
        <w:pStyle w:val="BookText"/>
        <w:rPr/>
      </w:pPr>
      <w:bookmarkEnd w:id="795"/>
      <w:r>
        <w:rPr>
          <w:rFonts w:ascii="IRNazanin" w:hAnsi="IRNazanin" w:eastAsia="IRNazanin"/>
          <w:color w:val="111111"/>
          <w:sz w:val="28"/>
          <w:sz w:val="28"/>
          <w:szCs w:val="28"/>
          <w:rtl w:val="true"/>
          <w:lang w:bidi="fa-IR"/>
        </w:rPr>
        <w:t>کما إذا استأجر داراً بعشرة دنانیر وسکن بعضها، وآجَر البعض الآخر بأزید من العشرة فإنّه لا یجوز بدون إحداث</w:t>
      </w:r>
      <w:r>
        <w:rPr>
          <w:rStyle w:val="FootnoteAnchor"/>
          <w:rtl w:val="true"/>
        </w:rPr>
        <w:footnoteReference w:id="1501"/>
      </w:r>
      <w:r>
        <w:rPr>
          <w:rFonts w:ascii="IRNazanin" w:hAnsi="IRNazanin" w:eastAsia="IRNazanin"/>
          <w:color w:val="111111"/>
          <w:sz w:val="28"/>
          <w:sz w:val="28"/>
          <w:szCs w:val="28"/>
          <w:rtl w:val="true"/>
          <w:lang w:bidi="fa-IR"/>
        </w:rPr>
        <w:t> حدث</w:t>
      </w:r>
      <w:r>
        <w:rPr>
          <w:rStyle w:val="FootnoteAnchor"/>
          <w:rtl w:val="true"/>
        </w:rPr>
        <w:footnoteReference w:id="1502"/>
      </w:r>
      <w:r>
        <w:rPr>
          <w:rFonts w:ascii="IRNazanin" w:hAnsi="IRNazanin" w:eastAsia="IRNazanin"/>
          <w:color w:val="111111"/>
          <w:sz w:val="28"/>
          <w:sz w:val="28"/>
          <w:szCs w:val="28"/>
          <w:rtl w:val="true"/>
          <w:lang w:bidi="fa-IR"/>
        </w:rPr>
        <w:t>، وأمّا لو آجر بأقلّ من العشرة فلا إشکال، والأقوی الجواز بالعشرة</w:t>
      </w:r>
      <w:r>
        <w:rPr>
          <w:rStyle w:val="FootnoteAnchor"/>
          <w:rtl w:val="true"/>
        </w:rPr>
        <w:footnoteReference w:id="1503"/>
      </w:r>
      <w:r>
        <w:rPr>
          <w:rFonts w:ascii="IRNazanin" w:hAnsi="IRNazanin" w:eastAsia="IRNazanin"/>
          <w:color w:val="111111"/>
          <w:sz w:val="28"/>
          <w:sz w:val="28"/>
          <w:szCs w:val="28"/>
          <w:rtl w:val="true"/>
          <w:lang w:bidi="fa-IR"/>
        </w:rPr>
        <w:t> أیضاً، وإن کان الأحوط ترکه</w:t>
      </w:r>
      <w:r>
        <w:rPr>
          <w:rFonts w:eastAsia="IRNazanin" w:cs="IRNazanin"/>
          <w:color w:val="111111"/>
          <w:sz w:val="28"/>
          <w:szCs w:val="28"/>
          <w:rtl w:val="true"/>
          <w:lang w:bidi="fa-IR"/>
        </w:rPr>
        <w:t>.</w:t>
      </w:r>
    </w:p>
    <w:p>
      <w:pPr>
        <w:pStyle w:val="Heading4"/>
        <w:numPr>
          <w:ilvl w:val="3"/>
          <w:numId w:val="1"/>
        </w:numPr>
        <w:rPr/>
      </w:pPr>
      <w:bookmarkStart w:id="796" w:name="__RefHeading___Toc2056075_2322387425"/>
      <w:bookmarkStart w:id="797" w:name="_Toc287"/>
      <w:bookmarkEnd w:id="796"/>
      <w:r>
        <w:rPr>
          <w:rtl w:val="true"/>
        </w:rPr>
        <w:t>دفع متعلّق العمل غیر المشروط فیه المباشرة إلی الغیر</w:t>
      </w:r>
      <w:bookmarkEnd w:id="7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تقبّل عملاً من غیر اشتراط المباشرة ولا مع الانصراف إلیها یجوز أن یوکّله إلی عبده أو صانعه أو أجنبیّ، ولکنّ الأحوط عدم تسلیم متعلّق العمل</w:t>
      </w:r>
      <w:r>
        <w:rPr>
          <w:rStyle w:val="FootnoteAnchor"/>
          <w:rtl w:val="true"/>
        </w:rPr>
        <w:footnoteReference w:id="1504"/>
      </w:r>
      <w:r>
        <w:rPr>
          <w:rFonts w:ascii="IRNazanin" w:hAnsi="IRNazanin" w:eastAsia="IRNazanin"/>
          <w:color w:val="111111"/>
          <w:sz w:val="28"/>
          <w:sz w:val="28"/>
          <w:szCs w:val="28"/>
          <w:rtl w:val="true"/>
          <w:lang w:bidi="fa-IR"/>
        </w:rPr>
        <w:t> کالثوب ونحوه إلی غیره</w:t>
      </w:r>
      <w:r>
        <w:rPr>
          <w:rStyle w:val="FootnoteAnchor"/>
          <w:rtl w:val="true"/>
        </w:rPr>
        <w:footnoteReference w:id="1505"/>
      </w:r>
      <w:r>
        <w:rPr>
          <w:rFonts w:ascii="IRNazanin" w:hAnsi="IRNazanin" w:eastAsia="IRNazanin"/>
          <w:color w:val="111111"/>
          <w:sz w:val="28"/>
          <w:sz w:val="28"/>
          <w:szCs w:val="28"/>
          <w:rtl w:val="true"/>
          <w:lang w:bidi="fa-IR"/>
        </w:rPr>
        <w:t>من دون إذن المالک، وإلّا ضمن</w:t>
      </w:r>
      <w:r>
        <w:rPr>
          <w:rStyle w:val="FootnoteAnchor"/>
          <w:rtl w:val="true"/>
        </w:rPr>
        <w:footnoteReference w:id="1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بالضمان فی غیر صورة تسلیم العین زائداً علی مقدار توقّف العمل علیهمحلّ نظر، وقد مرّ قریباً ما ینفع فی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إطلاقه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مأموناً لا یکون ضامناً، کما فی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جواز التسلیم إذا کان المتقبّل موثوقاً به وتوقّف استیفاء المنفعةالمستأجَر علیه، خصوصاً مع جریان العادة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عرفت جواز التسلیم، وعدم ثبوت الضمان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وجواز الإیکال لا یستلزم جواز</w:t>
      </w:r>
    </w:p>
    <w:p>
      <w:pPr>
        <w:pStyle w:val="BookText"/>
        <w:rPr/>
      </w:pPr>
      <w:r>
        <w:rPr>
          <w:rFonts w:ascii="IRNazanin" w:hAnsi="IRNazanin" w:eastAsia="IRNazanin"/>
          <w:color w:val="111111"/>
          <w:sz w:val="28"/>
          <w:sz w:val="28"/>
          <w:szCs w:val="28"/>
          <w:rtl w:val="true"/>
          <w:lang w:bidi="fa-IR"/>
        </w:rPr>
        <w:t>الدفع، کما مرّ نظیره</w:t>
      </w:r>
      <w:r>
        <w:rPr>
          <w:rStyle w:val="FootnoteAnchor"/>
          <w:rtl w:val="true"/>
        </w:rPr>
        <w:footnoteReference w:id="1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الکلام فیها، وجواز دفع متعلّق العمل علی الموجِر لذلک العمل أیضاً لا یخلومن وجه، والأحوط عدم الدفع إلی غیر الموجِر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ذکرناه فی العین المستأجَرَة یجری هنا بعینه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ذکرناه فی العین المستأجَرَة یجری هنا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العین المستأجَرة، فیجوز له استئجار غیره لذلک العمل بمساوی الاُجرة الّتی قرّرها فی إجارته أو أکثر، وفی جواز استئجار الغیر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بأقلّ من الاُجرة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والأقرب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المشهور عدم الجواز، وهو أحوط، والجواز 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لا یخلو من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وعدم جوازه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والأقوی عدم الجواز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أظهره عدم الجواز، ولا یکفی إحداث الحدث هنا فی جوازه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منع، وقد تقدّم منه قدس سره فی قضاء الصلاة الفتوی بالمنع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عدم الجواز، ولا أثر لإحداث الحدث فی العین، بل المؤثّر الإتیان ببعضالعمل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بالکراهة غیر 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الجواز هو الأقرب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یُحدِث</w:t>
      </w:r>
      <w:r>
        <w:rPr>
          <w:rStyle w:val="FootnoteAnchor"/>
          <w:rtl w:val="true"/>
        </w:rPr>
        <w:footnoteReference w:id="1508"/>
      </w:r>
      <w:r>
        <w:rPr>
          <w:rFonts w:ascii="IRNazanin" w:hAnsi="IRNazanin" w:eastAsia="IRNazanin"/>
          <w:color w:val="111111"/>
          <w:sz w:val="28"/>
          <w:sz w:val="28"/>
          <w:szCs w:val="28"/>
          <w:rtl w:val="true"/>
          <w:lang w:bidi="fa-IR"/>
        </w:rPr>
        <w:t> حدثاً، أو یأتی</w:t>
      </w:r>
      <w:r>
        <w:rPr>
          <w:rStyle w:val="FootnoteAnchor"/>
          <w:rtl w:val="true"/>
        </w:rPr>
        <w:footnoteReference w:id="1509"/>
      </w:r>
      <w:r>
        <w:rPr>
          <w:rFonts w:ascii="Amiri" w:hAnsi="Amiri" w:eastAsia="Amiri" w:cs="Amiri"/>
          <w:color w:val="111111"/>
          <w:sz w:val="28"/>
          <w:sz w:val="28"/>
          <w:szCs w:val="28"/>
          <w:rtl w:val="true"/>
          <w:lang w:bidi="ar-SA"/>
        </w:rPr>
        <w:t> ببعضٍ، فلو آجر نفسَه لخیاطة ثوبٍ بِدِرهَمٍ یَشکُل استئجار غیره لها بأقلّ منه، إلّا أن یُفصِّله أو یخیط شیئاً منه ولو قلیلاً، بل یکفی</w:t>
      </w:r>
      <w:r>
        <w:rPr>
          <w:rStyle w:val="FootnoteAnchor"/>
          <w:rtl w:val="true"/>
        </w:rPr>
        <w:footnoteReference w:id="15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إشکال، بل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اشتراء الأجیر الأوّل إیّاهما فی صدق العمل محلّ إشکال، بل نظر،واشترائهما من مال الأجیر الثانی فأولی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الأصل، وفی العبارة الأخیرة إبهام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کفایة ما ذکر شائبة من الإشکال، 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کفایة مثل ذلک بمجرّده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یشتری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کفایته إشکال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ودفعها إلی الأجیر الثانی لیخیط بها الثوب، لکنّ کفایة هذا من دون إیجاد عملٍ أو إحداث حدثٍ محلّ إشکال، سواء اشتراهما من ماله أم من مال الأجیر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bookmarkStart w:id="798" w:name="pg13284_131019"/>
    </w:p>
    <w:p>
      <w:pPr>
        <w:pStyle w:val="BookText"/>
        <w:rPr/>
      </w:pPr>
      <w:bookmarkEnd w:id="798"/>
      <w:r>
        <w:rPr>
          <w:rFonts w:ascii="IRNazanin" w:hAnsi="IRNazanin" w:eastAsia="IRNazanin"/>
          <w:color w:val="111111"/>
          <w:sz w:val="28"/>
          <w:sz w:val="28"/>
          <w:szCs w:val="28"/>
          <w:rtl w:val="true"/>
          <w:lang w:bidi="fa-IR"/>
        </w:rPr>
        <w:t>فی جواز الأقلّ</w:t>
      </w:r>
      <w:r>
        <w:rPr>
          <w:rStyle w:val="FootnoteAnchor"/>
          <w:rtl w:val="true"/>
        </w:rPr>
        <w:footnoteReference w:id="1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مع دفع الخیط والإبرة إلی الأجیر الثانی لیخیط به الثوب، ولکنّ کفایة ذلکما لم یحدث عملاً محلّ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کفایة ذلک تأمّل وإشکال، سیّما إذا اشتراه بمال 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لو آجَر نفسه لعمل صلاة سنة أو صوم شهر بعشرة دراهم مثلاً فی صورة عدم اعتبار المباشرة یشکل</w:t>
      </w:r>
      <w:r>
        <w:rPr>
          <w:rStyle w:val="FootnoteAnchor"/>
          <w:rtl w:val="true"/>
        </w:rPr>
        <w:footnoteReference w:id="15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کان الجواز لا یخلو من وجه، لکن لا ینبغی 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استئجار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أنّ الأقوی عدم الجواز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 القمّی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أنّه عمل صرف، لا عمل فی العین کخیاطة الثوب، فیبقی علی أصالةالجواز، ومن جهة ما ذکر فیه بعض لوازم العمل، وکیف کان فعدم الجواز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بتسعةٍ مثلاً، إلّا أن یأتی بصلاةٍ واحدةٍ أو صوم یومٍ واحدٍ مثلاً</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056077_2322387425"/>
      <w:bookmarkStart w:id="800" w:name="_Toc288"/>
      <w:bookmarkEnd w:id="799"/>
      <w:r>
        <w:rPr>
          <w:rtl w:val="true"/>
        </w:rPr>
        <w:t>جواز تبرّع الغیر عن الأجیر غیر المشروط بالمباشرة</w:t>
      </w:r>
      <w:bookmarkEnd w:id="80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استُوجِر لعملٍ فی ذمّته لا بشرط المباشرة یجوز تبرّع الغیر عنه، وتفرغ ذمّته بذلک، ویستحقّ الاُجرة المسمّاة، نعم، لو أتی بذلک العمل المعیّن غیره لا بقصد التبرّع</w:t>
      </w:r>
      <w:r>
        <w:rPr>
          <w:rStyle w:val="FootnoteAnchor"/>
          <w:rtl w:val="true"/>
        </w:rPr>
        <w:footnoteReference w:id="1513"/>
      </w:r>
      <w:r>
        <w:rPr>
          <w:rFonts w:ascii="IRNazanin" w:hAnsi="IRNazanin" w:eastAsia="IRNazanin"/>
          <w:color w:val="111111"/>
          <w:sz w:val="28"/>
          <w:sz w:val="28"/>
          <w:szCs w:val="28"/>
          <w:rtl w:val="true"/>
          <w:lang w:bidi="fa-IR"/>
        </w:rPr>
        <w:t xml:space="preserve"> عنه </w:t>
      </w:r>
      <w:bookmarkStart w:id="801" w:name="pg13284_131021"/>
    </w:p>
    <w:p>
      <w:pPr>
        <w:pStyle w:val="BookText"/>
        <w:rPr/>
      </w:pPr>
      <w:bookmarkEnd w:id="801"/>
      <w:r>
        <w:rPr>
          <w:rFonts w:ascii="Amiri" w:hAnsi="Amiri" w:eastAsia="Amiri" w:cs="Amiri"/>
          <w:color w:val="111111"/>
          <w:sz w:val="28"/>
          <w:sz w:val="28"/>
          <w:szCs w:val="28"/>
          <w:rtl w:val="true"/>
          <w:lang w:bidi="ar-SA"/>
        </w:rPr>
        <w:t>لا یستحقّ</w:t>
      </w:r>
      <w:r>
        <w:rPr>
          <w:rStyle w:val="FootnoteAnchor"/>
          <w:rtl w:val="true"/>
        </w:rPr>
        <w:footnoteReference w:id="1514"/>
      </w:r>
      <w:r>
        <w:rPr>
          <w:rFonts w:ascii="Amiri" w:hAnsi="Amiri" w:eastAsia="Amiri" w:cs="Amiri"/>
          <w:color w:val="111111"/>
          <w:sz w:val="28"/>
          <w:sz w:val="28"/>
          <w:szCs w:val="28"/>
          <w:rtl w:val="true"/>
          <w:lang w:bidi="ar-SA"/>
        </w:rPr>
        <w:t> الاُجرة المسمّاة</w:t>
      </w:r>
      <w:r>
        <w:rPr>
          <w:rStyle w:val="FootnoteAnchor"/>
          <w:rtl w:val="true"/>
        </w:rPr>
        <w:footnoteReference w:id="1515"/>
      </w:r>
      <w:r>
        <w:rPr>
          <w:rFonts w:ascii="IRNazanin" w:hAnsi="IRNazanin" w:eastAsia="IRNazanin"/>
          <w:color w:val="111111"/>
          <w:sz w:val="28"/>
          <w:sz w:val="28"/>
          <w:szCs w:val="28"/>
          <w:rtl w:val="true"/>
          <w:lang w:bidi="fa-IR"/>
        </w:rPr>
        <w:t>، وتنفسخ</w:t>
      </w:r>
      <w:r>
        <w:rPr>
          <w:rStyle w:val="FootnoteAnchor"/>
          <w:rtl w:val="true"/>
        </w:rPr>
        <w:footnoteReference w:id="1516"/>
      </w:r>
      <w:r>
        <w:rPr>
          <w:rFonts w:ascii="Amiri" w:hAnsi="Amiri" w:eastAsia="Amiri" w:cs="Amiri"/>
          <w:color w:val="111111"/>
          <w:sz w:val="28"/>
          <w:sz w:val="28"/>
          <w:szCs w:val="28"/>
          <w:rtl w:val="true"/>
          <w:lang w:bidi="ar-SA"/>
        </w:rPr>
        <w:t> الإجارة</w:t>
      </w:r>
      <w:r>
        <w:rPr>
          <w:rStyle w:val="FootnoteAnchor"/>
          <w:rtl w:val="true"/>
        </w:rPr>
        <w:footnoteReference w:id="1517"/>
      </w:r>
      <w:r>
        <w:rPr>
          <w:rFonts w:ascii="Amiri" w:hAnsi="Amiri" w:eastAsia="Amiri" w:cs="Amiri"/>
          <w:color w:val="111111"/>
          <w:sz w:val="28"/>
          <w:sz w:val="28"/>
          <w:szCs w:val="28"/>
          <w:rtl w:val="true"/>
          <w:lang w:bidi="ar-SA"/>
        </w:rPr>
        <w:t> حینئذٍ؛ لفوات المحلّ</w:t>
      </w:r>
      <w:r>
        <w:rPr>
          <w:rStyle w:val="FootnoteAnchor"/>
          <w:rtl w:val="true"/>
        </w:rPr>
        <w:footnoteReference w:id="1518"/>
      </w:r>
      <w:r>
        <w:rPr>
          <w:rFonts w:ascii="Amiri" w:hAnsi="Amiri" w:eastAsia="Amiri" w:cs="Amiri"/>
          <w:color w:val="111111"/>
          <w:sz w:val="28"/>
          <w:sz w:val="28"/>
          <w:szCs w:val="28"/>
          <w:rtl w:val="true"/>
          <w:lang w:bidi="ar-SA"/>
        </w:rPr>
        <w:t>، نظیر ما مرّ سابقاً من الإجارة علی قلع السِنِّ فزال ألمه، أو لخیاطة  ثوبٍ فَسُرِقَ أو حُرِقَ</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056079_2322387425"/>
      <w:bookmarkStart w:id="803" w:name="_Toc289"/>
      <w:bookmarkEnd w:id="802"/>
      <w:r>
        <w:rPr>
          <w:rtl w:val="true"/>
        </w:rPr>
        <w:t>أحکام الأجیر الخاصّ</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الأجیر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آجَر نفسه علی وجهٍ یکون جمیع</w:t>
      </w:r>
      <w:r>
        <w:rPr>
          <w:rStyle w:val="FootnoteAnchor"/>
          <w:rtl w:val="true"/>
        </w:rPr>
        <w:footnoteReference w:id="15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یخفی قصور العبارة عن توضیح ذلک، وحیث لا خفاء فی عدم قابلیّة المنافعالمتضادّة لاِنْ تُملَک جمعاً فی عرض واحد لا فی منافع الأموال ولا الأعمال، وأنّالقدر المشترک بین أنواعها المتضادّة والجامع لمراتبها الطولیّة هو المملوک فیالبابین، فإن تعلّق عقد الإجارة بذلک القدر المشترک بماله من الشمول لمراتبالانتفاع یملک المستأجِر حینئذٍ ما کان الموجِر مالکاً، ویتخیّر فی استیفاء أیّ مرتبةٍشاء فی ضمن أیّ الأنواع، ولو تعلّق بنوعٍ خاصٍّ کالکتابة مثلاً أو الخیاطة وکزرعالحنطة مثلاً أو الشعیر وغیر ذلک کان ذلک تحدیداً لِما یملکه المستأجِر من مراتبالمنفعة بما فی ضمن ذلک النوع، وسلباً لسلطنة کلٍّ من الموجِر والمستأجِر علی ماعداه، فیملک المستأجِر ذلک القدر المشترک بهذه الخصوصیّة، وهذا هو توضیحالوجهَین الأوّلَین، وأمّا الوجوه الأربعة الأخیرة فمرجعها وإن کان إلی تملیک عملٍفی الذمّة لا إلی تملیک المنفعة لکنّ مقتضی اعتبار المباشرة وتعیین المدّة بأحد هذهالوجوه هو عدم جواز ما ینافی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الدین الگلپایگانی </w:t>
      </w:r>
      <w:r>
        <w:rPr>
          <w:rFonts w:eastAsia="IRNazanin" w:cs="IRNazanin"/>
          <w:color w:val="111111"/>
          <w:sz w:val="28"/>
          <w:szCs w:val="28"/>
          <w:rtl w:val="true"/>
          <w:lang w:bidi="fa-IR"/>
        </w:rPr>
        <w:t>).     .     .     .     .     .     .     .     .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منافعه</w:t>
      </w:r>
      <w:r>
        <w:rPr>
          <w:rStyle w:val="FootnoteAnchor"/>
          <w:rtl w:val="true"/>
        </w:rPr>
        <w:footnoteReference w:id="1520"/>
      </w:r>
      <w:r>
        <w:rPr>
          <w:rFonts w:ascii="Amiri" w:hAnsi="Amiri" w:eastAsia="Amiri" w:cs="Amiri"/>
          <w:color w:val="111111"/>
          <w:sz w:val="28"/>
          <w:sz w:val="28"/>
          <w:szCs w:val="28"/>
          <w:rtl w:val="true"/>
          <w:lang w:bidi="ar-SA"/>
        </w:rPr>
        <w:t> للمستأجِر فی مدّة معیّنة، أو علی وجهٍ تکون منفعته الخاصّة کالخیاطة مثلاً له، أو آجَر نفسه لعملٍ مباشرةً</w:t>
      </w:r>
      <w:r>
        <w:rPr>
          <w:rStyle w:val="FootnoteAnchor"/>
          <w:rtl w:val="true"/>
        </w:rPr>
        <w:footnoteReference w:id="1521"/>
      </w:r>
      <w:r>
        <w:rPr>
          <w:rFonts w:ascii="Amiri" w:hAnsi="Amiri" w:eastAsia="Amiri" w:cs="Amiri"/>
          <w:color w:val="111111"/>
          <w:sz w:val="28"/>
          <w:sz w:val="28"/>
          <w:szCs w:val="28"/>
          <w:rtl w:val="true"/>
          <w:lang w:bidi="ar-SA"/>
        </w:rPr>
        <w:t xml:space="preserve"> مدّةً معیّنةً، أو کان اعتبار </w:t>
      </w:r>
    </w:p>
    <w:p>
      <w:pPr>
        <w:pStyle w:val="BookText"/>
        <w:rPr/>
      </w:pPr>
      <w:r>
        <w:rPr>
          <w:rFonts w:ascii="IRNazanin" w:hAnsi="IRNazanin" w:eastAsia="IRNazanin"/>
          <w:color w:val="111111"/>
          <w:sz w:val="28"/>
          <w:sz w:val="28"/>
          <w:szCs w:val="28"/>
          <w:rtl w:val="true"/>
          <w:lang w:bidi="fa-IR"/>
        </w:rPr>
        <w:t>المباشرة، أو کونها فی تلک المدّة، أو کلیهما علی وجه الشرطیّة</w:t>
      </w:r>
      <w:r>
        <w:rPr>
          <w:rStyle w:val="FootnoteAnchor"/>
          <w:rtl w:val="true"/>
        </w:rPr>
        <w:footnoteReference w:id="1522"/>
      </w:r>
      <w:r>
        <w:rPr>
          <w:rFonts w:ascii="IRNazanin" w:hAnsi="IRNazanin" w:eastAsia="IRNazanin"/>
          <w:color w:val="111111"/>
          <w:sz w:val="28"/>
          <w:sz w:val="28"/>
          <w:szCs w:val="28"/>
          <w:rtl w:val="true"/>
          <w:lang w:bidi="fa-IR"/>
        </w:rPr>
        <w:t> لا القیدیّة لا یجوز له أن یعمل فی تلک المدّة لنفسه أو لغیره بالإجارة أو الجعالة أو التبرّع عملاً ینافی حقّ المستأجِر، إلّا مع إذنه، ومثل تعیین المدّة تعیین أوّل زمان العمل بحیث لا یتوانی فیه إلی الفراغ، نعم، لا بأس بغیر المنافی، کما إذا عمل البناء لنفسه أو لغیره فی اللیل</w:t>
      </w:r>
      <w:r>
        <w:rPr>
          <w:rStyle w:val="FootnoteAnchor"/>
          <w:rtl w:val="true"/>
        </w:rPr>
        <w:footnoteReference w:id="1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یکن داخلاً فی جمیع منافعه بالتقیّد أو بالانصراف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مانع منه إذا لم یکن موجباً  لضعفه فی النهار، ومثل إجراء 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غیر الصورة الاُولی، وأمّا فیها فلا یجوز له عمل له المالیّة، نعم، لا بأس بما لایُعدّ من المنافع عند 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إیقاعٍ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تعلیمٍ أو تعلّمٍ فی أثناء  الخیاطة ونحوها؛ لانصراف المنافع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الإنصراف فی بعض ما ذکر 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مثلها</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ولو خالف وأتی بعملٍ منافٍ لحقّ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w:t>
      </w:r>
    </w:p>
    <w:p>
      <w:pPr>
        <w:pStyle w:val="BookText"/>
        <w:rPr/>
      </w:pPr>
      <w:r>
        <w:rPr>
          <w:rFonts w:ascii="IRNazanin" w:hAnsi="IRNazanin" w:eastAsia="IRNazanin"/>
          <w:color w:val="111111"/>
          <w:sz w:val="28"/>
          <w:sz w:val="28"/>
          <w:szCs w:val="28"/>
          <w:rtl w:val="true"/>
          <w:lang w:bidi="fa-IR"/>
        </w:rPr>
        <w:t>الإجارة علی الوجه الأوّل بأن یکون جمیع منافعه للمستأجِر وعمل لنفسه فی تمام المدّة أو بعضها فللمستأجر أن یفسخ</w:t>
      </w:r>
      <w:r>
        <w:rPr>
          <w:rStyle w:val="FootnoteAnchor"/>
          <w:rtl w:val="true"/>
        </w:rPr>
        <w:footnoteReference w:id="1524"/>
      </w:r>
      <w:r>
        <w:rPr>
          <w:rFonts w:ascii="IRNazanin" w:hAnsi="IRNazanin" w:eastAsia="IRNazanin"/>
          <w:color w:val="111111"/>
          <w:sz w:val="28"/>
          <w:sz w:val="28"/>
          <w:szCs w:val="28"/>
          <w:rtl w:val="true"/>
          <w:lang w:bidi="fa-IR"/>
        </w:rPr>
        <w:t>، ویسترجع تمام  الاُجرة المسمّاة، أو</w:t>
      </w:r>
      <w:r>
        <w:rPr>
          <w:rStyle w:val="FootnoteAnchor"/>
          <w:rtl w:val="true"/>
        </w:rPr>
        <w:footnoteReference w:id="1525"/>
      </w:r>
      <w:r>
        <w:rPr>
          <w:rFonts w:ascii="IRNazanin" w:hAnsi="IRNazanin" w:eastAsia="IRNazanin"/>
          <w:color w:val="111111"/>
          <w:sz w:val="28"/>
          <w:sz w:val="28"/>
          <w:szCs w:val="28"/>
          <w:rtl w:val="true"/>
          <w:lang w:bidi="fa-IR"/>
        </w:rPr>
        <w:t> بعضها</w:t>
      </w:r>
      <w:r>
        <w:rPr>
          <w:rStyle w:val="FootnoteAnchor"/>
          <w:rtl w:val="true"/>
        </w:rPr>
        <w:footnoteReference w:id="15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محلّ إشکال؛ لاستلزام التبعیض فی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صحّ التبعیض فی الفسخ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أنّ الفسخ إنّما یتعلّق بعقد الإجارة بتمامه، وعلیه فلا وجه لاسترجاع بعضالاُجرة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تعلّق الفسخ بتمام العقد یسترجع تمام المسمّی، وللمُؤجِر عوض البعضالمستوفی،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مجال للتبعیض؛ فإنّ العقد الواحد لا ینحلّ إلی عقود متعدّدة، کما حقّقناه فیمحلّه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وجه لاسترجاع بعض الاُجرة المسمّاة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یشکل هذا؛ لاستلزامه التبعیض فی الخیار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یبقیها ویطالب عوض الفائت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أجرة مثل ما استوفاها المستأجر أو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اُجرة مثل العمل الّذی عمله لنفسه أو لغیره، کما فی الفرع التالی، وکذا فینظائره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الأخذ بأکثر الأمرین منه ومن عوض المنفعة الّتی استوفاها الأجیر أو غیره،وهو اُجرة مثل ما أوقعه لنفسه أو لغیره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اُجرة مثل العمل الّذی أوقعه لنفسه أو لغیره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بأکثر الأمرین منه ومن اُجرة مثل العمل الّذی أتی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اُجرة مثل ما استوفاه المستأجر أو 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التعبیر بالفوت إنّما یلائم مع تعیین المنفعة علیه من قبل المستأجِر بأن عیَّن لهخیاطة ثوبه مثلاً فخالف وعمل عملاً لنفسه، وأمّا مع عدم التعیین فلا یصدق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فالمراد بعوض الفائت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اُجرة مثل العمل الّذی عمله لنفسه، وفیالصورة الاُولی یکون المراد به هو عوض المنفعة المعیّنة، ولا یبعد جواز رجوعهإلی اُجرة مثل العمل الّذی عمله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المنفعة</w:t>
      </w:r>
      <w:r>
        <w:rPr>
          <w:rStyle w:val="FootnoteAnchor"/>
          <w:rtl w:val="true"/>
        </w:rPr>
        <w:footnoteReference w:id="1527"/>
      </w:r>
      <w:r>
        <w:rPr>
          <w:rFonts w:ascii="Amiri" w:hAnsi="Amiri" w:eastAsia="Amiri" w:cs="Amiri"/>
          <w:color w:val="111111"/>
          <w:sz w:val="28"/>
          <w:sz w:val="28"/>
          <w:szCs w:val="28"/>
          <w:rtl w:val="true"/>
          <w:lang w:bidi="ar-SA"/>
        </w:rPr>
        <w:t> بعضاً أو 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إن عمل للغیر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له</w:t>
      </w:r>
      <w:r>
        <w:rPr>
          <w:rStyle w:val="FootnoteAnchor"/>
          <w:rtl w:val="true"/>
        </w:rPr>
        <w:footnoteReference w:id="1528"/>
      </w:r>
      <w:r>
        <w:rPr>
          <w:rFonts w:ascii="IRNazanin" w:hAnsi="IRNazanin" w:eastAsia="IRNazanin"/>
          <w:color w:val="111111"/>
          <w:sz w:val="28"/>
          <w:sz w:val="28"/>
          <w:szCs w:val="28"/>
          <w:rtl w:val="true"/>
          <w:lang w:bidi="fa-IR"/>
        </w:rPr>
        <w:t>علی فرض</w:t>
      </w:r>
      <w:r>
        <w:rPr>
          <w:rStyle w:val="FootnoteAnchor"/>
          <w:rtl w:val="true"/>
        </w:rPr>
        <w:footnoteReference w:id="1529"/>
      </w:r>
      <w:r>
        <w:rPr>
          <w:rFonts w:ascii="IRNazanin" w:hAnsi="IRNazanin" w:eastAsia="IRNazanin"/>
          <w:color w:val="111111"/>
          <w:sz w:val="28"/>
          <w:sz w:val="28"/>
          <w:szCs w:val="28"/>
          <w:rtl w:val="true"/>
          <w:lang w:bidi="fa-IR"/>
        </w:rPr>
        <w:t> عدم الفسخ مطالبة الغیر متبرّعٍ له بالعوض</w:t>
      </w:r>
      <w:r>
        <w:rPr>
          <w:rStyle w:val="FootnoteAnchor"/>
          <w:rtl w:val="true"/>
        </w:rPr>
        <w:footnoteReference w:id="1530"/>
      </w:r>
      <w:r>
        <w:rPr>
          <w:rFonts w:ascii="IRNazanin" w:hAnsi="IRNazanin" w:eastAsia="IRNazanin"/>
          <w:color w:val="111111"/>
          <w:sz w:val="28"/>
          <w:sz w:val="28"/>
          <w:szCs w:val="28"/>
          <w:rtl w:val="true"/>
          <w:lang w:bidi="fa-IR"/>
        </w:rPr>
        <w:t xml:space="preserve">، سواء کان  جاهلاً بالحال أو عالماً؛ لأنّ الموجِر هو الّذی أتلف المنفعة علیه دون </w:t>
      </w:r>
    </w:p>
    <w:p>
      <w:pPr>
        <w:pStyle w:val="BookText"/>
        <w:rPr/>
      </w:pPr>
      <w:r>
        <w:rPr>
          <w:rFonts w:ascii="IRNazanin" w:hAnsi="IRNazanin" w:eastAsia="IRNazanin"/>
          <w:color w:val="111111"/>
          <w:sz w:val="28"/>
          <w:sz w:val="28"/>
          <w:szCs w:val="28"/>
          <w:rtl w:val="true"/>
          <w:lang w:bidi="fa-IR"/>
        </w:rPr>
        <w:t>ذلک الغیر، وإن کان ذلک الغیر</w:t>
      </w:r>
      <w:r>
        <w:rPr>
          <w:rStyle w:val="FootnoteAnchor"/>
          <w:rtl w:val="true"/>
        </w:rPr>
        <w:footnoteReference w:id="15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الآمر المستوفی للمنفعة المملوکة للغیر عالماً بالحال فیجوز الرجوععلیه، وفی غیر هذه الصورة محلّ إشکال ونظر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صدق استیفاؤه عرفاً للعمل یصحّ الرجوع إلیه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جواز الرجوع إلی المستوفی إذا کان آمراً، کما هو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الجواز فی هذا الفرض له وجه؛ لمکان استیفاء الغیر بأمره عمل الأجیر الّذی هوملک للمستأجِر بدون إذنه، فعلیه العوض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الضمان حیث یکون إمّا بالید أو بالإتلاف، وکلاهما غیر حاصلٍ بالنسبة إلیالآمر، وفیه نظر؛ لأنّ استیفاء الأعمال والمنافع أیضاً موجب للضمان، والآمرمستوفٍ بالفرض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جواز مطالبة الغیر بالعوض فی تلک الصورة؛ لأنّ الآمر استوفی بأمرهعمل الأجیر بدون إذن مالکه ـ یعنی المستأجر ـ فعلیه عِوضه، وتبرّع الأجیر لایوثّر فی ملک الغیر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الرجوع إلی المتبرّع مطلقاً خصوصاً مع علمه بالحال غیر بعید؛ من جهةصدق الاستیفاء حینئذٍ، فعلیه ضمان المنفعة، ومن 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لکی یستقیم السیاق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یتحقّق فیصورة أمر المتبرّع لا مطلقاً، کما 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إلّا</w:t>
      </w:r>
      <w:r>
        <w:rPr>
          <w:rStyle w:val="FootnoteAnchor"/>
          <w:rtl w:val="true"/>
        </w:rPr>
        <w:footnoteReference w:id="1532"/>
      </w:r>
      <w:r>
        <w:rPr>
          <w:rFonts w:ascii="IRNazanin" w:hAnsi="IRNazanin" w:eastAsia="IRNazanin"/>
          <w:color w:val="111111"/>
          <w:sz w:val="28"/>
          <w:sz w:val="28"/>
          <w:szCs w:val="28"/>
          <w:rtl w:val="true"/>
          <w:lang w:bidi="fa-IR"/>
        </w:rPr>
        <w:t> إذا فرض</w:t>
      </w:r>
      <w:r>
        <w:rPr>
          <w:rStyle w:val="FootnoteAnchor"/>
          <w:rtl w:val="true"/>
        </w:rPr>
        <w:footnoteReference w:id="1533"/>
      </w:r>
      <w:r>
        <w:rPr>
          <w:rFonts w:ascii="Amiri" w:hAnsi="Amiri" w:eastAsia="Amiri" w:cs="Amiri"/>
          <w:color w:val="111111"/>
          <w:sz w:val="28"/>
          <w:sz w:val="28"/>
          <w:szCs w:val="28"/>
          <w:rtl w:val="true"/>
          <w:lang w:bidi="ar-SA"/>
        </w:rPr>
        <w:t> علی وجهٍ یتحقّق معه</w:t>
      </w:r>
      <w:r>
        <w:rPr>
          <w:rStyle w:val="FootnoteAnchor"/>
          <w:rtl w:val="true"/>
        </w:rPr>
        <w:footnoteReference w:id="1534"/>
      </w:r>
      <w:r>
        <w:rPr>
          <w:rFonts w:ascii="IRNazanin" w:hAnsi="IRNazanin" w:eastAsia="IRNazanin"/>
          <w:color w:val="111111"/>
          <w:sz w:val="28"/>
          <w:sz w:val="28"/>
          <w:szCs w:val="28"/>
          <w:rtl w:val="true"/>
          <w:lang w:bidi="fa-IR"/>
        </w:rPr>
        <w:t> صدق الغرور</w:t>
      </w:r>
      <w:r>
        <w:rPr>
          <w:rStyle w:val="FootnoteAnchor"/>
          <w:rtl w:val="true"/>
        </w:rPr>
        <w:footnoteReference w:id="1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فرضنا صدق غرور الأجیر من قبل الآمر فهذا لا یوجب جواز رجوعالمستأجِر إلی الآمر، بل یوجب جواز رجوع الأجیر إلی الآمر فیما غرّه، نعم، یجوزللمستأجِر الرجوع إلی الآمر لو استوفی ما هو ملک للمستأجِر، سواء صدق الغَرورأم لم یصدق، وسواء کان أمر فی البین أم لم یکن وکان متبرّعاً؛ لأنّ قصد التبرّع فیمال الغیر لا أثر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یخفی ما فیه؛ فإنّ صدق الغَرور موجب لجواز رجوع المغرور إلی الغارِّ،والمغرور هو الأجیر، لا المستأجِر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الأجیر المتبرّع بالعمل المملوک للمستأجِر هو الّذی أتلف علی المستأجِرمملوکه، فهو ضامن له، وأمر المتبرّع له بالعمل علی نحو المجانیّة لیس استفیاءًلمملوک المستأجِر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ضامن بقاعدة الإتلاف؛ وذلک لاستقلال الأجیرفی الإرادة الإیجادیّة، وهذا معنی عدم صدق الغَرور، وقاعدة الغَرور لیست قاعدة مستقلّة، بل تقع تحت کبری قاعدة الإتلاف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یُظهِر الآمر الوکالة عن المستأجِر، وعلی تقدیر رجوع المستأجِر إلی الأجیرفهو یرجع علی الغیر الآمر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للمستأجِر الرجوع علی الآمر حتّی مع صدق الغَرور؛ فإنّ المغرور هوالأجیر دون المستأجِر، والأجیر أیضاً لا یرجع إلیه إذا کان متبرّعاً بعمله کما هوالمفروض، نعم، إذا لم یکن متبرّعاً، کما إذا غرّه الآمر وادّعی أنّ المستأجر قد أذنبالعمل له فعمل له کان للأجیر أن یرجع إلیه باُجرة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 یدّعی الآمر الإذن أو الوکالة من المستأجِر، ویعتقده الأجیر لحسن ظنّه بهمثلاً فیرجع الأجیر حینئذٍ علی الآمر علی تقدیر رجوع المستأجِر إلیه لو لم نقل بأنّأمره استیفاء،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 فرض صدقه لیس للمستأجِر الرجوع إلیه؛ لأنّه لیس مغروراً، بل المغرور هوالأجیر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 الغَرور یوجب رجوع المغرور ـ وهو الأجیر ـ إلی الغارِّ وهو متبرّع، دونالمستأجر، إلّا أن یکون الأمر منه موجباً لنسبة الإتلاف إلیه، أو صدق الاستیفاء، کمامرّ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إذا ادّعی الغیر الوکالة من قبل المستأجِر والاستئذان عنه فی استیفاء منفعةالأجیر، وکان الأجیر معتقداً بصدقه ثمّ انکشف الخلاف بعد الاستیفاء، لکنّ صدقالغَرور لا یُصحِّح الاستثناء؛ لأنّ الّذی یرجع إلی الغارّ إنّما هو المغرور، لا المستأجِر،کما هو المدّعی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فالمفروض أنّ المباشر للإتلاف هو الموجِر، وإن کان عمل للغیر بعنوان الإجارة أو الجعالة</w:t>
      </w:r>
      <w:r>
        <w:rPr>
          <w:rStyle w:val="FootnoteAnchor"/>
          <w:rtl w:val="true"/>
        </w:rPr>
        <w:footnoteReference w:id="1536"/>
      </w:r>
      <w:r>
        <w:rPr>
          <w:rFonts w:ascii="Amiri" w:hAnsi="Amiri" w:eastAsia="Amiri" w:cs="Amiri"/>
          <w:color w:val="111111"/>
          <w:sz w:val="28"/>
          <w:sz w:val="28"/>
          <w:szCs w:val="28"/>
          <w:rtl w:val="true"/>
          <w:lang w:bidi="ar-SA"/>
        </w:rPr>
        <w:t xml:space="preserve"> فللمستأجِر أن یُجِیزَ ذلک، ویکون له الاُجرة المسمّاة    </w:t>
      </w:r>
    </w:p>
    <w:p>
      <w:pPr>
        <w:pStyle w:val="BookText"/>
        <w:rPr/>
      </w:pPr>
      <w:r>
        <w:rPr>
          <w:rFonts w:ascii="IRNazanin" w:hAnsi="IRNazanin" w:eastAsia="IRNazanin"/>
          <w:color w:val="111111"/>
          <w:sz w:val="28"/>
          <w:sz w:val="28"/>
          <w:szCs w:val="28"/>
          <w:rtl w:val="true"/>
          <w:lang w:bidi="fa-IR"/>
        </w:rPr>
        <w:t>فی تلک الإجارة</w:t>
      </w:r>
      <w:r>
        <w:rPr>
          <w:rStyle w:val="FootnoteAnchor"/>
          <w:rtl w:val="true"/>
        </w:rPr>
        <w:footnoteReference w:id="1537"/>
      </w:r>
      <w:r>
        <w:rPr>
          <w:rFonts w:ascii="IRNazanin" w:hAnsi="IRNazanin" w:eastAsia="IRNazanin"/>
          <w:color w:val="111111"/>
          <w:sz w:val="28"/>
          <w:sz w:val="28"/>
          <w:szCs w:val="28"/>
          <w:rtl w:val="true"/>
          <w:lang w:bidi="fa-IR"/>
        </w:rPr>
        <w:t> أو الجعالة، کما أنّ له الفسخ والرجوع إلی الاُجرة المسمّاة</w:t>
      </w:r>
      <w:r>
        <w:rPr>
          <w:rStyle w:val="FootnoteAnchor"/>
          <w:rtl w:val="true"/>
        </w:rPr>
        <w:footnoteReference w:id="1538"/>
      </w:r>
      <w:r>
        <w:rPr>
          <w:rFonts w:ascii="Amiri" w:hAnsi="Amiri" w:eastAsia="Amiri" w:cs="Amiri"/>
          <w:color w:val="111111"/>
          <w:sz w:val="28"/>
          <w:sz w:val="28"/>
          <w:szCs w:val="28"/>
          <w:rtl w:val="true"/>
          <w:lang w:bidi="ar-SA"/>
        </w:rPr>
        <w:t>، وله الإبقاء ومطالبة</w:t>
      </w:r>
      <w:r>
        <w:rPr>
          <w:rStyle w:val="FootnoteAnchor"/>
          <w:rtl w:val="true"/>
        </w:rPr>
        <w:footnoteReference w:id="1539"/>
      </w:r>
      <w:r>
        <w:rPr>
          <w:rFonts w:ascii="IRNazanin" w:hAnsi="IRNazanin" w:eastAsia="IRNazanin"/>
          <w:color w:val="111111"/>
          <w:sz w:val="28"/>
          <w:sz w:val="28"/>
          <w:szCs w:val="28"/>
          <w:rtl w:val="true"/>
          <w:lang w:bidi="fa-IR"/>
        </w:rPr>
        <w:t> عوض المقدار</w:t>
      </w:r>
      <w:r>
        <w:rPr>
          <w:rStyle w:val="FootnoteAnchor"/>
          <w:rtl w:val="true"/>
        </w:rPr>
        <w:footnoteReference w:id="1540"/>
      </w:r>
      <w:r>
        <w:rPr>
          <w:rFonts w:ascii="Amiri" w:hAnsi="Amiri" w:eastAsia="Amiri" w:cs="Amiri"/>
          <w:color w:val="111111"/>
          <w:sz w:val="28"/>
          <w:sz w:val="28"/>
          <w:szCs w:val="28"/>
          <w:rtl w:val="true"/>
          <w:lang w:bidi="ar-SA"/>
        </w:rPr>
        <w:t> الّذی فات</w:t>
      </w:r>
      <w:r>
        <w:rPr>
          <w:rStyle w:val="FootnoteAnchor"/>
          <w:rtl w:val="true"/>
        </w:rPr>
        <w:footnoteReference w:id="1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عوض الّذی استوفاه الغیر، کما تقدّم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مطالبة الأجیر، ولا یبعد أن یکون مخیّراً فی المطالبة بین الأجیروالمستأجِر؛ لأنّ کلّاً منهما سبب فی الضمان، أحدهما بالإتلاف مباشرة، والآخربالاستیفاء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فیتخیّر بین الاُمور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وبین الرابع، وهو إبقاء إجارة نفسه، وردّ الإجارة الثانیة، ومطالبة مستأجِرهِ باُجرةالمثل لِما استوفی من ملکه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وجهان آخران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إبقاء الإجارة الاُولی، وفسخ الثانیة، والرجوع إلیالمستأجِر الثانی باُجرة مثل العمل،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بأکثر الأمرین منه ومن عوضالعمل المأتیّ للمستأجِر الثانی، فالوجوه خمسة، وقد تقدّم ما هو المختار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فی هذا الفرض الأخذ بأکثر الأمرین منه ومن عوض ما أتی للغیر بعنوانالإجارة أو الجعالة، مخیّراً فیه بین الرجوع إلیه أو إلی الغیر، مع صدق استیفائه له مندون غَرور، فیتخیّر بین الخمسة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له المطالبة بأکثر الأمرین منه ومن اُجرة مثل العمل الّذی أتی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الإجارة علی الوجه الثانی ـ وهو کون منفعته الخاصّة للمستأجر ـ فحاله کالوجه الأوّل</w:t>
      </w:r>
      <w:r>
        <w:rPr>
          <w:rStyle w:val="FootnoteAnchor"/>
          <w:rtl w:val="true"/>
        </w:rPr>
        <w:footnoteReference w:id="1542"/>
      </w:r>
      <w:r>
        <w:rPr>
          <w:rFonts w:ascii="IRNazanin" w:hAnsi="IRNazanin" w:eastAsia="IRNazanin"/>
          <w:color w:val="111111"/>
          <w:sz w:val="28"/>
          <w:sz w:val="28"/>
          <w:szCs w:val="28"/>
          <w:rtl w:val="true"/>
          <w:lang w:bidi="fa-IR"/>
        </w:rPr>
        <w:t>، إلّا إذا کان العمل للغیر علی وجه الإجارة أو الجعالة، ولم یکن من نوع العمل المستأجَر علیه، کأن تکون الإجارة واقعةً علی منفعة الخیاطیّ فآجَر</w:t>
      </w:r>
      <w:r>
        <w:rPr>
          <w:rStyle w:val="FootnoteAnchor"/>
          <w:rtl w:val="true"/>
        </w:rPr>
        <w:footnoteReference w:id="1543"/>
      </w:r>
      <w:r>
        <w:rPr>
          <w:rFonts w:ascii="IRNazanin" w:hAnsi="IRNazanin" w:eastAsia="IRNazanin"/>
          <w:color w:val="111111"/>
          <w:sz w:val="28"/>
          <w:sz w:val="28"/>
          <w:szCs w:val="28"/>
          <w:rtl w:val="true"/>
          <w:lang w:bidi="fa-IR"/>
        </w:rPr>
        <w:t> نفسه للغیر للکتابة، أو عمل الکتابة بعنوان الجعالة فإنّه لیس</w:t>
      </w:r>
      <w:r>
        <w:rPr>
          <w:rStyle w:val="FootnoteAnchor"/>
          <w:rtl w:val="true"/>
        </w:rPr>
        <w:footnoteReference w:id="1544"/>
      </w:r>
      <w:r>
        <w:rPr>
          <w:rFonts w:ascii="IRNazanin" w:hAnsi="IRNazanin" w:eastAsia="IRNazanin"/>
          <w:color w:val="111111"/>
          <w:sz w:val="28"/>
          <w:sz w:val="28"/>
          <w:szCs w:val="28"/>
          <w:rtl w:val="true"/>
          <w:lang w:bidi="fa-IR"/>
        </w:rPr>
        <w:t xml:space="preserve"> للمستأجر </w:t>
      </w:r>
    </w:p>
    <w:p>
      <w:pPr>
        <w:pStyle w:val="BookText"/>
        <w:rPr/>
      </w:pPr>
      <w:r>
        <w:rPr>
          <w:rFonts w:ascii="Amiri" w:hAnsi="Amiri" w:eastAsia="Amiri" w:cs="Amiri"/>
          <w:color w:val="111111"/>
          <w:sz w:val="28"/>
          <w:sz w:val="28"/>
          <w:szCs w:val="28"/>
          <w:rtl w:val="true"/>
          <w:lang w:bidi="ar-SA"/>
        </w:rPr>
        <w:t>إجازة</w:t>
      </w:r>
      <w:r>
        <w:rPr>
          <w:rStyle w:val="FootnoteAnchor"/>
          <w:rtl w:val="true"/>
        </w:rPr>
        <w:footnoteReference w:id="1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أن یکون له ذلک؛ لأنّ الاستیلاء علی منفعة الخیاطیّ استیلاء علی إبقائها،وإزالة ما ینافیها عرفاً، نعم، لا یملک بالإجازة العوض؛ لتوقّفه علی ملکه للمعوّض،ولعلّ هذا مراد مَن نفی صحّة الإجازة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لأنّ المفروض أنّه مالک لمنفعة الخیاطیّ، فلیس له 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 علی الکتابة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فیکون مخیّراً</w:t>
      </w:r>
    </w:p>
    <w:p>
      <w:pPr>
        <w:pStyle w:val="BookText"/>
        <w:rPr/>
      </w:pPr>
      <w:r>
        <w:rPr>
          <w:rFonts w:ascii="IRNazanin" w:hAnsi="IRNazanin" w:eastAsia="IRNazanin"/>
          <w:color w:val="111111"/>
          <w:sz w:val="28"/>
          <w:sz w:val="28"/>
          <w:szCs w:val="28"/>
          <w:rtl w:val="true"/>
          <w:lang w:bidi="fa-IR"/>
        </w:rPr>
        <w:t>بین الأمرین</w:t>
      </w:r>
      <w:r>
        <w:rPr>
          <w:rStyle w:val="FootnoteAnchor"/>
          <w:rtl w:val="true"/>
        </w:rPr>
        <w:footnoteReference w:id="15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الفسخ، واسترجاع الاُجرة المسمّاة، والإبقاء ومطالبة عوض الفائت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علیالوجه الثالث فکالثانی</w:t>
      </w:r>
      <w:r>
        <w:rPr>
          <w:rStyle w:val="FootnoteAnchor"/>
          <w:rtl w:val="true"/>
        </w:rPr>
        <w:footnoteReference w:id="1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ویجری فیه أیضاً ما ذکرنا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أنّه لا فرق فیه فی عدم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ظهر الإشکال فیه ممّا تقدّم آنفاً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تقی القمّی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لو أبرأه المستأجِر الأوّل صحّت الإجارة الثانیة، نظیر بیع مَن باع ثمّ ملک بناءًعلی صحّته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الحکم بصحّة الإجازة، خصوصاً إذا کانت الإجارة علی نوع العملالمستأجَر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إذا کانت الإجارة أو الجعالة واقعةً علی نوع العمل المستأجر علیه، أو علی غیره؛ إذ لیست منفعة الخیاطة مثلاً مملوکةً للمستأجِر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یمکنه إجازة العقد الواقع علیها،</w:t>
      </w:r>
    </w:p>
    <w:p>
      <w:pPr>
        <w:pStyle w:val="BookText"/>
        <w:rPr/>
      </w:pPr>
      <w:r>
        <w:rPr>
          <w:rFonts w:ascii="IRNazanin" w:hAnsi="IRNazanin" w:eastAsia="IRNazanin"/>
          <w:color w:val="111111"/>
          <w:sz w:val="28"/>
          <w:sz w:val="28"/>
          <w:szCs w:val="28"/>
          <w:rtl w:val="true"/>
          <w:lang w:bidi="fa-IR"/>
        </w:rPr>
        <w:t>بل یملک</w:t>
      </w:r>
      <w:r>
        <w:rPr>
          <w:rStyle w:val="FootnoteAnchor"/>
          <w:rtl w:val="true"/>
        </w:rPr>
        <w:footnoteReference w:id="1548"/>
      </w:r>
      <w:r>
        <w:rPr>
          <w:rFonts w:ascii="IRNazanin" w:hAnsi="IRNazanin" w:eastAsia="IRNazanin"/>
          <w:color w:val="111111"/>
          <w:sz w:val="28"/>
          <w:sz w:val="28"/>
          <w:szCs w:val="28"/>
          <w:rtl w:val="true"/>
          <w:lang w:bidi="fa-IR"/>
        </w:rPr>
        <w:t> عمل الخیاطة فی ذمّة الموجِر</w:t>
      </w:r>
      <w:r>
        <w:rPr>
          <w:rStyle w:val="FootnoteAnchor"/>
          <w:rtl w:val="true"/>
        </w:rPr>
        <w:footnoteReference w:id="1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وبشرط أن یکون بمباشرته، کما هو المفروض فی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علی الوجه الرابع ـ وهو کون اعتبار المباشرة، أو المدّة المعیّنة </w:t>
      </w:r>
    </w:p>
    <w:p>
      <w:pPr>
        <w:pStyle w:val="BookText"/>
        <w:rPr/>
      </w:pPr>
      <w:r>
        <w:rPr>
          <w:rFonts w:ascii="IRNazanin" w:hAnsi="IRNazanin" w:eastAsia="IRNazanin"/>
          <w:color w:val="111111"/>
          <w:sz w:val="28"/>
          <w:sz w:val="28"/>
          <w:szCs w:val="28"/>
          <w:rtl w:val="true"/>
          <w:lang w:bidi="fa-IR"/>
        </w:rPr>
        <w:t>علی وجه الشرطیّة لا القیدیّة ـ ففیه وجهان</w:t>
      </w:r>
      <w:r>
        <w:rPr>
          <w:rStyle w:val="FootnoteAnchor"/>
          <w:rtl w:val="true"/>
        </w:rPr>
        <w:footnoteReference w:id="1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الصدر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هو الأوفق بالقواعد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وجوه، ثالثها عدم الصحّة مع الإجازة أیضاً؛ إذ الإجازة بمعنی إمضاء العقدلنفسه لا موقع لها، وبمعنی إسقاط ما استحقّه بالشرط توجب تجدّد سلطنة الأجیربعدها، فلا تنفع فی صحّة ما وقع منه قبلها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التوقّف علی الإجازة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وجوه، أوجهها أوّل وجهَی ما فی المتن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منهما لا یخلو من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هناک وجه آخر، وهو بطلان الإجارة حتّی فیصورة الإجازة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حاشیةٍ له ؛ من نسخةٍ اُخری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یبعد البطلان ولو مع تعقّب الإجارة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الأظهر هو الوجه الأوّل؛ فإنّ الاشتراط لا یوجب زوال السلطنة عن المشروطعلیه، ولا وجه للقول بالزوال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أقواهما الصحّة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هنا وجه ثالث، وهو الحکم بالبطلان مع الإجازة أیضاً، فهذا الوجه لیس ببعید،کما أنّ الأوّل فی غایة البعد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الأوجه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إذ لیس العمل للغیر مخالفة للشرط، بل یقارن مخالفته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ویحتمل عدم الصحّة حتّی مع الإجازة؛ لأنّه لا معنی للإجازة بمعنی إمضاء العقدلنفسه، وبمعنی إسقاط ما استحقّه بالشرط لا یفید صحّة ما وقع منه قبلها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بصحّة</w:t>
      </w:r>
    </w:p>
    <w:p>
      <w:pPr>
        <w:pStyle w:val="BookText"/>
        <w:rPr/>
      </w:pPr>
      <w:r>
        <w:rPr>
          <w:rFonts w:ascii="IRNazanin" w:hAnsi="IRNazanin" w:eastAsia="IRNazanin"/>
          <w:color w:val="111111"/>
          <w:sz w:val="28"/>
          <w:sz w:val="28"/>
          <w:szCs w:val="28"/>
          <w:rtl w:val="true"/>
          <w:lang w:bidi="fa-IR"/>
        </w:rPr>
        <w:t>العمل</w:t>
      </w:r>
      <w:r>
        <w:rPr>
          <w:rStyle w:val="FootnoteAnchor"/>
          <w:rtl w:val="true"/>
        </w:rPr>
        <w:footnoteReference w:id="1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الأظهر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للغیر بعنوان الإجارة أو الجعالة من غیر حاجةٍ إلی الإجازة، وإن لم یکن جائزاً من حیث کونه مخالفةً للشرط الواجب العمل، غایة ما یکون أنّ للمستأجِر خیارَ تخلّف الشرط، ویمکن أن یقال بالحاجة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ضعیف؛ لأن تخلّف الشرط لا یوجب إلّا الخیار، ولا یقتضی حقّاً وضعیّاًمانعاً عن صحّة الإجارة بعد فرض إطلاق متعلّقها الموجب لصحّة الإجارة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الإجازة؛ لأنّ الإجارة أو الجعالة منافیة لحقّ الشرط، فتکون باطلةً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بدون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الصحیح، لا من جهة کونه مخالفاً للشرط؛ لأنّ مخالفة الشرط لا توجبإلّا الخیار فی العقد المشترط، لا البطلان فی عقدٍ آخر، بل من جهة قصور سلطنةالأجیر بالنسبة إلی مقتضی الإجارة الثانیة، أو تلک الجعالة بعد التزامه بذلک الشرط،بل یحتمل البطلان حتّی مع الإجازة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مع الإجازة أیضاً فی الصحّة إشکال، إلّا أن تکون الإجازة بمعنی إسقاط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3284_131053"/>
    </w:p>
    <w:p>
      <w:pPr>
        <w:pStyle w:val="Heading4"/>
        <w:numPr>
          <w:ilvl w:val="3"/>
          <w:numId w:val="1"/>
        </w:numPr>
        <w:rPr/>
      </w:pPr>
      <w:bookmarkStart w:id="805" w:name="__RefHeading___Toc2056081_2322387425"/>
      <w:bookmarkStart w:id="806" w:name="_Toc290"/>
      <w:bookmarkEnd w:id="804"/>
      <w:bookmarkEnd w:id="805"/>
      <w:r>
        <w:rPr>
          <w:rtl w:val="true"/>
        </w:rPr>
        <w:t>العمل لغیر المستأجر مع عدم تعیین المباشرة أو المدّة</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نفسه لعملٍ من غیر اعتبار المباشرة ولو مع تعیین المدّة، أو من غیر تعیین المدّة</w:t>
      </w:r>
      <w:r>
        <w:rPr>
          <w:rStyle w:val="FootnoteAnchor"/>
          <w:rtl w:val="true"/>
        </w:rPr>
        <w:footnoteReference w:id="1552"/>
      </w:r>
      <w:r>
        <w:rPr>
          <w:rFonts w:ascii="IRNazanin" w:hAnsi="IRNazanin" w:eastAsia="IRNazanin"/>
          <w:color w:val="111111"/>
          <w:sz w:val="28"/>
          <w:sz w:val="28"/>
          <w:szCs w:val="28"/>
          <w:rtl w:val="true"/>
          <w:lang w:bidi="fa-IR"/>
        </w:rPr>
        <w:t> ولو مع اعتبار المباشرة جاز عمله للغیر</w:t>
      </w:r>
      <w:r>
        <w:rPr>
          <w:rStyle w:val="FootnoteAnchor"/>
          <w:rtl w:val="true"/>
        </w:rPr>
        <w:footnoteReference w:id="1553"/>
      </w:r>
      <w:r>
        <w:rPr>
          <w:rFonts w:ascii="IRNazanin" w:hAnsi="IRNazanin" w:eastAsia="IRNazanin"/>
          <w:color w:val="111111"/>
          <w:sz w:val="28"/>
          <w:sz w:val="28"/>
          <w:szCs w:val="28"/>
          <w:rtl w:val="true"/>
          <w:lang w:bidi="fa-IR"/>
        </w:rPr>
        <w:t>ولو علی وجه الإجارة قبل الإتیان بالمستأجَر علیه؛ لعدم منافاته له من حیث إمکان تحصیله، لا بالمباشرة، أو بعد العمل للغیر؛ لأنّ المفروض عدم تعیین المباشرة، أو عدم تعیین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إطلاق العقد من حیث الزمان یقتضی وجوب التعجیل</w:t>
      </w:r>
      <w:r>
        <w:rPr>
          <w:rStyle w:val="FootnoteAnchor"/>
          <w:rtl w:val="true"/>
        </w:rPr>
        <w:footnoteReference w:id="1554"/>
      </w:r>
      <w:r>
        <w:rPr>
          <w:rFonts w:ascii="Amiri" w:hAnsi="Amiri" w:eastAsia="Amiri" w:cs="Amiri"/>
          <w:color w:val="111111"/>
          <w:sz w:val="28"/>
          <w:sz w:val="28"/>
          <w:szCs w:val="28"/>
          <w:rtl w:val="true"/>
          <w:lang w:bidi="ar-SA"/>
        </w:rPr>
        <w:t>ممنوعة</w:t>
      </w:r>
      <w:r>
        <w:rPr>
          <w:rStyle w:val="FootnoteAnchor"/>
          <w:rtl w:val="true"/>
        </w:rPr>
        <w:footnoteReference w:id="1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مسموعة فی بعض الموارد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المنع غیر ملائم؛ لِما تقدّم منه قدس سره فی مسائل الفصل الأوّل من اقتضاء الإطلاقالتعجیل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 أراد من التعجیل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التعجیل الحقیقی، لا العرفی؛ فإنّ دعوی وجوبه لا تکونممنوعة، وإلّا لکان العقد غَرریّاً وعلیه فلا یکون منافیاً لِما تقدّم منه قدس سره من أنّ إطلاقالعقد یقتضی التعجیل العرفی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بعض الموارد، لا مطلقاً، وقد تقدّم منه قدس سره أنّ الإطلاق یقتضی التعجیل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مقبولة فی الجملة عرفاً، وقد تقدّم منه فی المسألة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فصل فی أرکانهاقوله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أطلق اقتضی التعجیل علی الوجه العرفی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ـ فی المسألة الخامسة من الفصل الأوّل ـ تصریحة بأنّ الإطلاق یقتضیالتعجیل عرفاً، ولیس بالبعید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أنّه لا میزان کلّیّ من هذه الجهة، وتختلف الموارد باختلاف الفروض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تقدّم منه فی المسألة الخامسة من الفصل الأوّل التزامه بأنّ إطلاق العقدیقتضی التعجیل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تقدّم منه أنّ الإطلاق یقتضی التعجیل العرفی، وذکرنا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یجتمعهذا مع الحکم بلزوم تعیین المدّة، کما صرّح به الماتن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مع أنّ لنا أن نفرض الکلام فیما لو کانت قرینة علی عدم</w:t>
      </w:r>
      <w:bookmarkStart w:id="807" w:name="pg13284_131055"/>
    </w:p>
    <w:p>
      <w:pPr>
        <w:pStyle w:val="BookText"/>
        <w:rPr/>
      </w:pPr>
      <w:bookmarkEnd w:id="807"/>
      <w:r>
        <w:rPr>
          <w:rFonts w:ascii="IRNazanin" w:hAnsi="IRNazanin" w:eastAsia="IRNazanin"/>
          <w:color w:val="111111"/>
          <w:sz w:val="28"/>
          <w:sz w:val="28"/>
          <w:szCs w:val="28"/>
          <w:rtl w:val="true"/>
          <w:lang w:bidi="fa-IR"/>
        </w:rPr>
        <w:t>إرادة التعجیل</w:t>
      </w:r>
      <w:r>
        <w:rPr>
          <w:rFonts w:eastAsia="IRNazanin" w:cs="IRNazanin"/>
          <w:color w:val="111111"/>
          <w:sz w:val="28"/>
          <w:szCs w:val="28"/>
          <w:rtl w:val="true"/>
          <w:lang w:bidi="fa-IR"/>
        </w:rPr>
        <w:t>.</w:t>
      </w:r>
    </w:p>
    <w:p>
      <w:pPr>
        <w:pStyle w:val="Heading4"/>
        <w:numPr>
          <w:ilvl w:val="3"/>
          <w:numId w:val="1"/>
        </w:numPr>
        <w:rPr/>
      </w:pPr>
      <w:bookmarkStart w:id="808" w:name="__RefHeading___Toc2056083_2322387425"/>
      <w:bookmarkStart w:id="809" w:name="_Toc291"/>
      <w:bookmarkEnd w:id="808"/>
      <w:r>
        <w:rPr>
          <w:rtl w:val="true"/>
        </w:rPr>
        <w:t>صور ثبوت الاُجرة فی غیر مورد الإجارة وفروع ذلک</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دابّةً لحمل متاعٍ معیّنٍ شخصیٍّ</w:t>
      </w:r>
      <w:r>
        <w:rPr>
          <w:rStyle w:val="FootnoteAnchor"/>
          <w:rtl w:val="true"/>
        </w:rPr>
        <w:footnoteReference w:id="1556"/>
      </w:r>
      <w:r>
        <w:rPr>
          <w:rFonts w:ascii="Amiri" w:hAnsi="Amiri" w:eastAsia="Amiri" w:cs="Amiri"/>
          <w:color w:val="111111"/>
          <w:sz w:val="28"/>
          <w:sz w:val="28"/>
          <w:szCs w:val="28"/>
          <w:rtl w:val="true"/>
          <w:lang w:bidi="ar-SA"/>
        </w:rPr>
        <w:t> أو کلّیٍّ علی وجه التقیید</w:t>
      </w:r>
      <w:r>
        <w:rPr>
          <w:rStyle w:val="FootnoteAnchor"/>
          <w:rtl w:val="true"/>
        </w:rPr>
        <w:footnoteReference w:id="1557"/>
      </w:r>
      <w:r>
        <w:rPr>
          <w:rFonts w:ascii="Amiri" w:hAnsi="Amiri" w:eastAsia="Amiri" w:cs="Amiri"/>
          <w:color w:val="111111"/>
          <w:sz w:val="28"/>
          <w:sz w:val="28"/>
          <w:szCs w:val="28"/>
          <w:rtl w:val="true"/>
          <w:lang w:bidi="ar-SA"/>
        </w:rPr>
        <w:t> فحمَّلها</w:t>
      </w:r>
      <w:r>
        <w:rPr>
          <w:rStyle w:val="FootnoteAnchor"/>
          <w:rtl w:val="true"/>
        </w:rPr>
        <w:footnoteReference w:id="1558"/>
      </w:r>
      <w:r>
        <w:rPr>
          <w:rFonts w:ascii="IRNazanin" w:hAnsi="IRNazanin" w:eastAsia="IRNazanin"/>
          <w:color w:val="111111"/>
          <w:sz w:val="28"/>
          <w:sz w:val="28"/>
          <w:szCs w:val="28"/>
          <w:rtl w:val="true"/>
          <w:lang w:bidi="fa-IR"/>
        </w:rPr>
        <w:t> غیر ذلک المتاع، أو استعملها فی الرکوب لزمه</w:t>
      </w:r>
      <w:r>
        <w:rPr>
          <w:rStyle w:val="FootnoteAnchor"/>
          <w:rtl w:val="true"/>
        </w:rPr>
        <w:footnoteReference w:id="1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إشکال، وهناک وجوه اُخر، کلزوم أکثر الاُجرتَین وأعلاهما، ولزوم اُجرةالمثل، ولزوم المسمّاة فقط، ولزوم الأکثر إن کانت إحداهما کذلک، وإلّا فالمسمّاة،فلا یُترک الاحتیاط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     .     .     .</w:t>
      </w:r>
    </w:p>
    <w:p>
      <w:pPr>
        <w:pStyle w:val="BookText"/>
        <w:rPr/>
      </w:pPr>
      <w:r>
        <w:rPr>
          <w:rFonts w:ascii="Amiri" w:hAnsi="Amiri" w:eastAsia="Amiri" w:cs="Amiri"/>
          <w:color w:val="111111"/>
          <w:sz w:val="28"/>
          <w:sz w:val="28"/>
          <w:szCs w:val="28"/>
          <w:rtl w:val="true"/>
          <w:lang w:bidi="ar-SA"/>
        </w:rPr>
        <w:t>المسمّاة</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محتاجة إلی 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الإصفهانی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یلزمه أعلاهما وأکثرهما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علیه أکثر الأمرین من المسمّاة والمثل؛ لِما عرفت فی الفصل السابق من أنّالمستوفی بدل وجودیّ لما له بدل جعلیّ، ولا یعقل بحسب الضمان العرفی معاملیّاًوتغریمیّاً کون منفعة واحدة ذات بدلین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 الجعلیّ،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البدلالتغریمیّ، وملک المنافع المتضادّة ملک للسعی الساری فیها والملتبس بالوجود فیضمن إحدی المتضادّات، ومعنی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للدابّة فی زمانٍ واحدٍ منفعتانمتضادّتان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توجد فی الخارج إلّا منفعة واحدة، ولیس معناه أنّه لا یفرضللدابّة فی زمانٍ واحدٍ منافع متضادّة قابلة للتحقّق علی سبیل البدلیّة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لزوم أکثر الأمرین من الاُجرة المسمّاة واُجرة 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استحقاق اُجرة المثل إشکال، إلّا بمقدار فضل المنفعة المستوفاة، بل أعلیالمنافع المتعارفة الغیر المستوفاة علی المنفعة المستأجَر علیها، فلا یُترک الاحتیاطبالتصالح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محتاجة إلی التأمّل، وإن کان ما یخطر بالبال عاجلاً هو ضمان أکثرالأجرتَین، وإن کان ظاهر روایة أبی ولّاد استحقاق اُجرة المثل ولکن لا ینافی ماذکر؛ لأنّ الظاهر کون اُجرة المثل فی مفروض الروایة أکثر من الاُجرة المسمّاة، کمالا یخفی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الاُجرتَین مع أنّه لم یذکره أحد فتویً ولا وجهاً مخالف لما رواه أبو ولّادعن أبی عبدالله علیه السلام فی ما وقع له من اکترائه البغل من الکوفة إلی قصر ابن هبیرةذاهباً وجائیاً، ومسیس حاجته إلی تبدیل سفره ذلک بالسفر من الکوفة إلی النیل ثمّإلی بغداد ثمّ الرجوع منها إلی الکوفة، فرکبه کذلک بدون إذن صاحبه فی مدّة خمسةعشر یوماً أنّه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علیک مثل کراء بغل ذاهباً من الکوفة إلی النیل ومن النیلإلی بغداد، ومنها إلی الکوفة توفیه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الإجارة،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مقدار الحاجة، فإنّه ظاهر بلصریح بقرینة سائر فقراته فی أنّ ذلک تمام حقّه، نعم، لو کان المسمّی للطریق الّتیترکها أکثر من اُجرة المثل فالأقرب لزوم الزیادة أیضاً، ولا ینافیه الحدیث؛ لورودهعلی المتعارف فی مثل الواقعة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علیه أکثر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یلزمه اُجرة المسمّاة، والمقدار الزائد علی اُجرة المسمّاة من اُجرة المثل إنکان لها زیادة، وإن کان اُجرة المسمّاة أزید من اُجرة المثل فیلزمه اُجرة المسمّاةفقط، 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یلزمه الأعلی منهما لو کان، وإلّا فأحدهما، وأمّا الجمع بینهمافمخالف للمشهور ولظاهر صحیحة أبی ولّاد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الأقرب أنّه لم یلزمه إلّا الاُجرة المسمّاة، والتفاوت بین اُجرة المنفعة الّتیاستوفاها واُجرة المنفعة المستأجَرَة علیها لو کان، فلو استأجرها بخمسةٍ فرکبهاوکانت اُجرة الرکوب عشرةً لزمته العشرة، ومع عدم الزیادة لم تلزمه إلّا الاُجرةالمسمّاة، وکذا الحال فی نظائر المسألة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الاُجرة المسمّاة، ومقدار فضل ما استوفاه فی ما له فضل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أکثر الأمرین علی الأقوی، والاحتیاط فی التصالح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المسألة وجوه وأقوال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اُجرة المثل فقط؛ لبطلان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منجهة فوات المنفعة المعیّنة، أو من جهة عدم ملکیّة المنفعة الغیر الموجودة، أو لصحیحة أبی 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المسمّی فقط؛ لأنّ المملوک من المنافع المتضادّة فیعرض واحد، فالتطبیق علی إحداهما بید المالک، فما استوفاه المستأجِر لم یکنمعیّناً من المالک، فلا یکون مملوکاً ولا مضموناً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الأمرین معاً منالمسمّی واُجرة المثل؛ لجواز ملکیّة المنافع المتضادّة فی غرض واحد؛ لما ذکرالمصنّف، وهو متفرّدٌ فی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القیمتَین أعلی قیمة المسمّی، فلوکان المسمّی أعلی فتعیّن هو؛ لأجل ارتکاز العرفی؛ لأنّ القیود الموجبة للتباینملحوظة بنحو تعدّد المطلوب، فالزیادة فی المنفعة المستوفاة کالزیادة فی المنفعةالمسمّاة، کما لو حمل فی الدابّة المستأجَرَة أکثر من المقدار المعیّن، فلا إشکال فیلزوم المسمّی واُجرة الزائد، لا غیر، وکیف کان فالأقوی لزوم المسمّی مع التفاوت،کما علیه القواعد وغیره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تقتضیه القاعدة، ومقتضی صحیحة أبی ولّاد عن أبی عبدالله علیه السلام ـ المعروفةـ لزوم اُجرة المثل فقط، وموردها بقرینة التعارف ما لو کانت اُجرة المثل أکثر منالاُجرة المسمّاة فلا دلالة لها علی لزوم اُجرة المثل مطلقاً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لحمل المتاع     </w:t>
      </w:r>
      <w:r>
        <w:rPr>
          <w:rFonts w:eastAsia="IRNazanin" w:cs="IRNazanin"/>
          <w:color w:val="111111"/>
          <w:sz w:val="28"/>
          <w:szCs w:val="28"/>
          <w:rtl w:val="true"/>
          <w:lang w:bidi="fa-IR"/>
        </w:rPr>
        <w:t>.     .     .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1561"/>
      </w:r>
      <w:r>
        <w:rPr>
          <w:rFonts w:ascii="IRNazanin" w:hAnsi="IRNazanin" w:eastAsia="IRNazanin"/>
          <w:color w:val="111111"/>
          <w:sz w:val="28"/>
          <w:sz w:val="28"/>
          <w:szCs w:val="28"/>
          <w:rtl w:val="true"/>
          <w:lang w:bidi="fa-IR"/>
        </w:rPr>
        <w:t> أو للرکوب، وکذا لو استأجر عبداً للخیاطة فاستعمله فی الکتابة، بل وکذا لو استأجر حُرّاً لعملٍ معیّنٍ فی زمانٍ معیّنٍ وحمّله علی غیر ذلک العمل مع تعمّده</w:t>
      </w:r>
      <w:r>
        <w:rPr>
          <w:rStyle w:val="FootnoteAnchor"/>
          <w:rtl w:val="true"/>
        </w:rPr>
        <w:footnoteReference w:id="1562"/>
      </w:r>
      <w:r>
        <w:rPr>
          <w:rFonts w:ascii="Amiri" w:hAnsi="Amiri" w:eastAsia="Amiri" w:cs="Amiri"/>
          <w:color w:val="111111"/>
          <w:sz w:val="28"/>
          <w:sz w:val="28"/>
          <w:szCs w:val="28"/>
          <w:rtl w:val="true"/>
          <w:lang w:bidi="ar-SA"/>
        </w:rPr>
        <w:t> وغفلة ذلک الحُرّ</w:t>
      </w:r>
      <w:r>
        <w:rPr>
          <w:rStyle w:val="FootnoteAnchor"/>
          <w:rtl w:val="true"/>
        </w:rPr>
        <w:footnoteReference w:id="1563"/>
      </w:r>
      <w:r>
        <w:rPr>
          <w:rFonts w:ascii="IRNazanin" w:hAnsi="IRNazanin" w:eastAsia="IRNazanin"/>
          <w:color w:val="111111"/>
          <w:sz w:val="28"/>
          <w:sz w:val="28"/>
          <w:szCs w:val="28"/>
          <w:rtl w:val="true"/>
          <w:lang w:bidi="fa-IR"/>
        </w:rPr>
        <w:t>، واعتقاده أنّه العمل المستأجَر علیه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ودعوی أن لیس للدابّة فی زمانٍ واحدٍ منفعتان متضادّتان، وکذا </w:t>
      </w:r>
    </w:p>
    <w:p>
      <w:pPr>
        <w:pStyle w:val="BookText"/>
        <w:rPr/>
      </w:pPr>
      <w:r>
        <w:rPr>
          <w:rFonts w:ascii="IRNazanin" w:hAnsi="IRNazanin" w:eastAsia="IRNazanin"/>
          <w:color w:val="111111"/>
          <w:sz w:val="28"/>
          <w:sz w:val="28"/>
          <w:szCs w:val="28"/>
          <w:rtl w:val="true"/>
          <w:lang w:bidi="fa-IR"/>
        </w:rPr>
        <w:t>لیس للعبد فی زمانٍ واحدٍ إلّا إحدی المنفعتَین من الکتابة أو الخیاطة، فکیف یستحقّ اُجرتَین؟ مدفوعة</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Style w:val="FootnoteAnchor"/>
          <w:rtl w:val="true"/>
        </w:rPr>
        <w:footnoteReference w:id="15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الوجه غیر وجیه، بل مدفوعة بأنّ الحقّ أنّ المالک للعین مالک بجمیع المنافعالمتضادّة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غیر مسموعة منه؛ لمخالفته المشهور، والارتکاز العرفی، ولِما أفادوه فیباب الضمانات وضمان الغاصب، ولظاهر صحیحة أبی ولّاد، المستفاد منه ضماناُجرة المثل، الغیر المنافی حملها علی صورة زیادة اُجرة المثل عن المسمّی؛ لِماذکرنا من أنّه یلزم علیه القیمتَین وأعلاهما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المستأجِر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بتفویته علی     </w:t>
      </w:r>
    </w:p>
    <w:p>
      <w:pPr>
        <w:pStyle w:val="BookText"/>
        <w:rPr/>
      </w:pPr>
      <w:r>
        <w:rPr>
          <w:rFonts w:ascii="IRNazanin" w:hAnsi="IRNazanin" w:eastAsia="IRNazanin"/>
          <w:color w:val="111111"/>
          <w:sz w:val="28"/>
          <w:sz w:val="28"/>
          <w:szCs w:val="28"/>
          <w:rtl w:val="true"/>
          <w:lang w:bidi="fa-IR"/>
        </w:rPr>
        <w:t>نفسه</w:t>
      </w:r>
      <w:r>
        <w:rPr>
          <w:rStyle w:val="FootnoteAnchor"/>
          <w:rtl w:val="true"/>
        </w:rPr>
        <w:footnoteReference w:id="1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یندفع بأنّه لا مانع من ملکیّة المنفعتَین المتضادّتَین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واستعماله فی غیر ما یستحقّ کأنّه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منفعة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باعتبار العقلاء ملکیّة کلّ واحدٍ من المتضادّینبمحض قابلیّة العین لکلٍّ منهما ولو علی البدل، غایة الأمر لا یعقل السلطنة الفعلیّةالتعیّنیة علیهما، ولکن یکفی فی اعتبار الملکیّة لهما مجرّد ترتّب أثر الضمان أحیاناًباستیفاء غیر ما ملکه بالعقد، وبذلک یفرّق بین ضمان الغیر بإتلاف المنفعة غیرالمملوکة وبین إجازته للغیر فی هذه المنفعة؛ إذ لیس للموجر السلطنة علی هذهالمنفعة بعد تملیکه المنفعة الاُخری، کما هو ظاهر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ما لا یخفی من الوهن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لکنّه لا یملک منفعتَین متضادّتَین جمعاً فی عرضٍ واحدٍ حتّی یستحقّ العوضلأحدهما بالعقد وللاخر بالاستیفاء، نعم، لو کانت اُجرة ما استوفاه زائدةً عمّا وقععلیه العقد له مطالبة الزیادة،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منع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آجر نفسه للخیاطة مثلاً فی زمانٍ معیّنٍ فاشتغل بالکتابة </w:t>
      </w:r>
    </w:p>
    <w:p>
      <w:pPr>
        <w:pStyle w:val="BookText"/>
        <w:rPr/>
      </w:pPr>
      <w:r>
        <w:rPr>
          <w:rFonts w:ascii="IRNazanin" w:hAnsi="IRNazanin" w:eastAsia="IRNazanin"/>
          <w:color w:val="111111"/>
          <w:sz w:val="28"/>
          <w:sz w:val="28"/>
          <w:szCs w:val="28"/>
          <w:rtl w:val="true"/>
          <w:lang w:bidi="fa-IR"/>
        </w:rPr>
        <w:t>للمستأجِر مع علمه بأنّه غیر العمل المستأجَر علیه لم یستحقّ</w:t>
      </w:r>
      <w:r>
        <w:rPr>
          <w:rStyle w:val="FootnoteAnchor"/>
          <w:rtl w:val="true"/>
        </w:rPr>
        <w:footnoteReference w:id="1567"/>
      </w:r>
      <w:r>
        <w:rPr>
          <w:rFonts w:ascii="Amiri" w:hAnsi="Amiri" w:eastAsia="Amiri" w:cs="Amiri"/>
          <w:color w:val="111111"/>
          <w:sz w:val="28"/>
          <w:sz w:val="28"/>
          <w:szCs w:val="28"/>
          <w:rtl w:val="true"/>
          <w:lang w:bidi="ar-SA"/>
        </w:rPr>
        <w:t> شیئاً</w:t>
      </w:r>
      <w:r>
        <w:rPr>
          <w:rStyle w:val="FootnoteAnchor"/>
          <w:rtl w:val="true"/>
        </w:rPr>
        <w:footnoteReference w:id="1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فیه تفصیل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فسخ المستأجِر، ولکن له أن لا یفسخ، وحینئذٍ فللأجیر الاُجرة المسمّاة،وعلیه عوض الفائت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فسخها المستأجِر، أمّا إذا لم یفسخها فیستحقّ المؤجِر الاُجرة المسمّاة،ویستحقّ المستأجِر قیمة عمل المستأجَر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فسخ المستأجِر، وأمّا مع عدمه فعلی الأجیر عوض الخیاطة، وله الاُجرةالمسمّاة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أمّا الاُجرة المسمّاة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عدم إمضاء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السابق؛ لأنّه لو لم یفسخ یجوز له مطالبةقیمة العمل المستأجَر علیه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فلتفویتها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التفویت لا یقتضی بطلان الإجارة، بل یوجب تخییر المستأجر بین الفسخومطالبة قیمة العمل المستأجر علیه، وبه یظهر الحال فی المسألة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بترک الخیاطة، وأمّا اُجرة المثل</w:t>
      </w:r>
      <w:bookmarkStart w:id="810" w:name="pg13284_131069"/>
    </w:p>
    <w:p>
      <w:pPr>
        <w:pStyle w:val="BookText"/>
        <w:rPr/>
      </w:pPr>
      <w:bookmarkEnd w:id="810"/>
      <w:r>
        <w:rPr>
          <w:rFonts w:ascii="IRNazanin" w:hAnsi="IRNazanin" w:eastAsia="IRNazanin"/>
          <w:color w:val="111111"/>
          <w:sz w:val="28"/>
          <w:sz w:val="28"/>
          <w:szCs w:val="28"/>
          <w:rtl w:val="true"/>
          <w:lang w:bidi="fa-IR"/>
        </w:rPr>
        <w:t>للکتابة مثلاً فلعدم کونها مستأجَراً علیها، فیکون کالمتبرّع بها</w:t>
      </w:r>
      <w:r>
        <w:rPr>
          <w:rStyle w:val="FootnoteAnchor"/>
          <w:rtl w:val="true"/>
        </w:rPr>
        <w:footnoteReference w:id="1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یستفاد فی صورة علم المستأجِر وعدم منعه من العمل الرضا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یمکن أن یقال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استحقاقه لها، ولو کان مشتبِهاً غیر متعمّد، خصوصاً مع جهل  المستأجِر بالحال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آجر دابّته لحمل متاع زیدٍ من مکانٍ إلی آخر فاشتبه وحمّلها متاعَ عَمرٍو لم یستحقّ</w:t>
      </w:r>
      <w:r>
        <w:rPr>
          <w:rStyle w:val="FootnoteAnchor"/>
          <w:rtl w:val="true"/>
        </w:rPr>
        <w:footnoteReference w:id="1570"/>
      </w:r>
      <w:r>
        <w:rPr>
          <w:rFonts w:ascii="Amiri" w:hAnsi="Amiri" w:eastAsia="Amiri" w:cs="Amiri"/>
          <w:color w:val="111111"/>
          <w:sz w:val="28"/>
          <w:sz w:val="28"/>
          <w:szCs w:val="28"/>
          <w:rtl w:val="true"/>
          <w:lang w:bidi="ar-SA"/>
        </w:rPr>
        <w:t> الاُجرة</w:t>
      </w:r>
      <w:r>
        <w:rPr>
          <w:rStyle w:val="FootnoteAnchor"/>
          <w:rtl w:val="true"/>
        </w:rPr>
        <w:footnoteReference w:id="1571"/>
      </w:r>
      <w:r>
        <w:rPr>
          <w:rFonts w:ascii="IRNazanin" w:hAnsi="IRNazanin" w:eastAsia="IRNazanin"/>
          <w:color w:val="111111"/>
          <w:sz w:val="28"/>
          <w:sz w:val="28"/>
          <w:szCs w:val="28"/>
          <w:rtl w:val="true"/>
          <w:lang w:bidi="fa-IR"/>
        </w:rPr>
        <w:t> علی زید</w:t>
      </w:r>
      <w:r>
        <w:rPr>
          <w:rStyle w:val="FootnoteAnchor"/>
          <w:rtl w:val="true"/>
        </w:rPr>
        <w:footnoteReference w:id="1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فسخ زید، ولکن له أن لا یفسخ، فعلی الأجیر عوض الفائت، وله الاُجرةالمسمّاة،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ذکرناه فی المسألة السابقة آتٍ فیها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مع الفسخ، کما 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ولا علی عمرو</w:t>
      </w:r>
      <w:r>
        <w:rPr>
          <w:rFonts w:eastAsia="IRNazanin" w:cs="IRNazanin"/>
          <w:color w:val="111111"/>
          <w:sz w:val="28"/>
          <w:szCs w:val="28"/>
          <w:rtl w:val="true"/>
          <w:lang w:bidi="fa-IR"/>
        </w:rPr>
        <w:t>.</w:t>
      </w:r>
    </w:p>
    <w:p>
      <w:pPr>
        <w:pStyle w:val="Heading4"/>
        <w:numPr>
          <w:ilvl w:val="3"/>
          <w:numId w:val="1"/>
        </w:numPr>
        <w:rPr/>
      </w:pPr>
      <w:bookmarkStart w:id="811" w:name="__RefHeading___Toc2056085_2322387425"/>
      <w:bookmarkStart w:id="812" w:name="_Toc292"/>
      <w:bookmarkEnd w:id="811"/>
      <w:r>
        <w:rPr>
          <w:rtl w:val="true"/>
        </w:rPr>
        <w:t>صور فی فوات المنفعة علی المستأجر أو تعذّرها</w:t>
      </w:r>
      <w:bookmarkEnd w:id="81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آجر دابّته من زیدٍ مثلاً فشردت قبل التسلیم إلیه أو بعده</w:t>
      </w:r>
      <w:r>
        <w:rPr>
          <w:rStyle w:val="FootnoteAnchor"/>
          <w:rtl w:val="true"/>
        </w:rPr>
        <w:footnoteReference w:id="1573"/>
      </w:r>
      <w:r>
        <w:rPr>
          <w:rFonts w:ascii="IRNazanin" w:hAnsi="IRNazanin" w:eastAsia="IRNazanin"/>
          <w:color w:val="111111"/>
          <w:sz w:val="28"/>
          <w:sz w:val="28"/>
          <w:szCs w:val="28"/>
          <w:rtl w:val="true"/>
          <w:lang w:bidi="fa-IR"/>
        </w:rPr>
        <w:t> فی أثناء</w:t>
      </w:r>
      <w:r>
        <w:rPr>
          <w:rStyle w:val="FootnoteAnchor"/>
          <w:rtl w:val="true"/>
        </w:rPr>
        <w:footnoteReference w:id="1574"/>
      </w:r>
      <w:r>
        <w:rPr>
          <w:rFonts w:ascii="Times New Roman" w:hAnsi="Times New Roman" w:eastAsia="Times New Roman" w:cs="Times New Roman"/>
          <w:color w:val="111111"/>
          <w:sz w:val="28"/>
          <w:sz w:val="28"/>
          <w:szCs w:val="28"/>
          <w:rtl w:val="true"/>
          <w:lang w:val="en-US" w:bidi="en-US"/>
        </w:rPr>
        <w:t>     </w:t>
      </w:r>
      <w:r>
        <w:rPr>
          <w:rFonts w:eastAsia="Times New Roman" w:cs="Times New Roman" w:ascii="Times New Roman" w:hAnsi="Times New Roman"/>
          <w:color w:val="111111"/>
          <w:sz w:val="28"/>
          <w:szCs w:val="28"/>
          <w:rtl w:val="true"/>
          <w:lang w:val="en-US" w:bidi="en-US"/>
        </w:rPr>
        <w:t xml:space="preserve">.     .     .     .     .     .     .     .     . </w:t>
      </w:r>
    </w:p>
    <w:p>
      <w:pPr>
        <w:pStyle w:val="BookText"/>
        <w:rPr/>
      </w:pPr>
      <w:r>
        <w:rPr>
          <w:rFonts w:ascii="Amiri" w:hAnsi="Amiri" w:eastAsia="Amiri" w:cs="Amiri"/>
          <w:color w:val="111111"/>
          <w:sz w:val="28"/>
          <w:sz w:val="28"/>
          <w:szCs w:val="28"/>
          <w:rtl w:val="true"/>
          <w:lang w:bidi="ar-SA"/>
        </w:rPr>
        <w:t>المدّة</w:t>
      </w:r>
      <w:r>
        <w:rPr>
          <w:rStyle w:val="FootnoteAnchor"/>
          <w:rtl w:val="true"/>
        </w:rPr>
        <w:footnoteReference w:id="1575"/>
      </w:r>
      <w:r>
        <w:rPr>
          <w:rFonts w:ascii="IRNazanin" w:hAnsi="IRNazanin" w:eastAsia="IRNazanin"/>
          <w:color w:val="111111"/>
          <w:sz w:val="28"/>
          <w:sz w:val="28"/>
          <w:szCs w:val="28"/>
          <w:rtl w:val="true"/>
          <w:lang w:bidi="fa-IR"/>
        </w:rPr>
        <w:t> بطلت</w:t>
      </w:r>
      <w:r>
        <w:rPr>
          <w:rStyle w:val="FootnoteAnchor"/>
          <w:rtl w:val="true"/>
        </w:rPr>
        <w:footnoteReference w:id="1576"/>
      </w:r>
      <w:r>
        <w:rPr>
          <w:rFonts w:ascii="Amiri" w:hAnsi="Amiri" w:eastAsia="Amiri" w:cs="Amiri"/>
          <w:color w:val="111111"/>
          <w:sz w:val="28"/>
          <w:sz w:val="28"/>
          <w:szCs w:val="28"/>
          <w:rtl w:val="true"/>
          <w:lang w:bidi="ar-SA"/>
        </w:rPr>
        <w:t> الإجارة</w:t>
      </w:r>
      <w:r>
        <w:rPr>
          <w:rStyle w:val="FootnoteAnchor"/>
          <w:rtl w:val="true"/>
        </w:rPr>
        <w:footnoteReference w:id="1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بالنسبة إلی الباقی من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رأساً إذا کان قبل التسلیم، وبالنسبة إلی ما بقی من المدّة إن کان فی الأثناء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رأساً إذا لم یمضِ من المدّة مقدار معتدّ به، وإلّا فبالنسبة إلی ما بقی من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بالکلّیّة إذا کان الشَرد قبل التسلیم، وعدم مضیِّ المدّة المعتدّة بها بالنسبة إلی مابقی من المدّة إن کان فی الأثناء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بالإضافة إلی المدّة الباقیة، وللمستأجِر الخیار بالإضافة إلی ما مضی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فی باقی المدّة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بالنسبة إلی ما بقی من المدّة، وللمستأجِر، الخیار بالإضافة إلی ما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بالنسبة إلی باقی المدّة، وأمّا بالنسبة إلی ما مضی فیمکن القول بالخیارللمستأجِر، کما مرّ فی السابق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مطلقاً فی الصورة الاُولی، وبالإضافة إلی خصوص المدّة الباقیة فیالصورة الثانیة، وللمستأجر فی هذه الصورة الفسخ بالنسبة إلی المدّة الماضیة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لو آجر عبده فأبَقَ، ولو غصبهما</w:t>
      </w:r>
    </w:p>
    <w:p>
      <w:pPr>
        <w:pStyle w:val="BookText"/>
        <w:rPr/>
      </w:pP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قبل التسلیم فکذلک، وإن کان بعده یرجع المستأجِرعلی الغاصب بعوض المقدار الفائت من المنفعة، ویحتمل</w:t>
      </w:r>
      <w:r>
        <w:rPr>
          <w:rStyle w:val="FootnoteAnchor"/>
          <w:rtl w:val="true"/>
        </w:rPr>
        <w:footnoteReference w:id="1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متعیّن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المتعیّن، وقد تقدّم منه الفتوی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التخییر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ولا فرق بین الصورتَین فی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کما أشرنا إلیه سابقاً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الصحیح، کما تقدّم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التخییر مشکل، ولا یبعد الرجوع علی الغاصب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القوّة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هو المتعیّن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وکلامه قدس سره هنا لا یلائم ما أفاده فی الفصل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المتعیّن، والفرق بین المقام وما تقدّم من تعیّن الرجوع علی الظالم فیبعض صور منعه یظهر بالتأمّل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المتعیّن، کما تقدّم منه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الأقرب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المتعیّن، والفرق بین المقام وما تقدّم فی الفصل الثالث فی المسألةالعاشرة ـ الّذی حکمنا فیه بتعیّن رجوعه علی الظالم بعوض ما فات ـ أنّ المنعهناک کان متوجّهاً إلی المستأجر، وفی المقام إنّما یکون الغصب موجباً لتعذّرالتسلیم، فیثبت الخیار من هذه الجهة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المختار القویّ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3" w:name="pg13284_131075"/>
    </w:p>
    <w:p>
      <w:pPr>
        <w:pStyle w:val="BookText"/>
        <w:rPr/>
      </w:pPr>
      <w:bookmarkEnd w:id="813"/>
      <w:r>
        <w:rPr>
          <w:rFonts w:ascii="IRNazanin" w:hAnsi="IRNazanin" w:eastAsia="IRNazanin"/>
          <w:color w:val="111111"/>
          <w:sz w:val="28"/>
          <w:sz w:val="28"/>
          <w:szCs w:val="28"/>
          <w:rtl w:val="true"/>
          <w:lang w:bidi="fa-IR"/>
        </w:rPr>
        <w:t>بین</w:t>
      </w:r>
      <w:r>
        <w:rPr>
          <w:rStyle w:val="FootnoteAnchor"/>
          <w:rtl w:val="true"/>
        </w:rPr>
        <w:footnoteReference w:id="1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الأقوی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الگلپایگانی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الاحتمال هو المتعیّن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منه الفتوی بذلک فی المسألة الحادیة عشرة من الفصل الثالث، وهو الأقوی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الغاصب وبین الفسخ فی الصورة الاُولی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ما  إذا کان الغصب قبل التسلیم</w:t>
      </w:r>
      <w:r>
        <w:rPr>
          <w:rFonts w:eastAsia="IRNazanin" w:cs="IRNazanin"/>
          <w:color w:val="111111"/>
          <w:sz w:val="28"/>
          <w:szCs w:val="28"/>
          <w:rtl w:val="true"/>
          <w:lang w:bidi="fa-IR"/>
        </w:rPr>
        <w:t>.</w:t>
      </w:r>
    </w:p>
    <w:p>
      <w:pPr>
        <w:pStyle w:val="Heading4"/>
        <w:numPr>
          <w:ilvl w:val="3"/>
          <w:numId w:val="1"/>
        </w:numPr>
        <w:rPr/>
      </w:pPr>
      <w:bookmarkStart w:id="814" w:name="__RefHeading___Toc2056087_2322387425"/>
      <w:bookmarkStart w:id="815" w:name="_Toc293"/>
      <w:bookmarkEnd w:id="814"/>
      <w:r>
        <w:rPr>
          <w:rtl w:val="true"/>
        </w:rPr>
        <w:t>استیفاء المنفعة فی أغراض لم یرضها الشارع</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آجر سفینته لحمل الخلّ مثلاً من بلد إلی بلد، فحمّلها المستأجِر خمراً لم یستحقّ</w:t>
      </w:r>
      <w:r>
        <w:rPr>
          <w:rStyle w:val="FootnoteAnchor"/>
          <w:rtl w:val="true"/>
        </w:rPr>
        <w:footnoteReference w:id="1580"/>
      </w:r>
      <w:r>
        <w:rPr>
          <w:rFonts w:ascii="Amiri" w:hAnsi="Amiri" w:eastAsia="Amiri" w:cs="Amiri"/>
          <w:color w:val="111111"/>
          <w:sz w:val="28"/>
          <w:sz w:val="28"/>
          <w:szCs w:val="28"/>
          <w:rtl w:val="true"/>
          <w:lang w:bidi="ar-SA"/>
        </w:rPr>
        <w:t> الموجِر</w:t>
      </w:r>
      <w:r>
        <w:rPr>
          <w:rStyle w:val="FootnoteAnchor"/>
          <w:rtl w:val="true"/>
        </w:rPr>
        <w:footnoteReference w:id="1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المسألة محتاجة إلی التأمّل، ویحتمل قویّاً استحقاق المؤجِر أکثر الأمرین منالاُجرة المسمّاة واُجرة المثل، کما مرّ فی نظیرها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استحقاق الاُجرتَین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الاُجرة المسمّاة، والمِثل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أکثر الأمرین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انّه یستحقّ أکثر الأمرین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الاُجرة المسمّاة، واُجرة المِثل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الشیرازی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یستحقّ اُجرة المثل، والحکم باستحقاقه لأکثر الأمرین من اُجرة المثلوالمسمّی لا یخلو من وجهٍ وجیه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الاُجرة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المسمّاة</w:t>
      </w:r>
      <w:r>
        <w:rPr>
          <w:rStyle w:val="FootnoteAnchor"/>
          <w:rtl w:val="true"/>
        </w:rPr>
        <w:footnoteReference w:id="1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ولاحتمال أکثر الاُجرتَین وجه، کما أنّ لاستحقاق الاُجرتَین وجهاً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ولا یستحقّ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لحمل الخمر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یستحقّ أکثر الأمرین من المسمّاة، واُجرة مثل حَمل الخمر، ویحتمل استحقاقالاُجرتَین 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لأنّ أخذ</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16" w:name="pg13284_131079"/>
    </w:p>
    <w:p>
      <w:pPr>
        <w:pStyle w:val="BookText"/>
        <w:rPr/>
      </w:pPr>
      <w:bookmarkEnd w:id="816"/>
      <w:r>
        <w:rPr>
          <w:rFonts w:ascii="IRNazanin" w:hAnsi="IRNazanin" w:eastAsia="IRNazanin"/>
          <w:color w:val="111111"/>
          <w:sz w:val="28"/>
          <w:sz w:val="28"/>
          <w:szCs w:val="28"/>
          <w:rtl w:val="true"/>
          <w:lang w:bidi="fa-IR"/>
        </w:rPr>
        <w:t>الاُجرة علیه حرام</w:t>
      </w:r>
      <w:r>
        <w:rPr>
          <w:rStyle w:val="FootnoteAnchor"/>
          <w:rtl w:val="true"/>
        </w:rPr>
        <w:footnoteReference w:id="1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بحرّیّة حَمل الخمر یتوقّف علی قیام دلیلٍ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فلیست هذه المسألة مثل مسألة إجارة العبد للخیاطة فاستعمله المستأجِر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إذا غصب السفینة وحمّلها خمراً کان اللازم عدم استحقاق المالک اُجرة المثل؛ لأنّ اُجرة حمل الخمر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یستحقّ المالک اُجرة المثل</w:t>
      </w:r>
      <w:r>
        <w:rPr>
          <w:rStyle w:val="FootnoteAnchor"/>
          <w:rtl w:val="true"/>
        </w:rPr>
        <w:footnoteReference w:id="1584"/>
      </w:r>
      <w:r>
        <w:rPr>
          <w:rFonts w:ascii="IRNazanin" w:hAnsi="IRNazanin" w:eastAsia="IRNazanin"/>
          <w:color w:val="111111"/>
          <w:sz w:val="28"/>
          <w:sz w:val="28"/>
          <w:szCs w:val="28"/>
          <w:rtl w:val="true"/>
          <w:lang w:bidi="fa-IR"/>
        </w:rPr>
        <w:t> للمنافع المحلّلة الفائتة فی هذه المدّة، وفی المسألة المفروضة لم یفوِّت</w:t>
      </w:r>
      <w:r>
        <w:rPr>
          <w:rStyle w:val="FootnoteAnchor"/>
          <w:rtl w:val="true"/>
        </w:rPr>
        <w:footnoteReference w:id="1585"/>
      </w:r>
      <w:r>
        <w:rPr>
          <w:rFonts w:ascii="IRNazanin" w:hAnsi="IRNazanin" w:eastAsia="IRNazanin"/>
          <w:color w:val="111111"/>
          <w:sz w:val="28"/>
          <w:sz w:val="28"/>
          <w:szCs w:val="28"/>
          <w:rtl w:val="true"/>
          <w:lang w:bidi="fa-IR"/>
        </w:rPr>
        <w:t> علی الموجِر منفعة</w:t>
      </w:r>
      <w:r>
        <w:rPr>
          <w:rStyle w:val="FootnoteAnchor"/>
          <w:rtl w:val="true"/>
        </w:rPr>
        <w:footnoteReference w:id="1586"/>
      </w:r>
      <w:r>
        <w:rPr>
          <w:rFonts w:ascii="Amiri" w:hAnsi="Amiri" w:eastAsia="Amiri" w:cs="Amiri"/>
          <w:color w:val="111111"/>
          <w:sz w:val="28"/>
          <w:sz w:val="28"/>
          <w:szCs w:val="28"/>
          <w:rtl w:val="true"/>
          <w:lang w:bidi="ar-SA"/>
        </w:rPr>
        <w:t>؛ لأنّه أعطاه الاُجرة المسمّاة لحمل الخلّ بالفرض</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2056089_2322387425"/>
      <w:bookmarkStart w:id="818" w:name="_Toc294"/>
      <w:bookmarkEnd w:id="817"/>
      <w:r>
        <w:rPr>
          <w:rtl w:val="true"/>
        </w:rPr>
        <w:t>الاشتباه فی استیفاء منفعة عین غیر المستأجرة</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استأجر دابّةً معیّنةً من زیدٍ للرکوب إلی مکانٍ</w:t>
      </w:r>
      <w:r>
        <w:rPr>
          <w:rStyle w:val="FootnoteAnchor"/>
          <w:rtl w:val="true"/>
        </w:rPr>
        <w:footnoteReference w:id="1587"/>
      </w:r>
      <w:r>
        <w:rPr>
          <w:rFonts w:ascii="Amiri" w:hAnsi="Amiri" w:eastAsia="Amiri" w:cs="Amiri"/>
          <w:color w:val="111111"/>
          <w:sz w:val="28"/>
          <w:sz w:val="28"/>
          <w:szCs w:val="28"/>
          <w:rtl w:val="true"/>
          <w:lang w:bidi="ar-SA"/>
        </w:rPr>
        <w:t>فاشتبه ورکب دابّةً اُخری له لزمه</w:t>
      </w:r>
      <w:r>
        <w:rPr>
          <w:rStyle w:val="FootnoteAnchor"/>
          <w:rtl w:val="true"/>
        </w:rPr>
        <w:footnoteReference w:id="1588"/>
      </w:r>
      <w:r>
        <w:rPr>
          <w:rFonts w:ascii="Amiri" w:hAnsi="Amiri" w:eastAsia="Amiri" w:cs="Amiri"/>
          <w:color w:val="111111"/>
          <w:sz w:val="28"/>
          <w:sz w:val="28"/>
          <w:szCs w:val="28"/>
          <w:rtl w:val="true"/>
          <w:lang w:bidi="ar-SA"/>
        </w:rPr>
        <w:t> الاُجرة المسمّاة</w:t>
      </w:r>
      <w:r>
        <w:rPr>
          <w:rStyle w:val="FootnoteAnchor"/>
          <w:rtl w:val="true"/>
        </w:rPr>
        <w:footnoteReference w:id="158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9" w:name="pg13284_131081"/>
    </w:p>
    <w:p>
      <w:pPr>
        <w:pStyle w:val="BookText"/>
        <w:rPr/>
      </w:pPr>
      <w:bookmarkEnd w:id="819"/>
      <w:r>
        <w:rPr>
          <w:rFonts w:ascii="Amiri" w:hAnsi="Amiri" w:eastAsia="Amiri" w:cs="Amiri"/>
          <w:color w:val="111111"/>
          <w:sz w:val="28"/>
          <w:sz w:val="28"/>
          <w:szCs w:val="28"/>
          <w:rtl w:val="true"/>
          <w:lang w:bidi="ar-SA"/>
        </w:rPr>
        <w:t>للاُولی</w:t>
      </w:r>
      <w:r>
        <w:rPr>
          <w:rStyle w:val="FootnoteAnchor"/>
          <w:rtl w:val="true"/>
        </w:rPr>
        <w:footnoteReference w:id="1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فیما إذا أمکنه صاحب الدابّة من استیفاء المنفعة الّتی أجّرها لأجلها، کما هوظاهر المفروض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تسلیم صاحب الدابّة لها وتمکینه منها مدّةً یمکنه الاستیفاء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مکّنه منها إلی مدّةٍ یمکنه الاستیفاء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صورة تمکینه من استیفاء الدابّة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للثانیة، کما إذا اشتبه فرکب دابّةَ عَمرٍو فإنّه یلزمه اُجرة المثل لدابّة عمرو، والمسمّاة لدابّة زید؛ حیث فوّت منفعتها علی نفسه</w:t>
      </w:r>
      <w:r>
        <w:rPr>
          <w:rFonts w:eastAsia="IRNazanin" w:cs="IRNazanin"/>
          <w:color w:val="111111"/>
          <w:sz w:val="28"/>
          <w:szCs w:val="28"/>
          <w:rtl w:val="true"/>
          <w:lang w:bidi="fa-IR"/>
        </w:rPr>
        <w:t>.</w:t>
      </w:r>
    </w:p>
    <w:p>
      <w:pPr>
        <w:pStyle w:val="Heading4"/>
        <w:numPr>
          <w:ilvl w:val="3"/>
          <w:numId w:val="1"/>
        </w:numPr>
        <w:rPr/>
      </w:pPr>
      <w:bookmarkStart w:id="820" w:name="__RefHeading___Toc2056091_2322387425"/>
      <w:bookmarkStart w:id="821" w:name="_Toc295"/>
      <w:bookmarkEnd w:id="820"/>
      <w:r>
        <w:rPr>
          <w:rtl w:val="true"/>
        </w:rPr>
        <w:t>التزاحم فی متعلّق الإجارة</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آجر نفسه لصوم یومٍ معیّنٍ عن زید مثلاً ثمّ آجر نفسه لصوم ذلک الیوم عن عمرٍو لم تصحَّ</w:t>
      </w:r>
      <w:r>
        <w:rPr>
          <w:rStyle w:val="FootnoteAnchor"/>
          <w:rtl w:val="true"/>
        </w:rPr>
        <w:footnoteReference w:id="1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عدم المانع عن الصحّة إذا أجار عنه علی نحو الترتّب، أی أجار نفسه فیظرفٍ ترک القیام بمقتضی الإجارة الاُولی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القمّی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الإجارة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ولو فسخ الاُولی بخیارٍ أو إقالةٍ قبل ذلک الیوم لم ینفع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صحّتها</w:t>
      </w:r>
      <w:r>
        <w:rPr>
          <w:rStyle w:val="FootnoteAnchor"/>
          <w:rtl w:val="true"/>
        </w:rPr>
        <w:footnoteReference w:id="1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أضفناه من نسخةٍ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فسخ الاُولی أو أقالها، وکذا مع الإجازة، ویکون مالالإجارة للأجیر، لا للمجیز، وقد مرّ نظیره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الصحّة مع فسخ الاُولی، أو إجازته للإجارة الثانیة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ولو أجازها ثانیاً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صحّتها بالإجازة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هو صحّة الإجارة الثانیة لو أجازها المؤجِر بعد فسخ الإجارة الاُولی أوإقالتها قبل ذلک الیوم، وإن کان قبل الفسخ والإقالة غیر قابلةٍ للإجارة فیکون حالهحال مَن باع شیئاً ثمّ ملک من هذه الجهة إن کان بینهما فرق من جهة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مانع من صحّتها لو أجازها 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الشریعتمداری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الصحّة مع الإجازة ثانیاً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اللنکرانی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لابدّ له من تجدید العقد؛ لأنّ الإجازة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یمکن الکشف هنا؛ لوجود</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المانع</w:t>
      </w:r>
      <w:r>
        <w:rPr>
          <w:rStyle w:val="FootnoteAnchor"/>
          <w:rtl w:val="true"/>
        </w:rPr>
        <w:footnoteReference w:id="1593"/>
      </w:r>
      <w:r>
        <w:rPr>
          <w:rFonts w:ascii="IRNazanin" w:hAnsi="IRNazanin" w:eastAsia="IRNazanin"/>
          <w:color w:val="111111"/>
          <w:sz w:val="28"/>
          <w:sz w:val="28"/>
          <w:szCs w:val="28"/>
          <w:rtl w:val="true"/>
          <w:lang w:bidi="fa-IR"/>
        </w:rPr>
        <w:t> حین الإجارة</w:t>
      </w:r>
      <w:r>
        <w:rPr>
          <w:rStyle w:val="FootnoteAnchor"/>
          <w:rtl w:val="true"/>
        </w:rPr>
        <w:footnoteReference w:id="1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إنّ المفروض أنّه قد فسخ الاُولی بخیار أو إقالة، ونستکشف من هذا الفسخعدم وقوع الإجارة الثانیة علی متعلّق حقّ الغیر فی علم الله تعالی، فتؤثّر الإجازةأثرها لا محالة، فالأقوی إمکان تصحیحها بالإجازة، وإن لم یفسخ تصحّ الإجارةالثانیة بإجازة المستأجِر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فیکون نظیر مَن باع شیئاً ثمّ ملک، 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 وجهه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مثله، ولا إشکال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الکوه کَمَری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یظهر وجه للأشکلیّة، بل الأمر بالعکس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الإصطهباناتی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الإشکال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المعاملة فی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للإجازة منالمالک الواقعیّ حین حدوثها، وفی المقام الإجارة الثانیة غیر قابلةٍ للإجازة من أحدٍحین وقوعها، هذا، ولکنّ الصحیح بناءً علی ما ذکرناه سابقاً من أنّ المنافع المتضادّةمملوکة جمیعاً فالمقتضی لصحّة الإجارة الثانیة موجود، وهو ملک الموجِر المنفعةالمستأجَر علیها فی الإجارة الثانیة، ولکنّ المانع ـ وهو المزاحمة، وعدم إمکاناستیفاء کلتا المنفعتَین ـ متوفّر، فإذا افترضنا رفع المانع بالإقالة أو الفسخ فلا مانعمن الحکم بصحّة الإجارة المزبورة من دون حاجة إلی الإجازة، فیکون المقام نظیر    نکاح العبد بدون إذن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حاشیةٍ له ؛ فی نسخةٍ اُخری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الإجارة الثانیة غیر قابلةٍ حین صدورها للإجازة منأحد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وجه الأشکلیّة أنّ الإجارة اللاحقة غیر قابلةٍ حین صدورها للإجازة منأحدٍ فلا دلیل علی اعتبار ذلک أصلاً، کما ثبت فی محلّه، وإن کان وجهها أنّ عدمالقدرة الشرعیّة علی الإجارة الثانیة یُخرِج متعلّقها عن صلاحیّة الملک رأساً،بخلاف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شیئاً ثمّ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عدم اعتبار الملک للمجیز حین صدورالعقد وکفایته حین الإجازة لا فرق بینه وبین أن یکون لعدم المقتضی، أو لوجودالمانع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السبزواری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المانع عدم الملک، لا للأجیر ولا لغیره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القمّی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الإجارة الثانیة صدرت عمّن لا قدرة له علی التسلیم، فتکون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لعدم صلاحیّة الإجارة الثانیة حین وقوعها للإجازة ذاتاً مطلقاً من الأوّل، ولا منغیره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w:t>
      </w:r>
    </w:p>
    <w:p>
      <w:pPr>
        <w:pStyle w:val="BookText"/>
        <w:rPr/>
      </w:pPr>
      <w:r>
        <w:rPr>
          <w:rFonts w:ascii="IRNazanin" w:hAnsi="IRNazanin" w:eastAsia="IRNazanin"/>
          <w:color w:val="111111"/>
          <w:sz w:val="28"/>
          <w:sz w:val="28"/>
          <w:szCs w:val="28"/>
          <w:rtl w:val="true"/>
          <w:lang w:bidi="fa-IR"/>
        </w:rPr>
        <w:t>بحمدالله ومنّه إنتهی الجزء الثالث عشر</w:t>
      </w:r>
    </w:p>
    <w:p>
      <w:pPr>
        <w:pStyle w:val="BookText"/>
        <w:rPr/>
      </w:pPr>
      <w:r>
        <w:rPr>
          <w:rFonts w:ascii="IRNazanin" w:hAnsi="IRNazanin" w:eastAsia="IRNazanin"/>
          <w:color w:val="111111"/>
          <w:sz w:val="28"/>
          <w:sz w:val="28"/>
          <w:szCs w:val="28"/>
          <w:rtl w:val="true"/>
          <w:lang w:bidi="fa-IR"/>
        </w:rPr>
        <w:t>ویلیه الجزء الرابع عشر بدءاً بفصل فی مسائل متفرّقة</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کتاب الإجارة، إن شاء الله تعالی </w:t>
      </w:r>
      <w:bookmarkStart w:id="822" w:name="pg13284_131089"/>
    </w:p>
    <w:p>
      <w:pPr>
        <w:pStyle w:val="Heading2"/>
        <w:numPr>
          <w:ilvl w:val="1"/>
          <w:numId w:val="1"/>
        </w:numPr>
        <w:rPr/>
      </w:pPr>
      <w:bookmarkStart w:id="823" w:name="__RefHeading___Toc2056093_2322387425"/>
      <w:bookmarkStart w:id="824" w:name="_Toc296"/>
      <w:bookmarkEnd w:id="822"/>
      <w:bookmarkEnd w:id="823"/>
      <w:r>
        <w:rPr>
          <w:rtl w:val="true"/>
        </w:rPr>
        <w:t>فهرست محتویات الجزء الثالث عشر من کتاب العروة الوثقی والتعلیقات علیها</w:t>
      </w:r>
      <w:bookmarkEnd w:id="824"/>
    </w:p>
    <w:p>
      <w:pPr>
        <w:pStyle w:val="BookText"/>
        <w:rPr/>
      </w:pPr>
      <w:r>
        <w:rPr>
          <w:rFonts w:ascii="IRNazanin" w:hAnsi="IRNazanin" w:eastAsia="IRNazanin"/>
          <w:color w:val="111111"/>
          <w:sz w:val="28"/>
          <w:sz w:val="28"/>
          <w:szCs w:val="28"/>
          <w:rtl w:val="true"/>
          <w:lang w:bidi="fa-IR"/>
        </w:rPr>
        <w:t>فهرست محتویات الجزء الثالث عشر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کتاب الحجّ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الواجب بالنذر والعهد والیمین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شرائط انعقاد نذر الحجّ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حکم الکافر فی المقام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حکم یمین ونذر الزوجة والمملوک والولد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حکم الزوجة المنقطعة وولد الولد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فروع فی شمول الحکم لجملة من الموارد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نذر الحجّ من مکانٍ معیّن والخلف فیه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تأخیر الحجّ المنذور        </w:t>
      </w:r>
      <w:r>
        <w:rPr>
          <w:rFonts w:eastAsia="IRNazanin" w:cs="IRNazanin"/>
          <w:color w:val="111111"/>
          <w:sz w:val="28"/>
          <w:szCs w:val="28"/>
          <w:lang w:bidi="fa-IR"/>
        </w:rPr>
        <w:t>32</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أحکام قضاء ما فوّت من الحجّ المنذور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عدم التمکّن من إتیان الحجّ المنذور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هل یجب القضاء فی النذر المعلّق علی شیء عن الناذر المتوفّی؟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زوال القدرة عن الحجّ النذریّ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نذر إحجاج الغیر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نذر الإحجاج معلّقاً علی شرط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حکم المستطیع لو نذر الحجّ الواجب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الاستطاعة فی نذر الحجّ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نذر غیر حجّة الإسلام فی عام الاستطاعة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الاستطاعة بعد نذر الحجّ وصورها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إهمال النذر وحصول الاستطاعة لحجّة الإسلام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هل یتداخل الحجّ النذری غیر المقیّد مع حجّة الإسلام؟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حصول الاستطاعة قبل تحقّق متعلّق الحجّ المنذور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ماذا یقدم من استقرّ فی ذمّته حجّتان فی صورة التزاحم؟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الحجّ الواجب بالنذر الموسّع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نذر الحجّ أو الإحجاج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نذر الحجّ أو زیارة الحسین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 مات وعلیه حجّ لم یعلم أنّه حجّة الإسلام أو حجّ النذر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نذر الحجّ ماشیاً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نذر الحجّ راکباً أو حافیاً   </w:t>
      </w:r>
      <w:r>
        <w:rPr>
          <w:rFonts w:eastAsia="Amiri" w:cs="Amiri" w:ascii="Amiri" w:hAnsi="Amiri"/>
          <w:color w:val="111111"/>
          <w:sz w:val="28"/>
          <w:szCs w:val="28"/>
          <w:lang w:bidi="ar-SA"/>
        </w:rPr>
        <w:t>81</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شرائط نذر الحجّ ماشیاً أو حافیاً أو راکباً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مبدأ وجوب المشی أو الحفاء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لزوم عدم ارتکاب ما ینافی نذر المشی للحجّ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مخالفة نذر المشی للحجّ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تخلّل الرکوب أثناء المشی للحجّ المنذور مشیاً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العجز عن المشی بعد انعقاد النذر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امتناع المشی لعارضٍ غیر العجز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النیابة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مشروعیّة النیابة وشروط نائب الحجّ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نیابة الصبیّ الممیّز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صحّة نیابة السفیه دون المجنون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وعدم صحّة نیابة المخالف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أعمال الحجّ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اشتغال ذمّة النائب بحجٍّ آخر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صحّة نیابة المملوک بإذن مولاه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اشتراط الإسلام فی المنوب عنه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 الحجّ عن الصبیّ الممیّز والمجنون    </w:t>
      </w:r>
      <w:r>
        <w:rPr>
          <w:rFonts w:eastAsia="IRNazanin" w:cs="IRNazanin"/>
          <w:color w:val="111111"/>
          <w:sz w:val="28"/>
          <w:szCs w:val="28"/>
          <w:lang w:bidi="fa-IR"/>
        </w:rPr>
        <w:t>108</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شرطیّة المماثلة بین النائب والمنوب عنه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استنابة الصرورة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اعتبار قصد النیابة وتعیین المنوب عنه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حصول فراغ الذمّة باتیان الحجّ لا بمجرّد الإجارة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 استئجار المعذور فی ترک بعض الأعمال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صور موت النائب قبل الإتیان بالمناسک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التفصیل فی استحقاق اُجرة النائب المتوفی فی المناسک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تعیین نوع الحجّ المستأجر علیه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عدم اعتبار تعیین الطریق والحکم فی صورة التعیین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الإجارة للحجّ مرّتین فی سنة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اقتران الإجارتین للحجّ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تأخیر حجّ الإجارة أو تقدیمه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تصحیح الإجارة الثانیة ببعض الوجوه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صدّ الأجیر أو إحصاره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هل یتحمّل النائب موجب الکفّارة؟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اقتضاء الإجارة التعجیل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استحباب ردّ الأجیر الزائد من الاُجرة أو التتمیم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إفساد الأجیر حجّه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زمان ملکیّة الأجیر الاُجرة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إقتضاء الإجارة المباشرة           </w:t>
      </w:r>
      <w:r>
        <w:rPr>
          <w:rFonts w:eastAsia="Amiri" w:cs="Amiri" w:ascii="Amiri" w:hAnsi="Amiri"/>
          <w:color w:val="111111"/>
          <w:sz w:val="28"/>
          <w:szCs w:val="28"/>
          <w:lang w:bidi="ar-SA"/>
        </w:rPr>
        <w:t>156</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استئجار من ضاق وقته عن إتمام حجّ التمتّع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التبرّع بالحجّ عن المیّت والحیّ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نیابة شخص عن اثنین أو أزید فی عام واحد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نیابة جماعة عن المیّت أو الحیّ فی عامٍ واحد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الوصیّة بالحجّ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إخراج الحجّ الموصی به من الأصل أو الثلث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الشکّ فی الموصی به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العلم بالوجوب والشکّ فی الأداء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کفایة المیقاتیّة مع إطلاق الوصیّة بالحجّ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تعیین اُجرة الحجّ الموصی 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ملاحظة شأن المیّت فی الاستئجار للحجّ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الوصیّة بالحجّ بعدد معیّن وبلا عدد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الوصیّة بالحجّ سنین متعدّدة مع عدم وفاء الاُجرة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الوصیّة بالحجّ بمقدار من الاُجرة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الوصیّة بالحجّ بتعیین أجیر معیّن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حکم تعیین اُجرة لا یرغب فیها راغب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 ما صالح علیه بشرط الحجّ عنه بعد موته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حکم الوصیّة بالحجّ عنه ماشیاً أو حافیاً     </w:t>
      </w:r>
      <w:r>
        <w:rPr>
          <w:rFonts w:eastAsia="Amiri" w:cs="Amiri" w:ascii="Amiri" w:hAnsi="Amiri"/>
          <w:color w:val="111111"/>
          <w:sz w:val="28"/>
          <w:szCs w:val="28"/>
          <w:lang w:bidi="ar-SA"/>
        </w:rPr>
        <w:t>199</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الوصیّة بحجّتین أو أزید وأنّها واجبة علیه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الشکّ بعد موت الوصی فی تنفیذه الوصیّة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 تلف اُجرة الحجّ فی ید الوصیّ من دون تقصیر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الشکّ فی المال الموصی به للحجّ أنّه من الثلث أو لا؟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استحباب الطواف ومشروعیّته مستقلّاً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حکم الودیعة إذا مات صاحبها وعلیه حجّة الإسلام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جواز طواف النائب عن نفسه بعد الفراغ وعن غیره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جواز مباشرة الحجّ من قِبَل الآخذ للمال بنفسه      </w:t>
      </w:r>
      <w:r>
        <w:rPr>
          <w:rFonts w:eastAsia="Amiri" w:cs="Amiri" w:ascii="Amiri" w:hAnsi="Amiri"/>
          <w:color w:val="111111"/>
          <w:sz w:val="28"/>
          <w:szCs w:val="28"/>
          <w:lang w:bidi="ar-SA"/>
        </w:rPr>
        <w:t>212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 المندوب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استحباب الحجّ من فاقد الشرائط وکراهة الترک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استحباب نیّة العود عند الخروج من مکّة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استحباب التبرّع بالحجّ عن الغیر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استحباب الاستقراض للحجّ مع الوثوق بالوفاء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استحباب إحجاج غیر المستطیع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جواز إعطاء الزکاة من لا یستطیع الحجّ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أفضلیّة الحجّ من الصدقة بنفقته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استحباب کثرة الانفاق فی الحجّ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حکم الحجّ بالمال المشتبة والمال الحرام    </w:t>
      </w:r>
      <w:r>
        <w:rPr>
          <w:rFonts w:eastAsia="IRNazanin" w:cs="IRNazanin"/>
          <w:color w:val="111111"/>
          <w:sz w:val="28"/>
          <w:szCs w:val="28"/>
          <w:lang w:bidi="fa-IR"/>
        </w:rPr>
        <w:t>215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بعض شرائط الحجّ الندبی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إهداء ثواب الحجّ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ما یستحبّ لمن لا مال له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العمرة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وجوب العمرة بشرائط الحجّ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إجزاء عمرة التمتّع عن العمرة المفردة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موارد من العمرة الواجبة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إختصاص النائی بالتمتّع والحاضر بالقِران والإفراد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حدّ البعد الموجب للتمتّع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وظیفة من منزله علی نفس الحدّ ومن شکّ فی منزله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إجزاء الأقسام الثلاثة فی الحجّ الندبی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حکم من کان له وطنان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وظیفة المکّی الخارج إلی بعض الأمصار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حکم المقیم بمکّة من أهل الآفاق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الحدّ الموجب للانقلاب     </w:t>
      </w:r>
      <w:r>
        <w:rPr>
          <w:rFonts w:eastAsia="IRNazanin" w:cs="IRNazanin"/>
          <w:color w:val="111111"/>
          <w:sz w:val="28"/>
          <w:szCs w:val="28"/>
          <w:lang w:bidi="fa-IR"/>
        </w:rPr>
        <w:t>232</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المکّی المقیم فی بلد آخر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میقات المقیم فی مکّة إذا تمتّع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حکم من لم یتمکّن من الإحرام من أحد المواقیت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حجّ التمتّع وشرائطه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صورة حجّ التمتّع وشرائطه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شروط حجّ التمتّع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أی قصد نوع الحجّ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مجموع عمرته وحجّه فی أشهر الحجّ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حکم الإتیان بعمرة التمتّع قبل أشهر الحجّ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الحجّ وعمرة التمتّع فی سنة واحدة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من بطن مکّة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مجموع عمرته وحجّه من واحد وعن واحد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حکم خروج المعتمر من مکّة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العدول من حجّ التمتّع إلی القِران أو الإفراد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الأقوال فی الحائض والنفساء لو ضاق وقتهما عن إتمام العمرة وإدراک الحجّ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الحکم إذا حدث الحیض أثناء طواف عمرة التمتّع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ذوالحلیفة وهو میقات أهل المدینة ومن یمرّ علیهم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حکم تأخیر الإحرام إلی الجحفة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عدول أهل المدینة إلی میقاتٍ آخر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إحرام الحائض خارج المسجد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إحرام الجنب من خارج المسجد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 وهو میقات أهل نجد والعراق ومن یمرّ علیهم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الجحفة، وهو میقات أهل الشام ومصر والمغرب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یلملم، وهو میقات لأهل الیمن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وهو میقات لأهل الطائف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وهی لحجّ التمتّع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دُوَیرة الأهل، میقات من کان منزله دون المیقات إلی مکّة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وهو میقات الصبیان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محاذاة أحد المواقیت الخمسة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ما تتحقّق به المحاذاة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طرق ثبوت المحاذاة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تبیّن الخلاف فی الإحرام من موضع المحاذاة        </w:t>
      </w:r>
      <w:r>
        <w:rPr>
          <w:rFonts w:eastAsia="IRNazanin" w:cs="IRNazanin"/>
          <w:color w:val="111111"/>
          <w:sz w:val="28"/>
          <w:szCs w:val="28"/>
          <w:lang w:bidi="fa-IR"/>
        </w:rPr>
        <w:t>294</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الحلّ، وهو میقات العمرة المفردة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میقات من یمرّ علی المواقیت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المحصّلة فی الإحرام من المواقیت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المواقیت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عدم جواز الإحرام قبل المیقات إلّا فی موردین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الإحرام قبل المیقات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إلحاق العهد والیمین بالنذر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اعتبار تعیین المکان المنذور منه الإحرام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الإحرام لمن خاف فوت العمرة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المنع عن تأخیر الإحرام عن المیقات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ترک الإحرام من المیقات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ترک الإحرام للعمرة المفردة عن المیقات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حکم من کان مریضاً لا یتمکّن من النزع ولبس الثوبین والمعذور عن إنشاء الإحرام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ترک الإحرام من المیقات ناسیاً أو جاهلاً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حکم المقیم بمکّة لو أراد حجّ التمتّع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نسیان المتمتّع الإحرام للحجّ من مکّة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من ترک الإحرام نسیاناً أو جهلاً وتذکّر بعد الفراغ من المناسک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مقدّمات الإحرام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مستحبّات الشروع فی الأعمال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توفیر الشعر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الأظفار والأخذ من الشارب ونحو ذلک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أو بدله للإحرام فی المیقات وحکم تقدیمه علیه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من أحرم بغیر غسل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الدعاء بالمأثور عند الغسل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الإحرام عقیب صلاة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ستّ رکعات أو أربع أو رکعتین للإحرام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کراهة استعمال الحنّاء قبل الإحرام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الإحرام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واجبات الإحرام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النیّة وبیان مؤادّها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ما یعتبر فی نیّة الإحرام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تعیین خصوصیّات الإحرام فی النیّة         </w:t>
      </w:r>
      <w:r>
        <w:rPr>
          <w:rFonts w:eastAsia="IRNazanin" w:cs="IRNazanin"/>
          <w:color w:val="111111"/>
          <w:sz w:val="28"/>
          <w:szCs w:val="28"/>
          <w:lang w:bidi="fa-IR"/>
        </w:rPr>
        <w:t>331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لا یعتبر فی نیّة الإحرام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نسی أن إحرامه کان للعمرة أو للحجّ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لو نوی للحجّ والعمرة بنیّة واحدة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لو نوی الإحرام کإحرام فلان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لو نوی غیر ما وجب علیه أو نطق به أو شکّ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ما یستحبّ فی نیّة الإحرام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التلبیة وکیفیّتها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ما یلزم مراعاته فی التلبیة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مواطن انعقاد الإحرام بالتلبیة وبالإشعار والتقلید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تأخیر التلبیة عن النیّة ولبس الثوبین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جواز إتیان محرّمات الإحرام قبل التلبیة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نسیان التلبیة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استحباب إکثار التلبیة والجهر بها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أفضلیّة تأخیر التلبیة إلی المواضع الخاصّة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موضع قطع التلبیة للمعتمر والحاجّ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عدم لزوم صورة خاصّة فی تکرار التلبیة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الشکّ فی صحّة التلبیة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صور الشکّ فی التلبیة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الثوبین بلا کیفیّة مخصوصة فیهما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حکم من أحرم فی قمیصه عالماً عامداً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نزع المحرم ثوبی الإحرام أو تبدیلهما حیناً مّا       </w:t>
      </w:r>
      <w:r>
        <w:rPr>
          <w:rFonts w:eastAsia="IRNazanin" w:cs="IRNazanin"/>
          <w:color w:val="111111"/>
          <w:sz w:val="28"/>
          <w:szCs w:val="28"/>
          <w:lang w:bidi="fa-IR"/>
        </w:rPr>
        <w:t>358</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لبس ما زاد علی الثوبین فی ابتداء الإحرام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الإجارة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ماهیّة الإجارة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أرکان الإجارة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الإیجاب والقبول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المتعاقدان وما یشترط فیهما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العوضان وما یشترط فیهما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إعتبار الاختیار وعدم الإکراه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إجارة المفلَّس والسفیه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إعتبار الحریّة وتعیین العین والمنفعة ومعلومیّتها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اُمور لابدّ من تعیینها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الإجارة بنحو التردید بین وجهین وأجرین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اشتراط وقت معیّن فی الإجارة وحکم تخلّف الشرط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عدم الخیار مع عدم تقیید الإجارة   </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من العقود اللازمة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کلام فی المعاطاة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بیع العین المستأجرة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وقوع البیع والإجارة فی زمانٍ واحد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هل تبطل الإجارة بموت المؤجر أو المستأجر؟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حدود الولایة علی الصبی فی المقام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إجارة المرأة نفسها مدّة ثمّ أقدمت علی الزواج فی أثنائها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أحکام تابعیّة المملوک المستخدم بعد عتقه من مولاه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تبیّن العیب فی العین المستأجرة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تبیّن العیب فی الاُجرة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إفلاس المستأجر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جریان خیار الغبن فی الإجارة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ما یجری وما لا یجری من الخیارات فی الإجارة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بیع العین المستأجرة علی المستأجر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المستأجر المنفعة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استقرار الاُجرة مع تسلّم العین بلا توقّف علی الاستیفاء     </w:t>
      </w:r>
      <w:r>
        <w:rPr>
          <w:rFonts w:eastAsia="IRNazanin" w:cs="IRNazanin"/>
          <w:color w:val="111111"/>
          <w:sz w:val="28"/>
          <w:szCs w:val="28"/>
          <w:lang w:bidi="fa-IR"/>
        </w:rPr>
        <w:t>434</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الاُجرة مع بذل العین وعدم تسلّمها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تستقرّ فیه الاُجرة من المنافع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تلف العین المستأجرة قبل الاستیفاء وتمام المدّة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فسخ الإجارة فی أثناء المدّة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تلف بعض العین المستأجرة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استظهار ملکیّة الاُجرة من حین العقد وتبعات ذلک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الإجارة علی الکلّی وتلف فرد منه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انهدام الدار المستأجرة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امتناع المؤجِر من التسلیم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الامتناع بمنع ظالم من الانتفاع بالعین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لو تعذّر علی المستأجر الاستیفاء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موجبات ما تلف بسبب سماوی أو بسبب مُتلِف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إجارة الزوجة نفسها بلا إذن من الزوج فیما ینافی حقّ الاستمتاع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شرطیّة التسلیم والتسلّم وتحقّقها باختلاف الموارد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تبیّن بطلان الإجارة فی المدّة أو بعدها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إجارة الملک المشاع بإذن من الشریک فی التسلیم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استئجار اثنین داراً علی الإشاعة أو بالتناوب        </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شرطیّة اتّصال مدّة الإجارة بالعقد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المستأجَرَة فی ید المستأجر أمانة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اشتراط الضمان علی المستأجر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الضمان فی الإجارة الباطلة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حکم الضمان لعین المستأجر التی بید المؤجر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المدار علی أیّ القیّم فی الضمان؟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ضمان الأجیر إتلاف العین فی صورةٍ استحقّ الاُجرة علیها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ضمان تلف العین بید من تجاوز الحدّ المأذون فیه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ارتکاب الطبیب ما یوجب الضمان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مسقطات الضمان عن الطبیب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ضمان الحمّال ما یُسقطه من المتاع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حکم الضمان بحسب الموارد والأشخاص فی جملة موارد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ما یوجب الضمان علی العبد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عدم ضمان صاحب الدابّة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عدم ضمان صاحب السفینة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ضمان المحمول زیادة علی المسمّی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ضمان الزیادة فی السیر عن المسمّی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سوق الدابّة ونحوها بالمتعارف علیه من الضرب ونحوه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عدم تمکّن الأجیر من حفظ ما استؤجر علیه         </w:t>
      </w:r>
      <w:r>
        <w:rPr>
          <w:rFonts w:eastAsia="IRNazanin" w:cs="IRNazanin"/>
          <w:color w:val="111111"/>
          <w:sz w:val="28"/>
          <w:szCs w:val="28"/>
          <w:lang w:bidi="fa-IR"/>
        </w:rPr>
        <w:t>519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ضمان صاحب الحمّام حفظ الثیاب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صحّة الإجارة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کفایة مالکیّة المنفعة فی صحّة الإجارة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اعتبار مالکیّة المنفعة فی صحّة الإجارة وفروع ذلک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صحّة إجارة العین المستأجرة مع عدم اشتراط المباشرة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دفع متعلّق العمل غیر المشروط فیه المباشرة إلی الغیر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جواز تبرّع الغیر عن الأجیر غیر المشروط بالمباشرة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أحکام الأجیر الخاصّ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العمل لغیر المستأجر مع عدم تعیین المباشرة أو المدّة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صور ثبوت الاُجرة فی غیر مورد الإجارة وفروع ذلک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صور فی فوات المنفعة علی المستأجر أو تعذّرها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استیفاء المنفعة فی أغراض لم یرضها الشارع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الاشتباه فی استیفاء منفعة عین غیر المستأجرة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التزاحم فی متعلّق الإجارة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فهرست محتویات الکتاب            </w:t>
      </w:r>
      <w:r>
        <w:rPr>
          <w:rFonts w:eastAsia="IRNazanin" w:cs="IRNazanin"/>
          <w:color w:val="111111"/>
          <w:sz w:val="28"/>
          <w:szCs w:val="28"/>
          <w:lang w:bidi="fa-IR"/>
        </w:rPr>
        <w:t>569</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الإصدارات العلمیّة لمؤسّسة السبطین علیهماالسلام العالمیّة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bookmarkStart w:id="825" w:name="pg13284_131125"/>
    </w:p>
    <w:p>
      <w:pPr>
        <w:pStyle w:val="BookText"/>
        <w:rPr/>
      </w:pPr>
      <w:bookmarkEnd w:id="82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26" w:name="__RefHeading___Toc2056095_2322387425"/>
      <w:bookmarkStart w:id="827" w:name="_Toc297"/>
      <w:bookmarkEnd w:id="826"/>
      <w:r>
        <w:rPr>
          <w:rtl w:val="true"/>
        </w:rPr>
        <w:t>الاصدارات العلمیة لمؤسسة السبطین علیهماالسلام العالمیة </w:t>
      </w:r>
      <w:bookmarkEnd w:id="827"/>
    </w:p>
    <w:p>
      <w:pPr>
        <w:pStyle w:val="Heading3"/>
        <w:numPr>
          <w:ilvl w:val="2"/>
          <w:numId w:val="1"/>
        </w:numPr>
        <w:rPr/>
      </w:pPr>
      <w:bookmarkStart w:id="828" w:name="__RefHeading___Toc2056097_2322387425"/>
      <w:bookmarkStart w:id="829" w:name="_Toc298"/>
      <w:bookmarkEnd w:id="828"/>
      <w:r>
        <w:rPr>
          <w:rtl w:val="true"/>
        </w:rPr>
        <w:t>باللغة العربیة</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العلّامة محمّد جواد مغنیة؛،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فقهیة کاملة محققة فی ست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قصص القرآن الکریم دلالیاً و جمالیاً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محاضرات الإمام الخوئی؛ فی المواریث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السیّد محمّد علی الخرسان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 مراجعة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المولی فی الغدیر، نظرة جدیدة فی کتاب الغدیر للعلّامة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 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أدب الشریعة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الاُستاذ الدکتور 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التحریف والمحرّفون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الحرب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المرتضی الرضوی، تحقیق وتنظیم مؤسسة السبطین علیهماالسلام  العالمیة، یشتمل علی حیاة فاطمة علیهاالسلام من ولادتها إلی شهادتها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الحتمیّات 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فاروق البیاتی الموسوی ؛، تحقیق وتنظیم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العقیـدة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هویّة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للدکتور الشیخ أحمد الوائلی؛،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نحن الشیعة الإمامیّة وهذه عقائدنا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وتصحیح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مع إضافات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لماذا اخترنا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الشیعة و فنون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السید حسن الصدر قدس سره، 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مختارة من مؤلفات الإمام السیّد الخوئی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الشیخ ابراهیم الخزرجی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علی العبادی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للفقیه الأعظم الطباطبائی الیزدی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دورة صدر منها إلی الآن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لکبار المراجع والعلماء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وتحقیق مؤسسة السبطین علیهماالسلام  العالمیة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 الجواد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الإمامة المبکِّرة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 الصراع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علی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 السنّة أتباع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فاطمة بنت أسد، حجر النبوّة والإمامة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لجنة التألیف والبحوث العلمیة لمؤسسة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لکل شیء علامة یُعرف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أفضل کل شیء وأحسنه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المرتضی علم الهدی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إعداد وسام الخطاوی، خزعل غازی، إشراف وتحقیق مؤسسة السبطین علیهماالسلام  العالمیة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صدر منها إلی الآن أربعة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فی حوادث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الأمیر الشفیق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 الحنون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بیعة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علی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الباب للوقوف علی علم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bookmarkStart w:id="830" w:name="pg13284_131131"/>
    </w:p>
    <w:p>
      <w:pPr>
        <w:pStyle w:val="BookText"/>
        <w:rPr/>
      </w:pPr>
      <w:bookmarkEnd w:id="830"/>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اتّقوا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الکنز الدفین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السید محمّد الرضی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وتصحیح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 التشریع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مؤسسة السبطین العالمیّة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1" w:name="__RefHeading___Toc2056099_2322387425"/>
      <w:bookmarkStart w:id="832" w:name="_Toc299"/>
      <w:bookmarkEnd w:id="831"/>
      <w:r>
        <w:rPr>
          <w:rtl w:val="true"/>
        </w:rPr>
        <w:t>باللغة الفارسیة</w:t>
      </w:r>
      <w:bookmarkEnd w:id="832"/>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ثقة المحدثین الشیخ عبّاس القمّی؛،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السیّد علاء الدین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پرسش‌ها و پاسخ‌های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روزشمار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غربت 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حجاب حریم پاکی‌ها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سکینة؛ پرده نشین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أطیب البیان فی تفسیر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تشتمل علی ثلاثة وعشرین مجلّداً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آیت الله سید عبدالحسین الطیب قدس سره، تحقیق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شبهای پیشاور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بیشاور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سلطان الواعظین الشیرازی، تحقیق مؤسسة السبطین علیهماالسلام  العالمیة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گلستان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اصالت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ـ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امیر یتیم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33" w:name="pg13284_131134"/>
    </w:p>
    <w:p>
      <w:pPr>
        <w:pStyle w:val="BookText"/>
        <w:rPr/>
      </w:pPr>
      <w:bookmarkEnd w:id="833"/>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بیعت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پیامبر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دُرْدانه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ریحانه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الناشئین والأشبال، مؤسسة السبطین علیهماالسلام  العالمیة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4" w:name="__RefHeading___Toc2056101_2322387425"/>
      <w:bookmarkStart w:id="835" w:name="_Toc300"/>
      <w:bookmarkEnd w:id="834"/>
      <w:r>
        <w:rPr>
          <w:rtl w:val="true"/>
        </w:rPr>
        <w:t>باللغة الانجلیزیة</w:t>
      </w:r>
      <w:bookmarkEnd w:id="835"/>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عقیلة قریش آمنة بنت الحسین علیهماالسلام  الملقبة بسکینة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بحوث حول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الترجمة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علوم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مفاهیم 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6" w:name="__RefHeading___Toc2056103_2322387425"/>
      <w:bookmarkStart w:id="837" w:name="_Toc301"/>
      <w:bookmarkEnd w:id="836"/>
      <w:r>
        <w:rPr>
          <w:rtl w:val="true"/>
        </w:rPr>
        <w:t>باللغة الاُردویة</w:t>
      </w:r>
      <w:bookmarkEnd w:id="837"/>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لنهج البلاغة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الترجمة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8" w:name="__RefHeading___Toc2056105_2322387425"/>
      <w:bookmarkStart w:id="839" w:name="_Toc302"/>
      <w:bookmarkEnd w:id="838"/>
      <w:r>
        <w:rPr>
          <w:rtl w:val="true"/>
        </w:rPr>
        <w:t>باللغة الفرنسیة</w:t>
      </w:r>
      <w:bookmarkEnd w:id="839"/>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مقاتل بن عطیّة، قسم الترجمة</w:t>
      </w:r>
      <w:r>
        <w:rPr>
          <w:rFonts w:eastAsia="IRNazanin" w:cs="IRNazanin"/>
          <w:color w:val="111111"/>
          <w:sz w:val="28"/>
          <w:szCs w:val="28"/>
          <w:rtl w:val="true"/>
          <w:lang w:bidi="fa-IR"/>
        </w:rPr>
        <w:t xml:space="preserve">. </w:t>
      </w:r>
      <w:bookmarkStart w:id="840" w:name="pg13284_131136"/>
    </w:p>
    <w:p>
      <w:pPr>
        <w:pStyle w:val="Heading3"/>
        <w:numPr>
          <w:ilvl w:val="2"/>
          <w:numId w:val="1"/>
        </w:numPr>
        <w:rPr/>
      </w:pPr>
      <w:bookmarkStart w:id="841" w:name="__RefHeading___Toc2056107_2322387425"/>
      <w:bookmarkStart w:id="842" w:name="_Toc303"/>
      <w:bookmarkEnd w:id="840"/>
      <w:bookmarkEnd w:id="841"/>
      <w:r>
        <w:rPr>
          <w:rtl w:val="true"/>
        </w:rPr>
        <w:t>قید التألیف ، التحقیق والترجمة</w:t>
      </w:r>
      <w:bookmarkEnd w:id="842"/>
    </w:p>
    <w:p>
      <w:pPr>
        <w:pStyle w:val="BookText"/>
        <w:rPr/>
      </w:pPr>
      <w:r>
        <w:rPr>
          <w:rFonts w:ascii="IRNazanin" w:hAnsi="IRNazanin" w:eastAsia="IRNazanin"/>
          <w:color w:val="111111"/>
          <w:sz w:val="28"/>
          <w:sz w:val="28"/>
          <w:szCs w:val="28"/>
          <w:rtl w:val="true"/>
          <w:lang w:bidi="fa-IR"/>
        </w:rPr>
        <w:t>ـــــــــــــــ</w:t>
      </w:r>
    </w:p>
    <w:p>
      <w:pPr>
        <w:pStyle w:val="BookText"/>
        <w:rPr/>
      </w:pPr>
      <w:r>
        <w:rPr>
          <w:rFonts w:ascii="IRNazanin" w:hAnsi="IRNazanin" w:eastAsia="IRNazanin"/>
          <w:color w:val="111111"/>
          <w:sz w:val="28"/>
          <w:sz w:val="28"/>
          <w:szCs w:val="28"/>
          <w:rtl w:val="true"/>
          <w:lang w:bidi="fa-IR"/>
        </w:rPr>
        <w:t>الجزء الرابع عشر من العروة الوثقی والتعلیقات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تتمّة کتاب الإجارة وکتاب المضاربة والشرکة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الخامس من تفسیر القرآن الکریم للشریف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وإضافات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الإسلامیّة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مؤسّسة السبطین علیهماالسلام العالمیة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ملّا محمّد هاشم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یتناول تاریخ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یتعلّق بمعاصریهم ومناطق تواجدهم ومراقدهم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النسخة العربیّة إلی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الترجمة فی المؤسّسة</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3" w:name="pg13284_131138"/>
    </w:p>
    <w:p>
      <w:pPr>
        <w:pStyle w:val="Heading3"/>
        <w:numPr>
          <w:ilvl w:val="2"/>
          <w:numId w:val="1"/>
        </w:numPr>
        <w:rPr/>
      </w:pPr>
      <w:bookmarkStart w:id="844" w:name="__RefHeading___Toc2056109_2322387425"/>
      <w:bookmarkStart w:id="845" w:name="_Toc304"/>
      <w:bookmarkEnd w:id="843"/>
      <w:bookmarkEnd w:id="844"/>
      <w:r>
        <w:rPr>
          <w:rtl w:val="true"/>
        </w:rPr>
        <w:t>مرکز النشر و التوزیع لمؤسسة السبطین علیهماالسلام العالمیة</w:t>
      </w:r>
      <w:bookmarkEnd w:id="845"/>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المعرض الرئیسی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شارع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الزقاق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37703330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الفاکس</w:t>
      </w:r>
      <w:r>
        <w:rPr>
          <w:rFonts w:eastAsia="IRNazanin" w:cs="IRNazanin"/>
          <w:color w:val="111111"/>
          <w:sz w:val="28"/>
          <w:szCs w:val="28"/>
          <w:rtl w:val="true"/>
          <w:lang w:bidi="fa-IR"/>
        </w:rPr>
        <w:t xml:space="preserve">: </w:t>
      </w:r>
      <w:r>
        <w:rPr>
          <w:rFonts w:eastAsia="IRNazanin" w:cs="IRNazanin"/>
          <w:color w:val="111111"/>
          <w:sz w:val="28"/>
          <w:szCs w:val="28"/>
          <w:lang w:bidi="fa-IR"/>
        </w:rPr>
        <w:t>37706238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المعرض الفرعی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شارع معلم ـ عمارة ناشران</w:t>
      </w:r>
    </w:p>
    <w:p>
      <w:pPr>
        <w:pStyle w:val="BookText"/>
        <w:rPr/>
      </w:pPr>
      <w:r>
        <w:rPr>
          <w:rFonts w:ascii="IRNazanin" w:hAnsi="IRNazanin" w:eastAsia="IRNazanin"/>
          <w:color w:val="111111"/>
          <w:sz w:val="28"/>
          <w:sz w:val="28"/>
          <w:szCs w:val="28"/>
          <w:rtl w:val="true"/>
          <w:lang w:bidi="fa-IR"/>
        </w:rPr>
        <w:t xml:space="preserve">الطابق الأوّل ـ جناح رقم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ــــــــــــــــــــــــــ</w:t>
      </w:r>
    </w:p>
    <w:p>
      <w:pPr>
        <w:pStyle w:val="BookText"/>
        <w:rPr/>
      </w:pPr>
      <w:r>
        <w:rPr>
          <w:rFonts w:eastAsia="Times New Roman" w:cs="Times New Roman" w:ascii="Times New Roman" w:hAnsi="Times New Roman"/>
          <w:i/>
          <w:iCs/>
          <w:color w:val="111111"/>
          <w:sz w:val="28"/>
          <w:szCs w:val="28"/>
          <w:lang w:val="en-US" w:bidi="en-US"/>
        </w:rPr>
        <w:t>URL: WWW.SIBTAYN.COM</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E_MAIL: SIBTAYN@SIBTAYN.COM</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الاستدلال نظر؛ لأنّ الکلام فی تأثیر عبارته والسببیّة، لا فی وجوب الوفاء، ولا یثبت کونه مسلوب العبارة بهذا الدلیل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لا یستلزم عدم انعقاد نذره، والنتیجة تظهر فی ما إذا کان المنذور علی سبیل الدوام، أو کان مطلقاً؛ إذ لا یجب علیه الوفاء بنذره مادام لم یبلغ، وأمّا بعد البلوغ فشمول أدلّة الوفاء بالنسبة إلیه کافٍ فی إثبات الوجوب،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الإلزام عن التزامه النذریّ حال صغره کافٍ فی الحکم بعدم الوجوب علیه بعد البلوغ؛ لأنّ الزائل لا یعود، وهذا لا یخلو من قوّة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صحّة نذره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یعتقد وجود الصانع تعالی ولم یکن منذوره الإتیان بعبادةٍ فی حال کفره، ولو بانصراف قصده إلی تلک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النهی عنه فی بعض الأخبار للإرشاد، لا الکراهة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أحمد الخونساری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التعلیل؛ إذ اشتراط الرجحان غیر مستلزمٍ لاعتبار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الرجحان لا یستلزم اعتبار التقرّب، نعم، جعله دَیناً للّه تعالی علی نفسه بالنذر موجب لاعتبار نیّة أداء الدین إلیه تعالی فی الإتیان به، وهو مساوق للتقرّب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أخصّیّة الدلیل من المدّعی؛ لما مرّ من عدم لزوم کون المتعلّق قربیّاً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من صحّة نذر الکافر هو الأقوی، ولکنّ ما ذکره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وفیه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یلائم ما ذکره ثانیاً وثالثاً؛ إذ المستفاد ممّا ذکره أوّلاً أنّ منشأ الإشکال عبادیّة نفس النذر وإیقاعه، والمفهوم من الثانی والثالث أنّ منشأ الشبهة عبادیّة فعل المنذور ومتعلّق النذر، ولا یخفی تهافتهما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الأوجَه جریانها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المسألة الثالثة والسبعین من الفصل السابق الإشکال فی قاعدة الجَبّ؛ لقصور الحدیث عن إثباتها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الانصراف تأمّل، وإن کان ما ذکره قدس‌سره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هو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ینعقد یمین المملوک ولا نذره ولا عهده إلاّ بإذن سیّده؛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 مَمْلُوکاً لا یَقْدِرُ عَلی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بملاحظة استدلال الإمام علیه‌السلام بالآیة الکریمة علیعدم صحّة طلاق العبد بغیر إذن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الأرجح، وما ذکره من الاحتمال ودعوی الإجمال غیر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المتراءی من الخبر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جریان الفضولیّ فی المقام، کما سیتّضح وجهه فی الحاشیة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ظاهر الأدلّة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الأخبار علی خلافه یبعده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هذا الاستدلال، ویظهر وجه نظره من الحاشیة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ما هو ظاهر کلماتهم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رحمه‌الله خلاف ظاهر النصّ، بل بعید غایته؛ فإنّ الیمین علی إبطال حقوق الناس معلوم البطلان، ولا اختصاص له بالزوجة والعبد والولد، کما لا یخفی، فاستثناء الأمثلة المذکورة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فتکون أدلّة المقام إرشاداً إلی حرمة تضییع الحقّ، لا أن یکون مبیّناً لحکمٍ تکلیفیٍّ مستقلٍّ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جهة اقتضاء مخالفته إیذاءه؛ لأنّ الثابت من الآیة حرمة إیذاء الوالدین، لا وجوب طاعتهما، کما اعترف به فی الجواهر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 یظهر ما فی کلامه الآتی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لا یجب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دعوی خروج المثالَین عن مساق الأخبار، بل اللازم کون النذر والمنذور به کلاهما فی زمان الاتّصاف بالمملوکیّة والزوجیّة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هذا الحِلف بالإتیان بالحجّ مع إذن الوالد ورضاه، والظاهر أ نّه لا إشکال فی انعقاده وفی خروج هذا الفرض عن منساق الأخبار، وکذلک فی المملوک والزوجة إذا حلفا أو نذرا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الاصفهانی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الاستثناء لا ینافی موضوعیّة الیمین، وإن کان فی نفسه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بیان ما هو المختار فی نذر المملوک وعهده، أمّا الزوجة فالأقوی عدم انعقاد نذرها إلاّ بإذن زوجها؛ لصحیحة ابن سنان المذکورة فی المتن، وأمّا یمینها فقد تقدّم أنّ الأقوی انعقاده مع عدم إذن الزوج وله حلّه، وأمّا عهد الزوجة ونذر الولد وعهده فالأقوی فیها عدم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روایتا السِندی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النذر والعهد،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النذر والعهد،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خبر مسعدة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النذر والعهد،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المملوک إلحاقه بمقتضی القاعدة الجاریة فی المقامَین، بل خبر النذر ظاهر فی کون الإذن شرطاً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فمع عدم الفصل بینهما یشکل ما أفاده فی الیمین، بل الظاهر من روایة الیمین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حدوث الیمین مع الزوج الحاکی عن وجوده بلا تقدیر، فهو بهذا الإطلاق لا یکون مراداً، فالقدر الخارج یمینه مع إذنه السابق، فیبقی الباقی تحته، ومنه یظهر عدم صحّة الفضولیّ فیها أیضاً، کما لا یخفی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الصحیحة بقرینة استثناء الحجّ وما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نّها فی مقام بیان الکبری الکلّیّة، وهی المنع عن تصرّفات الزوجة فی مالها إلاّ بإذن زوجها، فلابدّ من حملها علی الجهة الأخلاقیة، فلا مجال لما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وجود حسین بن علوان الکلبیّ فی السند، إلاّ أنّ الظاهر أ نّه معتبر؛ لکون الحسین المذکور محموداً موثّقاً علی ما یظهر من کتب الرجال، فالأقوی الإلحاق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تشمل إلاّ إذا نافی حقّ استمتاعه، نعم، ولد الولد حکمه حکم الولد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الشمول، ودعوی الانصراف لیس لها شاهد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ذلک إن لم یکن منافیاً لحقّه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موجب لتوهّم عدم الجواز إذ هو التماس استخلاص ممّن له الخلاص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الأوجه الشمول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أظهرهما العدم، إلاّ فیما إذا کان منافیاً لحقّ المولی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لاحقه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محمّد رضا الگلپایگانی، الأراکی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وجیه إذا کان المتعلّق أیضاً فی نوبته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نعم، بناءً علی اختصاص الحکم بما إذا کان منافیاً لحقّ المولی فله وجه، ولکن قد مرّ عدم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فی دخل إذنهما فی صحّة النذر، وإلاّ ففی اعتبار عدم تأذّیهما من المخالفة، فیلحق به جزماً؛ لحرمة إیذائهما بفحوی الآیة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مورد الکلام فی الیمین والنذر ما کان منافیاً لحقّ الوالد فلا وجه لعدم إلحاق الاُمّ،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المولی السابق بنفس إذنه صار قاصر السلطنة عن الأمة، والمِلک ینتقل إلی الغیر بنحو کان للمنتقل منه،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مبنیّ علی شمول إطلاق نذرها حال زواجها، وفیه إشکال، فالمتیقّن هو حال عدم الزوجیّة، وفی حال الزوجیّة وجوب العمل به مراعیً بإمضاء الزوج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متفرّع علی ما تقدّم من الوجهین فی انحلال النذر والحلف بمرجوحیّة متعلّقهما عند وقوعه من حیث نفسه، أو عدم انحلالهما بذلک، ومقتضی ما قدّمناه من أقوائیّة الأوّل انحلال نذر الزوجة بمنافاة حجّها أو صومها؛ لحقّ استمتاع الزوج وإن لم یکن ناذراً له فضلاً عمّا إذا نذر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وکذا فی تالیه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صوم المرأة متوقّفاً علی إذن الزوج، فنذر الصوم علی تقدیر الزوجیّة بدون مراعاة رضا الزوج نذر لأمرٍ غیر مشروع فلا یصحّ، بخلاف الفرض الأوّل؛ حیث إنّه غیر معلّق علی الزوجیّة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انعقاد نذرها بمرجوحیّة متعلّقه فی صورة منع الزوج من الصوم، سواء حلف أم لم یحلف، وکذا الکلام فی حلفها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ینعقد حلفها أو نذرها بعد ما کانت صحّة صومها تطوّعاً مشروطة بإذن زوجها، فله أن یمنعها ولو لم ینذر مواقعتها فضلاً عمّا لو نذرها، ووجوبها علیها المستلزم لمنع الرجل من العمل بحلفه أوّل الکلام، والفرق بین هذه الصورة والصورة السابقة علیها واضح بعد التأمّل؛ لأنّ نذرها فیها ما تعلّق بحقّ الزوج، بل قبل التزویج صار العمل مِلکاً للّه تعالی، بخلاف هذه الصورة؛ لأنّ النذر معلّق علی التزویج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انعقاد نذرها أو حلفها مع منع الزوج من صومها بعد ما کانت صحّة صومها تطوّعاً مشروطة بإذن زوجها، فله أن یمنعها ولو لم یحلف مواقعتها ، فضلاً عمّا لو حلّفها بناءً علی انحلال الحلف أو النذر بمرجوحیّة متعلّقهما عند وقوعه من حیث نفسه، کما لا یخلو من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فإنّ نذر الزوج أیضاً یتعلّق بعمل نفسه من المواقعة، فوجوبها علیه یمنع من العمل بنذر الزوجة فیتزاحمان، والأقوی أنّ النذر المقدّم مقدَّم؛ لأ نّه یقع بلا مانع، والمتأخّر یصیر حدود منذوره بوجهٍ غیر راجح مثلاً إن کان نذر الزوج مقدّماً، فالمرأة علی تقدیر التزویج ـ صوم یوم الخمیس بالنسبة إلیها ـ صوم یوم یجب علیها فی حدّه، ورتبته تمکین الزوج من المواقعة، ولا رجحان لهذا الصوم فلا ینعقد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ما هو الجدیر بالقبول فی هذا الفرع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یوءثّر فی تکلیف نفسه، فیجب علیه وفاءً بنذره أن یغالبها علی الوط‌ء، ویجب علیها وفاءً بنذرها أن تمانعه، فإن غلب علیها قهراً فقد وفی بنذره، وهو واضح، ووفت بنذرها وصومها صحیح؛ لأنّ وطأها قهراً لا یُفسد صومها، وإن غلبت علیه ولم یقتدر علیها فقد وفت بنذرها أیضاً وسقط عنه وجوب الوفاء بنذره بعجزه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الإشکال، فإن أرادت من نذرها هذا ولو مع منع الزوج فلا یصحّ النذر؛ لأ نّه بحسب اللُبِّ معلّق علی إذن الزوج فی الشرع، فیکون صحّة نذرها مراعیً بإذن الزوج، ومعه لا یزاحم نذرها نذر الزوج، بل هو مقدّم علیه؛ لعدم التعلیق فی نذره، ولکن بخلاف نذر الزوجة فإنّه معلّق علی إذن الزوج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 نّه لو أنشأت النذر حتّی مع منع الزوج فلا ریب فی مرجوحیّة متعلّقه، وأنّ صحّته معلّقة علی إذن الزوج ورضاه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المنذور هذا الفرد الخاصّ من الحجّ، وإلاّ فالصحّة مشروطة برجحان الحجّ من خصوص هذا المکان، کما یشترط ذلک فی النذر الآخر ونذر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إطلاقه ممنوع، نعم، هو مسلّم لو قیّده بزمانٍ معیّن أو بقیدٍ آخر لا یمکن معه التدارک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رجحان ما نذره من الخصوصیّة، وکذا فی الفرع الآتی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بطلان حجّه إذا خالف، ولا کفّارة علیه فیما فعل، ویجب علیه أن یأتی بحجّة الإسلام من البلد المعیّن؛ وذلک أنّه إذا نذر أن یأتی بحجّة الإسلام من بلد معیّن فقد منع نفسه بمقتضی نذره أن یأتی بحجّة الإسلام من غیر ذلک البلد، من حیث إنّها تؤدّی إلی العجز عن المنذور والمنع منه یوجب عدم صحّة التقرّب به، وقد یأتی نظیر ذلک فی مسألة حجّ النذر إذا نذر أن یأتی به من بلد کذا،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بل لا یبعد لزوم التعجیل عقلاً، نعم، لا یفوت بالتأخیر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قضاء الحجّ المنذور الموقّت وغیر الموقّت مبنیّ علی الاحتیاط، والأظهر عدم الوجوب؛ إذ لا دلیل علیه، ودعوی أ نّه بمنزلة الدَین فیخرج من الأصل لم تثبت؛ فإنّ التنزیل إنّما ورد فی نذر الإحجاج، وقد صُرِّح فیه بأ نّه یخرج من الثلث، وأمّا ما ورد من إطلاق الدَین علی مطلق الواجب کما فی روایة الخثعمیّة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الاستدلال به؛ لضعف الروایة سنداً ودلالةً، وبذلک یظهر الحال إلی آخر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غالبیّة الاحتیاج إلی صرف المال لا توجب جعله واجباً مالیّاً، وإنّما یخرج من الأصل إذا انطبق علیه عنوان الدَین حقیقةً، وهو کذلک، کما أ نّه الحال فی حجّة الإسلام؛ لِما قد سبق من أنّ اللام فی الآیة الشریفة فیها وفی النذر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للملکیّة والاختصاص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هذا التعبیر دالّ علی کون الحجّ واجباً بَدَنیّاً؛ لأنّ المحتاج مغایر فی الماهیة مع المحتاج الیه، وممّا ذُکر ظهر فساد دعوی القطع بشمول الإجماع المذکور للحجّ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شموله له إشکال، بل منع، والمتیقّن من معقد الإجماع هی الأموال الّتی اشتغلت ذمّته بها ـ مثل دیونه للناس ـ بأیِّ سبب کانت، وکذلک الخمس والزکاة وردّ المظالم، وأمّا الکفّارات والنذور ونحوها فالظاهر أ نّها لا تخرج من الأصل، نعم، حَجّة الإسلام تخرج من الأصل للنصّ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ویشهد له ما فی خبر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بحجّة الإسلام بعد الحکم بأ نّها من جمیع المال أنّها بمنزلة الدَین الواجب، وفی خبر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دَین علیه، ومقتضی عموم العلّة کون کلّ ما هو دَین واجب ولو کان من دیون اللّه تعالی مُخرجاً من الأصل، فجمیع الواجبات حتّی مثل الصلاة تَخرج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الدَین علی الحجّ فی الأخبار لا یدلّ علی أنّ الحجّ مغایر مع سائر الواجبات البدنیة، بل هذا التعبیر إنّما هو لاشتغال الذِمّة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خصوص حجّة الإسلام، لا فی 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التعمیم نظر وإن کان ما أفاده فی النذر فی غایة المتانة، بناءً علی التحقیق من أنّ لام الاختصاص یحدث وضعاً، لا أ نّه من قبیل الغایة غیر الموجبة لأزید من التکلیف المحض، ولقد حقّقنا فی کتاب الوصیّة بأنّ غیر الحجّ من سائر الواجبات البدنیّة لا یخرج من الأصل، بل فی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والعهد،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 الإحجاج لغیره کون الحجّ علی الأب إذا مات یوءدّی عنه ولده من ثلث ماله، ومن ذلک یُتعدّی إلی نذر حجّه بنفسه؛ لوحدة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عمل بالصحیحة شیخ الطائفة، ولکن المشهور أعرضوا عنها؛ لأنّ ظاهرها کونه فی ثلث ماله بلا وصیّة، وهو لا یناسب المالیّة، ولا البدنیّة، کما هو ظاهر، فلابدّ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تقییدها ببعد الوصیّة، أو طرحها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التحقیق محلّ النظر، والتفصیل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بل منع؛ إذ لیس صرف إیجاب شیء موجباً لثبوت وضع، وهو صیرورة ذاک الشیء دَیناً له تعالی علی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 سلّمنا انتزاع عنوان الدَینیّة من إیجاب شیء فلا نسلّم أنّ مثل هذا الدَین أیضاً لابدّ أن یخرج من الأصل، بل الثابت خروجه من الأصل هو الدَین المتأصّل المستتبع للتکلیف، ولا یبعد استفادة ذلک فی حجّة الإسلام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 حِجُّ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حجّ النذر من قول الناذر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عَلَیَّ أن أحجَّ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 للّه‌ِِ خُمُسَهُ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استتباع الوجوب لکون الواجب دَیناً للّه تعالی علی العبد محلّ منع، ولیس إطلاق القضاء علی الصلاة والصوم بعد وقتها بهذا الاعتبار، وإلاّ کان فعلهما فی الوقت أیضاً کذلک، مع أنّ الثابت خروجه من الأصل هو الدَین المتأصّل المستتبع للتکلیف، لا ما ینتزع منه ویکون عینه، نعم، لا یبعد استظهار ذلک فی حجّة الإسلام والنذر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 حِجُّ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 الناذر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 عَلَیَّ أن أحِجّ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جهة النصّ ، وإلاّ کانا مثل سائر الواجبات الفائتة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تصحیح النیابة فی العبادة مع أنّ الأمر ساقط بالموت فی غایة الإشکال، ولا یختصّ بخصوصهما، بل یتأتّی فی جمیع النیابات فی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تبرّعاً أو استئجاراً أو ولایةً فی حال حیاة المنوب عنه أو بعد موته، وقد فصّلنا وأجبنا عن الإشکال فی رسالتنا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الحاجب فی الاُجرة عن الواجب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النذر صحیح؛ لما استظهرنا دَینیّته، وکذا حجّة الإسلام، ولا یقاس بهما سائر الواجبات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روایة الخثعمیّة وفی دلالتها علی مُدّعاه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الملازمة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کونها کنفقة الزوجة تصیر دَیناً إذا قصّر وتَرَک، خصوصاً إذا اقترض الرَحِم وأنفق علی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بذل المال فی المثالَین المذکورَین لا یستتبع اشتغالاً للذمّة به، فلا یکون من الدَین الّذی یجب إخراجه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تمام التکالیف دَیناً إلهیّاً لا شبهة فیه، ولکنّ لزوم قضائها فی خارج الوقت لو کانت موقّتة أو بعد موته علی خلاف القاعدة، ویحتاج إلی دلیل، وکذا لو نذر أن یصلّی رکعتین أو یقرأ سورة التوحید لم یجب قضاؤها بعد الموت علیالولیّ،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 اللّه أحقُّ أن یُقضی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 به هو القضاء المصطلح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 نّه دَین مالیّ إلهیّ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دعوی القطع فی کون نذر الإحجاج مالیّاً مجازفة؛ إذ الإحجاج ـ وهو التسبیب إلی حجّ الغیر ـ حرکة فاعلیة یتعلّق بها الوجوب من قبل النذر، واستلزامه لصرف المال لا یجعله مالیّاً بذاته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 نّهما معارضان بروایة مسمع بن عبدالملک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النذر والعهد،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الموءیّدة باشتهار الفتوی بصدرها، وخلوّها من الاضطراب فی المتن بخلافهما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تعارضهما بروایة مسمع بن عبدالملک المُفتی بصدرها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بالحمل علی صورة قصد تنفیذ الحجّ المنذور بنفسه، أو غیره من المحامل البعیدة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وبیان ما هو المختار فی ذلک فی کتاب الوصیّة، إن شاء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المنذور الحجّ بماله الّذی کان له، وإلاّ یجب، کما یأتی تفصیله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التمکّن، وکفی به مانعاً عن الانعقاد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وجوب القضاء عنه، کما أنّ الظاهر کون التعلیق من باب الشرط، هذا إذا أطلق الناذر، وأمّا إن قصد کون الوجوب حالیّاً والواجب استقبالیّاً فوجوب القضاء واضح، کما أفاده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عدم وجوب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الوجوب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للفرق بین الفرضین بعد کون القدرة شرطاً شرعیّاً للنذر بمقتضی بعض النصوص المذکورة فی الجواهر، فی ذیل مسألة سقوط القضاء بعدم القدرة، وحینئذٍ فالحقّ عدم وجوب القضاء فی الفرضین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فلا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البروجردی، أحمد الخونساری، عبداللّه الشیرازی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علیه أیضاً عدم الوجوب؛ لعدم التمکّن من إتیانه حال حیاته؛ لعدم حلول وقته بالفرض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یُمکن هذا القول بعد کشف موته عن عدم تعلّق الخطاب إلیه بالنسبة إلی المعلّق، فهو عاجز حال حیاته عن إتیان المعلّق؛ لفرض حصول المعلّق علیه بعد موته، وکون متعلّق النذر حصّة خاصّة من الطبیعیّ المنذور، وهو ما یکون ظرفه بعد المعلّق علیه غیر الحاصل حال حیاته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یُعقل الوجوب ولو علی نحو التعلیق إذا کان المکلّف فی ظرف الواجب غیر قادر، فضلاً عن کونه غیر موجود، ولکن یمکن أن تُبنی المسألة علی قضیّة الکشف الحقیقیّ، أو النقل فی باب الفضولیّ، فإذا جعلنا حصول المعلّق علیه کاشفاً عن الوجوب حقیقةً عند النذر وجب القضاء عنه؛ إذ قد استقرّ علیه فی حیاته حینئذٍ، وإن جعلنا حصوله سبباً للوجوب لم یجب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بِمُضیِّ عامه علیه قادراً علی إتیانه فیترک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زَمِنَاً عاجزاً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لإمکان الخدشة لغیر حجّة الإسلام فی دلالة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أنّ الروایات مختصّة بحجّة الإسلام، وما یُتراءَی من إطلاق بعضها لیس بمثابةٍ یؤخذ به، والتعدیة من موردها إلی ما نحن فیه بالمناط الظنّیّ کما تری، فحینئذٍ الأقوی فی ما نحن فیه عدم وجوب الاستنابة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قصد الأعمّ من المباشرة والاستنابة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علیه القضاء، وکذا لا یُقضی عنه بعد موته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ثانیهما 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یُعَدُّ دَیناً إذا لم یکن المنذور ولو من جهة الانصراف خصوص ما یبذل فیه من ماله؛ لأنّ اللام یفید تحقّق الدَین فی کلّ مورد قابل بمقدار متعلّقه، مالاً کان أو فعلاً، من نفسه أو من غیره، فإذا کان المنذور مضیّقاً بواسطة القید لفظاً أو ذهناً یصیر المقیّد دَیناً، وإذا لم یکن مضیّقاً یصیر بِسَعَته دَیناً، ولو لم یکن فی الآیة الشریفة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استَطاعَ إلَیْهِ سَبیلاً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الحجّ واجباً ودَیناً علی جمیع الناس، ومن لم یفعل ولو لعدم تمکّنه یجب عنه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فیه أیضاً؛ لأنّ المال لا یکون دَیناً علیه بالنذر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وجوب القضاء فی جمیع ذلک، وعلی فرض الوجوب لا یخرج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القضاء عنه فی المثال المذکور للاحتیاط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مبرهنة واضحة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منه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جمیع الواجبات الإلهیة دُیون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 الأوّل أیضاً عدم الوجوب، إلاّ إذا جعل للّه علی نفسه مالاً وقلنا بصحّة نذر النتیجة، لکنّه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اختاره فی المسألة السابقة لا فرق بین تمکّنه منه قبله،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الجماعة إنّما هو فی الفرع الّذی سأل مسمع أبا عبداللّه علیه‌السلام عن حکمه، وهو تعلیق النذر علی ما إذا ولدت غلاماً مع تتمیمه بما یدلّ علیه ذیله من موت الناذر قبلها، ومع جعل الولادة عبارة عن کونه رزق غلاماً منها، وهو حینئذٍ مطابق للقاعدة، وأمّا ما فی ذیله من تعلیق النذر علی إدراک الغلام ـ وهو محلّ البحث هنا ـ فلم أجد به عاملاً سوی صاحب الجواهر، بزعم أ نّه مورد عمل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ما أفاد إنصافاً، بناءً علی ما عرفت من شرطیّة القدرة فی ظرف العمل فی النذر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مملوکیة حجّة الإسلام للّه تعالی بالأصل، وإلاّ ففیه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انعقاده؛ فإنّه یلزم منه اجتماع ملکیَّتین تامَّتین علی مملوک واحد، وهو حجّ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أنّ الکفّارة تُخَرج من الثلث، لا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سَنَة حدوث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تکفی القدرة العقلیّة، بل یعتبر فیه عدم الحرج والضرر النفسی، ومقصود الماتن أیضاً نفی اعتبار الاستطاعة الشرعیّة، لا وجوب الإتیان مع القدرة العقلیّة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طروء الضرر وأضرابه من العناوین الثانویة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مطلقاً، إلاّ إذا قیّد بزوال الاستطاعة فی عامه، ولا معنی للحمل علی الصحّة، ولا یثبت به التقیید بزوال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قویّ فیما إذا کان غیر ملتفت حین النذر بوجوب حجّة الإسلام، أو بعدم رجحان غیرها مع وجوبها، لا لِما فی المتن من حمل النذر علیالصحّة، بل لأنّ متعلّقه راجح واقعاً وإن لم یتبیّن إلاّ بعد زوال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الوجه الصحّة فی هذه الصورة؛ فإنّ المانع من انعقاد النذر هو عدم القدرة شرعاً علی متعلّقه؛ لوجوب حجّة الإسلام علیه، فإذا زالت الاستطاعة کشف ذلک عن عدم وجوب حجّة الإسلام علیه من أوّل الأمر، فلا مانع من انعقاد نذره واقعاً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علیل، والتمسّک بالرجحان ـ کما أشرنا إلیه فی الحاشیة السابقة ـ هو الحَرِیّ بالقبول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علیل؛ فإنّ قاعدة الحمل علی الصحّة لا ربط لها بالمقام، وأمّا أصل الاحتمال فلا بأس به إذا کان غافلاً عن وجوب الحجّ علی المستطیع؛ لرجحانه فی وقت الوفاء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یتعلّق بهذه المسألة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کفایة حجّة الإسلام إذا تعلّق النذر بطبیعة الحجّ، وقصد بها بِرّ النذر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الکلام والإشکال فی تقدّم النذر، بناءً علی المختار من کون القدرة شرطاً شرعیّاً فی کلّ موردٍ یکون زمان العمل به مقارناً أو متأخّراً عن زمان التنجّز للأمر بحجّة الإسلام، نعم، علی شرطیّة القدرة عقلاً کان لِتَقَدُّم النذرِ السابقِ علی الاستطاعة مطلقاً وجه، ولکنّه بمعزلٍ عن التحقیق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یکفی لحجّةٍ اُخری، لا ما کان مصرفاً للحجّ النذریّ فقط إن بَقِیَ علی تعلّق حجّتین نذریّ وحجّة الإسلام، وتقدیم النذریّ فی القسم الثانی إن أراد فوراً ففوراً، بمعنی أ نّه لا تجب حجّة الإسلام وإن بقیت الاستطاعة،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الإطلاق ممنوع فی الثانی، کما یظهر منه أیضاً فی ذیل کلام 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 الشرعیّة للشهید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 نّه لیس هذا وجه تقدّم النذر فی مثل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ولو علی مختاره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اختار فی الدَین وجوب حجّة الإسلام مع الوثوق بالتمکّن من أدائه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التعلیل علیل؛ إذ لا فرق بین الوجوبَین من حیث الدَینیّة وعدمها، نعم، إذا کان النذر موسّعاً فله الأخذ بإطلاق الأمر بالوفاء من حیث الامتثال، وحینئذٍ إن لم تبقَ الاستطاعة إلی العام القابل لم یجب علیه حجّة الإسلام، وإن بقیت الاستطاعة وجبت، کما أنّ له الأخذ بإطلاق الأمر بالوفاء من حیث التوسعة وتأخیر أداء النذر، فیجب علیه حجّة الإسلام ویستقرّ علیه، 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تحصیل الاستطاعة للحجّ بتأخیر الوفاء بالنذر، وله أن یأتی بالنذر؛ کی لا تتحقّق له الاستطاعة لو فرض استلزام الإتیان بالنذر زوالها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الحال فی هذه المسألة ممّا تقدّم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نذر الحجّ مطلقاً بالنسبة إلی الأعوام، وجعل وجوب الفور علی نفسه بالنسبة إلی کلّ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الأقوی وجوب حجّة الإسلام، وعدم صحّة النذر مع التقیید بسَنَةِ حصول الاستطاعة ولو بعنوان الفوریّة، نعم، مع التوسعة وعدم التقیید لو أهمل عن حجّة الإسلام فالظاهر وجوبهما علیه مع تقدّم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یقدّم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یتمّ هذا إذا قصد بنذره تعمیم الفوریّة لما بعد السَنَةِ الاُولی، أمّا مع الإطلاق فیختصّ بالسَنَةِ الاُولی، وتکون بعدها قضاءً موسّعاً، وحجّة الإسلام فوریّة فتتقدّم علی النذر، ولعلّ إلی هذا نظر الشهید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عبارة الدروس ـ علی ما نقله أیضاً ـ عدم نذر الفور، بل نذر الحجّ مطلقاً، وبالنسبة إلی کلّ عام موسّعاً، وحینئذٍ فیتمّ ما ذکره علی ما ذکرناه فی التعلیقة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انحلال النذر فی هذه الصورة، کما أنّ فی الصورة السابقة أیضاً یجب تقدیم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انحلال النذر من أصله فی 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لم یکن المنذور مقیّداً بعام الاستطاعة، ولم ینصرف إنشاؤه النذری إلی کون المنذور غیر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المسألة علی قصد الناذر، فإن قصد فی نذره ما یعمّ حجّة الإسلام کفی عنه حجّة واحدة، ولم یکن من باب التداخل، وإن قصد فی نذره حجّاً غیرها وجب علیه حجّتان، إحداهما للفرض، والاُخری للنذر، ویقدّم منهما مع تضیّقهما معاً مَن کان وجوبها أسبق، کما تقدّم، وهذا کلّه بناءً علی انعقاده نذر حجّ الإسلام، وأمّا بناءً علی ما تقدّم منّا فی المسألة الرابعة عشرة من الإشکال فی انعقاده فیشکل انعقاده هنا کذلک إذا قصد الناذر ما یعمّ حجّة الإسلام؛ فإنّ المقیّد إذا کان ممتنعاً امتنع المطلق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ما تقدّم انحلال النذر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فی ذلک الباب غیر جارٍ فی مثل النذر؛ لأنّ الوجوب النذریّ تابع لقصد الناذر، فإن قصد مطلق الطبیعة فیلزمه التداخل وکفایة حجّ واحد إذا قصدهما بالضرورة، وإن قصد حجّاً غیر حجّة الإسلام فیلزمه التعدّد قهراً، ولمّا کان فرض المتن صورة الإطلاق فالمتعیّن فیه التداخل، ولا معنی لأصالة عدم التداخل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ربط لهذه المسألة بقضیة التداخل وعدمه؛ لأنّ إجزاء حجّة الإسلام عن الحجّ النذریّ موقوف علی شمول إطلاق نذر الناذر له، کیف وتوارد النذر والاستطاعة علی حجّ واحد صحیح ومورد لتسالم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وستأتی منه الإشارة إلی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ظهور فی الروایة بعدم الاستطاعة، بل لعلّها ظاهرة فی أ نّه کان مستطیعاً وعلیه حجّة الإسلام، فهل تُحسب له الحجّة الّتی مشی فیها حجّة إسلام، فقال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خلاف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مع فرض إطلاق المنذور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غرض الناذر إیجاب حجّ علیه بنفس نذره کان النذر حینئذٍ سبباً مستقلاًّ لوجوبه فی عرض الاستطاعة، ولا یتداخلان، وإن کان مقصوده مجرّد صدور حجّ منه فی مقابل ترکه الکلّیّ أجزأ عنه حجّة الإسلام وغیره علی إشکال فی الحجّ النیابیّ، إلاّ إذا لاحظ التعمیم بالنسبة إلیه عند نذره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 نذره بالنسبة إلیه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الاصفهانی، عبداللّه الشیرازی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المتعیّن، وکذا فی الفرع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حصل المعلّق علیه وکان النذر فوریّاً أصبح وجوب الوفاء به فعلیّاً، وکشف ذلک عن عدم الاستطاعة حتّی إذا کان بعد خروج الرفقة، فیحوّل نیّته إلی الوفاء بالنذر إن کان خرج معهم، أو یخرج بعدهم لذلک مع التمکّن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غایته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ضعیف، وتقدّم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أساس لهذا المبنی،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یقوی تقدیم المنذور مطلقاً حینئذٍ إن لم یکن متعلّق النذر طبیعة الحجّ، وإلاّ تجزیه حجّة الإسلام، کما 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یکن فوریّاً فیکفی فی جواز التقدیم إطلاق النذر علی نحو ما مرّ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للفرق بین الصورتین من تلک الجهة، أو کلّ واجب تعلیقیّ بالنظر إلی مرحلة البعث الفعلی یرجع إلی المشروط وإن کان بینهما الفرق فی لبّ الإرادة، ولکنّه غیر مجدٍ فی ما هو المهمّ من الغرض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ضعیف جداً، ولا مسرح له بعد فرض استقرار الوجوبَین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أقواها الوسط، ولم یدلّ دلیل تعبّدیّ علی الأهمّیّة بحیث یوجب تقیید الواجب الآخر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الأخیر، وکذا فی فرض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قضاء الحجّ النذریّ عنه تأمّل، وعلی فرض الوجوب لا یخرج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فَتُقدّم حجّة الإسلام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قضاء المنذور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استئجار مَن ینوب عنه وإحجاج شخص بماله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یتعیّن قضاء ماتعیّن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تعذّر أحد فردَی الواجب التخییریّ تعیَّن الآخر، ولا یبقی التخییر بین الممکن وبدل المتعذّر، والقضاء بدل، فلا وجه لبقاء التخییر بینه وبین الإحجاج، فالأولی أن یُجعل المثال ما لو نذر أن یحجّ زیداً أو عمراً وتعذّر أحدهما فی حیاته ثمّ أمکن بعد وفاته، فهل یعود التخییر، أو یتعیَّن الممکن فی حیاته؟ فتدبّره جیّداً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ثلثه علی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التخیّیر أیضاً فی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المَعجوز عنه وإن کان هو أحد عدلَی التأخیر بالأصل، وهناک احتمال الانعقاد بدعوی أنّ العجز عن المنذور التخییریّ لا یتحقّق إلاّ بالعجز عن تمام الأطراف، والعجز عن بعضه غیر مانع عن الانعقاد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وجیه؛ لأنّ انعقاد النذر فی المردّد بین المقدور وغیره محلّ تأمّل، نعم، تکفی القدرة علی الفرض فی نذر الکلّیّ، والظاهر أنّ القدرة فی النذر شرط شرعیّ نظیر الرجحان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نذر الحجّ بولده أو عنه لزم، فإن مات الناذر استُؤجِر عنه من الأصل، ولو مات الولد قبل التمکّن فالأقرب السقوط، ولو مات بعده وجب القضاء، والظاهر مراعاة التمکّن فی وجوب القضاء علی الناذر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وظاهر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التمکّن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التمکّن من کلیهما؛ لأنّ عطف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یقتضی المشارکة فی الحیاة فی کلا العدلَین بالنسبة إلی الولد، وعلی هذا فلا یظهر من عبارته خلاف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یخلو من القوّة؛ لأنّ المنذور أحد الأمرین، لا خصوص أحدهما المعیَّن، فإذا تعذّر أحدهما فتعذّر ما هو متعلّق النذر ویسقط، وقیاسه بالتخییر الشرعیّ وترتیب أحکامه علیه یکون بلا دلیل، نعم، لو فرض کون الناذر ملتفتاً إلی التخییر الشرعیّ ونذر أحد الأمرین وأحدهما المتعیّن علی تقدیر تعذّر الآخر علی نحو التخییر فی الخصال حکماً وموضوعاً لکان لِما ذکر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بالإتیان ما هو ظاهره فهو عین التخییر، ولا یلزم فی التخییر اعتبار عنوانه بالحمل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المراد ما یتمکّن من أحد الأمرین فلا ینعقد فی غیره، فلا یتّجه التخییر فی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حتّی علی القول بوجوب إخراج الحجّ المنذور من الترکة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 قد مرّ، وقد مرّ علی فرض وجوب القضاء لا یخرج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عبداللّه الشیرازی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الثلث لا یَسَع الزیادة، وإلاّ فیجوز للوصیّ اختیاره مع جعل الموصی أمر التعیین إلیه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 قضاء حجّ النذر مع التأمّل فیه، وقد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فیه وفی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علم أ نّه ترکه عن تقصیر وقلنا بلزوم إخراج الکفّارة من الأصل، وأمّا إذا احتمل المعذوریّة فلا وجه لوجوب الکفّارة، ثمّ إنّ الاحتیاط فی الکفّارة مبنیّ علی تغایر الکفّارتَین ولکنّ الأظهر أنّ کفّارة النذر هی کفّارة الیمین، هذا مع أ نّه علی القول بالتغایر فلا موجب للاحتیاط؛ فإنّ العلم الإجمالی قد تعلّق بثبوت دَین علی المیّت مردّدٍ بین متباینَین، ولا موجب للاحتیاط وإلزام الوارث بشیء زائد علی دَین المیّت، بل یجب حینئذٍ الرجوع إلی القرعة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القول باختلاف کفّارتهما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تغایر الکفارتَین، وأمّا علی الاتحاد فالاکتفاء بالواحدة من الواضحات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انعقاد النذر فی بعض هذه الموارد، کما ورد فیه مثلاً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علیه‌السلام عن المشی أفضل، أو الرکوب؟ فقال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الرجل موسراً فمشی لیکون أقلّ لنفقته فالرکوب 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المشی لهذه الغایة لا رجحان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فإنّ المشی فی موردٍ یکون الرکوب أفضل موجب لفوات العنوان الراجح الّذی یکون بالرکوب، فیصیر مرجوحاً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یکن المشی موجباً لضعفه الموجب لترک ما هو أرجح منه فإنّ مشیه حینئذٍ مرجوح،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فرض عدم رجحانٍ فی المشی یشکل الانعقاد؛ إذ المشی من المقدّمات الخارجیة، لا من القیود لو سلّم بالنسبة إلی القیود، مع أنّ فیها أیضاً إشکالاً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رجحان الحجّ لا یستتبع رجحان الجامع بین المشی والرکوب، فلا یکون خصوص المشی راجحاً، فلا ینعقد النذر المتعلّق بخصوصه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لأنّه نذر الخاصّ، ونذر الخاصّ لا ینقلب إلی نذر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أمثال المقام بنحو وحدة المطلوب نظر، فینعقد النذر وإن لم ینعقد فی المطلوب الأقصی وهو المقیّد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 الرجحان فی خصوص رکوبه، وإلاّ ففیه إشکال، وما أفاد من کفایة رجحان المتعلّق فی الجملة صحیح لو کان المتعلّق بعنوانه الخاصّ راجحاً، وبعده لا یحتاج إلی رجحان الجهات الزائدة، وأمّا لو لم یکن المتعلّق بنفس عنوانه الخاصّ راجحاً فلا یکاد ینعقد النذر بخصوص عنوانه، وفی انعقاده إلی عنوان آخر أوسع منه علی فرض رجحانه فرع وحدة المطلوب فی متعلّق نذره وتعدّده،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إذ یشکل شمول وجوب الوفاء لمثله، فلو نذر الحجّ راکباً فرساً لونه کذا، أوْ لابساً ثوباً فی الطریق لونه کذا فحینئذٍ وإن کان یجب الحجّ لکنّ إثبات وجوب هذه الحالات بحیث یحصل الحنث بترکها مشکل جدّاً، وما ذکره من کفایة رجحان المقیّد لا یثبت وجوب الوفاء بالقید وحصول الحنث بإهماله، نعم، هو صحیح فی مثل خصوصیّات الفرد، فلو نذر رکعتین فی داره فلا یجوز تبدیلهما برکعتین فی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التعلیل نظر واضح؛ لظهور ما دلّ علی رجحان المتعلّق فی رجحان تمام ما تعلّق به النذر، لا بعضه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لاکتنافها بخصوصیّات تصرفها عن الظهور فی ذلک، ولمعارضة سائر الروایات لهذا الظهور لو سلّمناه، وهی صحیحة رفاعة وحفص المرویّة فی کتاب النذر من الکافی والتهذیب والاستبصار، وکذا فی نوادر أحمد بن محمد بن عیسی، کما فی کتاب الحجّ من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7/458</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نوادر ابن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الروایات الدالّة علی استحباب الحفاء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ضرراً یکون تحمّله مرجوحاً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کان تحمّله ولو للّه مرجوحاً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الوجوب فی هذه الصورة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کان عزیمة لا یمنع من انعقاد النذر أیضاً؛ لأ نّه أقدم علیه بجعله علی نفسه مع علمه، فلا تشمله أدلّة الحرج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لأ نّه المنصرف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حین الشروع فی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الارتکاز العرفیّ یساعد بلد الناذر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حین الشروع فی السفر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کخبر یونس بن یعقوب المرویّ فی 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نذر الحجّ مع قیده ووصفه لا یسقط أصل الحجّ، وإن سقط القید والوصف إذا کان علی وجه تعدّد المطلوب بل مطلقاً فإنّه موضوع لقاعدة المیسور تعبّداً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ذهب إلیه المشهور هو الأقوی، والخبر غیر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الأظهر، فالأحوط لو لم یکن الأقوی القیام فی المعبر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ضعفه منجبر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لإمکان استیفاء المشی المنذور فی حجٍّ آخر، وعلی هذا فلو لم نقل بأنّ نذر المشی إلی الحجّ یکون فی الحقیقة اشتراطاً من الناذر للحجّ بالمشی، بل کان التزاماً بالمشی والحجّ لَما أمکن المصیر إلی القول بأنّ النذر غیر قابل للاستیفاء بعد الإتیان بالحجّ راکباً، بدعوی أنّ المنذور حیث کان الحجّ ولو مع الالتزام بالمشی إلیه وأتی به کان موفّیاً للنذر، وحیث إنّ المشی لم یتحقّق فلا موقع للاستیفاء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یتحقّق الحنث الموجب للکفّارة إلاّ إذا عیّن للمنذور أمداً فیحنث بعد انقضائه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الحجّ مع کونه علّة لتعذّر الوفاء بالنذر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الأقوی التفصیل بین هذه الصور، ففی الصورة الأخیرة تقوی الصحّة مطلقاً، وفی الثانیة یقوی الفساد کذلک، وأمّا الاُولی فإن کان قصد المنذور من باب الداعی فالأقوی الصحّة، وإن کان بنحو التقیید فالأظهر البطلان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من سهو القلم، والصحیح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الأخیرة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مورد لهذا التخیّل فی المقام حتّی مع قطع النظر عمّا ذکره قدس‌سره ، إلاّ فیما إذا رکب أثناء العمل وکان المنذور هو الحجّ ماشیاً، بل لا مورد له فیه أیضاً؛ فإنّ الأمر النذریّ فی طول الأمر بالحجّ، وهو مقصود من الأوّل، والفرق بینه وبین قصد صوم الکفّارة ونحوه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 القصد الضمنیّ غیر کافٍ ما لم یکن بنحو تعدّد المطلوب، وهکذا فی نظائره، نعم، الّذی یُسهِّل الخطب انصراف الذهن فی هذه المقامات إلی تعدّد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صحیح علی ما قوّیناه سابقاً فی أمثاله، ولکنّه یشکل علی ما اختاره المصنّف، فإنّ عنوان الوفاء بالنذر عنوان تقییدی، فإذا لم ینطبق علیه المنذور ـ کما فی الفرض الثانی ـ فکیف یصحّ الحجّ من باب الوفاء ولم یقصده؟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حتّی علی القول بالمقدّمة الموصلة، کما حقّقناه فی مقالتنا، نعم، بناءً علی إجراء قاعدة الترتّب حتّی علی هذا القول کان للتصحیح وجه، ولقد أشرنا إلیه فی بعض الحواشی السابقة،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صورة النذر المعیّن، والأقوی عدم الوجوب هاهنا أیضاً، ووجبت الکفّارة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قضاء علیه،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وسیاق البدنة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التنبیه علی أمرین توضیحاً للمقام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المشی إلی الحجّ لیس فیه بنفسه ملاک المحبوبیة بحیث یقع بلحاظه متعلّقاً للنذر، بل الملاک فی محبوبیّته کونه أفضل أفراد السیر إلی الحجّ، فمطلوبیّته إنّما هی فی ضمن مطلوب آخر وبلحاظه؛ وعلی هذا یکون متعلّق النذر المشی المؤدّی إلی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مطلوبیة المشی إنّما هی بالنسبة إلی جمیع المسافة بحیث تکون کلّ قطعة منها مطلوبة للشارع، ثمّ إنّ الارتکاز قائم علی کون المشی علی ما هو علیه من المطلوبیّة شرعاً، من حیث المطلوبیّة الضمنیّة، ومن حیث استقلال کلّ قطعةٍ منه بالمطلوبیة متعلّقاً للنذر، ویترتّب علی الأمر الثانی أ نّه لو تعذّر المشی بالنسبة إلی بعض المسافة لم یسقط وجوب المشی بالنسبة إلی البعض الآخر، ویترتّب علی الأمر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لو تعذّر المشی إلی الحجّ مطلقاً لم یسقط وجوب الحجّ، أمّا إذا کان الحجّ متعیّناً علیه قبل النذر باستطاعة أو إجارة مثلاً فواضح، وأمّا إذا کان وجوبه ناشئاً من قبل النذر فلتعدّد المطلوب حسب ارتکاز الناذر، کما عرفت، ولا ینافی ذلک أنّ الأمر بالوفاء واحد ومتعلّقه ـ وهو الملتزم به بالنذر ـ واحد، وهو مجموع المقیّد والقید؛ وذلک لتعدّد المطلوب ارتکازاً وکون المشی مطلوباً فی ضمن مطلوبیّة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البیان ظهر أنّ الأخبار الواردة فی المقام علی وفق القاعدة؛ لأنّ قوله فی صحیح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ذلک یجزی عنه إذا عرف اللّه منه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کالنصّ فی أنّ لسان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بیان ما علیه من الوظیفة بحسب نذره؛ إذ کیف یُعقل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وارداً مورد التعبّد تأسیساً مع تعلیله بکون الرکوب مجزیاً عن 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توهّم التعبّد التأسیسیّ بالنسبة إلی غیر مورد یکون علی وفق القاعدة، لا یمکن المصیر إلیه بعد کون بعض صور النذر موافقاً للقاعدة؛ وذلک لأنّ المطلق لا یشمل جمیع أفراده إذا اختلفت من حیث سنخ الحکم بأن یکون الحکم فی بعضها تقریراً للقاعدة، وفی بعضها تعبّداً شرعیّاً؛ إذ التقریر والتعبّد یحتاجان إلی لِحاظین متغایِرَین؛ ولذلک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لو نذر الفرد الخاصّ من الحجّ ـ وهو الحجّ عن مشی ـ وتعذّر المشی بالکلّیّة سقط الوجوب عن الحجّ؛ لانحلال نذره؛ حیث إنّه تعلّق بالفرد الخاصّ، وتعذُّر المشیِ تعذّر له، کما أ نّه لو نذر المشی علی نحو المجموعیّة بمعنی لحاظ مجموع المسافة فی نذره أمراً واحداً باستثناء ما لا یمکن المشی فیه طبعاً کالشطوط والأنهار، وتعذّر المشی فی بعضه لم یجب المشی فی البعض الآخر؛ وذلک لعدم شمول إطلاق الأخبار لهاتَین الصورتَین بالبیان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القول الثانی لقاعدة المیسور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فی مقام البیان وإن کان ظاهراً فی عدم الوجوب إلاّ أ نّه لا یزید علی الظهور اللفظیّ الإطلاقیّ فی أ نّه لا یعارض المقیّد، والعمدة روایة عنبسة الّتی رواها الشیخ بطریق صحیح، وعنبسة ثقة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اُغمض عن ضعفه الغیر المنجبر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القاعدة لا أساس لها، والعمدة هو الخبر المذکور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عدمه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تبعد الصحّة مع الاطمئنان بصحّة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مشروعیّة عمله ذاتاً، وثبوت تشریع النیابة أیضاً فی أصل العمل یرجع الشکّ فی المقام إلی دخل البلوغ فی الاستنابة، وفی مثله أمکن إثبات جوازه ببناء العقلاء علی استنابتهم الصبیان الممیِّزین فی اُمورهم التسبّبیة، وهذا المقدار بضمیمة مقدّمات عدم الردع کافٍ لإثبات المشروعیّة الموجبة لفراغ ذمّة المنوب عنه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لمنع هذه الدعوی مجال، ولکنّ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وعدم إطلاقٍ مُعتدٍّ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انصراف الأدلّة بدوی، ولفظ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مخرج المثال، أو وارد مورد الغالب؛ ولذا صحّ نیابة المرأة والخُنثی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من الروایات الواردة بلسان عدم قبول أعمال المخالف بطلان أعماله، نعم، ورد فی خبر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صحّة قضاء الصلاة والصوم عن المیّت من غیر المسلم العارف، والظاهر عدم الفرق بینهما وبین الحجّ، فهو المستند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یُعتبر الوثوق بأصل إتیانه، وأمّا الحکم بصحّة المأتیّ به فالظاهر عدم اعتبار الوثوق بها ولو قبل العمل، فلو علم بأ نّه یأتی بالعمل وشکّ فی أ نّه یأتی به صحیحاً لا یبعد جواز الاستنابة له، ولکنّ الأحوط اعتبار الوثوق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فی جواز استنابته وضعاً کونه ممّن تجری فی حقّه أصالة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إحراز فراغ ذمّة المنوب عنه، لا فی جواز الاستنابة، ولا فی صحّة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شرط صحّة العمل؛ لأنّ العمل الفاسد لا یُستأجر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کافٍ لصحّة العمل، وأمّا صحّة الإجارة فیُشترط فیها کون العمل معلوماً حین الإجارة بحیث لا یکون غَرراً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 وجوب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المائة والتاسعة أنّ فیه نظراً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الاُجرة المسمّاة، وإلاّ فهو یستحقّ اُجرة المثل علی الآمر إن لم یکن متبرّعاً بعمله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 یُعذَر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اُحرز رضاه باطناً، بل لا یبعد الصحّة مع الغفلة عن الحرمة أو موضوعها، أو الجهل بهما کالغصب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ادُّعی الإجماع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تصحّ؛ للنصّ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الناصب، وهو أکفر الکفرة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النیابة عن منوبٍ لا یصحّ عمله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لِلنَّبِیِّ وَالَّذینَ آمَنُوا أَنْ یَسْتَغْفِرُوا لِلْمُشْرِکینَ وَلَوْ کانُوا أُولی قُرْبی مِنْ بَعْدِ ما تَبَیَّنَ لَهُمْ أَنَّهُمْ أَصْحابُ الْجَحیمِ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المجنون الّذی جنونه من أوّل البلوغ إلی حین وفاته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یظهر من الروایات إلاّ رجحان نیابة الرجل مطلقاً، نعم، لو کانت المرأة أفقه من الرجل کانت بالنیابة 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تمکّنه من حجّ نفسه، ووجه القید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فی الاستنابة عن الرجل الحیّ أن یکون النائب رجلاً وصَرورة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استنابة المرأة الصَرورة عن الصَرورة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المنع إذا کان المنوب عنه أیضاً صَرورة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الحکم بالکراهة، وهو فی الفرض اللاحق أشدّ إشکالاً، ولعلّ المراد من 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الصَرورة غیر عارفٍ بأحکام الحجّ غالباً، فیکون المدار علی المعرفة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دورانها مدار تعرّف الأحکام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مرّ فی الصلاة،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لصحیحة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الأحوط، وإن کان 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بإطلاقه مشکل، بل ممنوع، ولکنّه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رعایةً لفتوی الأصحاب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المرسلة لیست بحجّة، مضافاً إلی اختصاصها بالحاجّ عن نفسه بقرینة قوله علیه‌السلام فی ذیلها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فلیقضِ عنه ولیّه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انجبار ضعف الدلالة بالشهرة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بعید، سیّما علی مبناه قدس‌سره ؛ حیث إنّ المرسلة لیس فیها إلاّ التقیید بالدخول فی الحرم، وکونه کنایةً عن الإحرام فی غایة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مفهوم مرسَلَة المقنعة مقیّد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بفروعها تحتاج إلی 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بعد الإحرام ولو قبل دخول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یستحقّ علی المشی وأفعال الإحرام إن مات قبل الإحرام فی هذه الصورة، فلا تغفل ولا تشتبه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استحقاقه تمام الاُجرة فی هذه الصورة أیضاً، فلا یُترک الاحتیاط بالتصالح مع التراضی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 أنّ الإجارة علی نفس الأعمال المخصوصة ولم تکن المقدّمات داخلة لا یستحقّ شیئاً قبل الإحرام، وأمّا نفس الإحرام فمع الإطلاق ـ أی عدم استثنائه ـ فداخل فی العمل المستأجَر علیه، ویستحقّ الاُجرة بالنسبة إلیه، وأمّا الذهاب إلی مکّة بعد الإحرام فلیس داخلاً، فلا یستحقّ الاُجرة بالنسبة إلیه مع کون الإجارة علی نفس المناسک، کما لا یستحقّ علی الذهاب إلی عرفات ومنی مع هذا الفرض، وأمّا مع کون المشی والمقدّمات داخلاً فی الإجارة فیستحقّ بالنسبة إلیها مطلقاً، سواء کانت مطلوبةً نفساً، أو من باب المقدّمة، إلاّ أن تکون الاُجرة علی المقدّمات المُوصِلات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کلّه مع التصریح بکیفیّته، ومع الإطلاق فالظاهر التوزیع بالنسبة إلی المقدّمات، وما فعل من الأعمال وتنظیره بإفساد الصلاة فی غیر محلّه، نعم، مع الإطلاق یستحقّ تمام الاُجرة إذا أتی بالمصداق العرفیّ الصحیح ولو کان فیه نقص ممّا لا یضرّ بالاسم، فلو مات بعد الإحرام ودخول الحرم قبل إتیان شیءٍ آخر لا یستحقّ اُجرةً غیر ما أتی به، وإن سقط الحجّ عن المیّت؛ فإنّ السقوط لیس لأجل الإتیان بالمصداق العرفی، بل هو من باب التعبّد، وأمّا لو أتی بالحجّ ونسی الطواف أو بعضه مثلاً ومات یستحقّ تمام الاُجرة للصدق، وهذا نظیر نسیان بعض أجزاء الصلاة المستأجرة مع عدم إضراره بالصحّة والاسم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الأجیر علی الحجّ إنّما یُستأجر للإتیان بطبیعة الحجّ، لا علی تفریغ الذمّة، ولا علی الأعمال المخصوصة بما هی هی، فإذا أتی بما هو مصداق للحجّ استحقّ الاُجرة بتمامها، قلّت أعماله أو کثرت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یستفاد من إطلاق موثّقة إسحاق بن عمّار إجزاء الحجّ عن المنوب عنه وبراءة ذمّة الأجیر إذا مات بعد الإحرام وقبل دخول الحرم؛ لعدم الدلیل الصالح لتقییدها، فإذا کانت الإجارة علی إفراغ الذمّة کان الأجیر مستحقّاً لتمام الاُجرة، کما إذا مات بعد الإحرام ودخول الحرم، والحکم فی هذه الصورة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بالعمل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إجزاء ما أتی به من الأعمال لعدم حصول ما بقی منها لا ینافی کونه آتیاً ببعض العمل المستأجَر علیه، فالأقوی هو استحقاقه من الاُجرة بنسبة ما أتی به من الأجزاء، بل وکذا المقدّمات مع فرض دخولها فی المستأجَر علیه وإن کان بوصف المقدّمیة؛ لأنّ هذا الوصف ثابت لها وإن لم توصل إلی ذی المقدّمة، وعدم حصول شیء من الغرض بالجزء والمقدّمة لا یضرّ؛ لعدم وقوع الإجارة علی الغرض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دخول المشی فی الإجارة علی وجه الجزئیّة إذا کانت الإجارة علی الحجّ البلدیّ ولو بمعونة القرائن، فیستحقّ الأجیر ما یقابل المشی من الاُجرة إذا مات قبل الإحرام، وإذا کانت الإجارة علی الحجّ المیقاتیّ فلا یستحقّ علیه شیئاً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وصف الفعل فی مرحلة أمر المولی والشارع فی جعل الحکم للطبیعة، ولکن فی مرحلة الإجارة إن کان داخلاً فی المستأجَر علیه ولوحظ جزء توزّع علیه المسمّی؛ لأ نّه فی هذه المرحلة نفس المستأجَر علیه، لا مقدّمته، وکونه فی ضمیر المستأجَر محبوباً لاربط له بعنوان إنشاء الإجارة، والملحوظ فیها ولحاظ المسمّی موزّعاً علی المرکّب الملحوظ فی الإجارة، وکون المشی إلی المیقات فی طریقٍ معیّنٍ مطلوباً نفسیّاً للمستأجَر بأن یکون له غرض مستقلّ وفائدة مستقلّة، غیر التوصّل به إلی الإحرام لا ربط له فی مرحلة جعل المسمّی علی المجموع؛ فانّه موزَّع علیه مطلقاً بالملاک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أنّ له وجهاً وجیهاً بناءً علی ما استظهرناه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الأوجه، إلاّ مع التصریح بأنّ علی المستأجَر نفس الأعمال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حال بعض العمل المستأجَر علیه حال المقدّمة علی تقدیر الدخول فی توزیع الاُجرة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وجه وجیه،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 نّه موزّع علی الأعمال والمشی عند الإطلاق، فإنّه وإن کان مقدّمته شرعاً لکنّه جزء المستأجَر علیه 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محلّ النزاع فی مورد الإطلاق وعدم بیان الجهات وتعیینها وموارده فی الإجارات مختلفة، قد یکون المورد ممّا یکون المسمّی فی نظرهم موزّعاً علی العمل وإن کانت الفائدة منوطة بجزء 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بالجزء الأخیر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کالّذی استؤجر علی نزول بئر وإخراج خاتم یاقوت مثلاً، فإذا مات النزّال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النازل، أو النزّاح الّذی ینزح ماء البئر وغیره، واللفظة باللغة العامیّة 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وحصل مانع قهری کطغیان الماء فهو یستحقّ المسمّی بالنسبة، وکالّذی استؤجر علی أن یسافر إلی بلد وأن یوصل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المکتوب أو الرسالة الشخصیّة، واللفظة باللغة العربیّة العامّیّة 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واحد، فلمّا أراد أن یعطی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المکتوب أو الرسالة الشخصیّة، واللفظة باللغة العربیّة العامّیّة 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الشطّ فإنّه یستحقّ المسمّی بالنسبة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أعمال الحجّ فی نظر العرف کالمثالین، وقد یکون المورد ممّا یکون المسمّی علیالعمل بلحاظ النتیجة حسب نظر العرف فی مثله، کأ نّه صار أجیراً علی العنوان التولیدی، کما إذا صار أجیراً علی وجدان الضالّة مثلاً بأن یدوّر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بمعنی یبحث عن، والعبارة قاصرة لفظاً، وهی باللهجة العامّیّة الدارجة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الضالّة وأن یجدها، فالمناط فی الاستحقاق وجدان الضالّة وإن وجدها فی أوّل خطوة، ولا یستحقّ إن دوّر ولا یجدها، وهذا نظیر الإحجاج فی الحجّ بعنوان التفریغ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 البطلان القهریّ، لا الاختیاری؛ فإنّه متلِفٌ لماله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مورد الإبطال، وأمّا فی مورد البطلان القهریّ کالموت ونحوه فیستحقّ، بل فی صورة الإبطال أیضاً بالنسبة إلی القراءة والأذکار یکون نظیر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الاحترام إنّما هی بمنزلة الموضوع لقاعدتَی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الیَد والإتلاف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بمعنی أنّهما متفرّعتان علی وجود الحرمة للمضمون وفی المقام؛ حیث إنّ الأجیر إنّما احتفظ علی مالیّة ذی المقدّمة فقط بجعله مورد المبادلة، فهو بنفسه أهدر مالیّه المشی بما هو مقدّمة من المقدّمات کسائر المقدّمات؛ وحیث إنّه لا استیفاء معاملیّاً من المستأجَر للمشی وشبهه فلیس ضامناً له، ومن هنا ظهر فساد القول باُجرة المثل، کفساد ما جُعل ردّاً لهذا القول من عدم رجوع النفع إلی المستأجَر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المناط فی التزام المُوءجِر والمستأجَر نفع المستأجَر، بل قد یکون احتمال النفع داعیاً له، کما فی الاستئجار لإلقاء الشبکة لصید السمک، فیستحقّ الصیّاد المسمّی مع خروج الشبکة خالیة من السمک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جهة الانتفاع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إقدامه ودخوله فی العمل من جهته وثبوت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دخل المباشرة، ومع عدمه فیجب الاستئجار من ترکته، وهو المقصود من الوجوب علیه مع الإطلاق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وجوب الاستئجار من ترکته إذا لم یشترط المباشرة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یجب الاستئجار من ترکته فی صورة عدم التقیید بالمباشرة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بل العدم 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لو کان الغرض المعاملیّ متعلّقاً بنوعٍ خاصّ، وإلاّ فتصحّ الإجارة علی مطلق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عدول الأجیر إلی التمتّع إذا استُؤجِر للقِران أو الإفراد فی ما إذا کان المنوب عنه مخیّراً بین الأنواع، کالصورة الّتی ذکرها فی المتن، سواء علم رضا المستأجَر بذلک، أم لا، ویستحقّ الاُجرة المسمّاة، والأحوط اعتبار رضا المستأجَر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 له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براءة ذمّة المستأجَر، لا فی استحقاق الأجیر للاُجرة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ما عیّن علی المستأجَر، لا إلی فراغ ذمّة الأجیر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الاشتراط فی أمثال المقام یرجع إلی التقیید حسب الارتکاز العرفی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رفع الید عن المُعیّن أوّلاً، وإیقاع الإجارة علی الثانی، ولعلّه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تطبیق الوفاء بغیر الجنس فی الدیون المالیّة علی القواعد، وأمّا مثل الحجّ والتعبّدیّات فمشکل، نعم، إجازة العدول یمکن أن تکون رفع الید عن المعدول عنه وإیقاع إجارة علی المعدول إلیه بالمسمّی، أو أمر بإتیانه کذلک، فمع الإتیان یستحقّ المسمّی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 له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تنظیر ما نحن فیه بسائر الدیون لا یخلو من تأمّل، وقد عرفت ما هو الأقرب فی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التشبیه غیر دخیلٍ فی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الأقوی جواز العدول إلی التمتّع إذا کان المنوب عنه مخیّراً بین الأنواع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أنّ رفع الید عن خبر أبی بصیر مع کونه صحیحاً علی الظاهر وعَمِلَ به جملة من الأصحاب مشکل، کرفع الید عن القواعد، فالمسألة مشکلة، والأحوط عدم العدول إلاّ برضاه، وأمّا الجمع الّذی ارتکبه ففرع حجّیّة الخبر المذکور، وهو قاصر عن الحجّیّة بجهالة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روی عنه ابن محبوب، وعدم الدلیل علی کونه ابن رئاب، وعدم مدحٍ مُعتدٍّ به عن هیثم بن أبی مسروق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بلا شاهدٍ وإن کان المعتمد الروایة الثانیة؛ لأ نّها موافقة للقاعدة الّتی هی المرجع لو قلنا بتساقطهما، ثمّ إنّها معتبرة؛ لوجود الحسن بن محبوب فی السند، وبیان کونها موافقةً للقاعدة أ نّه استوفی العمل منه بالأمر المعاملیّ، ویجب علیه بعد الفسخ رَدُّ ما استوفاه من الأجیر حسب کونه مقدِماً علی ضمانه بالاُجرة المسمّاة، وبما أ نّه لا یقدر علی ردّه فعلیه أن یردّ مثله، وهو اُجرة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ابن رئاب الثقة علی احتمال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تعلّق غرض عقلائیّ بذلک، وإلاّ لا یلزم الوفاء به، کما هو محقَّق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ما عندی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 مخالف للظاهر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الظاهر من قوله علیه‌السلام فی الصحیحة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بالجواز، ومورد العلم بالغرض خارج بالانصراف، وعلّل الإمام علیه‌السلام له بصحّة الحجّ مع أداء جمیع المناسک، وعلّل الحکم التکلیفیّ بالوضعی،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قویّ ما قوّیناه وبیّنّاه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صحّة الاستدلال بالصحیحة مع إطلاقها ودلالتها علی الجواز تکلیفاً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وعلی الصحّة بقوله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تمّ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ومع ذلک 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قرینة علی هذا 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الحمل خلاف الظاهر، ولا موجب واضح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خلاف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خلاف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إسناد التمامیة إلی حجّ النائب فی صحیحة حریز بن عبداللّه صحّته من حیث کونه حجّاً نیابیّاً، الملازم مع صحّته من حیث هو أیضاً، فالأجود هو الحمل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بعیدة فی الغایة، کحملها علی عدم وجوب العمل بالشرط؛ لخروجه عن العقد ونحوه من المحتملات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یفسخ المستأجَر عقد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المسمّی، لکن یثبت له اُجرة المثل علی الأقوی بملاحظة الإذن الشرعی وقصده الاُجرة ووصول العمل وفائدته، وعدم غرضٍ فی خصوصیّة المسألة فی أمثال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الاعتبار غیر موءثّر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مساغ لهذه الدعوی مع ما أشرنا إلیه فی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تکون هی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جریان ما ذهب إلیه فی الجواهر فی هذه الصورة أیضاً فی غیر ما استثنی فی الفرع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الکلپایگانی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تکون الثانیة مراعاة، فإن رضی المستأجَر الأوّل بالإقالة نَفَذَت الثانیة، والاّ لم تَنفُذ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لعدم الموضوع للإجارة الثانیة، فالإجارة الثانیة سالبة بانتفاء الموضوع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الاُجرة حینئذٍ لنفسه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الحکم بالصحّة فی ما إذا کانت الإجارة الاُولی مطلقة، وکانت الثانیة مقیّدة بالتعجیل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الإجارة بمجرّد عدم الإنصراف مشکل، فلا یُترک الاحتیاط، إلاّ مع ظهورهما أو ظهور أحدهما فی جواز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بطلانهما مع الاشتراط الفقهیّ محلّ إشکال، نعم، لو أوقعاها لإتیانهِ مباشرةً بَطَلاَ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أن یقال فی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صحّة الإجازة فرع سلطنته علی إیجار نفسه فی زمان العمل، لا فی زمان العقد؛ لأنّ الإجازة من شوءون سلطنته علی المال، وصحّة الإجارة الاُولی یرفع هذه السلطنة، فلیس له الإجازة کی یکشف عن بطلان إجارة نفسه سابقاً علی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خیار الفسخ للمستأجَر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هو تخیّر المستأجَر بین الفسخ وعدمه، فإن لم یفسخ أعطاه الاُجرة المسمّاة، وطالبه باُجرة مثل العمل المستأجَر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الاشتراط فی أمثال المقام یرجع إلی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الانفساخ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براءة ذمّة المنوب عنه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الفسخ بعد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الإطلاق منصرفاً إلی التعجیل کان راجعاً إلی التوقیت، وإن لم یکن منصرفاً إلیه لم یجب التعجیل إلاّ مع المطالبة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أنّ المراد من إطلاق العقد لو کان إطلاق المتعلّق والمراد من اقتضائه التعجیل وجوب ردّ کلّ مملوکٍ إلی مالکه، وإن لم یطالبه فوراً ففوراً صحّ ما ذکره من أنّ الفوریة لا تستلزم التوقیت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لو کان المراد من اقتضاء إطلاق العقد التعجیل اقتضاء عقد الإجارة إذا کان مطلقاً کون المتعلّق أوّل الوجود من العمل فی أوّل أزمنة إمکان تسلیمه کان مقتضی التأخیر انفساخ الإجارة، وکان الفور بهذا المعنی عین التوقیت، وإن کان المراد من اقتضاء إطلاق العقد التعجیل بناء العرف علی تسلیم المستأجَر علیه للمستأجَر أوّل أزمنة إمکان التسلیم بحیث کان الإطلاق مُنزَّلاً علی هذا البناء ومشروطاً بالالتزام الضمنیّ المعاملیّ کان مقتضی التأخیر خیار تخلّف الشرط، والّذی یُسهِّل الأمر أنّ اللازم مراعاة ما فی الخارج عملاً وبلداً ومن حیث القرائن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الإطلاق منصرف إلی التعجیل وکاشف عن إرادته فالبطلان دائر مدار کونه علی وجه التقیید وعدمه، وهکذا حکم الوقت إن کان تعیین الوقت من باب تعدّد المطلوب لا یُحکَم بالبطلان، بل بالخیار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البطلان محلّ نظر لو کانت الفوریّة المستفادة من انصراف التعجیل ملحوظة علی نحو القیدیّة، ولو کانت علی نحو الاشتراط فله خیار تخلّف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ثبوت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تقییده بمباشرة المؤجر له، وأمّا مع عدم تقییده بذلک فتصحّ الإجارة الثانیة  مطلقاً، من غیر توقّفٍ علی إجازة المستأجر الأوّل، بل لا یبعد أن یقال فی صورة التقیید بالمباشرة فی کلتا الإجارتین ـ کما هو المفروض ـ بصحّة الإجارة الثانیة مع إجازة المستأجَر الأوّل؛ لکون الإجارة الثانیة واردةً علی متعلّق حقّ المستأجر الأوّل، وکذا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ظاهر؛ إذ بعد وقوع الإجارة الاُولی علی العمل فی الذمّة فمع عدم تقییده بمباشرة المؤجَر له لا تزاحم الإجارة الثانیة مطلقاً، وتصحّ بلا حاجةٍ إلی إجازة المستأجَر الأوّل علی کلّ تقدیر، ولو قُیِّد بها کانت الإجارة الثانیة حینئذٍ مع تقییدها أیضاً بذلک ـ کما هو المفروض هنا ـ واردة علی متعلّق حقّ المستأجَر الأوّل باعتبار شرطه، فتصحّ بإجازته لا محالة، کما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الوقوع علی متعلّق حقّه وإن لم تقع علی ماله، وسیأتی منه رحمه‌الله أنّ المناط فی صحّة الإجازة هو التصرّف فی متعلّق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ولکنّها وقعت علی متعلّق حقّه، وله الإجازة، ولازم ذلک سقوط المباشرة، أو التعیّن فی الوقت المعیّن المفروض اعتبارهما فی الإجارتَین، وإلاّ لا مزاحمة بینهما، ولا یحتاج إلی الإجازة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الکتابتی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ملک منفعة الکتابة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مورد الإجارة أعمّ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الکتابة لعمرٍو متعلّق حقّه فی الفرض الّذی فرضه، وهو ملکیّته لمنفعته الخیاطیّ حتّی یُجیز ویکون تصرّفاً منه فی متعلّق حقّه، ولعلّه سهو من قلمه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متعلّق الإجارة الاُولی مطلق منفعته، أو منفعته الکذائیّة، أمّا لو کان عملاً فی ذمّته وشرط علیه مباشرته فترجع إجازته إلی إسقاط هذا الشرط، وتکون الاُجرة حینئذٍ للموءجَر، وتبقی ذمّته مشغولة له بنفس العمل المعرّی عن قید المباشرة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صورة الاشتراط أیضاً؛ بناءً علی ثبوت الخیار للمستأجَر، کما هو المفروض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 نّه الأوجه فی الإجارات المتعارفه، إلاّ مع التصریح بتقیید الإجارة بالإتمام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أنّ التعلیل علیل، وأنّ مجّانیّة عمل الأجیر الّتی هی مختاره ـ وسیصرّح به ـ ضعیف سخیف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قریباً أنّ المدار لیس علی الفائدة وعدمها، وعلی فرضه فالفائدة حاصلة، ولا أقلّ من الأجر وعمل المسلم محترم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قبیل الانفساخ فی أثناء الأعمال الموزّعة اُجرتها علی أبعاضها مع وحدة الغرض وبساطته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احترام عمل المسلم لا یستلزم بنفسه، بل الضمان یتفرّع علی الید أو الإتلاف إن لم یکن فی البین إجارة مُضمِنة للمسمّی، أو أمر معاملیّ مُضمِن للمثل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إذا لم یکن عمداً فی الموجبات المطلقة، خصوصاً إذا لم یَسَع مال الإجارة أدّاها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انصرافٍ فی البین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الکلام فیه فی المسألة الخامسة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کون المستأجَر علیه حالیّاً، لا استقبالیّاً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لهذا النفی؛ لأنّ الإطلاق 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فیه اقتضاء التعجیل بمعنی انصرافه إلیه، وإنّ له وجهاً عند العرف إلی إرادة التعجیل فالأجیر ملتزم بالتعجیل، ویجب علیه الفور، والفور عبارة اُخری عن التعجیل، کما عبّر عن التعجیل بالفوریّة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 الفوریّة لیست توقیتاً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بوجوب التعجیل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معنی اقتضائه أ نّه موضوع حکم العرف والشرع علیه بالتعجیل یجب علی الأجیر الإتیان فوراً أیضاً، 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یقتضی شیئاً بل الإطلاق موجب لتحقّق الماهیة لا بشرط ففی مثل المقام تحقّق ملکیّة المستأجَر للعمل بلا قید یرجع إلی القواعد، وقاعدة سلطنة المالک علی ماله تقتضی إجابة المالک فی تسلیم ماله الّذی هو العمل، وللمالک سلطنة علی ماله إن لم یکن هاهنا حکم آخر فی خصوص المورد، وهذا هو الوجه فی البیع، ولا ربط له بالإطلاق،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إطلاق الإجارة یقتضی التعجیل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الفوریّة، کماء الشعیر من الحنطة، والصحیح من العبارة لمعنیً غیر صحیحٍ فی المقام مختار عنده إطلاق الإجارة لا یقتضی التعجیل، لکن إن طالب المستأجَر العمل ومبادرته یجب إجابته بمقتضی السلطنة علی ماله وهو العمل، کما هو کذلک فی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بالنسبة إلی تلک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خبر دالّ بمفهوم التعلیل علی استحباب الردّ إن کانت نفقته واسعة ولم یقتِّر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مسمع للصادق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أعطیتُ الرجلَ دراهمَ یحجّ بها عنّی، ففضل منها شیء فلم یردّه علیّ، فقال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له، لعلّه ضَیَّقَ علی نفسه فی النفقة لحاجته إلی النفقة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حکم تبعّض الاُجرة بالنسبة إلی ما أتی به من الأعمال فیظهر من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زرارة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المتضمّنة للسؤال عن حکم المُحرِم الغاشی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ینقل الخبر من أوّله الوارد فی النائب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عدم کون الثانی تدارکاً للأوّل، بل کان عقوبة 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نختاره وفاقاً للمتن فی الفرع الآتی،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الواجب علیه أن یأتی بالحجّ الثانی تعبّداً فیکون لنفسه، ولا یقصد به النیابة، أمّا علی القول الثانی فالحکم به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ظهور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فإنّه لم یدلّ دلیل علی أ نّه عوض شرعیّ تعبّدیّ عنه بهذا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بالحجّ من قابل لا یستلزم کونه عوضاً شرعیّاً وإبقاءً للإجارة تعبّداً عمّا وقع علیه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وفاقاً للماتن قدس‌سره أنّ الأقوی صحّة الحجّ الأوّل، وأنّه یستحقّ علیه الاُجرة کاملةً، والحجّ الثانی إنّما وجب علیه عقوبة لِما اجتُرِح فی حجّه، فیکون لنفسه، لا للمنوب عنه، ولکنّنا إذا أغضینا عمّا تقدّم ففی هذا القول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لا یخلو من قوّةٍ علی تقدیر القول ببطلان الأوّل بالجماع، لکنّ الأقوی هو عدم البطلان، کما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ظهور للأخبار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منه قدس‌سره أنّ ذلک هو الأظهر، وإن کان فی الأظهریّة نظر جدّاً، کما أشرنا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لعدم مساعدة الدلیل علیه بعد إطلاق وجوب الوفاء بالعقد، نعم، غایة ما فی الباب أنّ له الامتناع عند امتناع الموءجَر، وربّما یختلف ذلک مع ما اُفید فی النتیجة الآتیة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التفصیل فی کتاب الإجارة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یملک المستأجر المنفعة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إذا تعارف ذلک بین الناس فیکون إذناً، کما یأتی منه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قدرة الأجیر علی العمل لیس مجوّزاً لفسخه، نعم، إن کان المتعارف إعطاء اُجرة الحجّ کلاًّ أو بعضاً قبله بحیث یکون إطلاق العقد منزّلاً علیه ومُنِعَ منها کان له الفسخ بذلک، تعذّر علیه الحجّ أم لم یتعذّر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فإنّ عدم القدرة علی العمل المستأجَر علیه یوجب الانفساخ، لا الفسخ، نعم، للمستأجَر أن یدفع الاُجرة إلیه فیمکّنه من العمل، وله عدم الدفع فیعجز عن العمل وتنفسخ الإجارة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علی المتعارف بالالتزام الضمنی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دفع ما یتعارف، إن کلاًّ فکلاّ، وإن بعضاً فبعضاً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کون الإجارة الثانیة بالأقلّ إلاّ مع الإتیان ببعض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روایة الرواسی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ظهور مُعتدّاً به لها فی الإجارة، بل ولا کون الحجّة للمعطی، فلا یبعد حملها علی إعطاء شیءٍ لیحجّ لنفسه استحباباً فیدفعها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جواز العدول، والإجزاء عن المنوب عنه إذا لم یکن عن تقصیر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 ممنوع، بل الظاهر الإطلاق، ولازمه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القول بالإطلاق وجواز العدول ظاهره کون المأتیّ به بدلاً عمّا فی ذمّته من حجّ الغیر تمتّعاً فلا وجه؛ لعدم مبرِّئیّته لذمّة الغیر، وإن کان فی استحقاقه الاُجرة حینئذٍ إشکال تقدّم منّا علی خلاف مختاره فی نظره، ولکنّ الأحوط عدم الاکتفاء به فی فراغ ذمّة المنوب عنه خروجاً عن 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مجال لأن یمنع عن العدول، والأظهر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الإجزاء، والأحوط العدم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دلیل عدم الإجزاء، ویردّه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بدل ما علی المیّت بعد فرض إطلاق دلیل العدول،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ولأ نّه غیر العمل المستأجر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عدم استحقاق الاُجرة علیه، ویردّه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الإجارة لو کانت علی تفریغ الذمّة ـ کما تقدّم فی مسألة موت الأجیر ـ فلا وجه؛ لعدم استحقاق الاُجرة بعد حصول التفریغ، 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اختلاف أنحاء الامتثال لا یضرّ باستحقاق الاُجرة، فلو کان أجیراً لإتیان الصلوات الرباعیّة ثمّ شکّ فی بعضها بین الثلاث والأربع مثلاً وأتی برَکعتَی الاحتیاط جالساً ثمّ تبیّن نقص الصلاة برکعة لا یمکن أن یقال بعدم الاُجرة؛ لأ نّه غیر ما استُؤجِر علیه، کما لا یمکن القول بعدم الإجزاء، ولازم هذا الوجه استحقاق الاُجرة ولو کانت الإجارة علی نفس الأعمال فی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والإسقاط کلاهما محلّ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الملازمة بین جواز التبرّع وسقوط وجوب الاستنابة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إجراء حکم الحَیّ علی المیّت فی هذه الجهة؛ لوحدة المناط،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ذلک من الأعذار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 السبزواری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العبارة نوع اغتشاش، کما لا یخفی، فحقّ العبارة أن یکون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ففیه منع، لا مجرّد إشکال،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الأقوی فیه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غلط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الأقوی فیه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غلط الناسخ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للنیابة، ومن تلک الروایات خبرا هشام بن الحکم ومحمّد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المرویّان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الإشکال منّا ومن الماتن قدس‌سره فی وجوب استنابة الحیّ المعذور فی غیر حجّة الإسلام، ویصحّ الفرض إذا أراد أن یستنیب لِما علیه من الحجّتین احتیاطاً، فیجوز له أن یستأجِر لهما أجیرَین فی عامٍ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الإشکال فی جواز الاستنابة للحجّ النذریّ عن الحیّ المعذور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إتمام أعمال الحجّ منهما فی زمان واحد، وأمّا إذا کان قد سبق أحدهما بالإتمام کان هو حجّة الإسلام، وکذا الحکم فی الصلاة عن المیّت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کان فی تحصیل الفراغ متقارِبَین، وإلاّ فیلغوا المتأخّر، فتجیء فیه شبهة سفهیّة المعاملة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لکنّهما یراعیان التقارن فی الخَتم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المسألة الثانیة عشرة من فصل الحجّ الواجب بالنذر أنّ أخذه من الأصل مشکل، والأحوط أخذه من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الوصیّة لا تقتضی الخروج من الأزید، فلا ینافی اقتضاء الدینیّة له؛ لعدم معارضةٍ بین الاقتضاء واللا اقتضاء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الخروج من الأصل یختصّ بحجّة الإسلام، لا فی غیرها وإن کان مالیّاً علی الأقوی، نعم، فی الإفسادی فی حجّة الإسلام یراعی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الحجّ النذریّ یخرج من الثلث، وکذا الإفسادی، ویختصّ الخروج من الأصل بحجّة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وینطبق علیه عنوان الدَین حقیقةً، کما مرّ، وبحکم الآیة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عَلَی النَّاسِ حِجُّ الْبَیْتِ مَنِ اسْتَطَاعَ إِلَیْهِ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من الأصل، مع قطع النظر عن الإجماع وبعض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فی البدنیّ خروجه من الثلث،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خَبَرا عمّار والرضوی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الوصایا،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لسان التخصیص لسان التنویع کما فی ما نحن فیه فلا إشکال فی عدم صحّة التمسّک بالعامّ فی الشبهة المصداقیّة للخاصّ، نعم، لیس التخصیص بنفسه موجباً للتنویع ولو بالدلالة الالتزامیّة، فإن کان التخصیص إخراجاً لعنوانٍ یمکن التمسّک بالعامّ فی الشبهة المصداقیّة، نظیر إخراج الفاسق عن عموم وجوب إکرام کلّ 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یمکن التمسّک بالعمومات فی الشبهة المصداقیّة إذا کان التخصیص علی نحو التنویع، کما مرّ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عمّار، وقوله فی الرضوی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أوصی بماله کلّه فهو أعلم بما فعله، ویلزم الوصیّ إنفاذ وصیّته علی ما أوصی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فی نفسه ضعیف، فلا حاجة فی سقوط حجّیّته إلی التمسّک بالإعراض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ومعارض بما هو أقوی منه سنداً وأصرح دلالة، أمّا الرضویّ فلا اعتماد علیه بعد ما حُقِّق فی محلّه من عدم حجّیته، فالخبران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مطروحان، أو مُؤَوَّلان بحملهما علی کون التصرّف منجَّزاً، وحمل کلمة الوصیّة علی الاعتراف به، أو حملهما علی ما اُفید فی المتن، ونحوهما من المحامل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 نّه یمکن حمل الأحقّیّة بالنسبة إلی ما زاد عن الثلث علی الاقتضاء غیر المنافی، مع اشتراط نفوذ الوصیّة علی إجازة الورثة، لکنّه بعید، کمحتمل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غیر وجیه، خصوصاً بالنسبة إلی هذه الأزمنة، بل الانصراف ممنوع فی الخمس والزکاة أیضاً، إلاّ أن تکون قرائن توجب الانصراف والظهور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لاختلاف الحالات والأشخاص فی تلک الجهات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 له هذا الظهور،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یمکن أن یکون الإیصاء من باب الاحتیاط، وکذا فی الوصیّة بالخمس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ما یخرج من أصل الترکة إنّما هو الدَین والحجّ الإسلامیّ والنذریّ، لا مطلق الواجب، ولا مطلق الواجب المالی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بانتقال جمیع الترکة إلی الورثة، وأنّ علیهم أداء الدَین والحجّ مثلاً، وأمّا 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معادل الدَین والحجّ والوصیّة التملیکیّة لا ینتقل إلی الورثة، بل یبقی علی ملک المیّت، أو بحکمه ـ کما هو الأقوی ـ فیُستَصحَب بقاوءه علی ملکه، ویصرفه فیما علیه من الحجّ أو غیره، فالأصل الخروج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تفصیل لا یَسَعُه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ها هنا ینافی ما اختاره فی کتاب الزکاة، وقد قوّی هذه الدعوی هناک، کما أنّ إشکاله فی جریان قاعدة الحمل علی الصحّة ینافی ما اختاره هناک، والأقوی جریان الاستصحاب وعدم جریان القاعدة، فما ذکره هاهنا هو الموافق للقواعد مع تبدیل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منافٍ لِما تقدّم منه قدس‌سره فی المسألة الخامسة من ختام الزکاة، والأقرب عدم جریان 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المدار، وربّما کان ما صرّح به هنا مخالفاً لِما سبق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ولعلّه عدل عن ما صرّح به سابقاً من خلاف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لاقتضاء الأصل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دعوی الانصراف إلی البلدیّة، سواء کان فی الواجب أم المندوب إذا لم یصرّح بالمیقاتیّة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الحجّ الموصی به حجّة الإسلام فالظاهر تَعیُّن البلدیّة وتخرج من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أوصی بحجّة الإسلام من دون تقییدٍ لا یبعد انصرافها إلی البلدیّة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الأقوی فی غیر الحجّ الإسلامیّ کونه من الثلث مع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صرّح بها أم کان إطلاق کلامه منصرفاً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اللازم علی الوصیّ لو لم یرضَ الورثة بالأزید عن ما أوصی به، أو کانوا صغاراً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یجوز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مع عدم رضا الورثة، أو وجود قاصرٍ فیهم، بل وجوبه لا یخلو من قوّة، خصوصاً مع الظنّ بوجوده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عدم وجوب الفحص البلیغ،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الواجب علی المیّت أو المندوب الموصی به خاصّین، وقَصَدَ المتبرّع بتبرّعه ذَینَکَ الخاصّین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الواجب الخاصّ علی المیّت، وأمّا فی المستحبّ وغیر الخاصّ من الواجب فالأظهر عدم الکفایة، إلاّ إذا صار المندوب خاصّاً، أو تبرّع المتبرّع بذلک المخصوص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الموصی به واجباً خاصّاً تبرّع المتبرّع عنه بذاک الواجب، وأمّا إذا أوصی بحجٍّ مندوبٍ فلا یکتفی بتبرّع المتبرّع بحجّه ندباً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 محمّد رضا الگلپایگانی، السبزواری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التحرّی بالاقتصار علی أقلّ درجات الزیادة علیها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حجّة الإسلام 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علیها، وکذا فی العمل بالوصیّة، إلاّ إذا کان التأخیر سبباً لفوت الواجب أو الموصی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المبادرة إلی العمل بمقتضی الوصیّة فی المندوب غیر ظاهر، إلاّ أن یصرّح به الموصی، أو یکون التأخیر سبباً لضیاع الوصیّة، أو عدم إمکان العمل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 المبادرة إلی العمل علی طبق الوصیّة مع عدم کون مضمونها کذلک إشکال، کما هو ظاهر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الوصیّة مطلقة فلا یلزم التعجیل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وتلاحظ المسألة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یختلف باختلاف المقامات، وسعة ترکة المیّت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 نعم، إذا اختلف مَن یناسب المیّت فی المقادیر الّتی یأخذونها من الاُجرة أخذ بأقلّهم 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الأظهریّة ممنوعة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الإصفهانی، صدرالدین الصدر، جمال‌الدین الگلپایگانی، الإصطهباناتی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خبر محمّد بن الحسین المرویّ عن الباقر علیه‌السلام ، وروایة محمّد بن الحسن الأشعریّ المرویّة عن أبی الحسن علیه‌السلام ، المرویان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محمّد بن خالد المرویّ عن الباقر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لاعتبار مستنده، وإعراض المشهور غیر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قصور المستند؛ فإنّ محمّد بن الحسن الأشعری لم یرد فیه توثیق، ولم یثبت کونه وصیّاً لسعد بن سعد حتّی یستشهد به لوثاقته، مع عدم کفایة ذلک أیضاً فی الحکم بالوثاقة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والخبران المذکوران فی هذا الباب ـ مع کون الراوی نفسه ـ غیر دالّینِ علی کونه وصیّاً له لو لم یدلاّ علی عدمه، ومحمّد بن الحسین بن أبی خالد فی الروایة الثالثة مجهول، وظنّی أ نّه محمّد بن الحسن المتقدّم واشتبه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الأصل،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واشتُبِه فی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محمّد بن الحسن أیضاً ابن أبی خالد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یکرّر بمقدار وفاء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مفادّ وجه عدم جریان القاعدة فی أمثال المقام فی ذیل نذر الحجّ ماشیاً،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 المیقات، والأوجه حینئذٍ صرفها فی وجوه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صرفها فی وجوه البِرّ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أوسطُها أوسطُها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بهما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فلا تبطل، بل توءخَّر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النفی،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بالبطلان فیما کانت الوصیّة مقیّدة بالسنین، وعدم جواز التأخیر عن السنین المعیّنة لتقیید الوصیّة، وإن کان المرجوّ إمکان تحصیل الحجّ فیما یأتی بالمقدار الموصی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الزیادة من الثلث بمعنی وفاء الثلث بالزیادة من غیر مزاحم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تعیین المقدار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صحّت، وتُکَمَّل بها اُجرة المثل بالمقدار الممکن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إن أوصی بالبلدیّ لا علی وجه التقیید، ولم یفِ الثُلُثُ بمقدار ما أوصی فیجب استئجار المیقاتی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من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الواجب، وأمّا المندوب فاُجرته مطلقاً من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للحجّ المیقاتی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من المیقات، ثمّ المناط الواقع، لا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وفائها بالحجّ المیقاتی تُصرف فیه، ومع عدمه أیضاً تُصرف فی وجوه البرّ، من غیر فرقٍ بین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منع، کما أشرنا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بعض الأخبار أنّ هذا الحکم تعبّدیّ فی الوصیّة والوقف والنذر، ولا یلاحظ حال الموصی والواقف والناذر، فیراعی مقتضی الاحتیاط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صرف ما تعذّر مصرفه من الوصایا والأوقاف وشبههما فی وجوه البِرّ ثابت من الأخبار الکثیرة الواردة فی هذه الأبواب، ولا حاجة إلی إحراز تعدّد المطلوب بحسب قصد الموصی وغیره، نعم، منشأ هذا الحکم ظاهراً هو رعایة ما هو المُرتَکَز فی أعماق أذهانهم من تعدّد المطلوب ولو بحسب النوع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یدلّ علیه کما بیّنّا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کخبر محمّد بن الریّان المرویّ عن مولانا أبی الحسن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عن علیّ بن مزید، لا عن علیّ بن سوید، وهی ضعیفة لا تصلح للاستدلال بها، وتکفی القاعدة للحکم المذکور بعد ظهور حال الموصی، کما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تنافی وجود المال، أمّا البطلان لأجل حرمة المال المعیَّن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کان مخرج الوصیّة هو الثلث مطلقاً لم یظهر الفرق بین أن تکون الوصیّة بکلّ الثلث أو بعضه؛ کی یکون الأمر فی الأوّل أوضح، وفی الثانی محتاجاً إلی التکلّف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للخروج من أصل الترکة بعد خروج المصالَح علیه بالصلح عن ملک المصالِح حال حیاته، ولعلّ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لا یلاحظ التزام المتصالَح بالحجّ مالاً متروکاً من المیّت، أو یعامل معه معاملة أصل الترکة، ولزوم إخراج الحجّ عنه وإن کانت اُجرة الحجّ زائدة عن الثلث ولکنّ التحقیق أنّ الشرط وإن تعلّق بما یکون مالیّاً کالعمل ذی الاُجرة لیس بنفسه مالاً، وما یکون فی عهدة المتصالِح لیس إلاّ الشرط، وهو لیس ممّا یُترک ویُورث من غیر منافاة لما ذکرنا مع إرث حقّ الخیار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النزاع بین المحقّق وبین غیره صغرویّ؛ لاتّفاقهما علی أ نّه إن کان تملیکاً فعلیّاً بالشرط فهو من الأصل، وإن کان عهداً إلیه بالحجّ فهو من الثلث، وتُختلف کیفیة استفادة ذلک من ظاهر الکلام فی الموارد المختلفة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فی الجواب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الشارِط لا یملک علی المشروط علیه العمل المشروط حتّی ینتقل إلی الورثة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الإشکال فی غایة المتانة لو کان مدرک ردّ الوصیّة إلی الثلث الأخبار الخاصّة المشتملة علی الوصیّة؛ فإنّه لا یشمل عنوان الشرط الثابت فی المقام، وأمّا لو کان فی البین عمومات اُخر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المیّت لیس له من ماله إلاّ الثلث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فمثل هذه العمومات تضیّق دائرة الشرط، غایة الأمر خرجت منجّزاته بالأدلّة الخاصّة، بقی الباقی تحت المطلقات، شرطاً کان أم وصیّة، وحینئذٍ فما أفاده المحقّق القمّی قدس‌سره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جامع الشتات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مانع من أنّ تَملِکَه الورثة بالإرث کما تَملِکَه بالشرط أو الاستئجار بعد الموت، فلهم الإسقاط أو المصالحة حتّی فی الثلث، ولیس هذا وصیّة لتکون الورثة ممنوعة من الثلث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شرط الحجّ أو الصَرف فی مصرفٍ آخر بعد موته استیفاء منه بهذا الوجه، ویخرج عن موضوع الوصیّة وملک الورثة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مرجع الشرط المذکور إلی أنّ المُصالِح استوفی مال المُصالحة بنفسه فی حال الحیاة، ولم یترک شیئاً حتّی ینتقل إلی الوارث، فلا مَساسَ له بالوصیّة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للشکّ فی کونه مشمولَ ما ترک المیّت من حقّ فلوارثه، وکذا الکلام فی تالیه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اندراج هذا فی ما ذکره المحقّق القمّی رحمه‌الله ، فإنّ بشرطه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أصل النسخة،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بشرطه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إلی المُتمَلِّک بأن یصرف مائة تومانٍ الّتی هی مِلکُه فی ذمّته فی الحجّ عنه بعد موته، فیکون 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من الشرط خصوصیّة فی الثمن، فالثمن المائة تومان المصروف فی الحجّ عنه، أو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عنه المصروف فیه المائة تومان، فیجری فیه ما ذکره الماتن قدس‌سره من التعلیل، وإلاّ فلو کان المقصود من الفرض أ نّه ملّکه داره بمائة تومان وشرط فی ضمن العقد صرفه فی الحجّ فلا یتمشّی فیه التعلیل، ویصحّ ما ذکره المحقّق القمّی رحمه‌الله فی هذا الفرض؛ فإنّ الملکیّة حاصلة للمُتصالِح، والشرط بمنزلة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بصحّة هذا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قلنا بصحّة ذلک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محلّ العمل بالشرط بعد موت الشارط ولم یکن الشرط ممّا ینتفع به الوارث فهو لا یملک هذا الشرط، ولا یَثبُت له الخیار بتعذّره، وإنّما یَثبُت الخیار للحاکم الشرعی، ویصرف ما انتقل عن المیّت بعد الفسخ فیما شرط علی المفسوخ علیه، ولو زاد ففی وجوه البِرّ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الحقّ الّذی لا ینتفع به الوارث ولا یمکنه إسقاطه لا ینتقل إلی الوارث، بل الظاهر أ نّه باقٍ علی ملک المیّت، فإذا تخلّف المشروط علیه یفسخ الحاکم علیه بالولایة، ویصرف المال فیما شرط علی المشروط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یمکن إجباره بالعمل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تعذّر الشرط، وعدم التمکّن من الإجبار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به التفاوت بین اُجرة الحجّ ماشیاً وحافیاً، وغیرهما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التفاوت بین اُجرة الحجّ ماشیاً أو حافیاً، وبین اُجرته غیر ماشٍ أو حافٍ إن 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عدم وجوبه من الأصل، وکذا فی ما بعده من فروض وجوب الحجّ غیر حجّة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یخرج من الأصل، ویخرج من الثلث مع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لهذا التقیید إلاّ الاحتراز عن تحصیل الحجّ بالإحجاج، ولا مدخل لنذر الإحجاج فی وجوب الاستئجار عنه فی أداء الحجّ المباشریّ الواجب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کانا یخرجان من أصل الترکة علی تقدیر الثبوت، کالحجّ الإسلامی والحجّ الاستئجاری دون الواجب بمثل النذر،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الأولی التشبّث بقاعدة التجاوز؛ بناءً علی صدق المضیّ علی الواجبات الفوریّة وإن استشکلنا فیه فی بعض المقامات السابقة، وعلی فرض الجریان إنّما یجدی فی براءة ذمّة المیّت، لا فی صرف ما أخذه فیه، فیبقی المال الموجود فی عهدة وصیّ المیّت الآخذ للمال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الاعتماد فی مثل هذه الموارد علی أصالة الصحّة الّتی لا تثبت أکثر من کون المسلم لم یرتکب المعصیة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الصورة الاُولی أیضاً محلّ إشکال؛ لعدم جریان أصالة الصحّة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أقواهما عدم الضمان مع التلف؛ لأصالة عدم التفریط، نعم، مع احتمال بقاء العین لا یبعد جواز أخذ مقداره من ترکته ولو باحتمال کونه بدل الحیلولة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لأصالة بقائه علی المحقوقیّة للحجّ، وأصالة عدم ناقلٍ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منه فی المسألة السابقة التردّد فی الضمان، ولا فرق بین المسألتین، إلاّ أ نّه فی المقام التلف معلوم، والشکّ فی التقصیر، وفی السابقة التلف مشکوک، ولکن لا فرق فی جریان أصالة البراءة فی الفرضَین، والحقّ جریان التأمّل والإشکال فی کلا الفرضَین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حمل عمله علی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بسماع دعواه کونها بحیث لا یسمع معها کلام الورثة المنکرِین لِما ادّعاه بعد موته فالأقرب عدمه، وإن کان المراد جواز إنفاذ الوصیّ الوصیّة فی جمیع ما أوصی به فیما إذا لم یکن إنکار ومعارضة للورثة، کما إذا کانوا صغاراً فله وجه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بأقلّ من عشرة أمیال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حملاً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یظهر من بعض الروایات استحبابه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العلم بامتناع الورثة من الأداء، ولا یکفی الظنّ، إلاّ إذا کان معتبراً شرعاً کالبیّنة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احتماله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الاستئذان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الإلحاق محلّ إشکال، فالأحوط إرجاع الأمر إلی الحاکم وعدم استبداده به، وکذا الحال فی صورة الإنکار والامتناع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بامتناع الوارث من الأداء، کما تقدّم، ولا یکفی الظنّ إلاّ إذا کان معتبراً شرعاً کالبیّنة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شرعاً،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 الغیر الإسلامی منع،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علیه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بتقریب أنّ سوقها لحفظ الحقّ عن الضیاع، وتسلیط الشارع لمن بیده المال علی الخصوصیّة العینیّة الّتی هی ملک للورثة؛ ولذا ینصرف إطلاق الصحیحة عن مورد العلم أو الظنّ بقیام الورثة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هو المتعیّن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ضعیف؛ لانقطاع ملکه بالموت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الصرف متوجّه إلی الوارث فقط، فکیف یکون ذلک من باب الحسبة؟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لاوجه للضمان بعدُ ما لم یکن المال ملکاً للمیّت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استأذن منه بأ نّه إذا کان عندی مال لأحدٍ علیه حجّ فتُوفِّی وأدری أنّ الورثة لا یوءدّون، هل أصرفه فی الحجّ، أم لا؟ فأذِن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عند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عند الحاکم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صرفه بنفسه فی الفرض، وسقوط أولویّة الوارث بالإنکار، أو الامتناع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الأحوط؛ لاستطاعته بالنسبة إلیها فعلاً، ویأتی منه قدس‌سره فی الفصل التالی الاحتیاط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بظهور لفظه فی ذلک، ومعه لا یجوز التخلّف إلاّ مع الاطمئنان بالخلاف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موجب لهذا الاحتیاط، بل ربّما یکون فی بعض الموارد علی خلافه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لدلالة السُنَّة القولیة والفعلیة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یُستفاد من روایة حمران بن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مولانا الباقر علیه‌السلام وغیرها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المستحبّ لیس بمکروه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صفوان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عبداللّه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خَبرَی أبی حُذیفة والحسن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تدلّ علیه روایات، منها خَبَرا جابر وإسحاق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وکذا الموارد الّتی ذکرها کلّها ممّا ورد فیها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یناقش فی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سهم الفقراء إن کان فقیراً، أو من سهم سبیل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صحیحة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إعانة المضطرّین من السادة بها، فإنّها أفضل بمراتب کثیرة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خبر ابن أبی یعفور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یناقش فی الصدور والدلالة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الزیادة عن القصد، لا الإسراف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ظَلَمة الإمامیة بالظَلَمة المعتقدِین بمقامهم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التفصیل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شرائط الوجوب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بعض اُمور اُخری، کماء الوضوء والغُسل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 هذه المسألة صدراً وذیلاً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إذن الأبوَین شرطاً فی صحّة الحجّ الندبیّ، نعم، نهیهما مع بلوغ المخالفة إلی حدّ الإیذاء 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منه أ نّه مع کونه لنفسه من الأوّل یحسب عنه ویرجع ثوابه إلیه، ویحتاج إلی المراجعة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روایة 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النیابة فی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عدم الدلیل علی الفور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فی العمرة المفردة الّتی هی فرض حاضرِی المسجد الحرام، وأمّا العمرة المتمتّع بها إلی الحجّ فلا ریب فی توقّف وجوبها علی استطاعة الحجّ؛ لأ نّهما عمل واحد، وبه یظهر الحال فی المسألة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الإصطهباناتی، الشریعتمداری، محمّد الشیرازی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الإشکال فی صیرورة المنذور وشبهه واجباً، والأمر سهل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الحکم بوجوب الاعتمار؛ لاستلزام حرمة الدخول بلا إحرام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لِمَن دخلها بإحرامٍ وخرج منها بعد أن قضی نُسُکَه وأحلّ منه ثمّ عاد إلیها قبل مُضِیِّ 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لِمَن یدخلها فی الشهر الّذی أحلّ فیه من إحرامه السابق بعد قضاء نسکه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لِمَن عاد إلیها قبل مُضِیِّ شهرٍ من قضاء نسکه وإحلاله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مَن خرج وعاد إلی مکّة قبل مُضِیّ الشهر الّذی أدّی فیه نسکه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اختصاص کلّ شهرٍ بعمرة، فلا تصحّ عمرتان مفردتان عن شخص واحدٍ فی شهرٍ هلالیّ، نعم، لا بأس بالإتیان بغیر العمرة الاُولی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 غیر معلومة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فی نسخةٍ من التهذیب، مقروءً علی مولانا العلاّمة المجلسی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ذات 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أصل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وجّههما فی الوسائل بما یوافق روایتَی زرارة، وهو مع صدق دعواه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 بأنّ المقصود دون کلّ المواقیت، فإنّ أقربها إلی مکّة ذات عرق، وهو ثمانیة وأربعون 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والجواب فی صحیح زرارة وخبره المتقدّمَین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یدوران حول المراد من حاضِرِی المسجد الحرام فی الآیة الکریمة، فالّذی ینسبق إلی الذهن منهما أنّ مبدأ التقدیر هو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یتصوّر له مصداق خارجاً عرفاً، بل الحدّ أمر انتزاعیّ لیس له بنفسه خارجاً معنون عقلاً، ولو فرض وجوده فعلیه الاحتیاط للتنویع المستفاد من صحیح زرارة وغیره، ولا نسلّم وجود إطلاقٍ دالٍّ علی أنّ المجعول الأوّلیّ هو التمتّع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التخییر، وإن کان الأحوط له الجمع بتقدیم عمرةٍ وتأخیر عمرة، ونحو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وجوب الفحص تعبّداً فی الشبهات الموضوعیة مطلقاً، نعم، رفع الحَیرة عقلاً موقوف علی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یبعد، فیحتاط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المقام بالشکّ فی مقدار المسافة لیس فی محلّه؛ لأ نّه یجری هناک استصحاب الحکم، أی الإتمام، والموضوع أی عدم کونه مسافراً جمیعاً، وهاهنا لا موردَ للاستصحاب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أیضاً معلّق علی عنوان مَن کان أهله وراء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التنویع فی المقام مستفاد من الأدلّة، بخلاف باب القصر والتمام، حیث عرفت أنّ التمام لیس معلّقاً علی عنوان الحاضر، بل الخارج هو المسافر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التمتّع معلّق علی عنوان غیر الحاضر، وهو یثبت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مساغَ لهذا التنظیر بعد جریان الاستصحاب الموضوعیّ أو الحکمیّ فی المشبَّه به دون المشبَّه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یدلّ علیه النصّ 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إطلاق النذر، وأمّا القضاء فهو تابع لِما فاته بالإفساد، أو العصیان بعدم الإتیان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کونه مخیّراً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إقامة سنتین بمکّة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إطلاق لهما للحجّ الواجب حتّی یحتاج إلی الحمل علی الندبیّ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الذیل لا یکون قرینةً علی الصدر، وأمّا الإشکال علی الصحیحتین بأنّ النسبة بینهما وبین الأخبار المنوّعة لکیفیّة الحجّ عموم من وجه، فیتساقطان فی مورد المعارضة فمدفوع بحکومة الصحیحتَین علی تلک الأخبار، بجعل الخارج عن مکّة بمنزلة النائی، مع أنّ أفضلیّة التمتّع للمقیم فی مکّة أمر مفروغ عنه فی الحجّ المندوب، فلا مورد للسؤال عنه بالنسبة إلی مفروض السؤال، فضلاً عن جعل الإفراد له ندباً أفضل من التمتّع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وقول المشهور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ما علیه المشهور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ادُّعیَ الإجماع علیه، فإن لم یَثبُت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فإنّه لولا الإجماع المُدَّعی به فی المسألة فمقتضی القاعدة تَبَدّل الحکم بِتَبَدّل الموضوع وإن کان مستقرّاً، فلا تُترک مراعاة الاحتیاط لمن صدق علیه أنّ مکّة وطنه عرفاً، أو صار مکّیاً بحکم الشرع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لمعارضتها بالصحیحَین، فالمرجع إطلاق ما دلّ علی وجوب التمتّع لمن لم یکن أهله حاضِرِی المسجد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 نّها معارضة بالصحیحین فیجری فیها ما تقدّم، علی أنّ ما دلّ علی أ نّه بعد خمسة أشهر 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تُعتبر الإقامة بمقدار یصدق أ نّه وطنه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وجه وجیه، وهو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ذلک فی صورة عدم الانقلاب أیضاً، فتکفی استطاعته من مکّة فی وجوب الحجّ علیه إذا کان فیها وإن کان الواجب بها هو التمتّع، نعم، یعتبر حینئذٍ استطاعته لحجّ التمتّع، ولا تکفی استطاعته لحجّ المکّی دونه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بینهما یظهر بعد التأمّل فی ما سبق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الاشتراط بالنسبة إلی رجوعه فیما إذا کان عازماً علی الرجوع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له وجه وجیه، فلا یُترک الاحتیاط بالحجّ إذا استطاع من مکّة، والإعادة فیما لو استطاع بعد ذلک من بلده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لحجّ التمتّع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المدار فی ذلک حصول الاستطاعة للحجّ الواقع قبل مُضِیّ السنتین، ولا یکفی مجرّد حصول الاستطاعة قبل المُضِیّ إن کان الحجّ بعد سنتین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لإطلاق النصّ، وعدم ثبوت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یُعتبر حینئذٍ استطاعته لحجّ التمتّع، ولا تکفی استطاعته لحجّ المکّیّ 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حجّ قبل الدخول فی السنة الثالثة، وإن حجّ بعده فالأحوط الإتیان بالعمرة بقصد القربة المطلقة، والإحرام للحجّ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الإشکال فیه، ولزوم مراعاة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المدار علی إتیان الحجّ فی بَدوِ الاستطاعة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ثَبُتَ إجماعٌ علیه، وإلاّ ففیه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المدار فی وجوب التمتّع علی عدم صدق حاضِرِ المسجد الحرام، ومن أهل مکّة، أو أهل ما دون الحدّ، ونحو ذلک، سواء قصد التوطّن أو المجاورة بمکانٍ آخر، أم لا، طالت مدة خروجه من مکّة ستّة أشهر،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الاحتیاط فیه من جهة الدوران بین التعیین والتخییر، فتدبّر فیه وفی أمثاله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وفتح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من الإهلال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التلبیة، وأصل الإهلال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وکلّ رافعٍ صوته فهو 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محلّ الإهلال، أی إعلاء الصوت ورفعه بالتلبیة،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ومحلّه المیقات، والحاصل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أهل أرضه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فالحکم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نعم، لو تعذّر علیه الخروج إلی مُهَلِّ أرضه تخیّر بین المواقیت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التخییر بین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للمناقشة فی الصدور، أو فی الظهور، ونحوهما من الموهنات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المورد من باب الإطلاق والتقیید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 ذلک لأهل مکّة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ویجری فیه الاحتیاط المتقدّم ذکره، والمکّیّ یُجدِّد التلبیة فی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وللّه درّ العلاّمة الشیخ بهاء الدین العاملی الحارثی حیث أشار فی بیت واحد إلی أفعال عمرة التمتّع وحجّه وهو قوله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صلاة الظهر علی تفصیلٍ ذکرناه فی مناسک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تعیّن الحلق للصرورة، ومن عقص رأسه والملبّد، ویتعیّن التقصیر علی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بالتخییر بینهما وإن کان صرورة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وأمّا من جهة حرمة الصید فی الحرم فلا إشکال فی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حرمته من جهة أنّ صید الحرم حرام ولو علی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حَرُم لحرمة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 الشریعتمداری، محمّد رضا الگلپایگانی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 بروایاتٍ صحیحة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التأخیر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مقتضی الجمع الدِلالیّ بین الأخبار هو الاستحباب المؤکّد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سهو القلم، والصحیح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 للعمرة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اعتبار قصده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یُستظهر من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متعة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لاحتمال الإجزاء للحجّ الاستئجاری، ویُحتمل أن یکون ذکره من سهو القلم، وأمّا فی النذر فالحکم تابع لقصد الناذر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الأشهر 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 تعالی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أَشْهُرٌ مَعْلُومَاتٌ فَمَن فَرَضَ فِیهِنَّ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کالهدی فإنّه یجزی طول ذی الحجّة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وقت عمرة التمتّع موسّع إلی زمان یتمکّن من درک الحجّ فی هذه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ضعفه؛ لعدم وضوح دلالة الخبرَین، نعم، الأحوط إتمامها رجاءً، وعدم الاکتفاء بها عن العمرة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ضعیف، ودلالة الخبرَین غیر واضحة، لکنّ الأحوط إتمامها رجاءً، وعدم الاکتفاء بها عن العمرة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ظهور له فی مدّعی البعض، فالأحوط إتمامها رجاءً، ثمّ الإتیان بالعمرة الواجبة فی أشهر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القاعدة تقتضی خلافه، بناءً علی التحقیق من عدم اختلاف فی حقیقتهما، وأنّهما من قبیل القصر والإتمام فی باب الصلاة،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لعدم وضوح دلالة الخبرَین، لکنّ الأحوط إتمامها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 فیه، إن لم یَثبُت إجماعٌ تعبّدیّ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 له من الأدلّة قابل للمناقشة، ولکنّ اعتضاد بعض الأدلّة ببعض، والاحتیاط یقتضی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العمدة، وإلاّ ففی إقامة الدلیل علیه إشکال؛ إذ أدلّة ارتباط العمرة بالحجّ لا یقتضی وقوعهما فی سنة واحدة، کما لا یخفی علی من راجعها، ولا دلیل فی البین یوهم ذلک غیر هذه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التعلیل به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المراد بالشاة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ضعیف السند بمحمّد بن سنان علی الأصحّ، والعمدة فی الباب هی الشهرة الموءیّدة بدعوی الإجماع، وعدم الدلیل علی الصحّة مع توقیفیّة العبادة، وإلاّ فغیرها محلّ مناقشة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ولقاعدة الاحتیاط، بل واستصحاب عدم انعقاد الإحرام، وعدم حرمة المحرّمات بالإحرام من غیره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وإن کانت معتبرةً سنداً إلاّ أ نّها لمعارضتها مع ما تقدّم من الأخبار لا یمکن الاعتماد علیها، علی أ نّها مشوّشة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 نّه أفضل أمکنة الحجر، وإلاّ فهو من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بین مکّة وعرفات مع المراعاة الأقرب فالأقرب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الاکتفاء بإحرامه إذا کان حینه أیضاً غیر متمکّن من الرجوع إلی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 والظاهر أنّ صحیحة محمّد بن مسلم إنّما هی فی المستحبّ ممّا ورد فیه جواز التشریک بین الاثنین والجماعة، وسوق السوءال یشهد بذلک، فإنّ الظاهر أ نّه سُئل عمّن یحجّ عن أبیه، أیحجّ متمتّعاً، أوْ لا؟ فأجاب بأفضلیّة التمتّع، وإمکان جعل حجّه لأبیه وعمرته لنفسه وهو فی المستحبّات، وإلاّ ففی المفروض لابدّ من الإتیان حسب مافات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لزوم کونهما من واحد، وأمّا عن واحدٍ فلا، والاحتیاط طریق النجاة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لحاجة، وهو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والأقوی حرمة الخروج علیه قبل أن یُحرِم بالحجّ، وإن کان خروجه إلی ما دون المسافة، وله أن یحرم بالحجّ ثمّ یخرج إلی مقصده وهو مُحرِم حتّی یعود إذا کان یعلم أنّ خروجه لا یفوت معه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لو لم یکن أقوی ما علیه المشهور، فلا یخرج إلاّ 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الخروج بلاحاجة، ومعها یخرج مُحرِماً بالحجّ علی الأحوط، ویرجع مُحرِماً لأعمال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حرمته، إلاّ فی مورد الحاجة؛ للأخبار الناهیة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وعدم صلاحیّة المرسلة المرخّصة لرفع الید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لضعف سندها، مع إعراض المشهور عنها، علاوة عن قابلیّة تقییدها بصورة الحاجة کما هو الغالب، خصوصاً بقرینة الأخبار السابقة، وأمّا ما اشتمل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اُحبّ أن تخرج إلاّ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غیر متکفّل لحکم الخروج، بل متکفّل لبیان کیفیّته فی ظرف الفراغ عن جوازه ولو للحاجة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فحاله معلوم غیر صالح للمعارضة قبال سائر الظواهر، فحینئذٍ فالمشهور هو المنصور،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صحیحة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الرجل یتمتّع بالعمرة إلی الحجّ یرید الخروج إلی الطائف؟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یَهِلّ بالحجّ من مکّة، وما اُحِبّ أن یخرج منها إلاّ مُحرِماً، ولا یتجاوز الطائف، إنّها قریبة من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دلّت علی جواز الخروج مطلقاً ولو لم تعرضه حاجة، ودعوی أنّ الخروج فی هذا الموقع لا یکون إلاّ لحاجة لا محالة ممنوعة، وإذا أراد الخروج یکون الإحرام غیر واجب،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یتجاوز الطائف، إنّها قریبة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أنّ النهی إرشادیّ لا مولویّ، فهذه الصحیحة وإن دلّت بوجوهٍ علی خلاف قول المشهور ویمکن استفادة الإرشادیّة من بعض روایات الباب غیرها أیضاً ولهذا لا یبعد المصیر إلی قول الماتن، لکن لا یُترک الاحتیاط المتقدّم مع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 المحقّق عدم حجّیّة الکتاب المعروف، وللتفصیل مقام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محتمل ضعیف فی الغایة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ذلک من قوله فی صحیح الحلبی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یتجاوز الطائف، إنّها قریبة من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الظاهر من التعلیل أ نّه تعلیل لجواز التجاوز، وحینئذٍ یکون المنع عن التجاوز لعدم علة الجواز وهی القرب، ومن البدیهیّ أنّ القرب والبعد یؤثّران فی احتمال فوت الحجّ وعدمه، مضافاً إلی أنّ ذلک یظهر من عدّة روایات، فالأظهر أنّ النهی إرشاد إلی التحفّظ علی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الأخبار أ نّه إذا کان رجوعه بعد شهرٍ وجوب الإحرام تعبّداً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صحیحة حمّاد بن عیسی، عن أبی عبداللّه،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رجع فی شهره دخل مکّة بغیر إحرام، وإن دخل فی غیر الشهر دخل محرماً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 الإحرامَین والمُتعتَین مُتعته، الاُولی، أو الأخیرة؟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الأخیرة هی عمرته، وهی المحتبس بها الّتی وصلت بحجّته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فهذه تدلُّ علی أنّ العمرة الاُولی خرجت عن قابلیّة لحوقها بالحجّ، فیکون إنشاء العمرة بعد شهر؛ لِلحوقها بالحجّ وحصول الارتباط بینهما، ویحتمل أن تکون العمرة الثانیة موجبة لذلک، فلو لم یأتِ بها ولو عصیاناً بقیت الاُولی عمرة له، وعلی أیّ حالٍ لا یجوز الدخول بعد شهر بغیر إحرام فی غیر موارد الاستثناء، والأحوط أن یأتی بها بقصد ما فی الذمّة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ظهورِهِ ظهورٌ مُعتدٌّ به إشکال، فضلاً عن صراحته بحیث یوجب صرف النصوص الاُخر عن ظواهرها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العمرة لکلّ شهرٍ أجنبیّ عن حرمة دخول مکّة فی غیر شهر الخروج عنها إلاّ بإحرام، کما سیذکره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عمرة کلّ شهر، أمّا عمرة الدخول بعد شهر الخروج فهی واجبة؛ لإطلاق روایات وجوبها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الإحرام لدخول مکّة واجب إذا کان بعد شهره، وقد صرّح فی صحیحة حمّاد بن عیسی بأنّ العمرة الاُولی لاغیة ولا تکون عمرة التمتّع، وإنّما التمتّع بالعمرة الثانیة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حفص مصحّحة، لا صحیحة، لکنّها معتبرة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الحال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موجب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یخلو من قوّة؛ لأنّ استحباب العمرة فی کلّ شهر أجنبیّ عن حرمة دخول مکّة فی غیر شهر الخروج إلاّ بإحرام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 مقتضی خبر إسحاق ذلک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ذلک العمرة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بعید غایته، والاحتیاط برعایته ضعیف 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قویّ جدّاً وإن قلّ القائل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 نّه إن حُمل الشهر علی أحد الأشهر المعروفة لا تجری الاحتمالات الثلاثة؛ لأنّ مع کون الخروج فی ذی القعدة والدخول فی ذی الحجّة یستلزم کون الإهلال والإحلال أیضاً فی الشهر السابق، وإن جعلت المناط فی الوقوع فی ذی القعدة الإهلال فقط أو الإحلال یلزم کون الخروج والدخول کلیهما فی ذی الحجّة، ولسان الأخبار کون الدخول فی غیر شهر الخروج، بخلاف حمل الشهرین علی ثلاثین، فإنّ کون الدخول فی طیّ ثلاثین یوماً الّتی مبدوءها الإهلال أو الإحلال أو الخروج، وعلی أیّ حالٍ یصیر الدخول فی ثلاثین یوماً الّتی لوحظت، غیر الثلاثین یوماً الملحوظة مع الخروج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الاُولی لا تکفی حینئذٍ للتمتّع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الخروج مع الحاجة غیر الضروریّة إذا لم یتمکّن من الإحرام، أو کان حرجیّاً محلّ إشکال،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الخروج إلی حول مکّة عرفاً فلا إشکال، کما أ نّه لا إشکال إذا کان إلی الأمکنة البعیدة، وفی الموارد المشکوکة یجب علیه الإحرام إذا کان بعد الشهر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وکذا التحدید بخارج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 ما یصدق علیه الخروج من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والعمرة المفردة إذا بدا له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وظیفته التمتّع، وإلاّ فیقصد العمرة المفردة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ولو 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یتسَنَّ تحدید موضع التعلیقة تلک، ویحتمل أنّ موضعها علی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الإختیاری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السطر اللاحق؛ لأن المصنّف رحمه‌الله ذکر فی تعلیقته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ثمّ علّق علیها، فلاحظ</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بعید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الأرجح ثانیهما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 نّه الأقرب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الأراکی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خبر محمّد بن مسرور إشعار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ویعضدهما خبر محمّد بن مسرور، والقول بمقتضی هذه الأخبار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فیه؛ فإنّ بین مکّة وعرفة لیس أزید من أربعة فراسخ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ضعف سند المرفوعة، واحتمال کون المراد من الصحیحة ولو 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المتمتّع له المتعة إلی إدراک زوال یوم عرفه مع الناس، وأمّا خبر محمّد بن سرد فضعیف سنداً ودلالةً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الإتیان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مشروعیّة الحجّ مستقلاًّ ندباً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الأعمّ من إتمامها حجّ إفراد أو عمرة 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أقواها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مراراً عدم حجّیته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تعالیقه علی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وإن کان التخییر ـ وهو القول الثالث ـ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والشهرة علی فرض الترجیح بها هی شهرة الروایة، لا شهرة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هو التفصیل بین ما إذا کان الحیض أو النفاس قبل الإحرام فتُحرِم لحجّ الإفراد، فتأتی به ثمّ تعتمر عمرة مفردة، وبین ما إذا کانت حال الإحرام طاهرة ثمّ حاضت أو نَفُست ولم تتمکّن من الإتیان بالعمرة قبل الحجّ، فهی تتخیّر بین أن تعدل إلی الإفراد ثمّ تأتی بعمرة مفردة، وبین أن تسعی وتقصّر وتُحرِم للحجّ، وبعد أداء مناسک مِنی تقضی طواف العمرة، ثمّ تأتی بطواف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الروایة تُعیّن العدول فی الفرض الأوّل، ولا معارض لها، وأمّا الفرض الثانی ففیه طائفتان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إحداهما تعیّن العدول، وظاهر الثانیة المضیّ کما ذکر، والجمع العرفی بینهما قاضٍ بالتخییر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فإنّ کلاًّ من الطائفتَین نصّ فی جواز مدلولها، وظاهر فی تعیّنه، مثلاً ما دلّ علی العدول نصّ فی جوازه، ظاهر فی تعیّنه، وما دلّ علی الإتمام وقضاء الطواف بعد العود من مِنی نصّ فی جواز الإتمام، ظاهر فی تعیّنه، فتقدّم نصّ کلٍّ من الطائفتین علی ظاهر الآخر فینتج التخییر، والأقوی ذلک، إلاّ فی الصورة الّتی نُشیر إلیها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 فی وجه الجمع بأنّ التعیین بعد ما کان مقتضی الإطلاق فی کلٍّ من الأمرین فلا بأس برفع الید عن إطلاق کلٍّ بنصِّ الآخر فی الإجزاء بغیره، ولکنّ عمدة الکلام فی النافیة بعد إعراض المشهور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التفصیل بوجهٍ آخر،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إذا دَخَلَتْ مکّة یوم الترویة أو بعدها فی حالة الحیض کما هو مدلول صحیح جمیل تعدل إلی حجّ الإفراد، وکذا إذا حاضت قبل الإحرام، وهذا هو الأحوط، وفی غیر هاتین الصورتین تکون مخیّرة فی العدول أو الإتمام، کما قدّمنا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کروایتَی 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بزیع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نصف الطواف، علی ما یقتضیه الجمع بین النصوص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والأحوط الإتیان بطوافٍ بعد طُهرها بقصد الأعمّ من الإتمام والتمام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مَن جعل جدّة میقاتاً لأهل مصر، ومَن صعد من البحر لابدّ من توجیهه بإرادة محاذاتها للمیقات، وهو أیضاً غیر مستقیم؛ لأ نّه تحصل المحاذات لجحفة علی راکب البحر قبل وصول جدّة إن کان وارداً من بلاد المغرب، ویلملم إذا کان من طریق الیمن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ـ ولو من جهة التشکیک فی صدق الإحرام من خارجه ـ الإحرام من المسجد، وحینئذٍ یظهر من ذلک الإشکال فیما أفاد فی وجه تفویته الإحرام من خارج المسجد،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عبداللّه الشیرازی، الأراکی</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 ذکره من التعلیل نظر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فی غایة الضعف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المحاذاة مع القرب محلّ تأمّل،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 عبداللّه الشیرازی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وکذا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العدول عن الطریق ابتداءً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ویستثنی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أقام بالمدینة شهراً أو نحوه وهو یرید الحجّ، ثمّ بدا له فسلک غیر طریق مسجد الشجرة، فإنّه یُحرِم وجوباً عند محاذاة مسجد الشجرة من البیداء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ما بعده إشکال، فلا یُترک الاحتیاط فیهما، ولاسیّما فی الأخیر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وفی ما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 محاذیه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صدق التجاوز إذا أتی إلی ذِی الحُلَیفة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ترک الإحرام مع العبور من المیقات، مع عدم کون الخوف المذکور عذراً، کما هو الغالب فی 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ویصحّ إحرامها من المسجد فی حال الاجتیاز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یونس موثّقة لیس فیها إرسال، ولعلّ المراد من المسجد فیها مسجدالحرام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ومع إمکان صبرها یجوز لها أن تُحرِم فی حال الاجتیاز؛ لأنّ الاجتیاز جائز لها اختیاراً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الاجتیاز فی المسجد ذی الباب الواحد جائزاً لم یکن وجه للمنع عن دخولها المسجد بناءً علی المبنی الأوّل، وإن لم یکن جائزاً لم یکن لها الإحرام فی المسجد حال الاجتیاز، وکانت من ذوی الأعذار الّذین یؤخّرون الإحرام إلی الجُحفة، ثمّ إنّه بناءً علی الاختصاص بالمسجد لم یکن لها الإحرام من خارج المسجد جائزاً، ولو سلّم الجواز فلا معنی للتجدید فی الجُحفة، والتحقیق هو المبنی الأوّل، وعدم جواز دخولها المسجد للإحرام مجتازة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 یتعیّن التیمّم والإحرام من المسجد إن کان الدم منقطعاً، وإلاّ فإن أمکن الإحرام من المسجد مجتازاً تعیّن، وإن لم یمکن أخّرت الإحرام إلی الجُحفَة، والأحوط أن تُحرِم من خارج المسجد، ثمّ جدّدت من الجُحفَة؛ وبذلک یظهر الحال فی المسألة الرابعة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المتعیّن، ولا مجال للاحتیاط المزبور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استلزم اللبث، وإلاّ فلا یتعیّن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لا یمکن أن یُحرِم مجتازاً، وإلاّ فلا وجه لتعیّنه، وکذلک الحائض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میقات أهل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المنازل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قبله بستّة أمیال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جمال‌الدین الگلپایگانی، الأراکی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 البروجردی، عبداللّه الشیرازی، محمّد رضا الگلپایگانی، حسن القمّی، السبزواری، محمّد الشیرازی</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لا یؤخّره إلی ذات عرق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ترک ذلک وتأخیر الإحرام إلی ذات عرق، بل عدم جواز ما ذکره، وجعله أولی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فرض تحقّق خصوصیّة موجبة لها، وإلاّ فهم متّفقون علی جواز الإحرام قبل المیقات، والأحوط حینئذٍ الإفداء لِلِبس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لبس ثوبَی الإحرام علی الأحوط إن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الأحوط حینئذٍ الفدیة لِلِبس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الاحتیاط بالفدیة للبس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تحقّقت خصوصیّة توجب له مثل هذه التقیّة؛ فإنّ الظاهر اتّفاقهم علی جواز تقدیم الإحرام علی المیقات، وإذا أحرم ولبس المخیط کان علیه الفداء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یُفدِی لِلِبس المَخِیط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یُفدِی لِلِبس المَخِیط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الأحوط الفدیة للبس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المَهْیَعة ـ بسکون الهاء وفتح الیاء ـ کما فی السرائر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الیَرموم، والمَلَمْلَم والبَرَمْرَم والاَءرَمْرَم وغیرها أیضاً، والأشهر ما ذکره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ولمن یمرّ علی طریقهم إلی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المتداول بین الفقهاء وسماعنا عن مشایخنا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المنازل بسکون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بفتح الراء المهملة، واحتُجَّ بأنّ أُوَیسَ القَرنیّ منسوب إلیه، وهُوَ وَهُمْ علی وَهْمٍ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لأهل مکّة الجمع بین الإحرام من المنزل ومن الجِعرانة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مکّة یِحرِمون للحجّ مطلقاً منها، والأحوط لهم فی حجّ الإفراد والقِران الإحرام من أدنی الحِلّ، وأمّا إذا أراد أهل مکّة التمتّع فیُحرِمون من أدنی الحِلّ للعمرة، والمجاور یُحرِم لِحَجِّ الإفراد والقِران من أدنی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یخرجون إلی الجِعرانة فیُحرِمون منها، وکذلک المجاور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روایتا عبدالرحمان بن الحجّاج، وسالم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مکان بینه وبین مکّة ثلاثة أمیال، وبها قُتِلَ العلوی الشریف الحسین بن علی بن الحسن المثلّث، ابن الحسن المُثنّی، ابن الإمام أبی محمّد الحسن السبط علیه‌السلام ، وقُتِل معه جماعة من آلِ أبی طالب وغیرهم، وتُعَدُّ تلک الواقعة الکارثة من رزایا آل الرسول صلی‌الله‌علیه‌و‌آله ، فراجع فی تفصیل ذلک إلی کتاب مقاتل الطالبیّین لأبی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 لأبی الفرج الإصفهانی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حجّ التمتّع فمیقاته مکّة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المحاذاة فی غیر مورد النصّ وهو مورد خاصّ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اختصاص ذلک بمحاذاة مسجد الشجرة، مقیّداً بکون الإحرام من مسیرة ستّة أمیال، وکون المحرم مقیماً فی المدینة شهراً، وهو عازم علی الحجّ؛ لاختصاص النصّ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واحدة لکنّها مرویّة باختلاف فی بعض الکلمات، والأحری أن یقال بدل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صحیحة ابن سنان ومرسلة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الاختصاص بملاحظة أنّ مسجد الشجرة له خصوصیّة، 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السنّة فی الإحرام منه أن یفرض الحجّ فی المسجد ویوءخّر التلبیة إلی البیداء، وهی خصوصیّة لیست لسائر المواقیت، فلا یبعد أن یکون الاکتفاء بالمحاذاة خصوصیّة له، وعلی فرض التنزّل فالمحاذاة المعتبرة لابدّ أن تکون مثل ذلک المقدار ممّا یمکن للشخص روءیة المحاذی له، لا بمقدار مسافة بعیدة کعشرین فرسخاً أو أکثر، وعلی هذا فلا مجال للکلام فی سائر خصوصیّاتها الّتی فی المتن، ومع ذلک ففی کلامه مواضع للنظر لا موجب للتعرّض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ممنوع جدّاً، فالأقوی اختصاص الحکم بمحاذاة مسجد الشجرة، کما هو ظاهر الصحیحین، ویختصّ الحکم أیضاً بمن أقام بالمدینة شهراً أو نحوه، وهو یرید الحجّ ثمّ بدا له أن یحجّ علی غیر طریق مسجد الشجرة، أمّا غیره فلابدّ له من قصد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صحیح ابن سنان تضمّن وجوب الإحرام من محاذاة مسجد الشجرة، وهو أبعد المواقیت عن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وتتحقّق المحاذاة بکون الحاجّ مع أقرب المواقیت إلیه واقعَین علی محیط دائرة مرکزها مکّة زاد اللّه فی شرفها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صدرالدین الصدر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محرّفة، وصوابها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وبین مکّة بقدر ما هو بین ذلک المیقات ومکّة، ومحصّل وجهَی المتن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المحاذی له موضع من الطریق، لو فرضنا دائرة تکون مکّة علی مرکزها ویمرّ محیطها بالمیقات لَمَرَّ بذاک الموضع أیضاً، ویلزمه ما ذُکر فی الوجهَین، لکنَّ الظاهر کفایة المحاذاة العرفیّة، وهی أوسع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إجمال، ولعلّ المراد أن یکون الخطّ من موقفه إلی مکّة کأقصر الخطوط من مکّة إلی المیقات، مع وحدة الجهة أو صدق المسامتة عرفاً؛ کی لا ینتقض بالجهة المعاکسة لجهة المیقات بالنسبة إلی مکّة،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المدار علی صدق المحاذاة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 غیر متّجه، فإنّ اللازم إمّا الاکتفاء بالمحاذاة العرفیّة فیسقط الکلام الأوّل، أو الحقیقة الهندسیّة فیسقط الثانی، ثمّ إنّ الاکتفاء بالمحاذاة إنّما هو فی صورة عدم إمکان الإحرام من أحد المواقیت، لخوفٍ أو مرضٍ أو مشقّةٍ أو ضیق وقت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المیقات علی یمینه أو شماله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المیقات علی الیمین أو الشمال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ویُفهَم من صحیحة ابن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مدار المحاذاة علی تساوی نسبة الموقف والمیقات بالإضافة إلی المدینة الّتی هی المخرج، وربّما یقتضی ذلک اختلاف نسبتهما إلی مکّة جزماً،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فی ناحیةٍ یکون ذلک المیقات میقاتاً لأهلها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إلی إجراء هذا الأصل إلی إثبات المحاذی، بل لنفی التکلیف الزائد، وأ نّه لا یلزم إنشاء الإحرام بالمحاذاة لمن لم یتمکّن منها، بل یمکن الاکتفاء بالإحرام من أدنی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 هذا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الأقرب إذا لم تتمّ شرائط البیّنة،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المحاذاة مختصّة بمسجد الشجرة لمن أقام بالمدینة شهراً أو نحوه وهو یرید الحجّ، ثمّ بدا له فسلک غیر طریق مسجد الشجرة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 جوازه مطلقاً، ومنه یظهر الحکم فی ما یأتی من المتفرّعات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العلم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إحرامه قبل الحرم، أو لم یمکن له الرجوع إلی خارج الحرم، وإلاّ فیرجع إلی خارج الحرم فیُحرِم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تصویره؛ حیث إنّ المواقیت لیست کما ذُکِر؛ لأنّ ذا الحُلَیفة والجُحفة فی شمال الحرم علی خطٍّ واحدٍ تقریباً، والعَقیق بین الشمال والمشرق، وقرن المنازل أکثر من ثلاثة أثمان الدورة، وبینها وبین الجُحفة قریب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علی أ نّه تقدّم منه أ نّه لا تکفی المحاذاة إذا کان بعیداً من المیقات، فبناءً علیه تصویره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اعتبار عدم البعد جدّاً من المیقات فی صدق المحاذاة کان لتصویر المرور علی طریقٍ لا یکون فیه میقات، ولا محاذاة بمکانٍ من الإمکان، فإشکال صاحب المستند علی الأصحاب بعدم فائدةٍ فی هذا الفرض بعد ما کانت المواقیت محیطةً بالحرم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الإشکال علیه فی ما أفاده من إحاطة المواقیت بالحرم؛ إذ لیس الأمر کذلک فی غیر محلّه، فتأمّل فی المقام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هذا و ما تقدّم منه قدس‌سره من اختصاص المحاذاة بموارد الصدق العرفیّ تهافت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کذلک، وإن صحّت المحاذاة لمن قصد الحرم فی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یعلم أ نّها محیطة بالحرم علی وجهٍ یحاذی أحدها قبل أن یدخله، وکیف کان فلو عَلِمَ بتحقّق محاذاةٍ کذلک وشکّ فی موضعه فقد تقدّم أ نّه بالنذر یحرم من أوّل مواضع احتماله، ولا إشکال فیه، أمّا إذا لم یعلم ذلک فإن أمکنه الإحرام من مُهَلٍّ أرضه فالأحوط تعیّنه، وإلاّ فالأحوط الإحرام من أیّ میقاتٍ أمکنه، ومع تعذّره فمن أدنی الحِلّ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معلوم، بل الظاهر عدمه بالمعنی الّذی ذکرنا للمحاذاة، وهو کون المیقات علی یمینه أو شماله حین توجّهه إلی مکّة، ولکن فی صورة عدم مروره علی المیقات ولا محاذاته له فالحکم ما ذکره فی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الأحوط الإحرام من مُهَلِّ أرضه إن أمکن وتجدیده، وإلاّ فَمِن إحدی المواقیت، وإلاّ فمن أدنی الحِلّ، والأحوط منه الإحرام المنذور، ثمّ التجدید فی أدنی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علیه العبور من أحد المواقیت والإحرام منه، ومع عدم الإمکان فمن الأقرب منه، ثمّ الأقرب إلی أدنی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یجوز قطعه بل الدخول فیه إلاّ مُحرِماً هو الحرم خاصّة، وأمّا قبله فلیس لِما یدلّ علی حرمة قطعه بدون الإحرام مطلقاً، ولا لکون المساواة أیضاً کالمحاذاة بمنزلة المرور بالمیقات عین ولا أثر، فلو لم ینذرِ الإحرام ممّا یساوی المیقات فالظاهر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یجوز قطعه بل الدخول فیه إلاّ مُحرِماً هو الحرم خاصّة، وأمّا قبله فلیس لِما یدلّ علی حرمة قطعه بدون الإحرام مطلقاً، ولا لکون المساواة أیضاً کالمحاذاة بمنزلة المرور بالمیقات عین ولا أثر، فلولم ینذرِ الإحرام ممّا یساوی المیقات فالظاهر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منشأ لهذا الاحتیاط، سوی الخروج عن شبهةِ خلافٍ ضعیف، وتتوقّف مشروعیّته علی نذر الإحرام من المساوی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کان بمکّة وأراد العمرة، ومَن أتی دون المواقیت غیر قاصدٍ لدخول مکّة، ثمّ بدا له أن یعتمر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النصوص علی الأفضلیّة فیها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 لابن إدریس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بئرٍ فی خارج الحرم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الحُدَیْبِیّة بالتخفیف والتثقیل، ونقل عن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نّها بالتخفیف عند أهل اللغة، وبالتشدید عند أهل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البحّاثین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علی نحو مرحلة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بفتح الجیم وکسر العین وتشدید الراء المهملة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صلی‌الله‌علیه‌و‌آله أمر عبدالرحمان أخاها بإعمارها من ذلک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یظهر وجهه بالمراجعة إلی الخوارط، سیّما الفضائیة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بعد ملاحظة الخوارط لهذه الأقوال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أتی من الخارج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بالتفصیل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منزله أقرب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عبداللّه الشیرازی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الاستمرار بهذا المعنی، أی کونه لابساً ثوبَی الإحرام باقیاً علی النیّة بالتوجّه، والالتفات التفصیلیّ، والاشتغال بالتلبیة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لأنّ الإحرام عمل تعبّدیّ، ولابدّ وأن یکون مأموراً به شرعاً، والشارع لم یأمر به مطلقاً، بل هو عبادة حینیّة، والاستثناء الوارد فی الأخبار کاشف عن التوسعة الشرعیّة فی هذا العمل التعبّدیّ، ورفع المحدودیّة بحدّ المیقات حال النذر، وکذا الحال بالنسبة إلی نذر الصوم فی السفر، ونذر الإحرام فی العمرة الرجبیّة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لأجله، أو لعنوانٍ ملازمٍ له، أو غیرهما من الوجوه المحتملة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کفایة ذلک المقدار نظر؛ ولذا لا تجری بنذر ما لا یکون راجحاً فی غیر مورد النصّ، ولو لم یکن مرجوحاً أیضاً فلا محیص من الالتزام بتخصیص ما دلّ علیرجحان سابق علی النذر بمثل المقام المنصوص، ولا یتعدّی منه إلی غیر مورد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بعید، فلا یُترک الاحتیاط بترک العهد والیمین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غیر بعیدة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العمد غیر صافٍ عن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صحیحةً محلّ تأمّل، نعم، هی حجّة معتبرة؛ لتردّدها بین الصحیحة والموثّقة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صحیحةً علی اصطلاح المتأخّرین خلاف ما فی کلمات أهل الرجال فی حقّ إسحاق، فالروایة موثّقة، نعم، إطلاق الصحیحة لعلّه لِمَا أفاده بعض المحدّثین فی حقّ إسحاق، وفیه تأمّل، أو بإرادة الصحّة القدمائیّة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فیه التعلیل فی الصحیح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الأظهر عدم الاختصاص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جواز المجاوزة عنها إذا کان أمامه میقات آخر أو محاذاة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لابأس بترکه، إلاّ فی مورد النصّ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مسجد الشجرة فی صورة 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إلی میقات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یظهر من بعض الأخبار أنّ الإحرام للحرم، ولم یتحقّق إجماع علی عدم وجوبه لدخول الحرم، فلا یُترک الاحتیاط، نعم، إذا لم یرد دخول الحرم لا یجب علیه للعبور من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 یخرج من الحرم ویُحرِم منه، ومع عدم إمکانه یُحرِم من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صحّته، لکن لو أمکن الرجوع إلی المیقات فلیرجع ویُحرِم منه، وإلاّ فیُحرِم من مکانه إن کان خارج الحرم ولو کان أمامه میقات آخر، وإن کان فی الحرم وأمکن أن یرجع إلی خارج الحرم رجع إلیه ویُحرِم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أداوءه فی سنَةٍ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ذلک فی صورة دخول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ظاهر بعض الأخبار کونه لشرف الحرم، وإن کان شرف الحرم لشرف المسجد، وشرف المسجد لشرف البقعة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للقضاء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الأظهر، فإذا تعذّر العود إلی المیقات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استطاع الخروج من الحرم وجب علیه الإحرام من خارج الحرم، وإلاّ أحرم من مکانه وأتمّ حجّه، والأحوط قضاؤه من قابل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إثبات البدلیّة فیه بإطلاق روایة الحلبیّ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للتارک عمداً؛ جمعاً بینه وبین مطلقات اعتبار المیقات فی الإحرام بالحمل علی مراتب المطلوبیّة، الّتی لا یجوز التجاوز عن الأعلی منه إلی الأقصی مهما أمکن، لکن مع التجاوز عنه ولو تقصیراً یجتزأ به، نعم، الّذی یسهّل الخطب إعراض المشهور عنه، ومن ذلک لا مجال لترک الاحتیاط بإتمام إحرامه من مکانه، مع عدم التمکّن علی العود إلی الأوّل، والقضاء من قابل لو کان مستطیعاً،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مشکل، فلابدّ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لا یبعد وجوب العود إلی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البروجردی، الخمینی، أحمد الخونساری، عبداللّه الشیرازی، المرعشی، محمّد رضا الکلپایکانی، السبزواری، الأراکی</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الإحرام بالنیّة والتلبیة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منه قدس‌سره عدم وجوب استدامة اللبس بعد تحقّق الإحرام، وهو الصحیح، فلا یجب لبسهما فی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احتیاط لا یُترک، فإذا زال العذر عاد إلی المیقات مع الإمکان، أو إلی ما یمکنه علی 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بعید، وإن کان الأحوط العود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یرجع إلی مُهَلِّ أرضه مع الإمکان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التفصیل فی المسألة السابقة، ویأتی ما تقدّم فی مَن جاوز مُحِلاًّ؛ لعدم کونه قاصداً للنسک، ولا لدخول مکّة، ثمّ بدا له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العود، وإن کان أمامه میقات آخر،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حجّه إذا لم یرجع إلی المیقات إشکال؛ لانصراف صحیحة الحلبیّ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لم یکن الإحرام واجباً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الطامث، وأمّا غیرها فلا یبعد کفایة الإحرام من حیث کان فی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یشکل الحکم بذلک،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فرضه التمتّع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ومع عدم التمکّن أحرم من أدنی الحِلّ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الاحتیاط فی أن یقول مع إحرامه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علی کتابِکَ وسُنّةِ نَبیِّکَ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ورد فی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المشعر لا یخلو من شائبة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صحّة إحرامه الأوّل إذا کان حینه أیضاً غیر متمکّنٍ من الرجوع إلی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صحّة العمرة مع ترک إحرامها نسیاناً أو جهلاً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العمرة المفردة الواجبة عدم الاکتفاء إذا تذکّر وهو فی مکّة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أوّل شوّال، ودونه إذا مضت عشرة من شوّال، ودونه إذا رأی هلال ذی القعدة، ودونه إذا مضت عشرة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بالتوفیر من شهر، أی عاشر ذی القعدة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صحیح، وظاهره وجوب الدَمِ علی الحالق رأسه بمکّة إذا کان متمتّعاً، وکان ذلک فی ما بعد شهر شوال، فهو أجنبیّ عن محلّ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ودونه فی الفضل التوفیر من أوّل الشهر، الّذی یرید الإتیان بالعمرة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الإبط، ولم یثبت هذا الترتیب فی العانة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إطلاؤه الأوّل لا للإحرام، ویکتفی بالإطلاء للإحرام، وإن کان قبله بخمسة عشر یوماً أو 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یأتی به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برجاء المطلوبیّة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أعاد الإحرام بعد الغسل، ولا یبعد أن یکون الإحرام الثانی؛ لتدارک الخصوصیّة المفقودة فی الإحرام الأوّل والّتی یوجبها الغسل، والخصوصیّة المذکورة مطلوبة فی الإحرام علی نحو تعدّد المطلوب، وهی قابلة للتدارک؛ ومن أجل ذلک أمر بالإحرام الثانی، فهو متمّم للنقص الداخل علی الإحرام الأوّل، ومحقّق للمرتبة الکاملة فیه، لا أ نّه إحرام مستقلّ فی قباله؛ لیکون من اجتماع المثلین وتحقّق امتثالین فی عرضٍ واحد، ولا یبعد أن یکون الصحیح إنّما یدلّ علی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إلحاق الناسی بالعالم والجاهل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حجّة الإسلام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مصحّحةٍ بتصحیح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التسلیمُ لأمرکَ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والأحوط عدم الترک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بل الأحوط أن لا یُترک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جمال‌الدین الگلپایگانی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 نّه لو کان فی وقت الفریضة یأتی بها ویُحرِم فی دُبُرِها، وإلاّ فیأتی بالنافلة مخیّراً بین السِتِّ، والأربعِ، والاثنتین، ویُحرِم فی دُبرها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النصوص أنّ نافلة الإحرام یؤتی بها إذا لم یُحرِم بعد المکتوبة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استحبابها مقدّماً علی الفریضة محلّ تأمّل، لکنّ الإتیان بها رجاءً لا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أَیُّهَا الکَافِرُونَ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عن الصادق علیه‌السلام التعبیر به صریحاً، والعکس قول المحقّق فی الشرائع والعلاّمة فی التحریر علی خلاف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الاختصاص بالتزیین للزوج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الإحرام بحیث لا یبقی إلیه أثره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الإحرام بحیث لا یبقی إلیه أثره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الحکم بها لا یخلو من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إزالته إذا کانت ممکنة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الإحرام علی الأقوی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التَوطِین والبناء النفسانیّ علی التروک، والالتزام به فی أحد النسکین، ویحتمل أن یکون الأمر الحاصل من هذا الالتزام الاختیاری، وعلیه فالتلبیة والتروک ولبس الثوبَین لیس کلّ واحدٍ عینه، ولا جزءَه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الکلام فیه 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فیجری علیه حکم تارک الإحرام، وقد مرّ تفصیل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الریاء مبطل، لا أنّ الخلوص 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ضعفه، وأ نّه لیس بالتروک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کون التروک خارجاً عن حقیقة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الإحرام من الاُمور الاعتباریّة الوضعیّة یتحقّق، ویعتبر بعد قصد أحد النُسُکَین، أو مع التلبیة، وتروکه من أحکامه المترتّبة علیه بعد التلبیة، ولیست التروک عینَه، ولا جُزءَه، وکذا التلبیة ولبس الثوبَین، ونسبة التلبیة إلیه کتکبیرة الإحرام إلی الصلاة علی احتمال، ویترتّب علی ذلک اُمور لا یسع المقام بیانها وتفصیلها؛ وبهذا یکون من الاُمور القصدیّة، لا أنّ قصد الإحرام محقّق عنوانه؛ فإنّه غیر معقول، وعلی ما ذکرنا تدلّ النصوص، وعلیه ظاهر فتوی المحقّقین،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الإحرام بنفسه عمل جانحیّ قصدی، وهو جعل الجهة المانعة فی نفسه عن أشیاء مخصوصة، نظیر الصوم الّذی هو کفّ قربی، وإن افترق عن الصوم فی أنّ الإتیان بالمحرّمات لا یبطل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ینتهی إلی امتثال شخص أمره بلا احتیاج حقیقة إلی قصد عنوانه المخصوص؛ للجزم بعدم قصدیّة هذه الحقیقة؛ إذ هو حقیقة واحدة مأخوذة فی الحجّ تارةً، وفی العمرة اُخری، مفردة کانت أم متمتّع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بالنسبة إلیهما، نعم، کونه عن نفسه أو غیره محتاج إلی التعیین،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قصد الجامع بین الأمرین أو الاُمور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کونهما مطلوبَین مستحبّین نفسیّین؛ حتّی بحیث یمکن التعبّد بهما من دون القصد إلی ما یتوقّف علیهما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مثل ما ذکر محلّ تأمّل، نعم، کفایة الإجمال مثل أن ینوی ما یریده اللّه منّی ـ وکان علیه حجّ الإسلام مثلاً ـ فی محلّها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والفرق بینه وبین ما لو نوی مردّداً مع إیکال التعیین إلی ما بعد غیر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کفایته؛ إذ لیس هو إلاّ کالإحرام لصلاة سیعیّنها فی عدم کونه مجدیاً للتعیین، والفرق بینه وبین ما لو نوی مردّداً مع إیکال التعیین إلی ما بعد غیر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کفایته، ولا فرق بینه وبین النیّة المردّدة، وإیکال التعیین إلی 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بینهما فی عدم التعیین، ونیّته التعیین فیما سیأتی لا یرفع التردید الفعلی، وهذا لیس تعییناً إجمالیّاً کما ذکره، ولا نوعاً من التعیین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اعتبار قصد التعیین زائداً عن قصد التقرّب لشخصٍ أمره نظر، بل منع، کما عرفت آنفاً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وکفی دلیلاً؛ لعدم اعتباره صحیحة حمّاد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الإجماع عن مولانا الصادق علیه‌السلام ، خلافاً لعدّةٍ من أصحابنا، فإنّهم اعتبروا التلفّظ بالمنویّ أیضاً، وکذا جمّ غفیر من مخالفینا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قصد التقرّب، وأمّا تعیین العناوین القصدیّة فهو أشبه شیء بالإنشاء، وتحقّقه بدون الإخطار والإرادة التفصیلیّة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وصفاً وشرطاً، لکن یعتبر تکلیفاً، لکنّ الأقوی عندی اعتباره مع العزم علی الترک الاستمراریّ من الأوّل فی تحقّقه وتحقّق عنوانه، وإن عصی بإتیان محرّم فلا ینافی تحقّق العنوان، بخلاف أن ینوی عدم کونه مُحرِماً فیبطل الإحرام، ولیس متلبّساً بالعبادة وهی الإحرام، وإن قلنا مع ذلک بلزوم اجتناب المحرّمات نظیر الصوم بعد الإبطال عصیاناً ووجوبها تأدّباً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غیر معتبر؛ لِما مَرَّ من أنّ هذه التروک غیر دخیلةٍ فی حقیقة الإحرام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اعتباره أیضاً محلّ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أحمد الخونساری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الصحّة مختصّة بأحدهما؛ لأنّ السابق إن کان هذا لم یضرّه التجدید، وإن کان غیره وقع باطلاً، فصحّ التجدید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نعم، لو جزمنا بکون الإحرام أنواعیّاً کان علیه الاحتیاط؛ إذ النسیان لا یکون رافعاً للإحرام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هذا القول، إلاّ فی فرض صحّتهما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الأولویّة؛ حیث قیل بجواز العدول من الإفراد إلی العمرة التمتعیّة، وهو غیر صافٍ عن شوب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مقصوده عدم جواز القِران بینهما بإحرامٍ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الاقتران بینهما بإحرام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وملاحظة إتیانهما علی وجه المعیّة بلا تخلّل الإحرام للتالی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تشریعه فی أصل الحکم، لا فی التطبیق، کما أنّ فی صورة اعتقاده بصحّته مثل هذه البیّنة إنّما یجب التجدید لو کان فی نیّته متعبّداً بخصوصه، وإلاّ فلا بأس بالاجتزاء به جزماً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الأقوی فیما یصحّ کلاهما، وعلی الأحوط فیما یصحّ واحد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وجیه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تصحیح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وأمّا بالنذر وشبهه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بالعنوان الأوّلی أو الثانوی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تشریعه فی مرحلة التطبیق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رجع الشکّ إلی المُعَنوَن، وإلاّ فالبناء مشکل؛ لعدم إحراز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فإنّ الشکّ فی النیّة شکّ فی تحقّق العنوان، وتقدّم فی فروع الخلل أنّ  قاعدة التجاوز إنّما تجری بعد إحراز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ویستفاد من بعضها أنّ الإضمار أحبّ، والتفصیل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المنویّ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 له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والأولی أن یکون بما فی النصوص من روایة معاویة بن عمّار وابن سنان وأبی الصلاح مولی بسّام، وغیرها، ولا وجه یُعتدّ به للاختصاص بما فی روایة ابن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بما فی صحیحة عبداللّه بن سنان أو غیرها، ولا یخفی ما فی المتن من الاختلاف عن نسخة الفقیه وغیرها الّتی ذکرت الصحیحة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ذکره موافق تقریباً لصحیحة ابن سنان، وإن کان فیه اختلاط منها ومن صحیحة ابن عمّار،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علیه الأکثر، مع الغضّ عن المناقشة من اختصاصها بغیر السائق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احتمال اختصاصها بالمُحصَر دون المصدود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الغضّ عن احتمال اختصاصها بالمتمتّع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کخبر حمزة بن حِمران بن أعین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الإحضار والصَدّ،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الالتزام القلبیّ بالمشترط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یُترک الاحتیاط بأن یقول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الحمد والنعمة لک والملک، لا شریک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الثالث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الثالث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فی المتن یختلف یسیراً مع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المنقول فی المتن اختلاف عمّا فی کتب الحدیث، فلیلاحظ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الأظهر جواز الاکتفاء بالملحون، وکذلک الحال فی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لسلامته بالنسبة عن التمحُّلات المَقُولة أو المحتملة فی سائر الوجوه، والأظهر الأقرب عندی أ نّها کلمة مفردة مستقلّة تستعمل فی مقام الجواب، ولا یُلتزم بتکلّفٍ حتّی بما فی الوجه الأخیر المذکور فی المتن، ولا یتفاوت الحال بالإضافة إلی الظاهر والمضمر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الأصحّ کونها ـ ولو بالوضع التعیّنی، لا التعیینی ـ کلمة برأسها، تُستعمَل فی مقام الجواب باحترامٍ وإعظام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الغایة؛ إذ لو کانت لامُها مضمومةً لکان خلاف المنقول المسلَّم بینهم، وإن فتحت کان هناک تمحّل مستغنیً عنه، والتزام بما لا یُلزم، مضافاً إلی عدم تلائم هذا الوجه للمقام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عدم فعلیّة المحرّمات علیه، وإلاّ فأصل الإحرام ـ الّذی هو من العبادات الاختیاریة ـ غیر منوطٍ بالتلبیة، بل التلبیة من واجباته، وهو لیس إلاّ نفس التوطِینِ‌علی تحریم المحرّمات علی نفسه، لا التَوطین علی تروکها، وبه یمتاز عن الصوم، وبمثل ذلک یجمع بین مضامین الأخبار الواردة فی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ویُثبِت أنّ للإحرام مراتب قصدیّة تحتاج إلی القصد المزبور فی محلٍّ مخصوص، ویکون من الإنشائیّات الاختیاریّة، وحکمه یترتّب قهراً بصدور التلبیة، نظیر إحرام الصلاة المترتّب قهراً ببرکة تکبیرة الإحرام، فتدبّر فی أخبار الباب تری ما ذکرنا حقیقاً بالقبول؛ فإنّه غایة المأمول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ادُّعِیَ الإجماعُ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نعم، هو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 حسن القمّی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 بل الأظهر عدم الوجوب إن لم یتوقّف علیها انعقاد الإحرام، لکنّه موافق للاحتیاط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وجوبها علیه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إذا لبّی أوّلاً وترکهما بعدها لم یکن حجّه قِراناً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البُدَنُ کثیرةً، ولادخل الرجل بین کلّ بُدنَتَینِ، فیشعر هذه من الشقّ الأیمن، وهذه من الشقّ الأیسر، کما فی صحیح 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ففی صورة التعدّد یشقّ ما علی الأیسر من الجانب الأیمن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ما هو الصحیح من أنّ الإحرام إنّما یتحقّق بالتلبیة، أو الإشعار، أو التقلید، فلا حاجة إلی نیّة اُخری غیر نیّتها، ولابدّ من مقارنتها معها کما فی سائر العبادات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وإن کانت النیّة لا تنفکّ عنها، لکنّ لا یوءخّر التلبیة عن محلّ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المیقات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جدّاً، والمسألة تحتاج إلی تفصیلٍ بلیغٍ لا یسع المقام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یخلو من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هو الکلام فی نسیان الإحرام حرفاً بحرف، وحَذْوُ القَذَّة بالقَذَّة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ولکنّه احتیاط لا یُترک، وعلیه فإذا لم یتمکّن من العودة إلی المیقات عاد إلی ما أمکن، وإلاّ ففی 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فیه التفصیل المتقدّم فی نسیان الإحرام علی الأحوط لو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تفصیل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ما یدلّ علیه بخصوصه، نعم، ورد عامّاً، و ورد فی آخر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کروایة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بالجهر بها للرجال فی المرّة الواجبة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ذلک فی الصحیحة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أقرب، وإن کان ما ذکره الماتن قدس‌سره أحوط استحباباً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 ویتأکّد استحباب التأخیر للراکب، نعم، الأحوط ما اختاره الماتن، فیأتی بها حین الإحرام سِرّاً، ویؤخّر الجهر بها إلی المواضع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اختصاصه بمن حجّ من طریق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تثبت أفضلیّة التأخیر إلی الإشراف علی الأبطح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الکلام فیه، فالأحوط لمن یحرم من مسجد الشجرة عدم تأخیر التلبیة حتّی خرج منه، نعم، لا مانع عن لبس الثوب، ونیّة الإحرام، وتأخیر التلبیة مادام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القاموس، والخوارِط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 والحدیثة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من الدعوة، سمّی بذلک للمجاورة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قطعها عند مشاهدة بیوتها فی الزمن الّذی اعتمر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یُؤتی به بقصد الرجاء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جمال‌الدین الگلپایگانی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عن الإشکال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حسن القمّی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فی المیقات، وأمّا بعد الخروج منه فالظاهر هو البناء علی الإتیان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لمکان البراءة بعد سقوط أصالة التأخّر بالمعارضة، أو عدم جریانها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غیر جارٍ فی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 آبادی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یتّضح ذلک بعد المراجعة إلی ما مرّ من بیان حقیقة الإحرام، وأ نّه البناء، أو الالتزام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یتّزِر بأحدهما، ویرتدی بالآخر علی النحو المألوف، علی الأحوط إن لم یکن 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زین‌الدین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یُدخِل طرف الثوب تحت الإبط الأیمن ویُلقِیه علی عاتقه الأیسر کالتوشّح بالسیف،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التوشّح إدخال الطرف تحت الإبط الأیسر وإلقاءُه علی العاتق الأیمن، وأوّل التفسیرین هو الأشهر بین اللغویین والمحدّثین،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بترک العقد فی الثوبین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جواز عقد الإزار فی عنقه، وجواز عقده فی الوسط، وأمّا الرداء فالاحتیاط بترک عقده مطلقاً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مقام الضرورة، کهبوب العواصف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عند الضرورة، کشدّة القرة والبرد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لبس الثوبَین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ولا یبعد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ترک المحرّمات من أحکام الإحرام، ولا دخل له فیه، ولا ینافیه عدم العزم علی ترکها، بل ولا العزم علی فعلها، وکذا لا یعتبر فیه البناء علی تحریمها علی نفسه، فالأقوی عدم وجوب الإعادة، وإن کان الوجوب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هو الأظهر، کما حُقِّقَ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أن یکون النزع من رأسه من دون شقّ القمیص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 دلیله من المناقشة فی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فی غیر موارد الحاجة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الاکتفاء بهما، إلاّ فی مقام الاضطرار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هی معاملة یستتبعها ذلک، ولیس التملیک مفادّاً أوّلیاً للإجارة؛ ولهذا یکونلفظها الصریح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آجَرتُکَ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أکریتُکَ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ملّکتُکَ منفعةَ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مریداً بهالإجارة فلیس من اللفظ الصریح وإن صحّت الإجارة بمثله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التسلیط علیالعین لیس حقیقتها، بل التسلیط الاعتباریّ علی فرضه من أحکامها العقلائیّة، أولوازمها کذلک، فی مثل إجارة الأعیان المملوکة أو غیرها أیضاً علی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المنفعة تشمل العمل، فذکره مستدرک، کما أنّ تعریفها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تملیکُ منفعةٍ بعِوضٍ أصحُّمن تعریفها الثانی؛ فإنّ الإجارة تملیک، لا تسلیط؛ إذ هو أعمّ من التملیک، وهیتملیک منفعة، لا تسلیط علی الانتفاع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عدم اطّراده؛ إذ لا یعمّ الإجارة الواقعة علی عملٍ کلّیٍّ لم یُعتبر فیهمباشرة الأجیر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 الگلپایگانی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الأحوط الاقتصار علی إحداهما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تجری المعاطاة فی إجارة الأعیان، کالدار والعقار والحیوان، بالتسلیط علیها؛للانتفاع بها بعوض، وأمّا فی إجارة الحرّ نفسه لبعض الأعمال فجریانها فیها محلّالتأمل والإشکال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المعوّض فیها ـ وهو العمل أو المنفعة ـ لمّا کان متدرّجَ الوجود کان إیجابهاعن المؤجِر بإعطاء بعضه إنشاءً لِما تساوما علیه من المعاملة بالکلّ، کما قد یتّفقنظیره فی البیع أیضاً، فیکون فی المتقدّرة بالعمل بالشروع فیه بقصد إجارة نفسهعلی الکلّ، کما یکون فی المتقدّرة بالزمان بتسلیم العین فی أوّله قصداً إلی إجارتهافی جمیعه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منع؛ فإنّه لیس عقداً ولا معاطاة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قیام القرینة الحافّة بالکلام علی وجهٍ یصیر ظاهراً فی عقد الإجارة لا بأسبصحّتها، بل بلزومها أیضاً، کما لا یخفی من جهة الأصل والعمومات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ظاهراً ولو بواسطة القرینة فی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الأقرب عدم الصحّة ولو قصد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الصحّة أو اللزوم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اختلافها، من حیث صحّة بعضها بالإجارة، وعدم صحّة البعض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کفایة إشراف الولیّ فی صحّة معاملات الصبیّ الممیِّز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المُفَلَّس ممنوع عن التصرّف فی ماله، ولا دلیل علی سقوط عقده وإیقاعه عنالاعتبار، وأمّا السَفِیه فلا دلیل علی کونه محجوراً عن العقد والإیقاع، وأمّا کون الرِقّمحجوراً فیوافق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أنّ المـراد من المتعاقدین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العینالمستأجَرَة، والعِوَض، وبناءً علیه الأقوی صحّة إجارة الممیِّز والمُفَلَّس والسَفِیهوالرِقّ، ولو کان موقوفاً علی إجازة الولیّ والدَیّانِ والمَالِک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هذه الشروط راجع إلی الصحّة، وبعضها راجع إلی النفوذ، فیتوقّف نفوذالعقد الفاقد للشرط علی إجازة مَن له الإجازة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الشرط المذکور مبنیّ علی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القید لإخراج الجهالة الیسیرة، وإلّا فالظاهر البطلان فی المجهول وإن لم یکنهناک غُرر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یکفی کونهما مقدورَی التسلّم، کما فی البیع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أن یکون فیهما حقّ هذا التصرّف، لا المملوکیة؛ لصحّة إجارة الحرّ نفسه،والوالی نفس المُوَلّی علیه، والمتولّی الوقف العام، والمستأجِر ما استأجره، وأمثالذلک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کانت حرمة المنفعة مخرِجةً لها عن المملوکیّة بل عن المالیّة أیضاً فاشتراطمملوکیّتها یغنی عن هذا الشرط، ولا موجب للتکلّف بحمل المملوکیّة المعتبرة فیالعوضَین علی ما یقابل الفضولیّة العارضة من جهة المتعاقدین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اندراج هذا الشرط مع الشرط الرابع تحت جامعٍ واحد، ولا موجبللتعدّد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اُوجِرَت لتلک المنفعة، أو لم تکن لها منفعة اُخری لها مالیّة فی العرف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تمام مدّة الإجارة، فلا تصحّ الإجارة فیما إذا کانت العین فی بعض المدّة تتلفبحیث لا یمکن الانتفاع بها؛ ولذا یشکل العقد الانقطاعی فی مدّة غیر طبیعیّة منالعمر بأن یکون عمر المرأة مثلاً أربعین سنةً والمدّة مائة سنة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اشتراط هذا الأمر بعد کون العین ممّا یمکن استیفاء المنفعةالمقصودة منها، والبطلان فی الصورة المفروضة لأجل عدم کون المنفعة مباحة، لالأجل عدم تمکّن المستأجِر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بدّلَه بإمکان حصول المنفعة للمستأجر کان أولی وأشمل؛ إذ یخرج به ما لایدخله النیابة من الأعمال أیضاً ولو لاشتغال ذمّة العامل به، وأمّا المثال فقد خرجباشتراط مملوکیّة المنفعة وإباحتها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والحکم احتیاطی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المثال غیر مطابق، وحقّ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یتمکّن الأجیر من العمل شرعاً وعقلاً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بنحو الترتّب، کما مرّ فی کتاب الطهارة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أحمد الخونساری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بإذنٍ من الدُیّان أو إجازتهم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لیست بمسکنٍ لها، وإلّا فلا حقّ للغرماء علیها؛ کی لا یصحّ بیعها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غیر المستثنیات، وقد مضی أنّ إجارة المفلَّس والسَفِیه صحیحة مع إجازةالدیّان والولیّ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شمول دلیل المنع وإن کان بمناطه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قوّة، وإن کان التعلیل علیلاً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والأقوی عدم الجواز؛ للنصّ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ونظائرها لا تکون مورد الابتلاء فی زماننا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کون صرف الجهل مانعاً فی المتوافقَین فی الصفات، أو قصد التردیدواقعاً فی المتعلّق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فی المنافع الّتی لا یمکن الجمع بینها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الطولیّة مطلقاً، والعرضیّة حیث أمکن الاجتماع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مع التضادّ، وبدونه یجوز له الجمع، بل فی صورة التضادّ أیضاً یمکن الجمعبلحاظ أجزاء المدّة المضروبة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فیما لا یمکن الجمع بینها، وأمّا فیه فیکون تمامها للمستأجر، ولا تخییر 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دار معلومة فی شهر معلوم، وکذا ما بعدها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دخل الزمان فی مالیّة العمل لا وجه للزومه، مثل خیاطة ثوبٍ معیّنٍوأمثالها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ینافی ما تقدّم منه فی الحجّ من تعیین ذلک بالحلول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قلنا بکراهته دون الحرمة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تعیین زمانٍ یَسِع الضراب، إلّا فی موردٍ یقتضی العقد عرفاً وقوعه فی زمانٍمتّصلٍ بالعقد، وکان له حدّ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کان بنحو الاشتراط وتعدّد المطلوب، لا التقیید ووحدته؛ فإنّه یبطل الشرطحینئذٍ ویصحّ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تقوی الصحّة بالنسبة إلی المقدار الممکن، فیما ینحلّ العمل فی العرف إلی أعمالمتعدّدة، کما لو استُؤجِر لصیامِ ثلاثینَ یوماً فی شهرٍ خاصٍّ بثلاثین درهماً فتبیّننقصه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یکون عدم تعیینها غرراً لا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کفایة اقتضاء التعجیل عند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الإطلاق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هذا موافق للقاعدة؛ إذ المفروض أنّه قصد الإطلاق فالمقتضی للصحّةموجود، والمانع مفقود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 صحّتها فی الشهر الأوّل فی هذه الصورة مع معلومیّة المبدأ،والأقوی عدم صحّتها فی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صحّة الإجارة بالنسبة إلی الشهر الأوّل إذا کان مبدأ الشهر معلوماً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أقواها الصحّة فی الشهر الأوّل، فإن سکنها زائداً علی ذلک فاُجرة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الأخیرین،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لا خفاء فی تقوّم الجعالة بأن یکون تعیین الجعل والالتزام به ممّن یبذلهدون الطرف الآخر، وأن یکون بإزاء عملٍ محترمٍ دون منافع الأموال، فکون المعاملةالمذکورة أجنبیّة عنها ظاهر، وأمّا الإباحة بالعِوض فحیث إنّ عِوضیّة المسمّیتتوقّف علی عقد معاوضة صحیحة، وإلّا کان ما أباحه المالک بعِوضه مضموناً بالمثلأو القیمة دون المسمّی، فلا یُجدی الانطباق علیها صحّة هذه المعاملة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معنی للجعالة هنا؛ فإنّ الجعالة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جعل شیءٍ علی نفسه لمن یعمل عملاً له،وها هنا جَعَلَ شیئاً لنفسه علی مَن یستوفی منفعة ملکه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الجعالة أجنبیّ عن المقام، وکون هذه المعاملة جعالةً واضح البطلان؛ لعدم عملفی البین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أیضاً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صحّته؛ فإنّ مرجعه إلی إجارته للخیاطة بدرهمَین، ثمّ شرط علیه نقصالاُجرة لو کان فارسیّاً، ولا بأس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الجعالة أیضاً لا تجری فی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الظاهرالصحّة فیماإذاکان علی وجه الشرطیّة؛لعدم فسادالعقدبفسادالشرط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المناط فی عدم الاستحقاق فی الفرض الأوّل وکذا فی خیار تخلّف الشرط فیالثانیة هو عدم الإیصال، ولولا عن تقصیر کمن ضلّ الطریق فلم یوصله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نحو وحدة المطلوب فیما کان قابلاً للتقیید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الأحری التعبیر بعدم الإتیان بمورد الإجارة حتّی یشمل صورة عدم التقصیرأیضاً، ثمّ الظاهر کون الأجیر ضامناً لاُجرة المِثل، ومستحقّاً للاُجرة المسمّاة، وأنّالإجارة صحیحة، غایة الأمر أنّه لیس لأحدِ المتعاقِدَین المطالبة لِمَا یستحقّه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استحقاق الاُجرة بالإجارة، لا بالعمل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التعبیر بالمتعلّق لا یخلو من المسامحة؛ فإنّ متعلّقها هو الشخص أو الدابّة،والإیصال إنّما هو الغرض والمقصود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متعلّق الإجارة هو العمل کان الاشتراط بمنزلة التقیید فإنّه یرجع إلیه لُبّاً،وإنّما الاختلاف فی اللفظ، نعم، یصحّ ما ذکر فیما إذا کان متعلّق الإجارة الدابّة وکانالإیصال اُخذ شرطاً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انطباق هذا الفرض علی اشتراط نقص الاُجرة علی تقدیر عدم الإیصال،ولا إشکال فی صحّته، وإنّما یفرض القسم الأوّل فیما إذا کانت الإجارة واقعة علیالمردّد بین الوجهین بأن یستأجره للإیصال فی وقتٍ باُجرة، وفی الآخر باُخری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أنّ الأقوی الصحّة والجهالة، بمعنی الإبهام لا دلیل علی قدحها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أنّ الصحّة لا تخلو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لعدم التعیین والإبهام،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مورد الإجارة هو الإیصال فی ذلک الوقت فلا یستحقّ علی الاتّصال فیغیره اُجرة، وإن استأجر للإیصال وشرط علیه أن یکون فی وقت کذا ـ کما هو موردالصحیحة ـ فالظاهر فیه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موضع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ذلک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فرض عدم الإیصال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،فقدّمه الناسخ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ولیس مرجع هذا إلی التردید والإیهام، کما زعمه جماعة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الشرط سقوط بعض الاُجرة علی تقدیر عدم الإیصال، وإن کان الشرطعدم استحقاقه فالظاهر هو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الشمول مع احتمال کونه خلاف مقتضی عقد الإجارة ممنوع، وخلاف الترتیبفی عبارته قدس سره محتمل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أنّ اشتراط سقوط الاُجرة علی فرض عدم الإیصال ممّا لا یعقل فیهالعنوانیّة أصلاً، ویکون شرطاً علی کلّ تقدیر، وموکّداً لمقتضی العقد إن تعلّق بنفسالإیصال فی الوقت المذکور، ومنافیاً له إن کان الإیصال شرطاً خارجاً ممّا تعلّق به،وموجباً للبطلان حینئذٍ، کما نُسِبَ إلی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العقد، إلّا أنّه لا یجوز الشرط وإن کان موکّداً لمقتضی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عبدالهادیالشیرازی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بالابتناء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وللمستأجِر الخیار، وعلی فرض الفسخ فللمؤجِر اُجرة المثل للمقدار المستوفیمن المنافع، وحکم خیار المستأجِر فی صورة عدم الوصول المستند إلی المؤجِریعلم ممّا ذکرنا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وبغیر ذلک، کما سیجیء منه 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بل منع؛ لعدم إمکان الترادّ فیها غالباً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فرضه نادر وقلیل جدّاً، بل یمکن أن یقال بأنّه لا فرد له؛ لأنّه لا یتحقّق إلّابالشروع فی العمل، أو تسلیم العین، وکلاهما تصرّف ملزِم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 الأقرب کونه من قبیل خیار تخلّف الشرط؛ لأنّه تخلّف شرط ارتکازیضمنی عند العقلاء فی معاملاتهم مع التسلیم والتسلّم فی الحال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أنّه لتخلّف الوصف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ولاحتمال التبعیّة وجه 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الأظهر الأوّل؛ إذ مع اعتقادهما بقاء مدّة الإجارة لابدّ وأن یقصدا کونه مسلوبالمنفعة إلی زمان کذا، وهذا بمنزلة الاشتراط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نحو الاستثناء، والمنفعة علی هذا للبائع قطعاً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غیر موجّه؛ إذ الشرط فی المقام بمنزلة التوصیف، لا الاستثناء، فلا أثر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غیر موجّه؛ إذ الشرط فی المقام بمنزلة التوصیف، لا الاستثناء، فلا أثر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فیما إذا وجب الغَبن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الخونساری، الأراکی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غیر صورة الغَبن محلّ نظر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احتمال الانفساخ فی غایة الضعف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الفارق أنّه بناءً علی الانفساخ یرجع بالاُجرة من حین البیع، وبناءً علی عدمهیرجع بالاُجرة من حین التلف، أمّا أصل الرجوع فمشترک بین التقدیرین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الالتزام ببطلان الإجارة فی مقدارٍ من المدّة وصحّتها فی المقدار الآخر مشکل؛ إذالمفروض أنّ ما وقع إجارةً واحدةً واقعة علی تمام المدّة، فما قُصِدَ لم یقع، وما وقعلم یُقصَد، فلا یُترک الاحتیاط بالمصالحة بین الطرفین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الانفساخ أیضاً یرجع إلی الاُجرة إن لم یکن إقدام منه علی تفویتها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مع ثبوت الخیار للمشتری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التعلیل نظر؛ لأنّ التأخّر علی فرضه تأخّر عقلیّ، لا مَساسَ له بعالم الاعتبارالعقلائیّ الّذی هو الملاک فی باب المعاملات، بل علّة صحّة الأمرین عدم المنافاةبین الإضافتَین، وعدم المعاندة بین الحقیقتَین؛ ولذا تجتمعان فی البقاء فیما لو سبقعقد الإجارة علی البیع، کما مرّ، هذا، ولکنّ مقتضی صحّتهما لیس ملکیّة المشتریللعین مسلوبة المنفعة، بل ملکیّة المنفعة مردّدة بینهما، ویمکن الرجوع إلی القرعةللتعیین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أن یعلَّل بأنّه لا استتباع هنا فی البین حتّی یتحقّق التزاحم؛ لأنّ الاستتباعإنّما هو فیما إذا لم تنقل المنفعة مستقلّاً فی عرض نقل العین فانّها تُعدّ حینئذٍ مسلوبةالمنفعة لدی العرف، فکیف یتحقّق الاستتباع حتّی تحتاج إلی الکلفة فی رفعه،ومقتضی المتعارف عدم الفرق فی سلب المنفعة بین کونه قبل البیع أو معه؛ لأنّالمالک مسلَّط علی کلٍّ منهما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لیس فی مقام تملیک المنفعة، وإنّما یوجد تملیک العین، وکون المستأجِروصیرورته مالکاً للعین توجب ملکیّة المنفعة بالتبعیّة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رتبةً ومقارنةً زماناً، بل یمکن دعوی تقارنهما رتبةً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والأولی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قاعدة التبعیّة مقتضیة قابلة لمنع المانع ولو مقارناً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فی صورة اشتراط المباشرة یثبت الخیار، وکذا الحال فی حقّ المستأجِر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بمعنی توقّفها علی إجازة بطن اللاحق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تتوقّف علی إجازة البطن اللاحق، بناءً علی صحّة الفضولیّ فی الإجارة، کماهو الحقّ، وقد تقدّم الکلام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إجازتهم، وکذا فی الموصی بها للمؤجِر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تبطل، ولا وجه لخیار المؤجِر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صورة التقیید بالمباشرة علی نحو وحدة المطلوب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یختصّ البطلان بما إذا کان متعلّق الإجارة هو منفعة نفسه، ولو کان المتعلّق هوالخدمة ونحوها کلّیّاً وشرط المباشرة بنفسه فللمستأجِر الخیار، ویطرح الوجهانفی موت المستأجِر أیضاً، ویتّجه البطلان فی أحدهما، وفی الآخر یکون الخیارللمؤجِر، نحو ما ذکره قدس سره فی إجارة الدار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دون قید المباشرة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لهذا الخیار، بل الظاهر بطلان الإجارة بالموت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القول لا یخلو من قوّة، خصوصاً فی إجارة أملاکه؛ لأنّ المُوَلَّی علیه فی زمانعدم بلوغه مالک لجمیع المنافع، حتّی ما کانت بعد بلوغه، فقد وقع تصرّف الولیّ فیما هو ملک للمولّی علیه فعلاً، فإذا کان مصلحة له ـ کما هو المفروض ـ نفذ ولزم،ولیس له ردّه بعد بلوغه، نعم، لو کان له الخیار بسببٍ من الأسباب ولم یقع الفسخمن الولیّ لجهةٍ من الجهات فله الفسخ بعد بلوغه ورشده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القول لا یخلو من قوّةٍ، سیّما فی إجارة الأملاک؛ حیث إنّها کانت مثل بیعالولیّ ملکه فی حال صغره فیما یری المصلحة فی البیع له بالنسبة إلی بعد بلوغه،فافهم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الأقرب، سیّما فی إجارة الأملاک لو استفید إطلاق من أدلّة الولایة، وعدمتقیّدها بغیر رعایة المصلحة، نعم، فی الاستفادة کذلک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هذا البعض صحیح بالنسبة إلی الأملاک دون نفس المولّی علیه، والفرقواضح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أنّ الولایة بعد البلوغ للحاکم الشرعیّ إذا کان مُمتنعاً، نظیر الکبیر الذیکانت مصلحته اللازمة ـ کإنقاذه من الموت ـ متوقّفة علی إجارته، فللصبیّ بعدالبلوغ فسخ الإجارة أو إمضائها، ولو فسخ یکون للمستأجِر حقّ فسخ الأصل؛لتبعّض صفقة المعاملة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فی ذلک بین إجارة نفسه أو إجارة أملاکه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أملاکه لازمة، أمّا فی نفسه فمحلّ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 إجارة أملاکه مطلقاً، وفی صحّة إجارة نفسه أیضاً کذلک بالنسبة إلی ما بعدبلوغه ورشده إشکال، إلّا إذا توقّف شیء من مصالحه الفعلیّة علی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جمال‌الدینالگلپایگانی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 إجارة أملاکه مطلقاً، وفی صحّة إجارة نفسه أیضاً کذلک بالنسبة إلی ما بعدبلوغه ورشده إشکال، إلّا إذا توقّف شیء من مصالحه الفعلیّة علی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وتصیر حال المرأة حینئذٍ حال الدار المستأجَرة، المنتقلة إلی المشتری مسلوبة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 ثبوت المَهر المسمّی علیه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فی لزوم المهر المسمّی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وأمثالها لا تکون مورداً للابتلاء فی زماننا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ویصحّ العتق بلا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التعلیل علیل فی الغایة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غیر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ینطبق علیه، کالزکوات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بقدر حفظ نفسه، فإن تعذّر ففی کسبه بالاقتصار علی الضروری وعلی فرضانفساخ الإجارة فی تلک البرهة کان للمستأجِر الرجوع إلی المؤجِر باسترداد ماقابلها من الاُجرة؛ ولاحتمال تعلّق عوض تلک المدّة بذمّة المعتَق ـ بالفتح ـ یطالِببه عند یسره وجه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 التعذّر ففی کسبه، وتنفسخ الإجارة فی تلک المدّة، ویرجع المستأجِر إلیالمولی، ویستردّ ما أعطاه من الاُجرة فی مقابلها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علی تقدیر عدم انفساخ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یتبع به بعد یساره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ینطبق علیه، کما مرّ، والمراد لیس بیت مال الخراج بالمعنی المصطلح الّذیمصرفه المصالح العامّة للمسلمین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الثانی 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ثانی الوجوه أوجه؛ لأنّ مجرّد استیفاء منافعه لا یقتضی إجراء أحکام بقائه فیملکه حتّی بالنسبة إلی مثل هذا الأثر؛ لعدم مساعدة دلیله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ثالثالوجوه أیضاً مخدوش باقتضاء ملکیّة منافعه بالإجارة لغیره منع سلطنته علیصرفها لنفسه، کما أنّ الانتقال إلی ذمّة العبد أیضاً ممّا لا وجه له؛ لأنّ العقد وقع علیمنافعه الشخصیّة، فلا وجه لانتقال ملک المستأجِر إلی الذمّة، کما أنّه لیس منالمصالح النوعیّة الراجعة إلی نوع المسلمین المعدّ له بیت المال، فلا جرم یصیربواسطة مثل هذه الجهات العبد المزبور بمنزلة غیر القادر ذاتاً علی نفقته، فیجبعلی المسلمین کفایةً وإن لم یفِ ما زاد عن مقدار استحقاق الغیر من منافعه واقعاًبمخارجه، وهو الوجه الثانی من الوجوه الخمسة،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الوجه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محمّد تقی الخونساری، الأراکی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رفع المستأجِر العَیب فوراً بحیث لم یعدَّ نقص عرفاً ففی ثبوت الخیار تأمّل،وکذا فی خراب بعض بیوت الدار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فسخ دفع للموجِر من المسمّی ما یقابل ما استوفاه من المنفعة، أو مقدار مافوّته، سواء کان العیب قد حدث قبل أو بعده قبل القبض، أمّا ثبوت الخیار بعدالقبض فمحلّ نظر، نعم، لو کان ممّا یخلّ بالمنفعة أو یوجب صعوبة الانتفاع وجبعلی الموجِر إصلاحه، فإن لم یفعل فله الخیار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ولو کان مثل مرض الدابّة أو عَرَج الحمّال مثلاً ممّا لا یقدر معه علی حملالمحمول المتعارف؛ إذ لا یبعد ثبوت الأرش فی 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لابدّ من التفصیل بأن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مورد الإجارة متعدّداً کما لو کانت الإجارةمتعلّقةً بکلّ واحدة من الغرف والبیوت فما أفاده تام، وإلّا فلا وجه لما أفاده، بلللمستأجِر الخیار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أشرنا فی الحاشیة السابقة إلی أنّ الوصف المفقود إذا کان من الأوصاف الّتییأبَهُ بوجوده العقلاء علی نحوٍ یقع تحت الالتزام الضمنیّ یکون فقدانه سبباً للخیار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علی العقد، وأمّا إذا کان سابقاً علی القبض فقط فجریان الحکم فیه مشکل،وإن کان ظاهر المشهور عدم الفرق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لأنّ الأرش إنّما ثبت فی خصوص البیع علی خلاف القاعدة، ولا شاهدعلی جریانه فی سائر المعاوضات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قوّة ثبوت الأرش فی الأوصاف الموجبة لازدیاد القیمة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والنصّ منصرف إلی خصوص ملک العین، ولکنّ الظاهر من کلماتهم تعدّیهم إلیالمنفعة أیضاً، کما یشهد له ظاهر عنوانهم فی المسألة بأنّ صاحب المال أحقّ،الشامل للمنافع جزماً، فتدبّر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الأقوی؛ من کون مستنده قاعدة نفی الضرر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إشکال، خصوصاً إذا اشترط بعنوانه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فی صورة تأخیر مال الإجارة عن حدّ المتعارف یشکل عدم ثبوت الخیارللمؤجِر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إذا أوجب التأخیر الضرر فینفی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الخیار بالنسبة إلی الأجنبی، ودلیل نفوذ الشرط لا یکون مشرعاً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علی النحو الّذی یجری فیه البیع من التخییر بین الردّ والأرش، فهو وخیارالتأخیر علی نحو واحد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الإشکال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ما استوفاه من المنفعة قبل الردّ فهل له اُجرة بالنسبة من المسمّی، أو یکونمجّاناً؟ وجهان، والأوجه اتّباع الشرط لو کان، وإلّا فالتقسیط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مرّت فی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فی بعض مواردٍ یأتی التصریح به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فی ملکیّة الاُجرة وملکیّة المنفعة فی أنّ کلتیهما مستقرّة من جهة العقد،ومتزلزلة من جهة احتمال الانفساخ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المانع عن الاستیفاء لا یوجب الانفساخ إذا کانت العین قابلةً للانتفاع بها،والمنفعة قابلة للاستیفاء، والموجِر باذلاً للعین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انفساخها فی صورة قابلیّة العین للانتفاع، وکون المؤجِر باذلاً لها، والمنفعة قابلةللاستیفاء، وفی تحقّق بعضها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الإطلاق فی إفادة الاتّصال بدون الاشتراط لا تخلو من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ومع عدم التعیین، وکون التسلیم والتسلّم بذلک العنوان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ومع عدم التعیین أیضاً إذا کان التسلیم والتسلّم بذلک العنوان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جمال‌الدینالگلپایگانی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سواء کانت الإجارة واقعةً علی عینٍ معیّنةٍ شخصیّة، أو علی کلّیٍّ وعیّنٍ فیفرد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ومع عدم التعیین أیضاً إذا کان التسلیم والتسلّم بذلک العنوان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تسلیم الفرد تسلیم للکلّیّ، فیکون ظاهراً فی تعیین الوقت، فیضمن المسمّی، ولوفرض ظهوره فی الإطلاق لم یکن ضامناً لتلک المدّة، نعم، یضمن اُجرة المثل مععدم شیءٍ من الظهورین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الاستقرار، من دون فرقٍ بین الصورتَین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استقرارها، کما فی العین الشخصیّة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الاستقرار، وعدم الضمان، ویمکن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بتسلیمه وتعیّن الکلّیّوقبول المستأجر ترتفع التوسعة وتضیق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بل منع، مع التصریح بالتوسعة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استیفاء للمنفعة المهدورة، فلا ضمان علی المستوفی لمن أهدرها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إذا کان ذلک الشغل مضادّاً مع العمل المستأجَر علیه بحیث لا یمکنإیجادهما معاً فی الخارج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اشتغل فمقدار اُجرة المثل للعمل المستأجَر علیه من اُجرة الشغل للمستأجِر إنزادت اُجرة الشغل، وإلّا فاُجرة مثل الشغل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فرض تملّک المستأجِر عمل الأجیر فی هذه المدّة، غایة الأمر حصره بإتمامالثبوت مثلاً، فحینئذٍ لو اشتغل لنفسه أو لغیره فعلیه اُجرة مثل هذا الوقت حتّی فیصورة الاشتغال لنفسه أیضاً، وأمّا إذا فرض تملّک المستأجِر عمل خاصّ من الأجیرفی الوقت المعیّن وهو باذل نفسه للعمل فی هذا الوقت ولم یعطِ الثوب فإنّه یجبعلیه دفع الاُجرة المسمّاة، سواء اشتغل بنفسه أو لغیره أم لا، والظاهر من الفرع هوالثانی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تعیین الوقت ولو بانصراف العقد، وإلّا فتختلف صُوَرُهُ من حیث لزوم المسمّی،أو اُجرة المثل، أو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لم ینقض تمام المدّة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بناءً علی التفصیل الّذی اختاره فی المسألة الاُولی لابدّ من التقیید هنا بما إذا کانالوقت معیّناً، وأمّا بناءً علی ما اخترناه فالإطلاق تامّ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العمل مقرّراً فی الزمان المتّصل، وإن کان باقتضاء الإطلاق لخصوصیّةمقامیّة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بتحقّق الاستیفاء حینئذٍ فی المقام أیضاً؛ 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حقیقی، أو اعتبارعقلائی، والثانی یتحقّق بتمکین الحُرِّ من نفسه للعمل الّذی استُؤجِر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لابدّ من التسلیم، والتفصیل لا یَسِعه المقام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التفویت فی نفسه لیس من أسباب الضمان، وعلیه فلا ضمان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بحیث یحرم قلعه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تثبت، ولا وجه للانفساخ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الانفساخ إلّا فیما إذا صار القلع محرّماً، بل یمکن دعوی عدمالانفساخ فی هذه الصورة أیضاً، ولکنّها مشکلة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نظر وإشکال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منع ظاهر، بل الظاهر عدم الانفساخ مطلقاً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البطلان فی صورة التلف مشکل مطلقاً، نعم، الأحوط فیما إذا أراد الرجوعبالاُجرة الفسخ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وللمتضرّر بالتبعّض خیاره إن لم یکن التبعّض مستنداً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المنصور؛ لأنّ وجود المنفعة امتدادیّ بحسب الزمان، وتدرّجی بحسبه أیضاً،ومقتضی ذلک انحلالها بحسب أبعاض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العلقة البدلیّة قائمة بتلکالسلسلة من المبدأ إلی المنتهی، فإذا انفسخت الإجارة زالت العلقة من حین الفسخ،واستلزم قهراً ثبوت اُجرة المسمّاة بالنسبة إلی ما مضی، ورجوع البقیّة إلی مالکهاالأوّل، وما احتمله فی المتن ضعیف؛ لابتنائه علی تأثیر الفسخ فی ما مضی، وهومخالف لحقیقته برهاناً وعرفاً معاً، ولا فرق بین ما کان سبب الخیار موجوداً حالالعقد وبین ما حدث بعده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احتمالاً بعیداً؛ لأنّ الفسخ مطلقاً من حینه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المتعیّن، ولم یعلم ذهاب المشهور إلی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سبب الخیار من حین العقد فله أن یفسخ العقد من الأوّل، ویترتّب علیهبعد الفسخ ما ذکر فی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یختلف بحسب الموارد والأسباب، ففی بعضها تثبت اُجرة المثل، وفیبعضها الاُجرة المسمّاة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من حین الفسخ، فمقتضاه ما هو 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أنّ الفسخ للعقد من حین الفسخ، لا من حین العقد، وکذلک البطلان، کالبیع؛عملاً بوجوب الوفاء بالعقد حسب الإمکان، ولا یجوز رفع الید عن ترتیب أثر العقدإلّا بمقدار ما علم زواله، ومنه تظهر الخدشة فی ما ذکره فی المسألة التاسعة أنّ هذاهو مقتضی فسخ العقد، وقد عرفت أنّ الخیار لا یوجب قطعاً رفع العقد من أصله،بل من حین الفسخ، إذاً فلا وجه لاسترجاع الاُجرة ودفع اُجرة المثل، لا فی هذا،ولا فی نظائره، فتدبّر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من حین العقد وعلم به فی الأثناء، بخلاف ما لو طرأ فی الأثناء، وقیاسهمع الفارق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استظهار ذلک من کلماتهم تأمّل وإن کان له وجه، والأقوی ما فی المتن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الگلپایگانی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لکنّة ملکیّة استحقاقیّة، لا استقراریّة لا بنفس العقد، ویلزمه استقرار الاُجرةبالنسبة إلی ما استوفی من المنفعة، وانفساخ العقد إلی المنفعة الغیر المستوفاة فیصورة التلف فی الأثناء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 العوض المبذول بإزائه لم یبذل باعتبار هذه المالیّة المحدودة، وإلّا لم یکنوجه للانفساخ، بل باعتبار ثبوت اقتضاء البقاء فیه وکون التلف أمراً طارئاً علیخلاف الأصل، وهذا التقریب جارٍ فی المنفعة أیضاً؛ فإنّ تلف العین المستلزم لتلفالمنفعة لا یوجب خللاً فی انعقاد الإجارة بعد ثبوت هذا الاقتضاء المذکور فیها؛وعلیه فالحکم فی المقامَین واحد، وما استظهره من کلمات العلماء ـ رضوان اللهتعالی علیهم أجمعین ـ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بالنسبة إلی تمام الاُجرة فیما إذا کانت الإجارة واحدة، نعم، مع انحلالالإجارة إلی إجارات متعدّدةٍ یتمّ الأمر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ومنفعة ما یقابلها تکون لمالکه، وهو المستأجر مع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ما فی التعبیر من المسامحة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الّذی هو مورد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مضی أنّ البطلان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إمکان الانتفاع بمثل إحراز التِبن ونحوه فیه فی غایة الإشکال، نعم، لوأمکن الانتفاع بمرتبةٍ ناقصةٍ من السکنی لم تنفسخ الإجارة بلا إشکال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ما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تارةً تنهدم العین وتعمر ثانیاً، واُخری یحدث فیها ما یوجب قلّة الانتفاع وبادرالمؤجِر إلی إکمالها، فعلی الأوّل تکون الإجارة باطلة، وأمّا علی الثانی فتصحّ بلاخیار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المحقّق والشهید الثانیان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له الخیار مع الامتناع ولو مع إمکان الإجبار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ثبوت الخیار مع التمکّن من الإجبار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ینطبق علی المورد خیار تعذّر التسلیم وقاعدتا الإتلاف والتلف معاً، ولاحکومة لإحداهما علی الاُخری، ویمکن الأخذ بمقتضی کلّ واحدٍ منها، فیکونالمستأجِر مخیّراً فی الأخذ بأیِّها شاء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ثبوت الخیار بالغصب بعد القبض محلّ إشکال، بل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تعیینه، ولم یظهر من المشهور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منع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علیه المشهور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بالقبض علیها، وعدم التخلیة له، لا بمثل التهدید وأخذ الطریق علیه؛ فإنّ جوازالرجوع فیه علی الظالم غیر معلوم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لانطباق قاعدة الإتلاف وقاعدة التلف قبل القبض علی المورد، بل للمستأجِرخیار تعذّر التسلیم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غایة الضعف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فی الصورة الاُولی الّتی حکم فیها بالخیار، وحینئذٍ فالتعبیر بالإعادة فیهمسامحة واضحة؛ لعدم کون العین فی ید المستأجِر فی زمانٍ أصلاً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بقاء الخیار مع الالتفات إلیه موضوعاً وحکماً 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الاحتمال ضعیف، والفرق بینه وبین ما نسب إلی المشهور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ضعیف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الاحتمال ضعیف، کما یذکره المصنّف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هو الأقوی ولا مانع من التبعیض،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لِلُزوم التبعیض حتّی یشکل الفرق بینه وبین ما ذکر من مذهب المشهور، بللأجل عدم تأثیر الفسخ فی الزمان السابق بعد وقوع الإجارة صحیحة؛ وعلیهفالفرق 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لِلُزوم التبعیض، بل لأنّ المورد من موارد فسخ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فیه بعد ظهور الفرق بین ثبوت الخیار بالنسبة إلی تمام المدّة ـ کما فیالمقام ـ وبین ثبوته فی الأثناء بالنسبة إلی ما بقی من المدّة الّذی هو مورد کلامالمشهور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واضح؛ لعدم اعتبار بقاء العقد عرفاً بعد فسخه، کما یلزم هنا، بخلافمذهب المشهور باعتبار حلّ العقد من حین الفسخ، فثبوت العقد فیما مضی، وعدمبقائه فیما یأتی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إشتراک بین الموردَین، فإن وزان الفسخ وزان الطلاق، فکما أنّ الطلاق یقطعالعلاقة الزوجیّة من حینه کذلک الفسخ یقطع العلاقة الملکیّة من حینه، والدلیل قائمعلیه، وأمّا رفع الید وقطع العلقة بالنسبة إلی الزمان الماضی وإبقائها بعده فلا دلیلعلیه، بل الدلیل قائم علی عدمه؛ فإنّ مقتضی الاستصحاب عدم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تقدّم بأنّه لا بأس بالالتزام بمثل هذا التبعیض فی فسخ العقود، وهو المشهورأیضاً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وهو أیضاً قد استشکل فیه، کما سیجیء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ضعیف، ولا فرق بین العذر العامّ والخاصّ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مطلقاً، بل فیما إذا سقطت العین عن قابلیّة الاستیفاء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مضی سابقاً، ویأتی ما یتعلّق بفروع المسألة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إتلاف محلّ العمل إذا کان خاصّاً کثوبٍ مخصوصٍ مثلاً موجب لبطلانالإجارة، نعم، لو کان المتلِف هو المستأجِر أو الأجنبی ضمن محلّ العمل للمالک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العذر فی الاستیفاء مطلقاً عامّاً أو خاصّاً لا یوجب البطلان، أمّا مسألة قلع السِنّفکما ذکره قدس سره لوجهٍ مذکورٍ فی 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التردید المترائی من العبارة ینافی ما تقدّم منه فی المسألة السابقة من استظهارالبطلان، وتقدّم منّا أنّ الأقوی الصحّة، وما ذکره المصنّف من ضابط البطلان هناضعیف؛ فإنّه لو کان مریضاً قبل العقد واستأجَر الدابّة لرکوبه بنفسه فالإجارة غیرصحیحة؛ لکونها سفهیّة، وهذا المعنی غیر موجودٍ فی المرض المتأخِّر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بعنوان التقیید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أنّه لا یوجب البطلان علی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 الأظهر فی أمثاله عدم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بحیث یحرم قلعه فالأقوی فیه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أقربهما البطلان، خصوصاً فی زوال الألم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التنافی لا یقتضی بطلان الإجارة؛ فإنّ الأمر بشیءٍ لا یقتضی النهی عن ضدّه، فإذاآجَرَت نفسَها للمنافی علی فرض العصیان تکون الإجارة صحیحة، ولا تکونفضولیّةً کی تحتاج إلی إجازة الزوج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عدم الخروج من الدار بغیر إذنه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الکلام فیه سابقاً، وبه یظهر حال الفروع الآتیة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وجوبه علی المؤجِر،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یستحقّ بنسبة ما عمل، خصوصاً فیما یخلّ إلی 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والظاهر أنّ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 یخلّ بأعمالٍ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کصوم شهر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مهدیالشیرازی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أکثر ما ذکره قدس سره فی هذه المسألة مشکل، بل ضعیف؛ فإنّ تسلیم المنفعة وإن کانبتسلیم العین ولکنّ المعتبر فی باب الإجارة دوام التسلیم إلی آخر المدّة؛ ولذلک لوأخذه المُؤجِر بعد القبض کان للمستأجِر خیار الفسخ، فبمجرّد تسلیم العین لمیخرج المُؤجِر عن العهدة حتّی یطالب تمام الاُجرة، ویؤیّد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والعادة، فلواستأجَر قریةً عشر سنواتٍ، أو داراً أو حمّاماً أعواماً لا یستحقّ المُؤجِر مطالبة تمامالاُجرة بمجرّد قبض العین، ولا موجب للقول بکونه خلاف القاعدة، وما ذکره قدس سره منأنّ العامل لا یجوز له مطالبة الاُجرة إلّا بعد تمام العمل ضعیف ومخالف للوجدان، فلو استأجر شخصاً لاِن یخدمه عشر سنواتٍ، أو یعمل له عملاً مدّةً طویلةً کیفیمکن القول بعدم جواز مطالبة الاُجرة ولو بعضاً منها إلّا بعد انقضاء المدّة؟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وأنّذلک محتاج إلی شرطٍ مصرّحٍ أو ضمنی، وکیف یمنع المسکین الّذی یحجّ أو یصومأو یصلّی نیابةً عن الغیر من مطالبة الاُجرة ولو بعضاً منها إلّا أن یتمّ العمل ولو کانصلاة عشر 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یمکن القول بأنّ ذلک کلّه بمقتضی الشرط، وإلّا فالأصلعدم جواز المطالبة؛ لِما تقدّم من أنّ قبض المنفعة والعمل تدریجی، فلا مانع من کوناستحقاق الاُجرة تدریجیّاً إلّا أن یکون الشرط تقدیم جمیع الاُجرة أو تأخیرها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یفترق الوجهان فی ذلک، فسواء کان مورد الإجارة العمل، أو کان المورد وصفالمخیطیّة مثلاً لا یجوز مطالبة الاُجرة؛ حیث لا یجوز إلّا بعد تسلیم العین؛ فإنّالعمل فیما کان مورداً للإجارة وإن فرض تحقّقه لکنّ تسلیمه بتسلیم العین؛ إذ مالیّتهوالانتفاع به بالأثر الحادث فی العین، فتسلیمه بتسلیم العین عرفاً، وکذلک الثمراتالاُخَر الّتی ذکرها غیر صحیحة؛ إذ عُلِم ممّا ذکرنا أنّه یجوز حبس العین لأخذالاُجرة بعد ما کان تسلیم العمل بتسلیم العین؛ لأنّ من أحکام المعاوضة أنّه یجوزالامتناع من إقباض أحدهما حتّی یقبض الآخر، کما أنّه لا یفترق الحال فی فرضالتلف أو الإتلاف، ففی التلف بلا ضمان یستحقّ الاُجرة علی القولَین؛ إذ التسلیمالمعتبر فی باب الإجارة لا یراد منه ما یقابل تلف العین؛ إذ المستأجِر لم یتعهّد ولمیشترط علی نفسه بقاء العین، کما لا یخفی، وفی فرض الإتلاف یضمن قیمته مخیطاًعلی القولَین؛ إذ لا إشکال فی کون وصف المخیطیّة لصاحب العین ولو کان موردالإجارة العمل، وله مطالبة الاُجرة بعد کون مورد الإجارة مقبوضاً للمُؤجِر ببدله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الأقوی القول الثانی، والسیرة العقلائیّة الممضاة من قبل الشارع شاهدة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الثانی، وضابط ذلک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کان مالیّة العمل باعتبار نفس صدوره منالعامل، کالعبادات مثلاً وحفر البئر وبناء الجدار وحمل المتاع ونحوها من مکانٍ إلیآخر فالفراغ عن العمل تسلیمه وإن کان الأثر المتولّد منه هو مناط مالیّته کالخیاطةوالقصارة والصیاغة ونحو ذلک، فذلک الأثر یُملَک تبعاً لتملّک العمل، ویتوقّف تسلیمما آجر نفسه له علی تسلیمه بتسلیم مورده علی الأقوی، ولو تلف قبل ذلک بعدالفراغ عن العمل المستأجَر له کالخیاطة مثلاً کان بالنسبة إلی متعلّق الإجارة منالتلف قبل القبض الموجب لانفساخها، ولو أتلفه الموجر أو الأجنبیّ یتخیّر المالکفی فسخ الإجارة، فیستوفی قیمة الثوب غیر مخیطٍ ممّن أتلفه، أو إمضائها، فیستوفیقیمته مخیطاً، ویدفع إلی العامل اُجرة الخیاطة، ویثبت للعامل حقّ حبس العین بعدإتمام العمل إلی أن یستوفی اُجرته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أقواهما الثانی، ولکنّه مع ذلک إذا تلف الثوب بعد تمام الخیاطة مثلاً فی یدالموجِر بلا ضمان استحقّ اُجرة العمل؛ لأنّه لیس من التلف قبل القبض، ولو تلف معضمانه وجبت علیه قیمته مخیطاً، واستحقّ الاُجرة المسمّاة؛ لأنّ العین ملکللمستأجِر، ولا یشارکه الموجر فیها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الملاک حصول المستأجر علیه وتحقّقه فی الخارج ـ کما هو ظاهر العبارةـ فأیّ فرقٍ بین ما إذا کان هو العمل أو الصفة الحادثة فی الثوب؟ لأنّه فی کلیهما قدتحقّق ما هو المستأجَر علیه وإن لم یسلِّم الثوب، وإن کان الملاک تحقّق التسلیم ـکما هو الظاهر ـ فکما أنّ تسلیم الصفة بتسلیم الموصوف کذلک تسلیم العمل بتسلیممورده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عدم الفرق بین الصورتَین، ولزوم تسلیم الثوب علی کلاالتقدیرین، لکنّه لا بمعنی تقدّم استحقاق المستأجِر علی الأجیر، بل بمعنی توقّفاستحقاق مطالبة الاُجرة علی تسلیم الثوب، کما أنّ استحقاق مطالبة الثوب منطرف المستأجِر یتوقّف علی تسلیم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الخیـاطة الّتی تکون مـورد الإجارة هل تـکون بالنسـبة إلی الصـفة المعـبَّر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بالمخیطیّة مطلقة، أو مقیّدة بعدمها، أو مقیّدة بوجودها، أو مهملة؟ لا مجاللواحدٍ من الشقوق المذکورة إلّا الشقّ الثالث، فتکون الصفة دخیلة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بأنّ الصفة الحادثة ـ أی معنی الاسم المصدری ـ وإن کانت منالمستأجَر علیه إلّا أنّه لمّا کانت من تبعات العمل، وإن کانت قائمةً بالثوب إلّا أنّتسلیمها بإتمام العمل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وفیه بعض العبارات مبهمة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کذلک علی القول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علیه قیمته مخیطاً؛ لضمانه الثوب مع هذا الوصف، فإذا أعطیالمؤجِر هذه القیمة یستحقّ الاُجرة أیضاً لتسلیمه الثوب مع هذا الوصف ببدله وهوالقیمة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قویّ قریب؛ لأنّ الوصف وإن کان من شغله لکن صار سبباً لزیادة قیمةالموصوف فی اعتبار العقلاء، والمتلِف ضامن لما أتلفه بتمام قیمته، ولا یُعدّ بعضالقیمة قیمةً للوصف فی اعتبارهم، کما هو بناء الفقهاء علیه فی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غیر وجیه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تقی القمّی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الفرق بین القولَین فی هذا التفرّع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یجوز للسیرة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ینافی ما تقدّم من استحقاق المطالبة بالإتمام، ولا ریب أنّ له الحبس؛ لأنّهذو حقّ 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کذلک علی القول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قاعدتی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مضمّنتان فیما لم یکن إقدام من صاحبالمال علی إهدار مالیّة ماله؛ ولذا لا تکون قاعدة احترام مال المسلم بنفسها مضمّنة،بل هی محقّقة لموضوع الضمان، بمعنی أنّ المال المحترم إذا وقع تحت یدٍ أو أتلفهأحد یکون مضموناً لمالکه علی المستولی أو المتلِف، فإذا أقدم المالک علی إهدارمالیّة ماله فقد أخرج ماله عن الحرمة، وخرج المال عن موضوع قاعدتَی الیدوالإتلاف، فلابدّ من ملاحظة کلّ موردٍ فی أنّه هل یکون التسلیط المالکیّ منشخصٍ علی ماله إهداراً للمالیّة، أم لا؟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فی أنّه إذا أقدم علی الإجارةبلا اُجرةٍ فقد أقدم علی إهدار مالیّة ماله؛ لأنّ الإقدام علی المجّانیّة متقابل معالإقدام علی المبادلة تقابل التضادّ، فهذا الإقدام إهدار لمالیّة المال، وإخراج له عنالاحترام المستلزِم لخروجه عن الموضوعیّة لقاعدتَی التلف أو الإتلاف تخصّصاً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إذا أقدم علی الإجارة بما لا یتموّل عرفاً؛ إذ لا یصدق علی ذلک الإقدام علیالمبادلة المالیّة، فهو فی الحقیقة إقدام علی المجّانیّة السالبة لحرمة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أقدمعلی الإجارة بما لا یتموّل شرعاً کالخمر ففیه إشکال، منشؤه أنّ الخمر مال عرفاً،وحکم الشارع بعدم مالیّتها لا یستلزم کون المالک مقدِماً علی المجّانیّة فی موردالمبادلة بها، ومن أنّه بعد الالتفات إلی سلب الشارع مالیّة الخمر وأنّها لا تدخلتحت ملک أحد یکون مقدِماً علی المجّانیّة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شئت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قد أقدم علی إهدارمالیّة ماله إلّا من ناحیة مقابلته مع الخمر، فلا ضمان للمال بعد التلف أو الإتلاف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أقدم علی الإجارة بما یتموّل عرفاً وشرعاً وکانت الإجارة فاسدةً من غیرجهة العوض فقد أقدم علی اللّامجّانیّة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یمکن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بلحاظ عدم إمضاء الشارع للمبادلة یکون مقدِماً علیالمجّانیّة؛ لأنّ المبادلة الفاسدة لا مبادلة حقیقةً، ولاسیّما مع العلم بالفساد، إلّا أنّهقابل للجواب بأنّ الإقدام علی المبادلة حافظ لحرمة المال، ومُخرِج للمورد عنالإهدار المالکیّ، ولا فرق فی ما ذُکِر بین إجارة الأعیان وإجارة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الید والإتلاف مضمّنتان، والتسلیط المجّانیّ علی العین أو العملإهدار من المالک لمنفعتها، أو العامل لعمله، وذلک یمنع عن جریانهما، فالمدار فیالضمان علی الید والإتلاف، وفی عدمه علی الإهدار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فلیتأمّل فی الموارد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الأظهر الضمان، إلّا فی الإجارة بلا اُجرة، أو فیما إذا کانت الاُجرة ممّا لایتموّل عرفاً ولا شرعاً بحیث یعدّ بذل المال بإزائه مجّانیّاً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بین العالم والجاهل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یظهر الوجه لهذه الخصوصیّة فی المقامَین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یظهر وجه هذه الخصوصیّة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المِلاک فی الضمان وعدمه التبرّع وعدمه، ومن المعلوم أنّ الأجیر مع علمهبالفساد غیر متبرّعٍ فی عمله، لکن لا یستحقّ المسمّی، نعم، لو کان العِوض ممّا لامالیّة له عرفاً مع علم الأجیر بذلک صحّ ما ذکره، ومنه تعرف الحکم فی الفروعالآتیة فی هذه المسألة، بل مطلقاً، أعنی فی المعاوضات العرفیّة الواقعة علی ما لاتجوز المعاوضة علیه شرعاً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فیما إذا کان البطلان من جهة کون الإجارة بلا عوض، أو من جهة کونالعوض ما لا یتموّل عرفاً صحیح؛ فإنّه إقدام علی هتک حرمة ماله، وأمّا فی ما عداذلک حتّی فیما کان العوض مالاً یتموّل شرعاً، لکنّه مال عرفاً، کالخمر والخنزیر،فلیس إقدام منه علی هتک ماله وإعطائه مجّاناً وبلا عوض، ولا فرق بین أن یکونالمؤجِر أو المستأجِر عالماً بالبطلان أو جاهلاً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مجرّد إعطائه المال بعنوان الملکیّة التشریعیّة للمستأجِر لا یقتضی إذنه بتصرّفهفی ماله بما هو ماله بلا عوض، فمثل هذا الإذن لا یوجب إباحته، ولا یرفع ضماناً؛لعدم کون قصده هتک ماله بما هو ماله،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ممّا قدّمناه أنّ الاُجرة مضمونة فی ید المؤجِر فی صورتَی علم المستأجِروعدمه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حالها ممّا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ممّا ذکرنا ثبوت الضمان فی هذه الصورة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وإن کان عالماً ببطلانها، نعم، یقوی عدم الضمان فیما إذا کانت فضولیّة منطرف الموجِر،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الأقوی هو الضمان؛ لأنّه لم یُسلِّطه علی المنفعة مجّاناً حتّی یکون خارجاًمن أدلّة الضمانات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فی الاُجرة أیضاً بین کونه عالماً أو جاهلاً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کونه متبرّعاً بعمله ممنوع إلّا إذا آجَر نفسه للعمل بلا اُجرة أو جعل الاُجرةمالا یُتموّل عرفاً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کونه من المتبرّع بعمله فی صورة عدم أمرٍ من المستأجِر محلّ تأمّل، وکذا الکلامفی تالیه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یستحقّ، إلّا مع قصد التبرّع وقرینة معتبرة دالّة علیه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فرق فیه أیضاً بین العالم والجاهل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ظهر حکمه ممّا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له المطالبة بها مطلقاً، ویلزمه اُجرة عمل المؤجِر لو أتی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له المطالبة بها مطلقاً، ویلزمه اُجرة عمل الموجِر لو أتی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جمال‌الدینالگلپایگانی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تکلیفاً، وعلی تقدیر عدم الإذن یتحقّق التسلیم وإن کان آثماً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مع تخلّف شرطٍ ضمنیٍّ أو ضرر أو حرج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مالیّة، أو من حیث الوجهة والشأن، فربّ شریفٍ تنقص وجهته لو شارکه شخصمن الأراذل والسفلة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إمّا بأن یستأجِراها بإجارةٍ واحدة، أو بأن یستأجِر کلّ واحدٍ منهما نصفها المشاع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عموم فی دلیل القرعة، ومنه یظهر الإشکال فی الفرع الآتی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مال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القید مستدرک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أنّ دعوی البطلان من سائر الجهات، کلزوم تخلّف المعلول عن العلّة، أواقتضاء الانفصال التعلیق، أو کونه منافیاً لمقتضی العقد مدفوعة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تکن مستأجَرة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الأقوی، نعم، یصحّ لو کان الاشتراط علی النحو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الأقوی فساده، نعم، لا بأس باشتراط تدارک التالف من ماله، ویکون أجنبیّاًعن شرط الضمان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أنّه صحّح الثانی من حکمٍ ببطلان الأوّل، ولکن لم یتّضح لی الفرق بینالصورَتَین موضوعاً وحکماً، إلّا فی مجرّد العبارة، فإنّ أداء مقدار التلف من مالهعبارة اُخری عن درکِ خسارته، ولیس هو مجرّد شرط الفعل، بل هو حقّ مالی لوامتنع عن أدائه یؤخذ منه، ولو مات یتعلّق بترکته، وهذا المعنی مساوق للضمان،اللهمّ إلّا أن یقصد اشتراط أداء مقدار معیّن علی تقدیر التلف، لا بقدر التلفوبحساب قیمة التالف، ولکنّ الظاهر خلافه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مدّة یتعارف الردّ فیها إلی صاحبها، فإن أخّر عنها فالظاهر الضمان، إلّا أنیکون تعارف فی البقاء عنده حتّی یرجع إلیه صاحبها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ظرف کان له المطالبة بملاحظة عدم المزاحمة لحقّ انتفاع المستأجر، وإلّا </w:t>
      </w:r>
      <w:r>
        <w:rPr>
          <w:rFonts w:eastAsia="IRNazanin" w:cs="IRNazanin"/>
          <w:b w:val="false"/>
          <w:bCs w:val="false"/>
          <w:i w:val="false"/>
          <w:iCs w:val="false"/>
          <w:color w:val="333333"/>
          <w:sz w:val="20"/>
          <w:szCs w:val="20"/>
        </w:rPr>
        <w:t>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الضمان مع منعه فی هذه الصورة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أداوه العین المستأجرة بعنوان استحقاقه القبض مقدّمةً لاستیفائه المنفعة فی نفی الضمان نظر، بل منع، نعم، لو قصد بإعطائه الأمانة مطلقاً لا إشکال فی نفیضمانه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النظر فیه، وما هو الحَرِیّ بالقبول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خصوصیّة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خصوصیّة فی ذلک؛ لعموم 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یضمن بصحیحه لا یضمن بفاسده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فی إجارة العین ما هو الجدیر بالقبول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 الضمان فی المقام بسبب الاشتراط أشکل؛ لإمکان التشکیک فی جریانمناط العاریة فی المقام، ولو قیل بجریانه فی المقام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الإشکال فی صحّة اشتراط الضمان فی العین المستأجرة، لکنّه هاهنا لا یبعدالصحّة، والفارق هو النصّ الوارد هاهنا فی الصحّة، أعنی خبر موسی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موسی بن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ما مرّ فی الحاشیة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الذی أفاده هنا یناقض ما ذکره فی الفصل المتقدّم، من عدم کون ما عدا التلفوإتلاف الحیوان موجباً لبطلان الإجارة، فأیّ فرقٍ بین الإتلاف بعد القبض وبینه قبلالقبض، خصوصاً بعد کون إتلاف المستأجِر بمنزلة القبض، وقد مرّ أنّ الأقوی هوالبطلان فی جمیع الفروض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منه ما ینافی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فی کلامه قدس سره أنّ إتلافه بمنزلة قبضه واستیفائه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استقرار الاُجرة بإتلاف مالکها؛ لأنّ المؤجِر سلّم نفسه للعمل، وقد تقدّممنه کون ذلک موجباً لاستقرار الاُجرة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تسلیم المؤجِر نفسه للعمل الّذی وقعت علیه الإجارة، وعدم استیفاءالمستأجر له هو الموجب لاستقرار الاُجرة دون ما ذکر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استیفاؤه بوجهٍ 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للتفریق، بل لا نفهم الفارق بین الموردین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والنکتة الفارقة أنّه فی الصورة الاُولی لمّا کان مالکاً للکلّیّ فی ذمّة الأجیرفإتلاف الثوب موجب لعدم القدرة علی تسلیم الکلّیّ بإتلاف محلّه فیبطل، بخلافهفی الثانی، فإنّه مالک لعمله الشخصیّ الموجب إتلاف الثوب؛ لصدق إتلاف المنفعةالشخصیّة، فیکون بحکم الاستیفاء، ولازمه فی هـذه الصورة أن یلتزم بعدم اقتضاءإتلاف الأجنبیّ أیضاً بطلان العقد، بل کان ضامناً للمنفعة، ولا یبعد حینئذٍ دعویثبوت الخیار للمستأجر؛ لأنّه بحکم الإتلاف قبل القبض؛ لأنّ القبض فی الأحراربعین استیفاء منافعها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مشکل، کما مرّ، ولا فرق بین الصورتَین فی کون الإتلاف بمنزلة الاستیفاء، کما لایخفی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فی الصورة الاُولی أیضاً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مقتضی القاعدة کون المدار یوم الأداء، لکنّ المستفاد من حدیث أبی 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أنّالمدار فی تلف العین یوم الضمان والمخالفة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اختلفت قیمة یوم التلف ویوم الأداء فالأحوط 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یوم التلف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مضموناً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یضمن قیمته غیر مخیطٍ بلا اُجرة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لا یکون المثالان من وادٍ واحد، ففی مثل الثوب یقوی تخیّر المالک بینالأمرین علی ما تقدّم، وفی المتاع المحمول إلی المکان المعیّن فی عقد الإجارةیستحقّ الاُجرة، ویکون ضامناً لقیمة المتاع فی ذلک المکان، والفرق ظاهر ممّاتقدّم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 لا یکون المثالان من وادٍ واحد، ففی مثل الثوب یقوی تخیّر المالک بینالأمرین علی ما تقدّم، وفی المتاع المحمول إلی المکان المعیّن فی عقد الإجارةیستحقّ الاُجرة، ویکون ضامناً لقیمة المتاع فی ذلک المکان، والفرق ظاهر ممّاتقدّم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للضمان فی مفروض الکلام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الضمان، إلّا فی صورة التسبیب المصحِّح للاستناد شرعاً وعرفاً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ضمانه فی جمیع الصور حتّی فی الأخیرتَین، مع تشخیصه المرض علیالأحوط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هو الغالب، ولکنّ کونه أقوی محلّ تأمّل، وصدق الغرور مع جهله بواقع الأمرممنوع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الضمان فی التطبّب علی النحو المتعارف، سواء أمر، أم 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الضمان فی جمیع الصور، إلّا مع التبرّی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ترتّب الأثر علی تبرّئ الطبیب من الضمان تأمّل، وکذا فی قبول المریض أوولیّه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والأحوط الاستبراء من المریض أو ولیّه علی تقدیر تحقّق الجنایة فیالخارج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القوّة تأمّل؛ لرجوعه إلی إسقاط ما لم یجب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الضمان، وکونه من التلف دون الإتلاف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الأقوی، وکذا فی الفرض التالی إذا کان إذنه فی القطع مستنداً إلی تشخیصالخیّاط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الضمان فی الفرضَین لا یخلو من 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علی تقدیر الکفایة، کما هو المفروض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علی خلاف واقع الإذن المقیّد بالکفایة الواقعیّة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ویلتزم بالضمان فی صورة تقیّد الإذن، کالصورة الاُولی، دون الثانیة؛ لکونه منقبیل الداعی فیها، إلّا إذا فرض غرور فی البین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جعل إذن المالک المغرور بمنزلة عدم الإذن محلّ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فیضمن فی الأوّل لتقیید الإذن بالکفایة، وفی الثانی فیما إذا حصل من قولهالاطمئنان، ومعه یتحقّق الغرور الموجب للضمان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وأمثالها لا تکون مورداً للابتلاء فی أمثال زماننا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کون قرار الضمان علی العبد فی کسبه؛ للجمع بین الصحیحین بشهادةالأمر بسعی العبد فی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الإشکال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الأوّل؛ للحسن، ومفاد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إذا استهلک مالاً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والأقوی فیه الأخیر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الگلپایگانی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فیما إذا کان القتل أو الجنایة خطأً، وأمّا فی فرض العمد فلا خیار للمولی، بللولیّ المقتول الخیار بین الاقتصاص والاسترقاق، وکذلک المجنیّ علیه إذا کانتالجنایة تحیط برقبة العبد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ثقة أمیناً، أمّا مع الاتّهام فلا یبعد ضمانه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الأولی الأحوط أن یشترط علیه علی حذو ما ذکرنا فی العین المستأجرة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 الکلام والتفصیل فیه فی أوّل الفصل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ثبوت المسمّی واُجرة المثل ولو مع التلف مطلقاً، إلّا أن یصرّح بالتقیید،ومجرّد الاشتراط لا یستلزمه إلّا مع الاختلاف بالتباین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الأکثر منها ومن المسمّی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إشکال، خصوصاً مع زیادة المسمّی علیها، ولا یبعد ثبوت المسمّی للمقدارالمشترط واُجرة مثل الزیادة بوصف کونها زیادةً مطلقاً؛ فإنّ الشرط إنّما یفیداستحقاقه علیه عدم حمل الزیادة، لا تقیّد المقدار بکونه لا معها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الثابت المسمّی واُجرة مثل الزائد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المتعیَّن فی جمیع ما یکون متعلّق الإجارة بالنسبة إلی ما استوفاهالمستأجر من الأقلّ والأکثر الخارجیّین، بل لا یبعد ذلک فیما إذا کانت مرتبة المنفعةکذلک فکأنّ المستأجر لها هو زراعة الحنطة مثلاً والمستوفاة هی زراعة الشعیر أوالرُوناس ونحو ذلک فیسقط من اُجرة المستوفاة حینئذٍ، وأمّا ما یقابل المستأجرةویضمن الزیادة، ولو تساوتا أو زادت المستأجَرَة لم یضمن شیئاً حتّی مع اشتراطالتجاوز عمّا وقع علیه العقد، أو ظهور إطلاقه فی ذلک وإن کان المستأجر آثماً حینئذٍبالتخلّف، وفی الإجارة علی الإهمال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أصل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یطّرد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المتعیّن فی جمیع ما یکون متعلّق الإجارة بالنسبة إلی ما استوفاهالمستأجِر من الأقلّ والأکثر الخارجیین، بل لا یبعد ذلک فیما إذا کانت مرتبة المنفعةکذلک، فکأنّ المستأجَر لها هی زراعة الحنطة مثلاً والمستوفاة هی زراعة الشعیر أوالرُوناس ونحو ذلک، فیسقط من اُجرة المستوفاة حینئذٍ ما یقابل المستأجَرَة،ویضمن الزیادة، ولو تساوتا أو زادت المستأجَرة لم یضمن شیئاً حتّی مع اشتراطعدم التجاوز عمّا وقع علیه العقد، أو ظهور إطلاقه فی ذلک، وإن کان المستأجِر آثماًحینئذٍ بالتخلّف، وفی الإجارة علی الأعمال أیضاً یطّرد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 فیه التفصیل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یفسخ، وإلّا فاُجرة مثل المجموع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یجذبها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توقّف استیفاء المنفعة علی النحو المتعارف علی خصوص ضربه، ففی سلطنةالمالک علی المنع نظر، بل منع، نعم، فی ضمانه بإتلافه 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نحو الشرط فی ضمن العقد، وإلّا فلا حقّ للمالک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منعه یؤثّر لو کان قبل الإجارة، وأمّا بعدها فإن کان استیفاء المنفعة عرفاً منوطاًبالضرب ونحوه فالظاهر أنّه لا أثر لمنعه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 المالک یُستکشَف من البناء المعاملی، فیکون الإتلاف مستنداً إلی المالکلإذنه، والتلف لا عن عدوان بإذنه أیضاً، ومن ذلک یظهر لزوم ملاحظة المواردوالقرائن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مأذون بعنوان السوق والسلامة، لا التنقیص والإتلاف، وسیجیء حکمهبضمان القصّاب المأذون فی الذبح إذا صار الحیوان حراماً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الحکم بالضمان یتوقّف علی کون النوم باختیاره بعد الغلبة، وإلّا فلا وجه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الظاهر، نعم، إذا کان قد أتی بما هو تحت قدرته من الأعمال الموجبة للحفظعلی النحو المتعارف؛ إذ هو الّذی یصحّ الاستئجار علیه، لا المحفوظیّة الّتی لیستمقدورة له، وربما تحصّل علی سبیل الاتّفاق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للإشکال إذا کان الشرط متعلّقاً بالفعل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یصحّ؛ لأنّ الودیعة استنابة فی الحفظ، ویکون اشتراط الضمان مضادّاًلحقیقتها؛ لکونه بمنزلة تضمین الشخص 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النحو الّذی تقدّم الکلام فی أوّل الفصل السابق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فی صحّته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یستکشف إذن المؤجِر بالبناء المعاملیّ فی الإجارات المطلقة غالباً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إشکال فیما لا یحتاج إلی الإذن، وإجارة المستأجِر کإجارة الموجِر فیملازمتها التسلیم فی بعض الموارد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فی عدم جواز التسلیم وفی ضمانه علی فرض التسلیم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حسنالقمّی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عرفت جوازه، بل لزومه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یلازم فی مقدار ما یتوقّف علیه استیفاء المنفعة؛ لمکان اقتضاء عقد الإجارةذلک، کما 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صحّة هذا النحو من الإجارة بناءً علی ما هو المعروف عندهم فی معنیالإجارة من کونها عبارة عن تملیک المنفعة إشکال؛ لعدم بقاء الفرق حینئذٍ بینهاوبین العاریة المتقوّمة بملک الانتفاع، فلا فرق علیه بین الدابّة المستأجَرَة المفروضةوبین الدابّة المستعارة، وکذا اشتراط عدم الإجارة من الغیر إذا لم یکن الغرض عدمالنقل بعنوان الإجارة فقط، ولم یکن المراد من الغیر غیر المؤجِر، بل أعمّ منه ومنغیر المستأجِر، وکذا اشتراط استیفاء المنفعة بنفسه لنفسه، فإنّ الصحّة فی جمیعالصور الثلاث علی المذهب المشهور فی معنی الإجارة مشکلة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للحرمة التعلیقیّة فی المقام، نعم، لا تصحّ الإجارة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التقیید لا ینافی جواز الإجارة من آخر، وذلک کما إذا استأجرت المرأة داراًلسکناها مقیّدة ثمّ تزوّجت فإنّه یجوز لها أن توجِرها من زوجها لسکناها، وبذلکیظهر ما فی الحکم بالبطلان علی الإطلاق بعید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لرکوب الآخر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إجازة المالک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لعدم کونه مأذوناً منه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رکوبه بنفسه ورکوب غیره لیسا من قبیل منفعتَی العین عرفاً حتّی یملک إحداهماولا یملک الاُخری، فتبطل الإجارة؛ لوقوعها فی غیر مملوکه، بل قید بنفسه، وهومن قبیل القیود والشرائط، فلا فرق بین هذه الصورة والصورتَین اللتَین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علی المستأجِر الأوّل أکثر الأمرین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ریب فی أنّ المنفعة المستوفاة من قبل المستأجِر الثانی تکون بدلاً وجودیّاً عنالمنفعة المملوکة للمستأجِر الأوّل؛ لأنّ المنفعتَین المتضادّتَین لا توجدان فی الخارجدفعةً، بل علی نحو التبادل، فهی بدل وجودیّ عن المنفعة الّتی لها بدل جعلی، وهوالاُجرة المسمّاة، ولا معنی لاستحقاق المالک بدلَین عن المنفعتَین المتضادّتَین،أحدهما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الجعلیّ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الاُجرة المسمّاة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البدل الطولی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اُجرة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لأنّما یصحّ أن یجعل بإزائه البدل جعلاً أو تغریماً ما یمکن أن یوجد فی الخارج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نعم،للمالک الأخذ بأکثر الأمرین من المسمّاة والمثل؛ لأنّ الأکثر إن کان المسمّاة فهومملوک له بعقد الاجارة، وإن کان المثل فهو مضمون له بالاستیفاء، وأمّا المستأجِرالثانی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عالماً بفساد الإجارة ثبت علیه اُجرة مثل المستوفاة یدفعها إلیالمستأجِر الأوّل إن کانت مساویة لاُجرة المسمّاة فی الإجارة الاُولی، أو أقلّ، ویدفعالزائد عنها إلی المالک إن کا نت أکثر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کان جاهلاً بالفساد فلیس علیه إلّاأقلّ الأمرین من المسمّاة الثانیة، ومن اُجرة مثل المستوفاة ویدفعه إلی المستأجِرالأوّل، وعلی المستأجِر الأوّل أکثر الأمرین من المسمّاة الاُولی واُجرة مثلالمستوفاة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للمستأجِر الأوّل، وهو ضامن للمالک ومدیون له بالمسمّی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أقواهما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إشکال أنّ الشرط نحو حقٍّ، والمنساق منه عرفاً تسلّط ذی الحقّ علی إحقاقحقّه، إلّا أن یدلّ دلیل علی الخلاف، ثمّ إنّ المراد بالبطلان هو التوقّف علیالإجازة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هو الحقّ، وممّا ذکر یظهر الحکم، أی الجواز فی الصورة الرابعة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هذا الوجه من القوّة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الأقوی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الحائری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فیها تصحّ الإجارة، ویثبت الخیار، مع عدم التمکّن من إلزامه بالعمل بالشرطوجهاً واحداً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اشتراط إحداث حدثٍ فی جواز الإجارة بالأکثر یختصّ بالدار، وأمّا بالنسبة إلیالحانوت والأجیر فدلیل المنع مطلق من هذه الجهة، فلا یُترک الاحتیاط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کفایة ذلک فی الصحّة نظر؛ لعدم مساعدة دلیلٍ علی التجویز به، عدا توهّملزوم الربویّ فی الجنس، وهو کما تری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عدم کفایته فی الصحّة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الشیرازی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أقواه عدم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حرام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الأحوط احتیاطاً لا یُترک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کون الاُجرة من غیر جنس الاُجرة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الشرط الآخر المتقدّم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یستفاد من روایة أبی الربیع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فی الزائد دون المساوی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مفتی الشیعة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جواز التسلیم مع توقّف استیفاء المنفعة علیه، وفی المقام کذلک یجوزالتسلیم إذا کان هو المتعارف بین أرباب الصنایع 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مع جریان العادة بذلک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فرض جواز إیکال العمل علی الغیر، فالأقوی عدم الضمان فی تسلیم العینبمقدارٍ یتوقّف علیه العمل، نعم، فی الزائد علی ذلک یضمن؛ لأنّه استئمان مالکیّ،ولا یجوز إلّا بإذنه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لزوم الرجوع إلی البناء المعاملیّ والقرائن فی مثل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أقواه عدم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کفایة أن یحدث حدثاً هنا إشکال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القمّی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کفایته 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عبدالله الشیرازی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مع دفع ما اشتراه من الخیط أو الإبرة إلی الأجیر الثانی لیخیط الثوب به، لامع عدمه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عدم الجواز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المدار علی کونه قاصداً لإتیان العمل عن قبل الأجیر بلا خصوصیّةٍ لقصد تبرّعه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بقصد أن یکون من قبله ولو بعوض، وإلّا یکون حاله کحال المتبرّع عنه فیعدم انفساخ الإجارة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فسخ المستأجِر بسبب تعذّر تسلیم العمل والانفساخ مشکل، کما مرّ فینظائرها، ولیست المسألة نظیر مسألة الإجارة علی قلع السنّ، نعم، هی نظیر مسألةالإجارة للخیاطة فسُرِق الثوب أو حُرِق، والإشکال جارٍ فیها أیضاً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للانفساخ، نعم، إذا لم یکن الزمان قابلاً لإتیان الأجیر یکشف فسادالإجارة من أوّل الأمر؛ لعدم قدرة الأجیر علی الإتیان، وأمّا مع قدرته وتعذّرهبلحاظ قیام غیر الأجیر فمقتضی القاعدة تحقّق خیار الفسخ للمستأجر؛ لتخلّفالشرط الضمنی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موجب للانفساخ إذا کان عمل غیره بعد مضیّ زمانٍ کان الأجیر متمکّناً منالإتیان به فیه، فإنّه یدخل حینئذٍ تحت عنوان التعذّر الطارئ، وهو یوجب الخیار، لاالانفساخ، وقد تقدّم الکلام فی الإجارة علی قلع الضرس إذا زال ألمه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إطلاقه نظر، بل منع، مثلاً إذا أوصی زید بأن یعطی لمحمّدٍ حجّةً عنه فأتیالحسن بحجّة عن زید أو عن محمّدٍ لم یُفَتِ المحلّ، وهکذا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الشیرازی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یخفی قصور العبارة عن توضیح ذلک، وحیث لا خفاء فی عدم قابلیّة المنافعالمتضادّة لاِنْ تُملَک جمعاً فی عرض واحد لا فی منافع الأموال ولا الأعمال، وأنّالقدر المشترک بین أنواعها المتضادّة والجامع لمراتبها الطولیّة هو المملوک فیالبابین، فإن تعلّق عقد الإجارة بذلک القدر المشترک بماله من الشمول لمراتبالانتفاع یملک المستأجِر حینئذٍ ما کان الموجِر مالکاً له، ویتخیّر فی استیفاء أیّمرتبةٍ شاء فی ضمن أیّ الأنواع، ولو تعلّق بنوعٍ خاصٍّ کالکتابة مثلاً أو الخیاطةوکزرع الحنطة مثلاً أو الشعیر وغیر ذلک کان ذلک تحدیداً لِما یملکه المستأجِر منمراتب المنفعة بما فی ضمن ذلک النوع، وسلباً لسلطنة کلٍّ من الموجِر والمستأجِرعلی ما عداه، فیملک المستأجِر ذلک القدر المشترک بهذه الخصوصیّة، وهذا هوتوضیح الوجهَین الأوّلَین، وأمّا الوجوه الأربعة الأخیرة فمرجعها وإن کان إلی تملیکعملٍ فی الذمّة لا إلی تملیک المنفعة لکنّ مقتضی اعتبار المباشرة وتعیین المدّة بأحدهذه الوجوه هو عدم جواز ما ینافی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یخلو من شوب إشکال؛ لاستلزام الغَرر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بنحو التقیید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لکنّه لیس من مصادیق الأجیر الخاصّ وإن کان مماثلاً له باعتبار الحکم بعدمالجواز المذکور فی المتن، ومنه یعلم أنّ المراد بالجواز هو الجواز التکلیفیّ، لاالوضعیّ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اللیل داخلاً فی مدّة هذه الإجارة حتّی فی الصورة الاُولی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 من باب إتلاف المنفعة علی المستأجِر قبل القبض؛ لِما أشرنا من أنّ قبضالمنافع فی الأحرار باستیفائها لعدم کونهم تحت الید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أنّ الأصحّ بعد فسخ الإجارة هو رجوع تمام اُجرة المسمّی إلی المستأجِر،نعم، للأجیر أخذ اُجرة المثل بالنسبة إلی المقدار الّذی أتی به من العمل منالمستأجِر، ولیس الفسخ من قبیل البطلان فی الأثناء حتّی یتقسّط ویرجع البعض،فلا یبقی وجه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بعضها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البجنوردی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استوفی المستأجِر بعض العمل قبل الفسخ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الأکثر من عِوض الفائت، واُجرة مثل المستوفاة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یجوز؛ لأنّ الغیر هو الّذی استوفی ملک المستأجِر فعلیه عوضه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محمّدالشیرازی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الجواز؛ لأنّه استوفی المنفعة الّتی کانت ملکاً للمستأجِر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عبداللهالشیرازی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الأظهر جواز مطالبته، لا لأنّه أتلف المنفعة علیه، بل لأنّه تسلّم مال الغیر من دونتبرّع من مالکه؛ لأنّ الأجیر لیس مالکاً له فلا یکفی تبرّعه، نعم، مع جهل المتبرّع لهوعلم الأجیر یرجع المتبرّع له إلی الأجیر؛ لقاعدة الغَرور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الروحانی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الرجوع علی الآمر المستوفی للمنفعة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وجه لرجوع المستأجر إلی الغارِّ؛ فإنّ الأجیر مغرور، والمغرور یرجع إلی منغرّه، لا غیره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فرض غَرور الأجیر من قبل الآمر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یتحصّل محصّل لفرض صدق الغَرور، ولو کان أمر الآمر استیفاءً منه للعملومخرجاً له عن التبرّعیّة فلا یبعد جواز الرجوع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یتحصّل محصّل لفرض صدق الغَرور، ولو کان أمر الآمر استیفاءً منه للعملومخرجاً له عن التبرّعیّة فلا یبعد جواز الرجوع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تختصّ صلاحیّة الجعالة لتعلّق إجازة المستأجِر بها بما إذا تعلّقت بعمل شخصذلک الأجیر، ولا یطّرد فی ما لم یتعیّن شخصه فی عقد الجعالة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جمال الدینالگلپایگانی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اتّحاد المتعلّق فی الإجارتَین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الإجارة الاُولی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أنّ مطالبة عوض المقدار الّذی فات لا تنافی جواز رجوعه إلی اُجرة مثلالعمل الّذی عمله، لا للمستأجِر، فلا یبعد جواز رجوعه إلی اُجرتَین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الأکثر من عوض الفائت، واُجرة مثل المستوفی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الّذی استوفاه الغیر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العمل الّذی عمله لنفسه أو لغیره من جنس هذه المنفعة الخاصّة کالخیاطة،وإلّا فله الفسخ، أو أخذ بدل ما فوّت دون ما استوفی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أن یقال ببطلان الإجارة فی هذه الصورة؛ لعدم کون الأجیر مالکاً لمنفعةالکتابیّ بعد تملیک منفعة الخیاطیّ للمستأجِر، وبعد ثبوت التضاد بینهما، کما هوالمفروض؛ لأنّ تضادّ المنافع وعدم تعانقها فی الوجود وإن لم یکن منافیاً لملکیّتهابأجمعها إلّا أنّ سبق تملیک إحداها للغیر ینافی اعتبار بقاء الملکیّة بالإضافة إلیالاُخری، وعلیه فکیف یتحقّق التملیک؟ نعم، هنا روایة واحدة معتبرة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علیصحّة المعاملة الثانیة إذا کانت مع إذن المستأجِر أو إجازته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أری مانعاً فی هذه العجالة عن تأثیر إجازة المستأجِر، فإنّ الأمر یرجع إلیه، کماأنّه لا أری مانعاً عن القول بالصحّة علی نحو الترتّب، والله العالم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مقتضی ما تقدّم من تعلّـق الإجارة الواردة علی آحاد المنافع المتضـادّة بالقدرالمشترک، الّذی کان الموجِر مالکاً له هو ورود الإجارة الثانیة علی ما ملکهالمستأجِر الأوّل، وصلاحیّتها لإجازته بذلک، ولو أجاز فمع تساوی المنفعتَین فیالمالیّة ومقدار الانتفاع تکون الاُجرة المسمّاة فی الإجارة الثانیة حینئذٍ هی تمام مایستحقّه، ولو کان ما عقد علیه فی الإجارة الاُولی دون ما عقد علیه فی الثانیة کانالزائد علی ما یستحقّه المستأجِر الأوّل من مراتب المنفعة للموجِر، ولو انعکسالفرض ضمن الموجِر مقدار التفاوت علی إشکالٍ فی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الدین الگلپایگانی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التخییر مشکل، بناءً علی عدم البطلان بتعیّن عوض الفائت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مرّ الإشکال فی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الخونساری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ولکنّه علی نحوٍ تکون الخیاطة للاخر مضادّةً للعمل المستأجَر علیه، کما هوالمفروض، وعلیه فیجری فیه الاحتمال الّذی ذکرناه فی الحاشیة السابقة، وأمّا علیمبنی الماتن قدس سره من عدم کون التضادّ مانعاً عن الملکیّة والتملیک فالفرق بینالصورتَین واضح، والإیراد علیه باقتضاء هذا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آجَر نفسه للخیاطة مثلاًللغیر فی الذمّة فی الصورتَین الاُولَتَین لَما کان تصحیحها بإجازة المستأجِر ممکناً؛لعدم کونه مالکاً لما فی ذمّته واضح الدفع؛ فإنّه بعد کون جمیع المنافع أو خصوصمنفعة الخیاطیّ فی زمانٍ معیّنٍ ملکاً للمستأجِر لا مجال لاعتبار الملکیّة بالإضافةإلی الذمّة فی ذلک المقدار من الزمان، فکیف یصحّ أن یؤجِر نفسه من المستأجِرالثانی حتّی یحتاج إلی الإجازة؟ وهذا بخلاف ما لو کانت الإجارة بنحو الفرضالثالث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اللنکرانی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بمباشرته،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أقواهما الثانی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ولعلّه الأقوی ما لم یرجع إلی تحدید المنفعة، وإلّا فکالسابقة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رضاالگلپایگانی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کان مقتضی الإطلاق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عدم انصراف العقد إلی المباشرة، والتعیین من جهة المدّة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الکوه کَمَری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سبق منه فی المسألة الخامسة من الفصل الأوّل ما ینافی ذلک، وأنّ إطلاقالعقد یقتضی التعجیل علی الوجه العرفی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بعض الموارد مقبولة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زمانٍ معیّن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تعیّن الزمان فی الکلّیّ، کما لا یخفی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الوقت الّذی استأجرها أو استعملها فی الرکوب کذلک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یضمن إلّا أعلی المنفعتَین، فلو کان ما استوفاه دون متعلّق الإجارة، أو کانمساویاً له ولم یکن المسمّی دون اُجرة مثله لم یلزمه إلّا المسمّی، ویرجع إلی اُجرةالمثل فیما عدا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لا یضمن إلّا أعلی المنفعتَین، فلو کان ما استوفاه دون متعلّق الإجارة أومساویاً له ولم یکن المسمّی دون اُجرة مثله لم یلزمه إلّا المسمّی، ویرجع إلی اُجرةالمثل فیما عدا ذلک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لزوم الأجرتَین ضعیف غایته؛ لأنّ الفرض أنّ المؤجِر لا یملک إلّا إحدیالمنفعتَین فکیف یأخذ الاُجرتَین؟ والظاهر وجوب أکثر الأمرین، ولا ینافیه حدیثأبی ولّاد الدالّ علی وجوب اُجرة المثل؛ لوروده علی المتعارف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الأمر کما أفاده فی صورة العکس، نعم، لو قصد الأجیر التبرّع لا یستحقّالاُجرة لمثل العمل، بل له الاُجرة المسمّاة فقط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الأمر کذلک، مع التفات الحرّ وغفلة المستأجِر إذا لم یکن الأجیر قاصداًللإتیان بالعمل مجّاناً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العلّة المذکورة لدفعها علیلة مردودة؛ لأنّ المستأجِر استوفی منفعة الحملالّذی ملکه علی وجهٍ غیر مأذون فیه بتغییر وصف، فکأنّه کان مالکاً لکلّیٍّ کان لهاستیفاوه مع قیدٍ ووصفٍ فاستوفاه مع وصفٍ آخر، ولا ریب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أصل النسخة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نظر العرفلیس تارکاً لاستیفاء حقّه، ولا یعتبرون منفعتَین عرضیَّتین فیما لم یمکن جمعهما،نعم، فیما یمکن جمعهما یعتبرونهما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منه قدس سره فی أوّل هذا الفصل أنّه لو آجره الدابّة علی وجه القیدیّة بأن آجرهالرکوبه بنفسه، فخالف وآجر بطلت، واستحقّ المالک اُجرة المثل من المستأجرالثانی، وظاهره بطلان الإجارتَین، ویستردّ الأوّل الاُجرة المسمّاة من المالک، وعلیما ذکره هنا من إمکان اجتماع المنفعتَین المتضادَّتین فی وقتٍ واحدٍ کما فی المقامیمکن القول بصحّة الإجارتَین، الاُولی بالعقد، والثانیة بالإجازة، فیستوفی المالکالاُجرتَین کما فی مثال العبد والخیاطة والکتابة، فیستوفی اُجرة الخیاطة للتفویت،واُجرة الکتابة بالإجارة مع الإجازة، والحقّ استحالة اجتماع المنفعتَین المتضادّتَینعقلاً، ولیس له إلّا اُجرة المثل فی الجمیع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مدفوعة بعدم المانع من ملکیّة المنفعتَین المتضادّتَین، علی ما حقّقناه فیمحلّه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الخوئی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الاستحقاق یتحقّق بنفس العقد، غایة الأمر أنّ المستأجِر مخیّر بین إبقاء العقدبحاله وأخذ اُجرة المثل للفائت وبین فسخ العقد وإرجاع الاُجرة المسمّاة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فرض فسخ المستأجِر، وإلّا فذمّته مشغولة بقیمة العمل واقعاً، ومستحقّ علیالمستأجر بالمسمّی ما لم یلزم تَهاتُر قهریّ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إذا أمره المستأجِر، أو أحرز الرضا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کاشف الغطاء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ظهر حکم هذه المسألة من المسألة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 القمّی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فرض الفسخ، وکونه قبل قبض الدابّة، وإلّا فعلی تقدیر الإمضاء کان حکمهحکم المسألة السابقة، کما أنّه لو کان بعد قبض العین کان الأمر کذلک بلا احتیاجإلی الإمضاء أیضاً لصحّة الإجازة ولزومه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إشکال، إلّا إذا فسخ زیدٌ المستأجِر،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تقصیر من المستأجِر فی حفظها المتعارف، وکذا فی العبد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بالنسبة إلی القدر الباقی من المدّة، نعم، لو لم تبقَ العین المستأجَرة فی یدالمستأجِر زماناً یُعتدّ به انفسخت الإجارة کلّیّاً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جمال‌الدین الگلپایگانی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بالنسبة إلی القدر الباقی من المدّة، نعم، لو لم تبقَ العین المستأجَرة فی یدالمستأجِر زماناً یُعتدّ به انفسخت الإجارة کلّیّاً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النائینی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دلیل علی البطلان؛ فإنّ عدم القدرة علی الانتفاع لا یوجب سلبالملکیّة عن المنافع، مضافاً إلی أنّ شَرَد الدابّة أو إباق العبد لا یلائمانسلب القدرة، فالحکم المذکور فی المتن لا یمکن الجزم به، فلا یُترکالاحتیاط، وممّا ذُکِر ظهر الإشکال فیما لو غصبها الغاصب قبل التسلیم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تقیالقمّی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البطلان مشکل، والأحوط الفسخ، ثمّ الرجوع بالاُجرة، کما مضی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الأرجح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صدرالدین الصدر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الاحتمال قویّ جدّاً، ولا یخفی الاختلاف بین کلماته هنا وبینها فی الفصلالثالث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الإصطهباناتی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یستحقّ، مضافاً إلی الاُجرة المسمّاة التفاوت بینها وبین اُجرة المثل علی فرضزیادتها علی المسمّاة، کما مرّ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المسألة محتاجة إلی التأمّل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الإصفهانی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للمستأجر فسخ الإجارة؛ للتخلّف، وأخذ اُجرة المِثل للمنافع المحلّلة الفائتة فیهذه المدّة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التعلیل علیل، والأقوی استحقاق أکثر الأمرین من المسمّی والمثل، والأحوطالتصالح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السبزواری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ما احتملنا فی الحاشیة السابقة یحتمل هنا استحقاق المالک اُجرة المنافعالمستوفاة، لا المنافع الفائتة إذا کانت اُجرة المستوفاة أکثر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الشریعتمداری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یرد علیه بمذاقه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بتفویته علی نفسه حصل للمالک منفعة محلّلة اُخری فوّتهاالمستأجِر علی الموجِر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الفیروزآبادی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إذا عمل المستأجِر علی طبق الإجارة، وإلّا فلا یبعد صدق التفویت بالنسبةإلی أعلی المنافع المتعارفة المحلّلة، وحینئذٍ تستحقّ فضلها علی المنفعة المستأجَرَة،فلا یُترک الاحتیاط بالتصالح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الحائری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وتسلّمها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الفانی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کون الدابّة مسلّمةً إلیه، أو تحت اختیاره، وکذا فی الفرع التالی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الخمینی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صورة تمکین مالکها إیّاها منه وبقائها تحت سلطته فی مدّة إمکان الاستیفاء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کان مکّنه منها وبقیت تحت مُکنته إلی مدّة یمکنه الاستیفاء منها، کما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لعدم سلطة الأجیر علی المنفعة الثانیة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الصحّة فی الفرض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عبدالهادی الشیرازی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لعدم المقتضی، والتعلیل به لمکان تقدّمه أنسب وأسلم من النظر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للمکشوف السابق بالإجازة، وإلّا فحین الإجازة کان المانع مرتفعاً، کما هوکذلک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باع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الشیرازی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image" Target="media/image2.jpeg"/><Relationship Id="rId599" Type="http://schemas.openxmlformats.org/officeDocument/2006/relationships/image" Target="media/image2.jpeg"/><Relationship Id="rId600" Type="http://schemas.openxmlformats.org/officeDocument/2006/relationships/footer" Target="footer593.xml"/><Relationship Id="rId601" Type="http://schemas.openxmlformats.org/officeDocument/2006/relationships/footnotes" Target="footnotes.xml"/><Relationship Id="rId602" Type="http://schemas.openxmlformats.org/officeDocument/2006/relationships/numbering" Target="numbering.xml"/><Relationship Id="rId603" Type="http://schemas.openxmlformats.org/officeDocument/2006/relationships/fontTable" Target="fontTable.xml"/><Relationship Id="rId604" Type="http://schemas.openxmlformats.org/officeDocument/2006/relationships/settings" Target="settings.xml"/><Relationship Id="rId6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623</Pages>
  <Words>48235</Words>
  <Characters>207683</Characters>
  <CharactersWithSpaces>253695</CharactersWithSpaces>
  <Paragraphs>5090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2026-08-24T06:09:15Z</dcterms:created>
  <dc:creator>ghaemiyeh.com</dc:creator>
  <dc:description/>
  <dc:language>en-US</dc:language>
  <cp:lastModifiedBy/>
  <dcterms:modified xsi:type="dcterms:W3CDTF">2026-08-24T09:39:39Z</dcterms:modified>
  <cp:revision>1</cp:revision>
  <dc:subject/>
  <dc:title>العروة الوثقی والتعلیقات علیها جلد 13</dc:title>
</cp:coreProperties>
</file>

<file path=docProps/custom.xml><?xml version="1.0" encoding="utf-8"?>
<Properties xmlns="http://schemas.openxmlformats.org/officeDocument/2006/custom-properties" xmlns:vt="http://schemas.openxmlformats.org/officeDocument/2006/docPropsVTypes"/>
</file>