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3536_232238742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763538_232238742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763540_2322387425">
            <w:r>
              <w:rPr>
                <w:webHidden/>
                <w:rStyle w:val="IndexLink"/>
                <w:rtl w:val="true"/>
              </w:rPr>
              <w:t>فصل</w:t>
            </w:r>
            <w:r>
              <w:rPr>
                <w:rStyle w:val="IndexLink"/>
                <w:rtl w:val="true"/>
              </w:rPr>
              <w:t xml:space="preserve">: </w:t>
            </w:r>
            <w:r>
              <w:rPr>
                <w:rStyle w:val="IndexLink"/>
                <w:rtl w:val="true"/>
              </w:rPr>
              <w:t>فی أحکام الأموات</w:t>
            </w:r>
            <w:r>
              <w:rPr>
                <w:rStyle w:val="IndexLink"/>
                <w:rtl w:val="true"/>
              </w:rPr>
              <w:tab/>
            </w:r>
            <w:r>
              <w:rPr>
                <w:rStyle w:val="IndexLink"/>
              </w:rPr>
              <w:t>20</w:t>
            </w:r>
          </w:hyperlink>
        </w:p>
        <w:p>
          <w:pPr>
            <w:pStyle w:val="Contents3"/>
            <w:tabs>
              <w:tab w:val="clear" w:pos="8459"/>
              <w:tab w:val="right" w:pos="9026" w:leader="dot"/>
            </w:tabs>
            <w:rPr/>
          </w:pPr>
          <w:hyperlink w:anchor="__RefHeading___Toc1763542_2322387425">
            <w:r>
              <w:rPr>
                <w:webHidden/>
                <w:rStyle w:val="IndexLink"/>
                <w:rtl w:val="true"/>
              </w:rPr>
              <w:t>وجوب التوبة وحقیقتها</w:t>
            </w:r>
            <w:r>
              <w:rPr>
                <w:rStyle w:val="IndexLink"/>
                <w:rtl w:val="true"/>
              </w:rPr>
              <w:tab/>
            </w:r>
            <w:r>
              <w:rPr>
                <w:rStyle w:val="IndexLink"/>
              </w:rPr>
              <w:t>20</w:t>
            </w:r>
          </w:hyperlink>
        </w:p>
        <w:p>
          <w:pPr>
            <w:pStyle w:val="Contents3"/>
            <w:tabs>
              <w:tab w:val="clear" w:pos="8459"/>
              <w:tab w:val="right" w:pos="9026" w:leader="dot"/>
            </w:tabs>
            <w:rPr/>
          </w:pPr>
          <w:hyperlink w:anchor="__RefHeading___Toc1763544_2322387425">
            <w:r>
              <w:rPr>
                <w:webHidden/>
                <w:rStyle w:val="IndexLink"/>
                <w:rtl w:val="true"/>
              </w:rPr>
              <w:t>ما یجب فعله عند ظهور علامات الموت</w:t>
            </w:r>
            <w:r>
              <w:rPr>
                <w:rStyle w:val="IndexLink"/>
                <w:rtl w:val="true"/>
              </w:rPr>
              <w:tab/>
            </w:r>
            <w:r>
              <w:rPr>
                <w:rStyle w:val="IndexLink"/>
              </w:rPr>
              <w:t>21</w:t>
            </w:r>
          </w:hyperlink>
        </w:p>
        <w:p>
          <w:pPr>
            <w:pStyle w:val="Contents3"/>
            <w:tabs>
              <w:tab w:val="clear" w:pos="8459"/>
              <w:tab w:val="right" w:pos="9026" w:leader="dot"/>
            </w:tabs>
            <w:rPr/>
          </w:pPr>
          <w:hyperlink w:anchor="__RefHeading___Toc1763546_2322387425">
            <w:r>
              <w:rPr>
                <w:webHidden/>
                <w:rStyle w:val="IndexLink"/>
                <w:rtl w:val="true"/>
              </w:rPr>
              <w:t>الوصیة بأداء الواجبات من صوم وصلاة وحج ونحوها</w:t>
            </w:r>
            <w:r>
              <w:rPr>
                <w:rStyle w:val="IndexLink"/>
                <w:rtl w:val="true"/>
              </w:rPr>
              <w:tab/>
            </w:r>
            <w:r>
              <w:rPr>
                <w:rStyle w:val="IndexLink"/>
              </w:rPr>
              <w:t>23</w:t>
            </w:r>
          </w:hyperlink>
        </w:p>
        <w:p>
          <w:pPr>
            <w:pStyle w:val="Contents3"/>
            <w:tabs>
              <w:tab w:val="clear" w:pos="8459"/>
              <w:tab w:val="right" w:pos="9026" w:leader="dot"/>
            </w:tabs>
            <w:rPr/>
          </w:pPr>
          <w:hyperlink w:anchor="__RefHeading___Toc1763548_2322387425">
            <w:r>
              <w:rPr>
                <w:webHidden/>
                <w:rStyle w:val="IndexLink"/>
                <w:rtl w:val="true"/>
              </w:rPr>
              <w:t>تملیک غیر الوارث</w:t>
            </w:r>
            <w:r>
              <w:rPr>
                <w:rStyle w:val="IndexLink"/>
                <w:rtl w:val="true"/>
              </w:rPr>
              <w:tab/>
            </w:r>
            <w:r>
              <w:rPr>
                <w:rStyle w:val="IndexLink"/>
              </w:rPr>
              <w:t>24</w:t>
            </w:r>
          </w:hyperlink>
        </w:p>
        <w:p>
          <w:pPr>
            <w:pStyle w:val="Contents3"/>
            <w:tabs>
              <w:tab w:val="clear" w:pos="8459"/>
              <w:tab w:val="right" w:pos="9026" w:leader="dot"/>
            </w:tabs>
            <w:rPr/>
          </w:pPr>
          <w:hyperlink w:anchor="__RefHeading___Toc1763550_2322387425">
            <w:r>
              <w:rPr>
                <w:webHidden/>
                <w:rStyle w:val="IndexLink"/>
                <w:rtl w:val="true"/>
              </w:rPr>
              <w:t>هل یجب الإعلام بمال لایعلمه الوارث؟</w:t>
            </w:r>
            <w:r>
              <w:rPr>
                <w:rStyle w:val="IndexLink"/>
                <w:rtl w:val="true"/>
              </w:rPr>
              <w:tab/>
            </w:r>
            <w:r>
              <w:rPr>
                <w:rStyle w:val="IndexLink"/>
              </w:rPr>
              <w:t>24</w:t>
            </w:r>
          </w:hyperlink>
        </w:p>
        <w:p>
          <w:pPr>
            <w:pStyle w:val="Contents3"/>
            <w:tabs>
              <w:tab w:val="clear" w:pos="8459"/>
              <w:tab w:val="right" w:pos="9026" w:leader="dot"/>
            </w:tabs>
            <w:rPr/>
          </w:pPr>
          <w:hyperlink w:anchor="__RefHeading___Toc1763552_2322387425">
            <w:r>
              <w:rPr>
                <w:webHidden/>
                <w:rStyle w:val="IndexLink"/>
                <w:rtl w:val="true"/>
              </w:rPr>
              <w:t>هل یجب نصب القیّم علی الأطفال؟</w:t>
            </w:r>
            <w:r>
              <w:rPr>
                <w:rStyle w:val="IndexLink"/>
                <w:rtl w:val="true"/>
              </w:rPr>
              <w:tab/>
            </w:r>
            <w:r>
              <w:rPr>
                <w:rStyle w:val="IndexLink"/>
              </w:rPr>
              <w:t>25</w:t>
            </w:r>
          </w:hyperlink>
        </w:p>
        <w:p>
          <w:pPr>
            <w:pStyle w:val="Contents2"/>
            <w:tabs>
              <w:tab w:val="clear" w:pos="8743"/>
              <w:tab w:val="right" w:pos="9026" w:leader="dot"/>
            </w:tabs>
            <w:rPr/>
          </w:pPr>
          <w:hyperlink w:anchor="__RefHeading___Toc1763554_2322387425">
            <w:r>
              <w:rPr>
                <w:webHidden/>
                <w:rStyle w:val="IndexLink"/>
                <w:rtl w:val="true"/>
              </w:rPr>
              <w:t>فصل</w:t>
            </w:r>
            <w:r>
              <w:rPr>
                <w:rStyle w:val="IndexLink"/>
                <w:rtl w:val="true"/>
              </w:rPr>
              <w:t xml:space="preserve">: </w:t>
            </w:r>
            <w:r>
              <w:rPr>
                <w:rStyle w:val="IndexLink"/>
                <w:rtl w:val="true"/>
              </w:rPr>
              <w:t>فی آداب المریض</w:t>
            </w:r>
            <w:r>
              <w:rPr>
                <w:rStyle w:val="IndexLink"/>
                <w:rtl w:val="true"/>
              </w:rPr>
              <w:tab/>
            </w:r>
            <w:r>
              <w:rPr>
                <w:rStyle w:val="IndexLink"/>
              </w:rPr>
              <w:t>26</w:t>
            </w:r>
          </w:hyperlink>
        </w:p>
        <w:p>
          <w:pPr>
            <w:pStyle w:val="Contents2"/>
            <w:tabs>
              <w:tab w:val="clear" w:pos="8743"/>
              <w:tab w:val="right" w:pos="9026" w:leader="dot"/>
            </w:tabs>
            <w:rPr/>
          </w:pPr>
          <w:hyperlink w:anchor="__RefHeading___Toc1763556_2322387425">
            <w:r>
              <w:rPr>
                <w:webHidden/>
                <w:rStyle w:val="IndexLink"/>
                <w:rtl w:val="true"/>
              </w:rPr>
              <w:t>فصل</w:t>
            </w:r>
            <w:r>
              <w:rPr>
                <w:rStyle w:val="IndexLink"/>
                <w:rtl w:val="true"/>
              </w:rPr>
              <w:t xml:space="preserve">: </w:t>
            </w:r>
            <w:r>
              <w:rPr>
                <w:rStyle w:val="IndexLink"/>
                <w:rtl w:val="true"/>
              </w:rPr>
              <w:t>فی استحباب عیادة المریض وآدابها</w:t>
            </w:r>
            <w:r>
              <w:rPr>
                <w:rStyle w:val="IndexLink"/>
                <w:rtl w:val="true"/>
              </w:rPr>
              <w:tab/>
            </w:r>
            <w:r>
              <w:rPr>
                <w:rStyle w:val="IndexLink"/>
              </w:rPr>
              <w:t>29</w:t>
            </w:r>
          </w:hyperlink>
        </w:p>
        <w:p>
          <w:pPr>
            <w:pStyle w:val="Contents3"/>
            <w:tabs>
              <w:tab w:val="clear" w:pos="8459"/>
              <w:tab w:val="right" w:pos="9026" w:leader="dot"/>
            </w:tabs>
            <w:rPr/>
          </w:pPr>
          <w:hyperlink w:anchor="__RefHeading___Toc1763558_2322387425">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763560_2322387425">
            <w:r>
              <w:rPr>
                <w:webHidden/>
                <w:rStyle w:val="IndexLink"/>
                <w:rtl w:val="true"/>
              </w:rPr>
              <w:t>آداب العیادة</w:t>
            </w:r>
            <w:r>
              <w:rPr>
                <w:rStyle w:val="IndexLink"/>
                <w:rtl w:val="true"/>
              </w:rPr>
              <w:tab/>
            </w:r>
            <w:r>
              <w:rPr>
                <w:rStyle w:val="IndexLink"/>
              </w:rPr>
              <w:t>29</w:t>
            </w:r>
          </w:hyperlink>
        </w:p>
        <w:p>
          <w:pPr>
            <w:pStyle w:val="Contents2"/>
            <w:tabs>
              <w:tab w:val="clear" w:pos="8743"/>
              <w:tab w:val="right" w:pos="9026" w:leader="dot"/>
            </w:tabs>
            <w:rPr/>
          </w:pPr>
          <w:hyperlink w:anchor="__RefHeading___Toc1763562_2322387425">
            <w:r>
              <w:rPr>
                <w:webHidden/>
                <w:rStyle w:val="IndexLink"/>
                <w:rtl w:val="true"/>
              </w:rPr>
              <w:t>فصل</w:t>
            </w:r>
            <w:r>
              <w:rPr>
                <w:rStyle w:val="IndexLink"/>
                <w:rtl w:val="true"/>
              </w:rPr>
              <w:t xml:space="preserve">: </w:t>
            </w:r>
            <w:r>
              <w:rPr>
                <w:rStyle w:val="IndexLink"/>
                <w:rtl w:val="true"/>
              </w:rPr>
              <w:t>فیما یتعلق بالمحتضر مما هو وظیفة الغیر</w:t>
            </w:r>
            <w:r>
              <w:rPr>
                <w:rStyle w:val="IndexLink"/>
                <w:rtl w:val="true"/>
              </w:rPr>
              <w:tab/>
            </w:r>
            <w:r>
              <w:rPr>
                <w:rStyle w:val="IndexLink"/>
              </w:rPr>
              <w:t>31</w:t>
            </w:r>
          </w:hyperlink>
        </w:p>
        <w:p>
          <w:pPr>
            <w:pStyle w:val="Contents3"/>
            <w:tabs>
              <w:tab w:val="clear" w:pos="8459"/>
              <w:tab w:val="right" w:pos="9026" w:leader="dot"/>
            </w:tabs>
            <w:rPr/>
          </w:pPr>
          <w:hyperlink w:anchor="__RefHeading___Toc1763564_2322387425">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763566_2322387425">
            <w:r>
              <w:rPr>
                <w:webHidden/>
                <w:rStyle w:val="IndexLink"/>
                <w:rtl w:val="true"/>
              </w:rPr>
              <w:t>الأول</w:t>
            </w:r>
            <w:r>
              <w:rPr>
                <w:rStyle w:val="IndexLink"/>
                <w:rtl w:val="true"/>
              </w:rPr>
              <w:t xml:space="preserve">: </w:t>
            </w:r>
            <w:r>
              <w:rPr>
                <w:rStyle w:val="IndexLink"/>
                <w:rtl w:val="true"/>
              </w:rPr>
              <w:t>توجیه المیّت إلی القبلة</w:t>
            </w:r>
            <w:r>
              <w:rPr>
                <w:rStyle w:val="IndexLink"/>
                <w:rtl w:val="true"/>
              </w:rPr>
              <w:tab/>
            </w:r>
            <w:r>
              <w:rPr>
                <w:rStyle w:val="IndexLink"/>
              </w:rPr>
              <w:t>31</w:t>
            </w:r>
          </w:hyperlink>
        </w:p>
        <w:p>
          <w:pPr>
            <w:pStyle w:val="Contents3"/>
            <w:tabs>
              <w:tab w:val="clear" w:pos="8459"/>
              <w:tab w:val="right" w:pos="9026" w:leader="dot"/>
            </w:tabs>
            <w:rPr/>
          </w:pPr>
          <w:hyperlink w:anchor="__RefHeading___Toc1763568_2322387425">
            <w:r>
              <w:rPr>
                <w:webHidden/>
                <w:rStyle w:val="IndexLink"/>
                <w:rtl w:val="true"/>
              </w:rPr>
              <w:t>هل یجب أن یوجّه المحتضر نفسه؟</w:t>
            </w:r>
            <w:r>
              <w:rPr>
                <w:rStyle w:val="IndexLink"/>
                <w:rtl w:val="true"/>
              </w:rPr>
              <w:tab/>
            </w:r>
            <w:r>
              <w:rPr>
                <w:rStyle w:val="IndexLink"/>
              </w:rPr>
              <w:t>32</w:t>
            </w:r>
          </w:hyperlink>
        </w:p>
        <w:p>
          <w:pPr>
            <w:pStyle w:val="Contents3"/>
            <w:tabs>
              <w:tab w:val="clear" w:pos="8459"/>
              <w:tab w:val="right" w:pos="9026" w:leader="dot"/>
            </w:tabs>
            <w:rPr/>
          </w:pPr>
          <w:hyperlink w:anchor="__RefHeading___Toc1763570_2322387425">
            <w:r>
              <w:rPr>
                <w:webHidden/>
                <w:rStyle w:val="IndexLink"/>
                <w:rtl w:val="true"/>
              </w:rPr>
              <w:t>فروع فیما یتعلق بتوجیه المیت</w:t>
            </w:r>
            <w:r>
              <w:rPr>
                <w:rStyle w:val="IndexLink"/>
                <w:rtl w:val="true"/>
              </w:rPr>
              <w:tab/>
            </w:r>
            <w:r>
              <w:rPr>
                <w:rStyle w:val="IndexLink"/>
              </w:rPr>
              <w:t>32</w:t>
            </w:r>
          </w:hyperlink>
        </w:p>
        <w:p>
          <w:pPr>
            <w:pStyle w:val="Contents3"/>
            <w:tabs>
              <w:tab w:val="clear" w:pos="8459"/>
              <w:tab w:val="right" w:pos="9026" w:leader="dot"/>
            </w:tabs>
            <w:rPr/>
          </w:pPr>
          <w:hyperlink w:anchor="__RefHeading___Toc1763572_2322387425">
            <w:r>
              <w:rPr>
                <w:webHidden/>
                <w:rStyle w:val="IndexLink"/>
                <w:rtl w:val="true"/>
              </w:rPr>
              <w:t>الثانی والثالث</w:t>
            </w:r>
            <w:r>
              <w:rPr>
                <w:rStyle w:val="IndexLink"/>
                <w:rtl w:val="true"/>
              </w:rPr>
              <w:t xml:space="preserve">: </w:t>
            </w:r>
            <w:r>
              <w:rPr>
                <w:rStyle w:val="IndexLink"/>
                <w:rtl w:val="true"/>
              </w:rPr>
              <w:t>استحباب تلقین المیت الاعتقادات الحقة وتلقینه کلمات الفرج</w:t>
            </w:r>
            <w:r>
              <w:rPr>
                <w:rStyle w:val="IndexLink"/>
                <w:rtl w:val="true"/>
              </w:rPr>
              <w:tab/>
            </w:r>
            <w:r>
              <w:rPr>
                <w:rStyle w:val="IndexLink"/>
              </w:rPr>
              <w:t>35</w:t>
            </w:r>
          </w:hyperlink>
        </w:p>
        <w:p>
          <w:pPr>
            <w:pStyle w:val="Contents3"/>
            <w:tabs>
              <w:tab w:val="clear" w:pos="8459"/>
              <w:tab w:val="right" w:pos="9026" w:leader="dot"/>
            </w:tabs>
            <w:rPr/>
          </w:pPr>
          <w:hyperlink w:anchor="__RefHeading___Toc1763574_2322387425">
            <w:r>
              <w:rPr>
                <w:webHidden/>
                <w:rStyle w:val="IndexLink"/>
                <w:rtl w:val="true"/>
              </w:rPr>
              <w:t>الرابع</w:t>
            </w:r>
            <w:r>
              <w:rPr>
                <w:rStyle w:val="IndexLink"/>
                <w:rtl w:val="true"/>
              </w:rPr>
              <w:t xml:space="preserve">: </w:t>
            </w:r>
            <w:r>
              <w:rPr>
                <w:rStyle w:val="IndexLink"/>
                <w:rtl w:val="true"/>
              </w:rPr>
              <w:t>نقله إلی مصلاّه إذا عسر علیه النزع</w:t>
            </w:r>
            <w:r>
              <w:rPr>
                <w:rStyle w:val="IndexLink"/>
                <w:rtl w:val="true"/>
              </w:rPr>
              <w:tab/>
            </w:r>
            <w:r>
              <w:rPr>
                <w:rStyle w:val="IndexLink"/>
              </w:rPr>
              <w:t>35</w:t>
            </w:r>
          </w:hyperlink>
        </w:p>
        <w:p>
          <w:pPr>
            <w:pStyle w:val="Contents3"/>
            <w:tabs>
              <w:tab w:val="clear" w:pos="8459"/>
              <w:tab w:val="right" w:pos="9026" w:leader="dot"/>
            </w:tabs>
            <w:rPr/>
          </w:pPr>
          <w:hyperlink w:anchor="__RefHeading___Toc1763576_2322387425">
            <w:r>
              <w:rPr>
                <w:webHidden/>
                <w:rStyle w:val="IndexLink"/>
                <w:rtl w:val="true"/>
              </w:rPr>
              <w:t>الخامس</w:t>
            </w:r>
            <w:r>
              <w:rPr>
                <w:rStyle w:val="IndexLink"/>
                <w:rtl w:val="true"/>
              </w:rPr>
              <w:t xml:space="preserve">: </w:t>
            </w:r>
            <w:r>
              <w:rPr>
                <w:rStyle w:val="IndexLink"/>
                <w:rtl w:val="true"/>
              </w:rPr>
              <w:t>قراءة القرآن سیّما بعض السور</w:t>
            </w:r>
            <w:r>
              <w:rPr>
                <w:rStyle w:val="IndexLink"/>
                <w:rtl w:val="true"/>
              </w:rPr>
              <w:tab/>
            </w:r>
            <w:r>
              <w:rPr>
                <w:rStyle w:val="IndexLink"/>
              </w:rPr>
              <w:t>35</w:t>
            </w:r>
          </w:hyperlink>
        </w:p>
        <w:p>
          <w:pPr>
            <w:pStyle w:val="Contents2"/>
            <w:tabs>
              <w:tab w:val="clear" w:pos="8743"/>
              <w:tab w:val="right" w:pos="9026" w:leader="dot"/>
            </w:tabs>
            <w:rPr/>
          </w:pPr>
          <w:hyperlink w:anchor="__RefHeading___Toc1763578_2322387425">
            <w:r>
              <w:rPr>
                <w:webHidden/>
                <w:rStyle w:val="IndexLink"/>
                <w:rtl w:val="true"/>
              </w:rPr>
              <w:t>فصل</w:t>
            </w:r>
            <w:r>
              <w:rPr>
                <w:rStyle w:val="IndexLink"/>
                <w:rtl w:val="true"/>
              </w:rPr>
              <w:t xml:space="preserve">: </w:t>
            </w:r>
            <w:r>
              <w:rPr>
                <w:rStyle w:val="IndexLink"/>
                <w:rtl w:val="true"/>
              </w:rPr>
              <w:t>فی المستحبّات بعد الموت</w:t>
            </w:r>
            <w:r>
              <w:rPr>
                <w:rStyle w:val="IndexLink"/>
                <w:rtl w:val="true"/>
              </w:rPr>
              <w:tab/>
            </w:r>
            <w:r>
              <w:rPr>
                <w:rStyle w:val="IndexLink"/>
              </w:rPr>
              <w:t>36</w:t>
            </w:r>
          </w:hyperlink>
        </w:p>
        <w:p>
          <w:pPr>
            <w:pStyle w:val="Contents2"/>
            <w:tabs>
              <w:tab w:val="clear" w:pos="8743"/>
              <w:tab w:val="right" w:pos="9026" w:leader="dot"/>
            </w:tabs>
            <w:rPr/>
          </w:pPr>
          <w:hyperlink w:anchor="__RefHeading___Toc1763580_2322387425">
            <w:r>
              <w:rPr>
                <w:webHidden/>
                <w:rStyle w:val="IndexLink"/>
                <w:rtl w:val="true"/>
              </w:rPr>
              <w:t>فصل</w:t>
            </w:r>
            <w:r>
              <w:rPr>
                <w:rStyle w:val="IndexLink"/>
                <w:rtl w:val="true"/>
              </w:rPr>
              <w:t xml:space="preserve">: </w:t>
            </w:r>
            <w:r>
              <w:rPr>
                <w:rStyle w:val="IndexLink"/>
                <w:rtl w:val="true"/>
              </w:rPr>
              <w:t>فی المکروهات</w:t>
            </w:r>
            <w:r>
              <w:rPr>
                <w:rStyle w:val="IndexLink"/>
                <w:rtl w:val="true"/>
              </w:rPr>
              <w:tab/>
            </w:r>
            <w:r>
              <w:rPr>
                <w:rStyle w:val="IndexLink"/>
              </w:rPr>
              <w:t>37</w:t>
            </w:r>
          </w:hyperlink>
        </w:p>
        <w:p>
          <w:pPr>
            <w:pStyle w:val="Contents2"/>
            <w:tabs>
              <w:tab w:val="clear" w:pos="8743"/>
              <w:tab w:val="right" w:pos="9026" w:leader="dot"/>
            </w:tabs>
            <w:rPr/>
          </w:pPr>
          <w:hyperlink w:anchor="__RefHeading___Toc1763582_2322387425">
            <w:r>
              <w:rPr>
                <w:webHidden/>
                <w:rStyle w:val="IndexLink"/>
                <w:rtl w:val="true"/>
              </w:rPr>
              <w:t>فصل</w:t>
            </w:r>
            <w:r>
              <w:rPr>
                <w:rStyle w:val="IndexLink"/>
                <w:rtl w:val="true"/>
              </w:rPr>
              <w:t xml:space="preserve">: </w:t>
            </w:r>
            <w:r>
              <w:rPr>
                <w:rStyle w:val="IndexLink"/>
                <w:rtl w:val="true"/>
              </w:rPr>
              <w:t>فی حکم کراهة الموت</w:t>
            </w:r>
            <w:r>
              <w:rPr>
                <w:rStyle w:val="IndexLink"/>
                <w:rtl w:val="true"/>
              </w:rPr>
              <w:tab/>
            </w:r>
            <w:r>
              <w:rPr>
                <w:rStyle w:val="IndexLink"/>
              </w:rPr>
              <w:t>38</w:t>
            </w:r>
          </w:hyperlink>
        </w:p>
        <w:p>
          <w:pPr>
            <w:pStyle w:val="Contents2"/>
            <w:tabs>
              <w:tab w:val="clear" w:pos="8743"/>
              <w:tab w:val="right" w:pos="9026" w:leader="dot"/>
            </w:tabs>
            <w:rPr/>
          </w:pPr>
          <w:hyperlink w:anchor="__RefHeading___Toc1763584_2322387425">
            <w:r>
              <w:rPr>
                <w:webHidden/>
                <w:rStyle w:val="IndexLink"/>
                <w:rtl w:val="true"/>
              </w:rPr>
              <w:t>فصل</w:t>
            </w:r>
            <w:r>
              <w:rPr>
                <w:rStyle w:val="IndexLink"/>
                <w:rtl w:val="true"/>
              </w:rPr>
              <w:t xml:space="preserve">: </w:t>
            </w:r>
            <w:r>
              <w:rPr>
                <w:rStyle w:val="IndexLink"/>
                <w:rtl w:val="true"/>
              </w:rPr>
              <w:t>فی أنّ وجوب تجهیز المیّت کفائی</w:t>
            </w:r>
            <w:r>
              <w:rPr>
                <w:rStyle w:val="IndexLink"/>
                <w:rtl w:val="true"/>
              </w:rPr>
              <w:tab/>
            </w:r>
            <w:r>
              <w:rPr>
                <w:rStyle w:val="IndexLink"/>
              </w:rPr>
              <w:t>40</w:t>
            </w:r>
          </w:hyperlink>
        </w:p>
        <w:p>
          <w:pPr>
            <w:pStyle w:val="Contents3"/>
            <w:tabs>
              <w:tab w:val="clear" w:pos="8459"/>
              <w:tab w:val="right" w:pos="9026" w:leader="dot"/>
            </w:tabs>
            <w:rPr/>
          </w:pPr>
          <w:hyperlink w:anchor="__RefHeading___Toc1763586_2322387425">
            <w:r>
              <w:rPr>
                <w:webHidden/>
                <w:rStyle w:val="IndexLink"/>
                <w:rtl w:val="true"/>
              </w:rPr>
              <w:t>کفائیة وجوب التجهیز وشرطیّة إذن‌الولی</w:t>
            </w:r>
            <w:r>
              <w:rPr>
                <w:rStyle w:val="IndexLink"/>
                <w:rtl w:val="true"/>
              </w:rPr>
              <w:tab/>
            </w:r>
            <w:r>
              <w:rPr>
                <w:rStyle w:val="IndexLink"/>
              </w:rPr>
              <w:t>40</w:t>
            </w:r>
          </w:hyperlink>
        </w:p>
        <w:p>
          <w:pPr>
            <w:pStyle w:val="Contents3"/>
            <w:tabs>
              <w:tab w:val="clear" w:pos="8459"/>
              <w:tab w:val="right" w:pos="9026" w:leader="dot"/>
            </w:tabs>
            <w:rPr/>
          </w:pPr>
          <w:hyperlink w:anchor="__RefHeading___Toc1763588_2322387425">
            <w:r>
              <w:rPr>
                <w:webHidden/>
                <w:rStyle w:val="IndexLink"/>
                <w:rtl w:val="true"/>
              </w:rPr>
              <w:t>إذا امتنع الولی سقط اعتبار إذنه</w:t>
            </w:r>
            <w:r>
              <w:rPr>
                <w:rStyle w:val="IndexLink"/>
                <w:rtl w:val="true"/>
              </w:rPr>
              <w:tab/>
            </w:r>
            <w:r>
              <w:rPr>
                <w:rStyle w:val="IndexLink"/>
              </w:rPr>
              <w:t>41</w:t>
            </w:r>
          </w:hyperlink>
        </w:p>
        <w:p>
          <w:pPr>
            <w:pStyle w:val="Contents3"/>
            <w:tabs>
              <w:tab w:val="clear" w:pos="8459"/>
              <w:tab w:val="right" w:pos="9026" w:leader="dot"/>
            </w:tabs>
            <w:rPr/>
          </w:pPr>
          <w:hyperlink w:anchor="__RefHeading___Toc1763590_2322387425">
            <w:r>
              <w:rPr>
                <w:webHidden/>
                <w:rStyle w:val="IndexLink"/>
                <w:rtl w:val="true"/>
              </w:rPr>
              <w:t>عدم اعتبار الصراحة فی إذن الولیّ</w:t>
            </w:r>
            <w:r>
              <w:rPr>
                <w:rStyle w:val="IndexLink"/>
                <w:rtl w:val="true"/>
              </w:rPr>
              <w:tab/>
            </w:r>
            <w:r>
              <w:rPr>
                <w:rStyle w:val="IndexLink"/>
              </w:rPr>
              <w:t>43</w:t>
            </w:r>
          </w:hyperlink>
        </w:p>
        <w:p>
          <w:pPr>
            <w:pStyle w:val="Contents3"/>
            <w:tabs>
              <w:tab w:val="clear" w:pos="8459"/>
              <w:tab w:val="right" w:pos="9026" w:leader="dot"/>
            </w:tabs>
            <w:rPr/>
          </w:pPr>
          <w:hyperlink w:anchor="__RefHeading___Toc1763592_2322387425">
            <w:r>
              <w:rPr>
                <w:webHidden/>
                <w:rStyle w:val="IndexLink"/>
                <w:rtl w:val="true"/>
              </w:rPr>
              <w:t>سقوط وجوب المبادرة بالعلم بمباشرة الغیر</w:t>
            </w:r>
            <w:r>
              <w:rPr>
                <w:rStyle w:val="IndexLink"/>
                <w:rtl w:val="true"/>
              </w:rPr>
              <w:tab/>
            </w:r>
            <w:r>
              <w:rPr>
                <w:rStyle w:val="IndexLink"/>
              </w:rPr>
              <w:t>43</w:t>
            </w:r>
          </w:hyperlink>
        </w:p>
        <w:p>
          <w:pPr>
            <w:pStyle w:val="Contents3"/>
            <w:tabs>
              <w:tab w:val="clear" w:pos="8459"/>
              <w:tab w:val="right" w:pos="9026" w:leader="dot"/>
            </w:tabs>
            <w:rPr/>
          </w:pPr>
          <w:hyperlink w:anchor="__RefHeading___Toc1763594_2322387425">
            <w:r>
              <w:rPr>
                <w:webHidden/>
                <w:rStyle w:val="IndexLink"/>
                <w:rtl w:val="true"/>
              </w:rPr>
              <w:t>الظنّ بمباشرة الغیر</w:t>
            </w:r>
            <w:r>
              <w:rPr>
                <w:rStyle w:val="IndexLink"/>
                <w:rtl w:val="true"/>
              </w:rPr>
              <w:tab/>
            </w:r>
            <w:r>
              <w:rPr>
                <w:rStyle w:val="IndexLink"/>
              </w:rPr>
              <w:t>44</w:t>
            </w:r>
          </w:hyperlink>
        </w:p>
        <w:p>
          <w:pPr>
            <w:pStyle w:val="Contents3"/>
            <w:tabs>
              <w:tab w:val="clear" w:pos="8459"/>
              <w:tab w:val="right" w:pos="9026" w:leader="dot"/>
            </w:tabs>
            <w:rPr/>
          </w:pPr>
          <w:hyperlink w:anchor="__RefHeading___Toc1763596_2322387425">
            <w:r>
              <w:rPr>
                <w:webHidden/>
                <w:rStyle w:val="IndexLink"/>
                <w:rtl w:val="true"/>
              </w:rPr>
              <w:t>العلم بصدور الفعل عن الغیر والشک فی صحته</w:t>
            </w:r>
            <w:r>
              <w:rPr>
                <w:rStyle w:val="IndexLink"/>
                <w:rtl w:val="true"/>
              </w:rPr>
              <w:tab/>
            </w:r>
            <w:r>
              <w:rPr>
                <w:rStyle w:val="IndexLink"/>
              </w:rPr>
              <w:t>44</w:t>
            </w:r>
          </w:hyperlink>
        </w:p>
        <w:p>
          <w:pPr>
            <w:pStyle w:val="Contents3"/>
            <w:tabs>
              <w:tab w:val="clear" w:pos="8459"/>
              <w:tab w:val="right" w:pos="9026" w:leader="dot"/>
            </w:tabs>
            <w:rPr/>
          </w:pPr>
          <w:hyperlink w:anchor="__RefHeading___Toc1763598_2322387425">
            <w:r>
              <w:rPr>
                <w:webHidden/>
                <w:rStyle w:val="IndexLink"/>
                <w:rtl w:val="true"/>
              </w:rPr>
              <w:t>الکلام فی تجهیر الصبی الممیّز وکفایته عن البالغین</w:t>
            </w:r>
            <w:r>
              <w:rPr>
                <w:rStyle w:val="IndexLink"/>
                <w:rtl w:val="true"/>
              </w:rPr>
              <w:tab/>
            </w:r>
            <w:r>
              <w:rPr>
                <w:rStyle w:val="IndexLink"/>
              </w:rPr>
              <w:t>44</w:t>
            </w:r>
          </w:hyperlink>
        </w:p>
        <w:p>
          <w:pPr>
            <w:pStyle w:val="Contents2"/>
            <w:tabs>
              <w:tab w:val="clear" w:pos="8743"/>
              <w:tab w:val="right" w:pos="9026" w:leader="dot"/>
            </w:tabs>
            <w:rPr/>
          </w:pPr>
          <w:hyperlink w:anchor="__RefHeading___Toc1763600_2322387425">
            <w:r>
              <w:rPr>
                <w:webHidden/>
                <w:rStyle w:val="IndexLink"/>
                <w:rtl w:val="true"/>
              </w:rPr>
              <w:t>فصل</w:t>
            </w:r>
            <w:r>
              <w:rPr>
                <w:rStyle w:val="IndexLink"/>
                <w:rtl w:val="true"/>
              </w:rPr>
              <w:t xml:space="preserve">: </w:t>
            </w:r>
            <w:r>
              <w:rPr>
                <w:rStyle w:val="IndexLink"/>
                <w:rtl w:val="true"/>
              </w:rPr>
              <w:t>فی مراتب الأولیاء</w:t>
            </w:r>
            <w:r>
              <w:rPr>
                <w:rStyle w:val="IndexLink"/>
                <w:rtl w:val="true"/>
              </w:rPr>
              <w:tab/>
            </w:r>
            <w:r>
              <w:rPr>
                <w:rStyle w:val="IndexLink"/>
              </w:rPr>
              <w:t>45</w:t>
            </w:r>
          </w:hyperlink>
        </w:p>
        <w:p>
          <w:pPr>
            <w:pStyle w:val="Contents3"/>
            <w:tabs>
              <w:tab w:val="clear" w:pos="8459"/>
              <w:tab w:val="right" w:pos="9026" w:leader="dot"/>
            </w:tabs>
            <w:rPr/>
          </w:pPr>
          <w:hyperlink w:anchor="__RefHeading___Toc1763602_2322387425">
            <w:r>
              <w:rPr>
                <w:webHidden/>
                <w:rStyle w:val="IndexLink"/>
                <w:rtl w:val="true"/>
              </w:rPr>
              <w:t>الزوج أولی بزوجته والمالک أولی بممولکه</w:t>
            </w:r>
            <w:r>
              <w:rPr>
                <w:rStyle w:val="IndexLink"/>
                <w:rtl w:val="true"/>
              </w:rPr>
              <w:tab/>
            </w:r>
            <w:r>
              <w:rPr>
                <w:rStyle w:val="IndexLink"/>
              </w:rPr>
              <w:t>45</w:t>
            </w:r>
          </w:hyperlink>
        </w:p>
        <w:p>
          <w:pPr>
            <w:pStyle w:val="Contents3"/>
            <w:tabs>
              <w:tab w:val="clear" w:pos="8459"/>
              <w:tab w:val="right" w:pos="9026" w:leader="dot"/>
            </w:tabs>
            <w:rPr/>
          </w:pPr>
          <w:hyperlink w:anchor="__RefHeading___Toc1763604_2322387425">
            <w:r>
              <w:rPr>
                <w:webHidden/>
                <w:rStyle w:val="IndexLink"/>
                <w:rtl w:val="true"/>
              </w:rPr>
              <w:t>بعض المرحجات فی الأولویة وفروعها</w:t>
            </w:r>
            <w:r>
              <w:rPr>
                <w:rStyle w:val="IndexLink"/>
                <w:rtl w:val="true"/>
              </w:rPr>
              <w:tab/>
            </w:r>
            <w:r>
              <w:rPr>
                <w:rStyle w:val="IndexLink"/>
              </w:rPr>
              <w:t>48</w:t>
            </w:r>
          </w:hyperlink>
        </w:p>
        <w:p>
          <w:pPr>
            <w:pStyle w:val="Contents3"/>
            <w:tabs>
              <w:tab w:val="clear" w:pos="8459"/>
              <w:tab w:val="right" w:pos="9026" w:leader="dot"/>
            </w:tabs>
            <w:rPr/>
          </w:pPr>
          <w:hyperlink w:anchor="__RefHeading___Toc1763606_2322387425">
            <w:r>
              <w:rPr>
                <w:webHidden/>
                <w:rStyle w:val="IndexLink"/>
                <w:rtl w:val="true"/>
              </w:rPr>
              <w:t>وصیّة المیت لغیر الولی</w:t>
            </w:r>
            <w:r>
              <w:rPr>
                <w:rStyle w:val="IndexLink"/>
                <w:rtl w:val="true"/>
              </w:rPr>
              <w:tab/>
            </w:r>
            <w:r>
              <w:rPr>
                <w:rStyle w:val="IndexLink"/>
              </w:rPr>
              <w:t>53</w:t>
            </w:r>
          </w:hyperlink>
        </w:p>
        <w:p>
          <w:pPr>
            <w:pStyle w:val="Contents3"/>
            <w:tabs>
              <w:tab w:val="clear" w:pos="8459"/>
              <w:tab w:val="right" w:pos="9026" w:leader="dot"/>
            </w:tabs>
            <w:rPr/>
          </w:pPr>
          <w:hyperlink w:anchor="__RefHeading___Toc1763608_2322387425">
            <w:r>
              <w:rPr>
                <w:webHidden/>
                <w:rStyle w:val="IndexLink"/>
                <w:rtl w:val="true"/>
              </w:rPr>
              <w:t>دعوی الولایة علی المیّت</w:t>
            </w:r>
            <w:r>
              <w:rPr>
                <w:rStyle w:val="IndexLink"/>
                <w:rtl w:val="true"/>
              </w:rPr>
              <w:tab/>
            </w:r>
            <w:r>
              <w:rPr>
                <w:rStyle w:val="IndexLink"/>
              </w:rPr>
              <w:t>55</w:t>
            </w:r>
          </w:hyperlink>
        </w:p>
        <w:p>
          <w:pPr>
            <w:pStyle w:val="Contents3"/>
            <w:tabs>
              <w:tab w:val="clear" w:pos="8459"/>
              <w:tab w:val="right" w:pos="9026" w:leader="dot"/>
            </w:tabs>
            <w:rPr/>
          </w:pPr>
          <w:hyperlink w:anchor="__RefHeading___Toc1763610_2322387425">
            <w:r>
              <w:rPr>
                <w:webHidden/>
                <w:rStyle w:val="IndexLink"/>
                <w:rtl w:val="true"/>
              </w:rPr>
              <w:t>إذا غسّل المیّت أو صلّی علیه عن إجبار</w:t>
            </w:r>
            <w:r>
              <w:rPr>
                <w:rStyle w:val="IndexLink"/>
                <w:rtl w:val="true"/>
              </w:rPr>
              <w:tab/>
            </w:r>
            <w:r>
              <w:rPr>
                <w:rStyle w:val="IndexLink"/>
              </w:rPr>
              <w:t>58</w:t>
            </w:r>
          </w:hyperlink>
        </w:p>
        <w:p>
          <w:pPr>
            <w:pStyle w:val="Contents2"/>
            <w:tabs>
              <w:tab w:val="clear" w:pos="8743"/>
              <w:tab w:val="right" w:pos="9026" w:leader="dot"/>
            </w:tabs>
            <w:rPr/>
          </w:pPr>
          <w:hyperlink w:anchor="__RefHeading___Toc1763612_2322387425">
            <w:r>
              <w:rPr>
                <w:webHidden/>
                <w:rStyle w:val="IndexLink"/>
                <w:rtl w:val="true"/>
              </w:rPr>
              <w:t>فصل</w:t>
            </w:r>
            <w:r>
              <w:rPr>
                <w:rStyle w:val="IndexLink"/>
                <w:rtl w:val="true"/>
              </w:rPr>
              <w:t xml:space="preserve">: </w:t>
            </w:r>
            <w:r>
              <w:rPr>
                <w:rStyle w:val="IndexLink"/>
                <w:rtl w:val="true"/>
              </w:rPr>
              <w:t>فی تغسیل المیّت</w:t>
            </w:r>
            <w:r>
              <w:rPr>
                <w:rStyle w:val="IndexLink"/>
                <w:rtl w:val="true"/>
              </w:rPr>
              <w:tab/>
            </w:r>
            <w:r>
              <w:rPr>
                <w:rStyle w:val="IndexLink"/>
              </w:rPr>
              <w:t>62</w:t>
            </w:r>
          </w:hyperlink>
        </w:p>
        <w:p>
          <w:pPr>
            <w:pStyle w:val="Contents3"/>
            <w:tabs>
              <w:tab w:val="clear" w:pos="8459"/>
              <w:tab w:val="right" w:pos="9026" w:leader="dot"/>
            </w:tabs>
            <w:rPr/>
          </w:pPr>
          <w:hyperlink w:anchor="__RefHeading___Toc1763614_2322387425">
            <w:r>
              <w:rPr>
                <w:webHidden/>
                <w:rStyle w:val="IndexLink"/>
                <w:rtl w:val="true"/>
              </w:rPr>
              <w:t>وجوب تغسیل کلّ مسلم</w:t>
            </w:r>
            <w:r>
              <w:rPr>
                <w:rStyle w:val="IndexLink"/>
                <w:rtl w:val="true"/>
              </w:rPr>
              <w:tab/>
            </w:r>
            <w:r>
              <w:rPr>
                <w:rStyle w:val="IndexLink"/>
              </w:rPr>
              <w:t>62</w:t>
            </w:r>
          </w:hyperlink>
        </w:p>
        <w:p>
          <w:pPr>
            <w:pStyle w:val="Contents4"/>
            <w:tabs>
              <w:tab w:val="clear" w:pos="8176"/>
              <w:tab w:val="right" w:pos="9026" w:leader="dot"/>
            </w:tabs>
            <w:rPr/>
          </w:pPr>
          <w:hyperlink w:anchor="__RefHeading___Toc1763616_2322387425">
            <w:r>
              <w:rPr>
                <w:webHidden/>
                <w:rStyle w:val="IndexLink"/>
                <w:rtl w:val="true"/>
              </w:rPr>
              <w:t>کیفیة تغسیل المخالف</w:t>
            </w:r>
            <w:r>
              <w:rPr>
                <w:rStyle w:val="IndexLink"/>
                <w:rtl w:val="true"/>
              </w:rPr>
              <w:tab/>
            </w:r>
            <w:r>
              <w:rPr>
                <w:rStyle w:val="IndexLink"/>
              </w:rPr>
              <w:t>62</w:t>
            </w:r>
          </w:hyperlink>
        </w:p>
        <w:p>
          <w:pPr>
            <w:pStyle w:val="Contents3"/>
            <w:tabs>
              <w:tab w:val="clear" w:pos="8459"/>
              <w:tab w:val="right" w:pos="9026" w:leader="dot"/>
            </w:tabs>
            <w:rPr/>
          </w:pPr>
          <w:hyperlink w:anchor="__RefHeading___Toc1763618_2322387425">
            <w:r>
              <w:rPr>
                <w:webHidden/>
                <w:rStyle w:val="IndexLink"/>
                <w:rtl w:val="true"/>
              </w:rPr>
              <w:t>حرمة تجهیز الکافر وما اُلحق به</w:t>
            </w:r>
            <w:r>
              <w:rPr>
                <w:rStyle w:val="IndexLink"/>
                <w:rtl w:val="true"/>
              </w:rPr>
              <w:tab/>
            </w:r>
            <w:r>
              <w:rPr>
                <w:rStyle w:val="IndexLink"/>
              </w:rPr>
              <w:t>63</w:t>
            </w:r>
          </w:hyperlink>
        </w:p>
        <w:p>
          <w:pPr>
            <w:pStyle w:val="Contents3"/>
            <w:tabs>
              <w:tab w:val="clear" w:pos="8459"/>
              <w:tab w:val="right" w:pos="9026" w:leader="dot"/>
            </w:tabs>
            <w:rPr/>
          </w:pPr>
          <w:hyperlink w:anchor="__RefHeading___Toc1763620_2322387425">
            <w:r>
              <w:rPr>
                <w:webHidden/>
                <w:rStyle w:val="IndexLink"/>
                <w:rtl w:val="true"/>
              </w:rPr>
              <w:t>حکم أطفال المسلمین وأطفال غیرهم</w:t>
            </w:r>
            <w:r>
              <w:rPr>
                <w:rStyle w:val="IndexLink"/>
                <w:rtl w:val="true"/>
              </w:rPr>
              <w:tab/>
            </w:r>
            <w:r>
              <w:rPr>
                <w:rStyle w:val="IndexLink"/>
              </w:rPr>
              <w:t>64</w:t>
            </w:r>
          </w:hyperlink>
        </w:p>
        <w:p>
          <w:pPr>
            <w:pStyle w:val="Contents3"/>
            <w:tabs>
              <w:tab w:val="clear" w:pos="8459"/>
              <w:tab w:val="right" w:pos="9026" w:leader="dot"/>
            </w:tabs>
            <w:rPr/>
          </w:pPr>
          <w:hyperlink w:anchor="__RefHeading___Toc1763622_2322387425">
            <w:r>
              <w:rPr>
                <w:webHidden/>
                <w:rStyle w:val="IndexLink"/>
                <w:rtl w:val="true"/>
              </w:rPr>
              <w:t>تجهیز الأسیر واللّقیط والسقط</w:t>
            </w:r>
            <w:r>
              <w:rPr>
                <w:rStyle w:val="IndexLink"/>
                <w:rtl w:val="true"/>
              </w:rPr>
              <w:tab/>
            </w:r>
            <w:r>
              <w:rPr>
                <w:rStyle w:val="IndexLink"/>
              </w:rPr>
              <w:t>65</w:t>
            </w:r>
          </w:hyperlink>
        </w:p>
        <w:p>
          <w:pPr>
            <w:pStyle w:val="Contents2"/>
            <w:tabs>
              <w:tab w:val="clear" w:pos="8743"/>
              <w:tab w:val="right" w:pos="9026" w:leader="dot"/>
            </w:tabs>
            <w:rPr/>
          </w:pPr>
          <w:hyperlink w:anchor="__RefHeading___Toc1763624_2322387425">
            <w:r>
              <w:rPr>
                <w:webHidden/>
                <w:rStyle w:val="IndexLink"/>
                <w:rtl w:val="true"/>
              </w:rPr>
              <w:t>فصل</w:t>
            </w:r>
            <w:r>
              <w:rPr>
                <w:rStyle w:val="IndexLink"/>
                <w:rtl w:val="true"/>
              </w:rPr>
              <w:t xml:space="preserve">: </w:t>
            </w:r>
            <w:r>
              <w:rPr>
                <w:rStyle w:val="IndexLink"/>
                <w:rtl w:val="true"/>
              </w:rPr>
              <w:t>فی ما یتعلق بالنیّة فی تغسیل المیّت</w:t>
            </w:r>
            <w:r>
              <w:rPr>
                <w:rStyle w:val="IndexLink"/>
                <w:rtl w:val="true"/>
              </w:rPr>
              <w:tab/>
            </w:r>
            <w:r>
              <w:rPr>
                <w:rStyle w:val="IndexLink"/>
              </w:rPr>
              <w:t>68</w:t>
            </w:r>
          </w:hyperlink>
        </w:p>
        <w:p>
          <w:pPr>
            <w:pStyle w:val="Contents3"/>
            <w:tabs>
              <w:tab w:val="clear" w:pos="8459"/>
              <w:tab w:val="right" w:pos="9026" w:leader="dot"/>
            </w:tabs>
            <w:rPr/>
          </w:pPr>
          <w:hyperlink w:anchor="__RefHeading___Toc1763626_2322387425">
            <w:r>
              <w:rPr>
                <w:webHidden/>
                <w:rStyle w:val="IndexLink"/>
                <w:rtl w:val="true"/>
              </w:rPr>
              <w:t>وجوب قصد القربة فی غسل المیّت</w:t>
            </w:r>
            <w:r>
              <w:rPr>
                <w:rStyle w:val="IndexLink"/>
                <w:rtl w:val="true"/>
              </w:rPr>
              <w:tab/>
            </w:r>
            <w:r>
              <w:rPr>
                <w:rStyle w:val="IndexLink"/>
              </w:rPr>
              <w:t>68</w:t>
            </w:r>
          </w:hyperlink>
        </w:p>
        <w:p>
          <w:pPr>
            <w:pStyle w:val="Contents3"/>
            <w:tabs>
              <w:tab w:val="clear" w:pos="8459"/>
              <w:tab w:val="right" w:pos="9026" w:leader="dot"/>
            </w:tabs>
            <w:rPr/>
          </w:pPr>
          <w:hyperlink w:anchor="__RefHeading___Toc1763628_2322387425">
            <w:r>
              <w:rPr>
                <w:webHidden/>
                <w:rStyle w:val="IndexLink"/>
                <w:rtl w:val="true"/>
              </w:rPr>
              <w:t>کفایة نیة واحدة للأغسال الثلاثة</w:t>
            </w:r>
            <w:r>
              <w:rPr>
                <w:rStyle w:val="IndexLink"/>
                <w:rtl w:val="true"/>
              </w:rPr>
              <w:tab/>
            </w:r>
            <w:r>
              <w:rPr>
                <w:rStyle w:val="IndexLink"/>
              </w:rPr>
              <w:t>68</w:t>
            </w:r>
          </w:hyperlink>
        </w:p>
        <w:p>
          <w:pPr>
            <w:pStyle w:val="Contents3"/>
            <w:tabs>
              <w:tab w:val="clear" w:pos="8459"/>
              <w:tab w:val="right" w:pos="9026" w:leader="dot"/>
            </w:tabs>
            <w:rPr/>
          </w:pPr>
          <w:hyperlink w:anchor="__RefHeading___Toc1763630_2322387425">
            <w:r>
              <w:rPr>
                <w:webHidden/>
                <w:rStyle w:val="IndexLink"/>
                <w:rtl w:val="true"/>
              </w:rPr>
              <w:t>جواز تعدّد من یغسّل المیت</w:t>
            </w:r>
            <w:r>
              <w:rPr>
                <w:rStyle w:val="IndexLink"/>
                <w:rtl w:val="true"/>
              </w:rPr>
              <w:tab/>
            </w:r>
            <w:r>
              <w:rPr>
                <w:rStyle w:val="IndexLink"/>
              </w:rPr>
              <w:t>69</w:t>
            </w:r>
          </w:hyperlink>
        </w:p>
        <w:p>
          <w:pPr>
            <w:pStyle w:val="Contents2"/>
            <w:tabs>
              <w:tab w:val="clear" w:pos="8743"/>
              <w:tab w:val="right" w:pos="9026" w:leader="dot"/>
            </w:tabs>
            <w:rPr/>
          </w:pPr>
          <w:hyperlink w:anchor="__RefHeading___Toc1763632_2322387425">
            <w:r>
              <w:rPr>
                <w:webHidden/>
                <w:rStyle w:val="IndexLink"/>
                <w:rtl w:val="true"/>
              </w:rPr>
              <w:t>فصل</w:t>
            </w:r>
            <w:r>
              <w:rPr>
                <w:rStyle w:val="IndexLink"/>
                <w:rtl w:val="true"/>
              </w:rPr>
              <w:t xml:space="preserve">: </w:t>
            </w:r>
            <w:r>
              <w:rPr>
                <w:rStyle w:val="IndexLink"/>
                <w:rtl w:val="true"/>
              </w:rPr>
              <w:t>فی اعتبار المماثلة بین المغسّل والمیّت</w:t>
            </w:r>
            <w:r>
              <w:rPr>
                <w:rStyle w:val="IndexLink"/>
                <w:rtl w:val="true"/>
              </w:rPr>
              <w:tab/>
            </w:r>
            <w:r>
              <w:rPr>
                <w:rStyle w:val="IndexLink"/>
              </w:rPr>
              <w:t>70</w:t>
            </w:r>
          </w:hyperlink>
        </w:p>
        <w:p>
          <w:pPr>
            <w:pStyle w:val="Contents3"/>
            <w:tabs>
              <w:tab w:val="clear" w:pos="8459"/>
              <w:tab w:val="right" w:pos="9026" w:leader="dot"/>
            </w:tabs>
            <w:rPr/>
          </w:pPr>
          <w:hyperlink w:anchor="__RefHeading___Toc1763634_2322387425">
            <w:r>
              <w:rPr>
                <w:webHidden/>
                <w:rStyle w:val="IndexLink"/>
                <w:rtl w:val="true"/>
              </w:rPr>
              <w:t>اعتبار المماثلة فی الذکوریة والاُنوثیة إلاّ فی موارد</w:t>
            </w:r>
            <w:r>
              <w:rPr>
                <w:rStyle w:val="IndexLink"/>
                <w:rtl w:val="true"/>
              </w:rPr>
              <w:tab/>
            </w:r>
            <w:r>
              <w:rPr>
                <w:rStyle w:val="IndexLink"/>
              </w:rPr>
              <w:t>70</w:t>
            </w:r>
          </w:hyperlink>
        </w:p>
        <w:p>
          <w:pPr>
            <w:pStyle w:val="Contents3"/>
            <w:tabs>
              <w:tab w:val="clear" w:pos="8459"/>
              <w:tab w:val="right" w:pos="9026" w:leader="dot"/>
            </w:tabs>
            <w:rPr/>
          </w:pPr>
          <w:hyperlink w:anchor="__RefHeading___Toc1763636_2322387425">
            <w:r>
              <w:rPr>
                <w:webHidden/>
                <w:rStyle w:val="IndexLink"/>
                <w:rtl w:val="true"/>
              </w:rPr>
              <w:t>الأوّل</w:t>
            </w:r>
            <w:r>
              <w:rPr>
                <w:rStyle w:val="IndexLink"/>
                <w:rtl w:val="true"/>
              </w:rPr>
              <w:t xml:space="preserve">: </w:t>
            </w:r>
            <w:r>
              <w:rPr>
                <w:rStyle w:val="IndexLink"/>
                <w:rtl w:val="true"/>
              </w:rPr>
              <w:t>الطفل الذی لم یتجاوز الثلاث سنین</w:t>
            </w:r>
            <w:r>
              <w:rPr>
                <w:rStyle w:val="IndexLink"/>
                <w:rtl w:val="true"/>
              </w:rPr>
              <w:tab/>
            </w:r>
            <w:r>
              <w:rPr>
                <w:rStyle w:val="IndexLink"/>
              </w:rPr>
              <w:t>70</w:t>
            </w:r>
          </w:hyperlink>
        </w:p>
        <w:p>
          <w:pPr>
            <w:pStyle w:val="Contents3"/>
            <w:tabs>
              <w:tab w:val="clear" w:pos="8459"/>
              <w:tab w:val="right" w:pos="9026" w:leader="dot"/>
            </w:tabs>
            <w:rPr/>
          </w:pPr>
          <w:hyperlink w:anchor="__RefHeading___Toc1763638_2322387425">
            <w:r>
              <w:rPr>
                <w:webHidden/>
                <w:rStyle w:val="IndexLink"/>
                <w:rtl w:val="true"/>
              </w:rPr>
              <w:t>الثانی</w:t>
            </w:r>
            <w:r>
              <w:rPr>
                <w:rStyle w:val="IndexLink"/>
                <w:rtl w:val="true"/>
              </w:rPr>
              <w:t xml:space="preserve">: </w:t>
            </w:r>
            <w:r>
              <w:rPr>
                <w:rStyle w:val="IndexLink"/>
                <w:rtl w:val="true"/>
              </w:rPr>
              <w:t>تغسیل الزوج زوجته وبالعکس</w:t>
            </w:r>
            <w:r>
              <w:rPr>
                <w:rStyle w:val="IndexLink"/>
                <w:rtl w:val="true"/>
              </w:rPr>
              <w:tab/>
            </w:r>
            <w:r>
              <w:rPr>
                <w:rStyle w:val="IndexLink"/>
              </w:rPr>
              <w:t>71</w:t>
            </w:r>
          </w:hyperlink>
        </w:p>
        <w:p>
          <w:pPr>
            <w:pStyle w:val="Contents3"/>
            <w:tabs>
              <w:tab w:val="clear" w:pos="8459"/>
              <w:tab w:val="right" w:pos="9026" w:leader="dot"/>
            </w:tabs>
            <w:rPr/>
          </w:pPr>
          <w:hyperlink w:anchor="__RefHeading___Toc1763640_2322387425">
            <w:r>
              <w:rPr>
                <w:webHidden/>
                <w:rStyle w:val="IndexLink"/>
                <w:rtl w:val="true"/>
              </w:rPr>
              <w:t>إلحاق المنقطعة ونحوها بالدائمة</w:t>
            </w:r>
            <w:r>
              <w:rPr>
                <w:rStyle w:val="IndexLink"/>
                <w:rtl w:val="true"/>
              </w:rPr>
              <w:tab/>
            </w:r>
            <w:r>
              <w:rPr>
                <w:rStyle w:val="IndexLink"/>
              </w:rPr>
              <w:t>71</w:t>
            </w:r>
          </w:hyperlink>
        </w:p>
        <w:p>
          <w:pPr>
            <w:pStyle w:val="Contents3"/>
            <w:tabs>
              <w:tab w:val="clear" w:pos="8459"/>
              <w:tab w:val="right" w:pos="9026" w:leader="dot"/>
            </w:tabs>
            <w:rPr/>
          </w:pPr>
          <w:hyperlink w:anchor="__RefHeading___Toc1763642_2322387425">
            <w:r>
              <w:rPr>
                <w:webHidden/>
                <w:rStyle w:val="IndexLink"/>
                <w:rtl w:val="true"/>
              </w:rPr>
              <w:t>تغسیل المطلق مطلقته وبالعکس</w:t>
            </w:r>
            <w:r>
              <w:rPr>
                <w:rStyle w:val="IndexLink"/>
                <w:rtl w:val="true"/>
              </w:rPr>
              <w:tab/>
            </w:r>
            <w:r>
              <w:rPr>
                <w:rStyle w:val="IndexLink"/>
              </w:rPr>
              <w:t>71</w:t>
            </w:r>
          </w:hyperlink>
        </w:p>
        <w:p>
          <w:pPr>
            <w:pStyle w:val="Contents3"/>
            <w:tabs>
              <w:tab w:val="clear" w:pos="8459"/>
              <w:tab w:val="right" w:pos="9026" w:leader="dot"/>
            </w:tabs>
            <w:rPr/>
          </w:pPr>
          <w:hyperlink w:anchor="__RefHeading___Toc1763644_2322387425">
            <w:r>
              <w:rPr>
                <w:webHidden/>
                <w:rStyle w:val="IndexLink"/>
                <w:rtl w:val="true"/>
              </w:rPr>
              <w:t>حکم التغسیل بعد انقضاء العدة</w:t>
            </w:r>
            <w:r>
              <w:rPr>
                <w:rStyle w:val="IndexLink"/>
                <w:rtl w:val="true"/>
              </w:rPr>
              <w:tab/>
            </w:r>
            <w:r>
              <w:rPr>
                <w:rStyle w:val="IndexLink"/>
              </w:rPr>
              <w:t>72</w:t>
            </w:r>
          </w:hyperlink>
        </w:p>
        <w:p>
          <w:pPr>
            <w:pStyle w:val="Contents3"/>
            <w:tabs>
              <w:tab w:val="clear" w:pos="8459"/>
              <w:tab w:val="right" w:pos="9026" w:leader="dot"/>
            </w:tabs>
            <w:rPr/>
          </w:pPr>
          <w:hyperlink w:anchor="__RefHeading___Toc1763646_2322387425">
            <w:r>
              <w:rPr>
                <w:webHidden/>
                <w:rStyle w:val="IndexLink"/>
                <w:rtl w:val="true"/>
              </w:rPr>
              <w:t>الثالث</w:t>
            </w:r>
            <w:r>
              <w:rPr>
                <w:rStyle w:val="IndexLink"/>
                <w:rtl w:val="true"/>
              </w:rPr>
              <w:t xml:space="preserve">: </w:t>
            </w:r>
            <w:r>
              <w:rPr>
                <w:rStyle w:val="IndexLink"/>
                <w:rtl w:val="true"/>
              </w:rPr>
              <w:t>المحارم بنسب أو رضاع أو مصاهرة</w:t>
            </w:r>
            <w:r>
              <w:rPr>
                <w:rStyle w:val="IndexLink"/>
                <w:rtl w:val="true"/>
              </w:rPr>
              <w:tab/>
            </w:r>
            <w:r>
              <w:rPr>
                <w:rStyle w:val="IndexLink"/>
              </w:rPr>
              <w:t>73</w:t>
            </w:r>
          </w:hyperlink>
        </w:p>
        <w:p>
          <w:pPr>
            <w:pStyle w:val="Contents3"/>
            <w:tabs>
              <w:tab w:val="clear" w:pos="8459"/>
              <w:tab w:val="right" w:pos="9026" w:leader="dot"/>
            </w:tabs>
            <w:rPr/>
          </w:pPr>
          <w:hyperlink w:anchor="__RefHeading___Toc1763648_2322387425">
            <w:r>
              <w:rPr>
                <w:webHidden/>
                <w:rStyle w:val="IndexLink"/>
                <w:rtl w:val="true"/>
              </w:rPr>
              <w:t>ماقیل باشتراطه فی تغسیل المحارم</w:t>
            </w:r>
            <w:r>
              <w:rPr>
                <w:rStyle w:val="IndexLink"/>
                <w:rtl w:val="true"/>
              </w:rPr>
              <w:tab/>
            </w:r>
            <w:r>
              <w:rPr>
                <w:rStyle w:val="IndexLink"/>
              </w:rPr>
              <w:t>75</w:t>
            </w:r>
          </w:hyperlink>
        </w:p>
        <w:p>
          <w:pPr>
            <w:pStyle w:val="Contents3"/>
            <w:tabs>
              <w:tab w:val="clear" w:pos="8459"/>
              <w:tab w:val="right" w:pos="9026" w:leader="dot"/>
            </w:tabs>
            <w:rPr/>
          </w:pPr>
          <w:hyperlink w:anchor="__RefHeading___Toc1763650_2322387425">
            <w:r>
              <w:rPr>
                <w:webHidden/>
                <w:rStyle w:val="IndexLink"/>
                <w:rtl w:val="true"/>
              </w:rPr>
              <w:t>الرابع</w:t>
            </w:r>
            <w:r>
              <w:rPr>
                <w:rStyle w:val="IndexLink"/>
                <w:rtl w:val="true"/>
              </w:rPr>
              <w:t xml:space="preserve">: </w:t>
            </w:r>
            <w:r>
              <w:rPr>
                <w:rStyle w:val="IndexLink"/>
                <w:rtl w:val="true"/>
              </w:rPr>
              <w:t>المولی والأمة علی إشکال</w:t>
            </w:r>
            <w:r>
              <w:rPr>
                <w:rStyle w:val="IndexLink"/>
                <w:rtl w:val="true"/>
              </w:rPr>
              <w:tab/>
            </w:r>
            <w:r>
              <w:rPr>
                <w:rStyle w:val="IndexLink"/>
              </w:rPr>
              <w:t>76</w:t>
            </w:r>
          </w:hyperlink>
        </w:p>
        <w:p>
          <w:pPr>
            <w:pStyle w:val="Contents3"/>
            <w:tabs>
              <w:tab w:val="clear" w:pos="8459"/>
              <w:tab w:val="right" w:pos="9026" w:leader="dot"/>
            </w:tabs>
            <w:rPr/>
          </w:pPr>
          <w:hyperlink w:anchor="__RefHeading___Toc1763652_2322387425">
            <w:r>
              <w:rPr>
                <w:webHidden/>
                <w:rStyle w:val="IndexLink"/>
                <w:rtl w:val="true"/>
              </w:rPr>
              <w:t>حکم الخنثی المشکل</w:t>
            </w:r>
            <w:r>
              <w:rPr>
                <w:rStyle w:val="IndexLink"/>
                <w:rtl w:val="true"/>
              </w:rPr>
              <w:tab/>
            </w:r>
            <w:r>
              <w:rPr>
                <w:rStyle w:val="IndexLink"/>
              </w:rPr>
              <w:t>78</w:t>
            </w:r>
          </w:hyperlink>
        </w:p>
        <w:p>
          <w:pPr>
            <w:pStyle w:val="Contents3"/>
            <w:tabs>
              <w:tab w:val="clear" w:pos="8459"/>
              <w:tab w:val="right" w:pos="9026" w:leader="dot"/>
            </w:tabs>
            <w:rPr/>
          </w:pPr>
          <w:hyperlink w:anchor="__RefHeading___Toc1763654_2322387425">
            <w:r>
              <w:rPr>
                <w:webHidden/>
                <w:rStyle w:val="IndexLink"/>
                <w:rtl w:val="true"/>
              </w:rPr>
              <w:t>حکم المیت أو عضوه المشتبه بین الذکر والانثی</w:t>
            </w:r>
            <w:r>
              <w:rPr>
                <w:rStyle w:val="IndexLink"/>
                <w:rtl w:val="true"/>
              </w:rPr>
              <w:tab/>
            </w:r>
            <w:r>
              <w:rPr>
                <w:rStyle w:val="IndexLink"/>
              </w:rPr>
              <w:t>82</w:t>
            </w:r>
          </w:hyperlink>
        </w:p>
        <w:p>
          <w:pPr>
            <w:pStyle w:val="Contents3"/>
            <w:tabs>
              <w:tab w:val="clear" w:pos="8459"/>
              <w:tab w:val="right" w:pos="9026" w:leader="dot"/>
            </w:tabs>
            <w:rPr/>
          </w:pPr>
          <w:hyperlink w:anchor="__RefHeading___Toc1763656_2322387425">
            <w:r>
              <w:rPr>
                <w:webHidden/>
                <w:rStyle w:val="IndexLink"/>
                <w:rtl w:val="true"/>
              </w:rPr>
              <w:t>تغسیل الکتابی المماثل للمسلم</w:t>
            </w:r>
            <w:r>
              <w:rPr>
                <w:rStyle w:val="IndexLink"/>
                <w:rtl w:val="true"/>
              </w:rPr>
              <w:tab/>
            </w:r>
            <w:r>
              <w:rPr>
                <w:rStyle w:val="IndexLink"/>
              </w:rPr>
              <w:t>82</w:t>
            </w:r>
          </w:hyperlink>
        </w:p>
        <w:p>
          <w:pPr>
            <w:pStyle w:val="Contents3"/>
            <w:tabs>
              <w:tab w:val="clear" w:pos="8459"/>
              <w:tab w:val="right" w:pos="9026" w:leader="dot"/>
            </w:tabs>
            <w:rPr/>
          </w:pPr>
          <w:hyperlink w:anchor="__RefHeading___Toc1763658_2322387425">
            <w:r>
              <w:rPr>
                <w:webHidden/>
                <w:rStyle w:val="IndexLink"/>
                <w:rtl w:val="true"/>
              </w:rPr>
              <w:t>إذا حضر المسلم المماثل بعد تغسیل الکتابی</w:t>
            </w:r>
            <w:r>
              <w:rPr>
                <w:rStyle w:val="IndexLink"/>
                <w:rtl w:val="true"/>
              </w:rPr>
              <w:tab/>
            </w:r>
            <w:r>
              <w:rPr>
                <w:rStyle w:val="IndexLink"/>
              </w:rPr>
              <w:t>83</w:t>
            </w:r>
          </w:hyperlink>
        </w:p>
        <w:p>
          <w:pPr>
            <w:pStyle w:val="Contents3"/>
            <w:tabs>
              <w:tab w:val="clear" w:pos="8459"/>
              <w:tab w:val="right" w:pos="9026" w:leader="dot"/>
            </w:tabs>
            <w:rPr/>
          </w:pPr>
          <w:hyperlink w:anchor="__RefHeading___Toc1763660_2322387425">
            <w:r>
              <w:rPr>
                <w:webHidden/>
                <w:rStyle w:val="IndexLink"/>
                <w:rtl w:val="true"/>
              </w:rPr>
              <w:t>انحصار التغسیل بالمخالف المماثل</w:t>
            </w:r>
            <w:r>
              <w:rPr>
                <w:rStyle w:val="IndexLink"/>
                <w:rtl w:val="true"/>
              </w:rPr>
              <w:tab/>
            </w:r>
            <w:r>
              <w:rPr>
                <w:rStyle w:val="IndexLink"/>
              </w:rPr>
              <w:t>84</w:t>
            </w:r>
          </w:hyperlink>
        </w:p>
        <w:p>
          <w:pPr>
            <w:pStyle w:val="Contents3"/>
            <w:tabs>
              <w:tab w:val="clear" w:pos="8459"/>
              <w:tab w:val="right" w:pos="9026" w:leader="dot"/>
            </w:tabs>
            <w:rPr/>
          </w:pPr>
          <w:hyperlink w:anchor="__RefHeading___Toc1763662_2322387425">
            <w:r>
              <w:rPr>
                <w:webHidden/>
                <w:rStyle w:val="IndexLink"/>
                <w:rtl w:val="true"/>
              </w:rPr>
              <w:t>إذا فقد المماثل فی غیر موارد الاستثناء المتقدمة</w:t>
            </w:r>
            <w:r>
              <w:rPr>
                <w:rStyle w:val="IndexLink"/>
                <w:rtl w:val="true"/>
              </w:rPr>
              <w:tab/>
            </w:r>
            <w:r>
              <w:rPr>
                <w:rStyle w:val="IndexLink"/>
              </w:rPr>
              <w:t>85</w:t>
            </w:r>
          </w:hyperlink>
        </w:p>
        <w:p>
          <w:pPr>
            <w:pStyle w:val="Contents3"/>
            <w:tabs>
              <w:tab w:val="clear" w:pos="8459"/>
              <w:tab w:val="right" w:pos="9026" w:leader="dot"/>
            </w:tabs>
            <w:rPr/>
          </w:pPr>
          <w:hyperlink w:anchor="__RefHeading___Toc1763664_2322387425">
            <w:r>
              <w:rPr>
                <w:webHidden/>
                <w:rStyle w:val="IndexLink"/>
                <w:rtl w:val="true"/>
              </w:rPr>
              <w:t>شرائط المُغسّل</w:t>
            </w:r>
            <w:r>
              <w:rPr>
                <w:rStyle w:val="IndexLink"/>
                <w:rtl w:val="true"/>
              </w:rPr>
              <w:tab/>
            </w:r>
            <w:r>
              <w:rPr>
                <w:rStyle w:val="IndexLink"/>
              </w:rPr>
              <w:t>85</w:t>
            </w:r>
          </w:hyperlink>
        </w:p>
        <w:p>
          <w:pPr>
            <w:pStyle w:val="Contents2"/>
            <w:tabs>
              <w:tab w:val="clear" w:pos="8743"/>
              <w:tab w:val="right" w:pos="9026" w:leader="dot"/>
            </w:tabs>
            <w:rPr/>
          </w:pPr>
          <w:hyperlink w:anchor="__RefHeading___Toc1763666_2322387425">
            <w:r>
              <w:rPr>
                <w:webHidden/>
                <w:rStyle w:val="IndexLink"/>
                <w:rtl w:val="true"/>
              </w:rPr>
              <w:t>فصل</w:t>
            </w:r>
            <w:r>
              <w:rPr>
                <w:rStyle w:val="IndexLink"/>
                <w:rtl w:val="true"/>
              </w:rPr>
              <w:t xml:space="preserve">: </w:t>
            </w:r>
            <w:r>
              <w:rPr>
                <w:rStyle w:val="IndexLink"/>
                <w:rtl w:val="true"/>
              </w:rPr>
              <w:t>فی موارد سقوط غسل المیّت</w:t>
            </w:r>
            <w:r>
              <w:rPr>
                <w:rStyle w:val="IndexLink"/>
                <w:rtl w:val="true"/>
              </w:rPr>
              <w:tab/>
            </w:r>
            <w:r>
              <w:rPr>
                <w:rStyle w:val="IndexLink"/>
              </w:rPr>
              <w:t>88</w:t>
            </w:r>
          </w:hyperlink>
        </w:p>
        <w:p>
          <w:pPr>
            <w:pStyle w:val="Contents3"/>
            <w:tabs>
              <w:tab w:val="clear" w:pos="8459"/>
              <w:tab w:val="right" w:pos="9026" w:leader="dot"/>
            </w:tabs>
            <w:rPr/>
          </w:pPr>
          <w:hyperlink w:anchor="__RefHeading___Toc1763668_2322387425">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763670_2322387425">
            <w:r>
              <w:rPr>
                <w:webHidden/>
                <w:rStyle w:val="IndexLink"/>
                <w:rtl w:val="true"/>
              </w:rPr>
              <w:t>الأول</w:t>
            </w:r>
            <w:r>
              <w:rPr>
                <w:rStyle w:val="IndexLink"/>
                <w:rtl w:val="true"/>
              </w:rPr>
              <w:t xml:space="preserve">: </w:t>
            </w:r>
            <w:r>
              <w:rPr>
                <w:rStyle w:val="IndexLink"/>
                <w:rtl w:val="true"/>
              </w:rPr>
              <w:t>الشهید ومن قتل فی حفظ بیضة الإسلام</w:t>
            </w:r>
            <w:r>
              <w:rPr>
                <w:rStyle w:val="IndexLink"/>
                <w:rtl w:val="true"/>
              </w:rPr>
              <w:tab/>
            </w:r>
            <w:r>
              <w:rPr>
                <w:rStyle w:val="IndexLink"/>
              </w:rPr>
              <w:t>88</w:t>
            </w:r>
          </w:hyperlink>
        </w:p>
        <w:p>
          <w:pPr>
            <w:pStyle w:val="Contents3"/>
            <w:tabs>
              <w:tab w:val="clear" w:pos="8459"/>
              <w:tab w:val="right" w:pos="9026" w:leader="dot"/>
            </w:tabs>
            <w:rPr/>
          </w:pPr>
          <w:hyperlink w:anchor="__RefHeading___Toc1763672_2322387425">
            <w:r>
              <w:rPr>
                <w:webHidden/>
                <w:rStyle w:val="IndexLink"/>
                <w:rtl w:val="true"/>
              </w:rPr>
              <w:t>المدار فی سقوط التغسیل وعدمه فی الشهید</w:t>
            </w:r>
            <w:r>
              <w:rPr>
                <w:rStyle w:val="IndexLink"/>
                <w:rtl w:val="true"/>
              </w:rPr>
              <w:tab/>
            </w:r>
            <w:r>
              <w:rPr>
                <w:rStyle w:val="IndexLink"/>
              </w:rPr>
              <w:t>89</w:t>
            </w:r>
          </w:hyperlink>
        </w:p>
        <w:p>
          <w:pPr>
            <w:pStyle w:val="Contents3"/>
            <w:tabs>
              <w:tab w:val="clear" w:pos="8459"/>
              <w:tab w:val="right" w:pos="9026" w:leader="dot"/>
            </w:tabs>
            <w:rPr/>
          </w:pPr>
          <w:hyperlink w:anchor="__RefHeading___Toc1763674_2322387425">
            <w:r>
              <w:rPr>
                <w:webHidden/>
                <w:rStyle w:val="IndexLink"/>
                <w:rtl w:val="true"/>
              </w:rPr>
              <w:t>الثانی</w:t>
            </w:r>
            <w:r>
              <w:rPr>
                <w:rStyle w:val="IndexLink"/>
                <w:rtl w:val="true"/>
              </w:rPr>
              <w:t xml:space="preserve">: </w:t>
            </w:r>
            <w:r>
              <w:rPr>
                <w:rStyle w:val="IndexLink"/>
                <w:rtl w:val="true"/>
              </w:rPr>
              <w:t>من وجب قتله برجم أو قصاص</w:t>
            </w:r>
            <w:r>
              <w:rPr>
                <w:rStyle w:val="IndexLink"/>
                <w:rtl w:val="true"/>
              </w:rPr>
              <w:tab/>
            </w:r>
            <w:r>
              <w:rPr>
                <w:rStyle w:val="IndexLink"/>
              </w:rPr>
              <w:t>90</w:t>
            </w:r>
          </w:hyperlink>
        </w:p>
        <w:p>
          <w:pPr>
            <w:pStyle w:val="Contents4"/>
            <w:tabs>
              <w:tab w:val="clear" w:pos="8176"/>
              <w:tab w:val="right" w:pos="9026" w:leader="dot"/>
            </w:tabs>
            <w:rPr/>
          </w:pPr>
          <w:hyperlink w:anchor="__RefHeading___Toc1763676_2322387425">
            <w:r>
              <w:rPr>
                <w:webHidden/>
                <w:rStyle w:val="IndexLink"/>
                <w:rtl w:val="true"/>
              </w:rPr>
              <w:t>الأمر بالاغتسال للقصاص والرجم قبلهما</w:t>
            </w:r>
            <w:r>
              <w:rPr>
                <w:rStyle w:val="IndexLink"/>
                <w:rtl w:val="true"/>
              </w:rPr>
              <w:tab/>
            </w:r>
            <w:r>
              <w:rPr>
                <w:rStyle w:val="IndexLink"/>
              </w:rPr>
              <w:t>90</w:t>
            </w:r>
          </w:hyperlink>
        </w:p>
        <w:p>
          <w:pPr>
            <w:pStyle w:val="Contents3"/>
            <w:tabs>
              <w:tab w:val="clear" w:pos="8459"/>
              <w:tab w:val="right" w:pos="9026" w:leader="dot"/>
            </w:tabs>
            <w:rPr/>
          </w:pPr>
          <w:hyperlink w:anchor="__RefHeading___Toc1763678_2322387425">
            <w:r>
              <w:rPr>
                <w:webHidden/>
                <w:rStyle w:val="IndexLink"/>
                <w:rtl w:val="true"/>
              </w:rPr>
              <w:t>ما یعتبر فی غسل وتکفین المرجوم والمقتص منه</w:t>
            </w:r>
            <w:r>
              <w:rPr>
                <w:rStyle w:val="IndexLink"/>
                <w:rtl w:val="true"/>
              </w:rPr>
              <w:tab/>
            </w:r>
            <w:r>
              <w:rPr>
                <w:rStyle w:val="IndexLink"/>
              </w:rPr>
              <w:t>91</w:t>
            </w:r>
          </w:hyperlink>
        </w:p>
        <w:p>
          <w:pPr>
            <w:pStyle w:val="Contents3"/>
            <w:tabs>
              <w:tab w:val="clear" w:pos="8459"/>
              <w:tab w:val="right" w:pos="9026" w:leader="dot"/>
            </w:tabs>
            <w:rPr/>
          </w:pPr>
          <w:hyperlink w:anchor="__RefHeading___Toc1763680_2322387425">
            <w:r>
              <w:rPr>
                <w:webHidden/>
                <w:rStyle w:val="IndexLink"/>
                <w:rtl w:val="true"/>
              </w:rPr>
              <w:t>اعتبار استناد الموت إلی الرجم أو القصاص</w:t>
            </w:r>
            <w:r>
              <w:rPr>
                <w:rStyle w:val="IndexLink"/>
                <w:rtl w:val="true"/>
              </w:rPr>
              <w:tab/>
            </w:r>
            <w:r>
              <w:rPr>
                <w:rStyle w:val="IndexLink"/>
              </w:rPr>
              <w:t>92</w:t>
            </w:r>
          </w:hyperlink>
        </w:p>
        <w:p>
          <w:pPr>
            <w:pStyle w:val="Contents3"/>
            <w:tabs>
              <w:tab w:val="clear" w:pos="8459"/>
              <w:tab w:val="right" w:pos="9026" w:leader="dot"/>
            </w:tabs>
            <w:rPr/>
          </w:pPr>
          <w:hyperlink w:anchor="__RefHeading___Toc1763682_2322387425">
            <w:r>
              <w:rPr>
                <w:webHidden/>
                <w:rStyle w:val="IndexLink"/>
                <w:rtl w:val="true"/>
              </w:rPr>
              <w:t>الحکم بجواز تکفین الشهید فوق الثیاب</w:t>
            </w:r>
            <w:r>
              <w:rPr>
                <w:rStyle w:val="IndexLink"/>
                <w:rtl w:val="true"/>
              </w:rPr>
              <w:tab/>
            </w:r>
            <w:r>
              <w:rPr>
                <w:rStyle w:val="IndexLink"/>
              </w:rPr>
              <w:t>94</w:t>
            </w:r>
          </w:hyperlink>
        </w:p>
        <w:p>
          <w:pPr>
            <w:pStyle w:val="Contents3"/>
            <w:tabs>
              <w:tab w:val="clear" w:pos="8459"/>
              <w:tab w:val="right" w:pos="9026" w:leader="dot"/>
            </w:tabs>
            <w:rPr/>
          </w:pPr>
          <w:hyperlink w:anchor="__RefHeading___Toc1763684_2322387425">
            <w:r>
              <w:rPr>
                <w:webHidden/>
                <w:rStyle w:val="IndexLink"/>
                <w:rtl w:val="true"/>
              </w:rPr>
              <w:t>الحکم بجواز تکفین الشهید فوق الثیاب</w:t>
            </w:r>
            <w:r>
              <w:rPr>
                <w:rStyle w:val="IndexLink"/>
                <w:rtl w:val="true"/>
              </w:rPr>
              <w:tab/>
            </w:r>
            <w:r>
              <w:rPr>
                <w:rStyle w:val="IndexLink"/>
              </w:rPr>
              <w:t>94</w:t>
            </w:r>
          </w:hyperlink>
        </w:p>
        <w:p>
          <w:pPr>
            <w:pStyle w:val="Contents3"/>
            <w:tabs>
              <w:tab w:val="clear" w:pos="8459"/>
              <w:tab w:val="right" w:pos="9026" w:leader="dot"/>
            </w:tabs>
            <w:rPr/>
          </w:pPr>
          <w:hyperlink w:anchor="__RefHeading___Toc1763686_2322387425">
            <w:r>
              <w:rPr>
                <w:webHidden/>
                <w:rStyle w:val="IndexLink"/>
                <w:rtl w:val="true"/>
              </w:rPr>
              <w:t>ما یجوز وما لا یجوز نزعه من الشهید</w:t>
            </w:r>
            <w:r>
              <w:rPr>
                <w:rStyle w:val="IndexLink"/>
                <w:rtl w:val="true"/>
              </w:rPr>
              <w:tab/>
            </w:r>
            <w:r>
              <w:rPr>
                <w:rStyle w:val="IndexLink"/>
              </w:rPr>
              <w:t>96</w:t>
            </w:r>
          </w:hyperlink>
        </w:p>
        <w:p>
          <w:pPr>
            <w:pStyle w:val="Contents3"/>
            <w:tabs>
              <w:tab w:val="clear" w:pos="8459"/>
              <w:tab w:val="right" w:pos="9026" w:leader="dot"/>
            </w:tabs>
            <w:rPr/>
          </w:pPr>
          <w:hyperlink w:anchor="__RefHeading___Toc1763688_2322387425">
            <w:r>
              <w:rPr>
                <w:webHidden/>
                <w:rStyle w:val="IndexLink"/>
                <w:rtl w:val="true"/>
              </w:rPr>
              <w:t>الشک فی شهادة من وجد میتاً فی المعرکة</w:t>
            </w:r>
            <w:r>
              <w:rPr>
                <w:rStyle w:val="IndexLink"/>
                <w:rtl w:val="true"/>
              </w:rPr>
              <w:tab/>
            </w:r>
            <w:r>
              <w:rPr>
                <w:rStyle w:val="IndexLink"/>
              </w:rPr>
              <w:t>99</w:t>
            </w:r>
          </w:hyperlink>
        </w:p>
        <w:p>
          <w:pPr>
            <w:pStyle w:val="Contents3"/>
            <w:tabs>
              <w:tab w:val="clear" w:pos="8459"/>
              <w:tab w:val="right" w:pos="9026" w:leader="dot"/>
            </w:tabs>
            <w:rPr/>
          </w:pPr>
          <w:hyperlink w:anchor="__RefHeading___Toc1763690_2322387425">
            <w:r>
              <w:rPr>
                <w:webHidden/>
                <w:rStyle w:val="IndexLink"/>
                <w:rtl w:val="true"/>
              </w:rPr>
              <w:t>من لایجری علیه حکم الشهید</w:t>
            </w:r>
            <w:r>
              <w:rPr>
                <w:rStyle w:val="IndexLink"/>
                <w:rtl w:val="true"/>
              </w:rPr>
              <w:tab/>
            </w:r>
            <w:r>
              <w:rPr>
                <w:rStyle w:val="IndexLink"/>
              </w:rPr>
              <w:t>100</w:t>
            </w:r>
          </w:hyperlink>
        </w:p>
        <w:p>
          <w:pPr>
            <w:pStyle w:val="Contents3"/>
            <w:tabs>
              <w:tab w:val="clear" w:pos="8459"/>
              <w:tab w:val="right" w:pos="9026" w:leader="dot"/>
            </w:tabs>
            <w:rPr/>
          </w:pPr>
          <w:hyperlink w:anchor="__RefHeading___Toc1763692_2322387425">
            <w:r>
              <w:rPr>
                <w:webHidden/>
                <w:rStyle w:val="IndexLink"/>
                <w:rtl w:val="true"/>
              </w:rPr>
              <w:t>اذا اشتبه المسلم بالکافر</w:t>
            </w:r>
            <w:r>
              <w:rPr>
                <w:rStyle w:val="IndexLink"/>
                <w:rtl w:val="true"/>
              </w:rPr>
              <w:tab/>
            </w:r>
            <w:r>
              <w:rPr>
                <w:rStyle w:val="IndexLink"/>
              </w:rPr>
              <w:t>101</w:t>
            </w:r>
          </w:hyperlink>
        </w:p>
        <w:p>
          <w:pPr>
            <w:pStyle w:val="Contents3"/>
            <w:tabs>
              <w:tab w:val="clear" w:pos="8459"/>
              <w:tab w:val="right" w:pos="9026" w:leader="dot"/>
            </w:tabs>
            <w:rPr/>
          </w:pPr>
          <w:hyperlink w:anchor="__RefHeading___Toc1763694_2322387425">
            <w:r>
              <w:rPr>
                <w:webHidden/>
                <w:rStyle w:val="IndexLink"/>
                <w:rtl w:val="true"/>
              </w:rPr>
              <w:t>حکم مسّ الشهید والمقتول بالقصاص</w:t>
            </w:r>
            <w:r>
              <w:rPr>
                <w:rStyle w:val="IndexLink"/>
                <w:rtl w:val="true"/>
              </w:rPr>
              <w:tab/>
            </w:r>
            <w:r>
              <w:rPr>
                <w:rStyle w:val="IndexLink"/>
              </w:rPr>
              <w:t>104</w:t>
            </w:r>
          </w:hyperlink>
        </w:p>
        <w:p>
          <w:pPr>
            <w:pStyle w:val="Contents3"/>
            <w:tabs>
              <w:tab w:val="clear" w:pos="8459"/>
              <w:tab w:val="right" w:pos="9026" w:leader="dot"/>
            </w:tabs>
            <w:rPr/>
          </w:pPr>
          <w:hyperlink w:anchor="__RefHeading___Toc1763696_2322387425">
            <w:r>
              <w:rPr>
                <w:webHidden/>
                <w:rStyle w:val="IndexLink"/>
                <w:rtl w:val="true"/>
              </w:rPr>
              <w:t>حکم القطعة المبانة من المیت</w:t>
            </w:r>
            <w:r>
              <w:rPr>
                <w:rStyle w:val="IndexLink"/>
                <w:rtl w:val="true"/>
              </w:rPr>
              <w:tab/>
            </w:r>
            <w:r>
              <w:rPr>
                <w:rStyle w:val="IndexLink"/>
              </w:rPr>
              <w:t>105</w:t>
            </w:r>
          </w:hyperlink>
        </w:p>
        <w:p>
          <w:pPr>
            <w:pStyle w:val="Contents3"/>
            <w:tabs>
              <w:tab w:val="clear" w:pos="8459"/>
              <w:tab w:val="right" w:pos="9026" w:leader="dot"/>
            </w:tabs>
            <w:rPr/>
          </w:pPr>
          <w:hyperlink w:anchor="__RefHeading___Toc1763698_2322387425">
            <w:r>
              <w:rPr>
                <w:webHidden/>
                <w:rStyle w:val="IndexLink"/>
                <w:rtl w:val="true"/>
              </w:rPr>
              <w:t>جریان أحکام المیت لو بقی عظاماً بلا لحم</w:t>
            </w:r>
            <w:r>
              <w:rPr>
                <w:rStyle w:val="IndexLink"/>
                <w:rtl w:val="true"/>
              </w:rPr>
              <w:tab/>
            </w:r>
            <w:r>
              <w:rPr>
                <w:rStyle w:val="IndexLink"/>
              </w:rPr>
              <w:t>108</w:t>
            </w:r>
          </w:hyperlink>
        </w:p>
        <w:p>
          <w:pPr>
            <w:pStyle w:val="Contents3"/>
            <w:tabs>
              <w:tab w:val="clear" w:pos="8459"/>
              <w:tab w:val="right" w:pos="9026" w:leader="dot"/>
            </w:tabs>
            <w:rPr/>
          </w:pPr>
          <w:hyperlink w:anchor="__RefHeading___Toc1763700_2322387425">
            <w:r>
              <w:rPr>
                <w:webHidden/>
                <w:rStyle w:val="IndexLink"/>
                <w:rtl w:val="true"/>
              </w:rPr>
              <w:t>حکم العضو المردد بین الذکر والأنثی</w:t>
            </w:r>
            <w:r>
              <w:rPr>
                <w:rStyle w:val="IndexLink"/>
                <w:rtl w:val="true"/>
              </w:rPr>
              <w:tab/>
            </w:r>
            <w:r>
              <w:rPr>
                <w:rStyle w:val="IndexLink"/>
              </w:rPr>
              <w:t>109</w:t>
            </w:r>
          </w:hyperlink>
        </w:p>
        <w:p>
          <w:pPr>
            <w:pStyle w:val="Contents2"/>
            <w:tabs>
              <w:tab w:val="clear" w:pos="8743"/>
              <w:tab w:val="right" w:pos="9026" w:leader="dot"/>
            </w:tabs>
            <w:rPr/>
          </w:pPr>
          <w:hyperlink w:anchor="__RefHeading___Toc1763702_2322387425">
            <w:r>
              <w:rPr>
                <w:webHidden/>
                <w:rStyle w:val="IndexLink"/>
                <w:rtl w:val="true"/>
              </w:rPr>
              <w:t>فصل</w:t>
            </w:r>
            <w:r>
              <w:rPr>
                <w:rStyle w:val="IndexLink"/>
                <w:rtl w:val="true"/>
              </w:rPr>
              <w:t xml:space="preserve">: </w:t>
            </w:r>
            <w:r>
              <w:rPr>
                <w:rStyle w:val="IndexLink"/>
                <w:rtl w:val="true"/>
              </w:rPr>
              <w:t>فی کیفیّة غسل المیّت</w:t>
            </w:r>
            <w:r>
              <w:rPr>
                <w:rStyle w:val="IndexLink"/>
                <w:rtl w:val="true"/>
              </w:rPr>
              <w:tab/>
            </w:r>
            <w:r>
              <w:rPr>
                <w:rStyle w:val="IndexLink"/>
              </w:rPr>
              <w:t>110</w:t>
            </w:r>
          </w:hyperlink>
        </w:p>
        <w:p>
          <w:pPr>
            <w:pStyle w:val="Contents3"/>
            <w:tabs>
              <w:tab w:val="clear" w:pos="8459"/>
              <w:tab w:val="right" w:pos="9026" w:leader="dot"/>
            </w:tabs>
            <w:rPr/>
          </w:pPr>
          <w:hyperlink w:anchor="__RefHeading___Toc1763704_2322387425">
            <w:r>
              <w:rPr>
                <w:webHidden/>
                <w:rStyle w:val="IndexLink"/>
                <w:rtl w:val="true"/>
              </w:rPr>
              <w:t>ما یُعتبر فی غسل المیت</w:t>
            </w:r>
            <w:r>
              <w:rPr>
                <w:rStyle w:val="IndexLink"/>
                <w:rtl w:val="true"/>
              </w:rPr>
              <w:tab/>
            </w:r>
            <w:r>
              <w:rPr>
                <w:rStyle w:val="IndexLink"/>
              </w:rPr>
              <w:t>110</w:t>
            </w:r>
          </w:hyperlink>
        </w:p>
        <w:p>
          <w:pPr>
            <w:pStyle w:val="Contents3"/>
            <w:tabs>
              <w:tab w:val="clear" w:pos="8459"/>
              <w:tab w:val="right" w:pos="9026" w:leader="dot"/>
            </w:tabs>
            <w:rPr/>
          </w:pPr>
          <w:hyperlink w:anchor="__RefHeading___Toc1763706_2322387425">
            <w:r>
              <w:rPr>
                <w:webHidden/>
                <w:rStyle w:val="IndexLink"/>
                <w:rtl w:val="true"/>
              </w:rPr>
              <w:t>غسل المیت کغسل الجنابة علی کلام فی الارتماسی</w:t>
            </w:r>
            <w:r>
              <w:rPr>
                <w:rStyle w:val="IndexLink"/>
                <w:rtl w:val="true"/>
              </w:rPr>
              <w:tab/>
            </w:r>
            <w:r>
              <w:rPr>
                <w:rStyle w:val="IndexLink"/>
              </w:rPr>
              <w:t>110</w:t>
            </w:r>
          </w:hyperlink>
        </w:p>
        <w:p>
          <w:pPr>
            <w:pStyle w:val="Contents3"/>
            <w:tabs>
              <w:tab w:val="clear" w:pos="8459"/>
              <w:tab w:val="right" w:pos="9026" w:leader="dot"/>
            </w:tabs>
            <w:rPr/>
          </w:pPr>
          <w:hyperlink w:anchor="__RefHeading___Toc1763708_2322387425">
            <w:r>
              <w:rPr>
                <w:webHidden/>
                <w:rStyle w:val="IndexLink"/>
                <w:rtl w:val="true"/>
              </w:rPr>
              <w:t>إزاله النجاسة عن بدن المیت قبل التغسیل</w:t>
            </w:r>
            <w:r>
              <w:rPr>
                <w:rStyle w:val="IndexLink"/>
                <w:rtl w:val="true"/>
              </w:rPr>
              <w:tab/>
            </w:r>
            <w:r>
              <w:rPr>
                <w:rStyle w:val="IndexLink"/>
              </w:rPr>
              <w:t>111</w:t>
            </w:r>
          </w:hyperlink>
        </w:p>
        <w:p>
          <w:pPr>
            <w:pStyle w:val="Contents3"/>
            <w:tabs>
              <w:tab w:val="clear" w:pos="8459"/>
              <w:tab w:val="right" w:pos="9026" w:leader="dot"/>
            </w:tabs>
            <w:rPr/>
          </w:pPr>
          <w:hyperlink w:anchor="__RefHeading___Toc1763710_2322387425">
            <w:r>
              <w:rPr>
                <w:webHidden/>
                <w:rStyle w:val="IndexLink"/>
                <w:rtl w:val="true"/>
              </w:rPr>
              <w:t>ما یعتبر فی السدر والکافور</w:t>
            </w:r>
            <w:r>
              <w:rPr>
                <w:rStyle w:val="IndexLink"/>
                <w:rtl w:val="true"/>
              </w:rPr>
              <w:tab/>
            </w:r>
            <w:r>
              <w:rPr>
                <w:rStyle w:val="IndexLink"/>
              </w:rPr>
              <w:t>111</w:t>
            </w:r>
          </w:hyperlink>
        </w:p>
        <w:p>
          <w:pPr>
            <w:pStyle w:val="Contents3"/>
            <w:tabs>
              <w:tab w:val="clear" w:pos="8459"/>
              <w:tab w:val="right" w:pos="9026" w:leader="dot"/>
            </w:tabs>
            <w:rPr/>
          </w:pPr>
          <w:hyperlink w:anchor="__RefHeading___Toc1763712_2322387425">
            <w:r>
              <w:rPr>
                <w:webHidden/>
                <w:rStyle w:val="IndexLink"/>
                <w:rtl w:val="true"/>
              </w:rPr>
              <w:t>الوضوء مع غسل المیّت</w:t>
            </w:r>
            <w:r>
              <w:rPr>
                <w:rStyle w:val="IndexLink"/>
                <w:rtl w:val="true"/>
              </w:rPr>
              <w:tab/>
            </w:r>
            <w:r>
              <w:rPr>
                <w:rStyle w:val="IndexLink"/>
              </w:rPr>
              <w:t>112</w:t>
            </w:r>
          </w:hyperlink>
        </w:p>
        <w:p>
          <w:pPr>
            <w:pStyle w:val="Contents3"/>
            <w:tabs>
              <w:tab w:val="clear" w:pos="8459"/>
              <w:tab w:val="right" w:pos="9026" w:leader="dot"/>
            </w:tabs>
            <w:rPr/>
          </w:pPr>
          <w:hyperlink w:anchor="__RefHeading___Toc1763714_2322387425">
            <w:r>
              <w:rPr>
                <w:webHidden/>
                <w:rStyle w:val="IndexLink"/>
                <w:rtl w:val="true"/>
              </w:rPr>
              <w:t>مقدار الماء الذی یغسل به المیّت</w:t>
            </w:r>
            <w:r>
              <w:rPr>
                <w:rStyle w:val="IndexLink"/>
                <w:rtl w:val="true"/>
              </w:rPr>
              <w:tab/>
            </w:r>
            <w:r>
              <w:rPr>
                <w:rStyle w:val="IndexLink"/>
              </w:rPr>
              <w:t>112</w:t>
            </w:r>
          </w:hyperlink>
        </w:p>
        <w:p>
          <w:pPr>
            <w:pStyle w:val="Contents3"/>
            <w:tabs>
              <w:tab w:val="clear" w:pos="8459"/>
              <w:tab w:val="right" w:pos="9026" w:leader="dot"/>
            </w:tabs>
            <w:rPr/>
          </w:pPr>
          <w:hyperlink w:anchor="__RefHeading___Toc1763716_2322387425">
            <w:r>
              <w:rPr>
                <w:webHidden/>
                <w:rStyle w:val="IndexLink"/>
                <w:rtl w:val="true"/>
              </w:rPr>
              <w:t>حکم تعذّر أحد الخلیطین أو کلیهما</w:t>
            </w:r>
            <w:r>
              <w:rPr>
                <w:rStyle w:val="IndexLink"/>
                <w:rtl w:val="true"/>
              </w:rPr>
              <w:tab/>
            </w:r>
            <w:r>
              <w:rPr>
                <w:rStyle w:val="IndexLink"/>
              </w:rPr>
              <w:t>113</w:t>
            </w:r>
          </w:hyperlink>
        </w:p>
        <w:p>
          <w:pPr>
            <w:pStyle w:val="Contents3"/>
            <w:tabs>
              <w:tab w:val="clear" w:pos="8459"/>
              <w:tab w:val="right" w:pos="9026" w:leader="dot"/>
            </w:tabs>
            <w:rPr/>
          </w:pPr>
          <w:hyperlink w:anchor="__RefHeading___Toc1763718_2322387425">
            <w:r>
              <w:rPr>
                <w:webHidden/>
                <w:rStyle w:val="IndexLink"/>
                <w:rtl w:val="true"/>
              </w:rPr>
              <w:t>بدلیّة التیمّم عن تغسیل المیت</w:t>
            </w:r>
            <w:r>
              <w:rPr>
                <w:rStyle w:val="IndexLink"/>
                <w:rtl w:val="true"/>
              </w:rPr>
              <w:tab/>
            </w:r>
            <w:r>
              <w:rPr>
                <w:rStyle w:val="IndexLink"/>
              </w:rPr>
              <w:t>114</w:t>
            </w:r>
          </w:hyperlink>
        </w:p>
        <w:p>
          <w:pPr>
            <w:pStyle w:val="Contents3"/>
            <w:tabs>
              <w:tab w:val="clear" w:pos="8459"/>
              <w:tab w:val="right" w:pos="9026" w:leader="dot"/>
            </w:tabs>
            <w:rPr/>
          </w:pPr>
          <w:hyperlink w:anchor="__RefHeading___Toc1763720_2322387425">
            <w:r>
              <w:rPr>
                <w:webHidden/>
                <w:rStyle w:val="IndexLink"/>
                <w:rtl w:val="true"/>
              </w:rPr>
              <w:t>کفایة الماء لغسل واحد</w:t>
            </w:r>
            <w:r>
              <w:rPr>
                <w:rStyle w:val="IndexLink"/>
                <w:rtl w:val="true"/>
              </w:rPr>
              <w:tab/>
            </w:r>
            <w:r>
              <w:rPr>
                <w:rStyle w:val="IndexLink"/>
              </w:rPr>
              <w:t>116</w:t>
            </w:r>
          </w:hyperlink>
        </w:p>
        <w:p>
          <w:pPr>
            <w:pStyle w:val="Contents3"/>
            <w:tabs>
              <w:tab w:val="clear" w:pos="8459"/>
              <w:tab w:val="right" w:pos="9026" w:leader="dot"/>
            </w:tabs>
            <w:rPr/>
          </w:pPr>
          <w:hyperlink w:anchor="__RefHeading___Toc1763722_2322387425">
            <w:r>
              <w:rPr>
                <w:webHidden/>
                <w:rStyle w:val="IndexLink"/>
                <w:rtl w:val="true"/>
              </w:rPr>
              <w:t>حکم من تعذّر تغسیله لجرح أو حرق ونحو ذلک</w:t>
            </w:r>
            <w:r>
              <w:rPr>
                <w:rStyle w:val="IndexLink"/>
                <w:rtl w:val="true"/>
              </w:rPr>
              <w:tab/>
            </w:r>
            <w:r>
              <w:rPr>
                <w:rStyle w:val="IndexLink"/>
              </w:rPr>
              <w:t>122</w:t>
            </w:r>
          </w:hyperlink>
        </w:p>
        <w:p>
          <w:pPr>
            <w:pStyle w:val="Contents3"/>
            <w:tabs>
              <w:tab w:val="clear" w:pos="8459"/>
              <w:tab w:val="right" w:pos="9026" w:leader="dot"/>
            </w:tabs>
            <w:rPr/>
          </w:pPr>
          <w:hyperlink w:anchor="__RefHeading___Toc1763724_2322387425">
            <w:r>
              <w:rPr>
                <w:webHidden/>
                <w:rStyle w:val="IndexLink"/>
                <w:rtl w:val="true"/>
              </w:rPr>
              <w:t>المیت المحرم لا یُمسُّ بالکافور</w:t>
            </w:r>
            <w:r>
              <w:rPr>
                <w:rStyle w:val="IndexLink"/>
                <w:rtl w:val="true"/>
              </w:rPr>
              <w:tab/>
            </w:r>
            <w:r>
              <w:rPr>
                <w:rStyle w:val="IndexLink"/>
              </w:rPr>
              <w:t>124</w:t>
            </w:r>
          </w:hyperlink>
        </w:p>
        <w:p>
          <w:pPr>
            <w:pStyle w:val="Contents3"/>
            <w:tabs>
              <w:tab w:val="clear" w:pos="8459"/>
              <w:tab w:val="right" w:pos="9026" w:leader="dot"/>
            </w:tabs>
            <w:rPr/>
          </w:pPr>
          <w:hyperlink w:anchor="__RefHeading___Toc1763726_2322387425">
            <w:r>
              <w:rPr>
                <w:webHidden/>
                <w:rStyle w:val="IndexLink"/>
                <w:rtl w:val="true"/>
              </w:rPr>
              <w:t>حکم ارتفاع العذر عن الغسل أو الخلیط</w:t>
            </w:r>
            <w:r>
              <w:rPr>
                <w:rStyle w:val="IndexLink"/>
                <w:rtl w:val="true"/>
              </w:rPr>
              <w:tab/>
            </w:r>
            <w:r>
              <w:rPr>
                <w:rStyle w:val="IndexLink"/>
              </w:rPr>
              <w:t>126</w:t>
            </w:r>
          </w:hyperlink>
        </w:p>
        <w:p>
          <w:pPr>
            <w:pStyle w:val="Contents3"/>
            <w:tabs>
              <w:tab w:val="clear" w:pos="8459"/>
              <w:tab w:val="right" w:pos="9026" w:leader="dot"/>
            </w:tabs>
            <w:rPr/>
          </w:pPr>
          <w:hyperlink w:anchor="__RefHeading___Toc1763728_2322387425">
            <w:r>
              <w:rPr>
                <w:webHidden/>
                <w:rStyle w:val="IndexLink"/>
                <w:rtl w:val="true"/>
              </w:rPr>
              <w:t>کیفیة التیمّم بالمیّت</w:t>
            </w:r>
            <w:r>
              <w:rPr>
                <w:rStyle w:val="IndexLink"/>
                <w:rtl w:val="true"/>
              </w:rPr>
              <w:tab/>
            </w:r>
            <w:r>
              <w:rPr>
                <w:rStyle w:val="IndexLink"/>
              </w:rPr>
              <w:t>126</w:t>
            </w:r>
          </w:hyperlink>
        </w:p>
        <w:p>
          <w:pPr>
            <w:pStyle w:val="Contents3"/>
            <w:tabs>
              <w:tab w:val="clear" w:pos="8459"/>
              <w:tab w:val="right" w:pos="9026" w:leader="dot"/>
            </w:tabs>
            <w:rPr/>
          </w:pPr>
          <w:hyperlink w:anchor="__RefHeading___Toc1763730_2322387425">
            <w:r>
              <w:rPr>
                <w:webHidden/>
                <w:rStyle w:val="IndexLink"/>
                <w:rtl w:val="true"/>
              </w:rPr>
              <w:t>حکم مسّ المیّت المیمّم</w:t>
            </w:r>
            <w:r>
              <w:rPr>
                <w:rStyle w:val="IndexLink"/>
                <w:rtl w:val="true"/>
              </w:rPr>
              <w:tab/>
            </w:r>
            <w:r>
              <w:rPr>
                <w:rStyle w:val="IndexLink"/>
              </w:rPr>
              <w:t>128</w:t>
            </w:r>
          </w:hyperlink>
        </w:p>
        <w:p>
          <w:pPr>
            <w:pStyle w:val="Contents2"/>
            <w:tabs>
              <w:tab w:val="clear" w:pos="8743"/>
              <w:tab w:val="right" w:pos="9026" w:leader="dot"/>
            </w:tabs>
            <w:rPr/>
          </w:pPr>
          <w:hyperlink w:anchor="__RefHeading___Toc1763732_2322387425">
            <w:r>
              <w:rPr>
                <w:webHidden/>
                <w:rStyle w:val="IndexLink"/>
                <w:rtl w:val="true"/>
              </w:rPr>
              <w:t>فصل</w:t>
            </w:r>
            <w:r>
              <w:rPr>
                <w:rStyle w:val="IndexLink"/>
                <w:rtl w:val="true"/>
              </w:rPr>
              <w:t xml:space="preserve">: </w:t>
            </w:r>
            <w:r>
              <w:rPr>
                <w:rStyle w:val="IndexLink"/>
                <w:rtl w:val="true"/>
              </w:rPr>
              <w:t>فی شرائط الغسل</w:t>
            </w:r>
            <w:r>
              <w:rPr>
                <w:rStyle w:val="IndexLink"/>
                <w:rtl w:val="true"/>
              </w:rPr>
              <w:tab/>
            </w:r>
            <w:r>
              <w:rPr>
                <w:rStyle w:val="IndexLink"/>
              </w:rPr>
              <w:t>130</w:t>
            </w:r>
          </w:hyperlink>
        </w:p>
        <w:p>
          <w:pPr>
            <w:pStyle w:val="Contents3"/>
            <w:tabs>
              <w:tab w:val="clear" w:pos="8459"/>
              <w:tab w:val="right" w:pos="9026" w:leader="dot"/>
            </w:tabs>
            <w:rPr/>
          </w:pPr>
          <w:hyperlink w:anchor="__RefHeading___Toc1763734_2322387425">
            <w:r>
              <w:rPr>
                <w:webHidden/>
                <w:rStyle w:val="IndexLink"/>
                <w:rtl w:val="true"/>
              </w:rPr>
              <w:t>اشتراط الغسل بما اشترط فی الوضوء</w:t>
            </w:r>
            <w:r>
              <w:rPr>
                <w:rStyle w:val="IndexLink"/>
                <w:rtl w:val="true"/>
              </w:rPr>
              <w:tab/>
            </w:r>
            <w:r>
              <w:rPr>
                <w:rStyle w:val="IndexLink"/>
              </w:rPr>
              <w:t>130</w:t>
            </w:r>
          </w:hyperlink>
        </w:p>
        <w:p>
          <w:pPr>
            <w:pStyle w:val="Contents3"/>
            <w:tabs>
              <w:tab w:val="clear" w:pos="8459"/>
              <w:tab w:val="right" w:pos="9026" w:leader="dot"/>
            </w:tabs>
            <w:rPr/>
          </w:pPr>
          <w:hyperlink w:anchor="__RefHeading___Toc1763736_2322387425">
            <w:r>
              <w:rPr>
                <w:webHidden/>
                <w:rStyle w:val="IndexLink"/>
                <w:rtl w:val="true"/>
              </w:rPr>
              <w:t>الغسل بالمغصوب نسیاناً أو جهلاً</w:t>
            </w:r>
            <w:r>
              <w:rPr>
                <w:rStyle w:val="IndexLink"/>
                <w:rtl w:val="true"/>
              </w:rPr>
              <w:tab/>
            </w:r>
            <w:r>
              <w:rPr>
                <w:rStyle w:val="IndexLink"/>
              </w:rPr>
              <w:t>134</w:t>
            </w:r>
          </w:hyperlink>
        </w:p>
        <w:p>
          <w:pPr>
            <w:pStyle w:val="Contents4"/>
            <w:tabs>
              <w:tab w:val="clear" w:pos="8176"/>
              <w:tab w:val="right" w:pos="9026" w:leader="dot"/>
            </w:tabs>
            <w:rPr/>
          </w:pPr>
          <w:hyperlink w:anchor="__RefHeading___Toc1763738_2322387425">
            <w:r>
              <w:rPr>
                <w:webHidden/>
                <w:rStyle w:val="IndexLink"/>
                <w:rtl w:val="true"/>
              </w:rPr>
              <w:t>أفضلیة تجرید المیت حین التغسیل أو أفضلیته من وراء الثیاب</w:t>
            </w:r>
            <w:r>
              <w:rPr>
                <w:rStyle w:val="IndexLink"/>
                <w:rtl w:val="true"/>
              </w:rPr>
              <w:tab/>
            </w:r>
            <w:r>
              <w:rPr>
                <w:rStyle w:val="IndexLink"/>
              </w:rPr>
              <w:t>134</w:t>
            </w:r>
          </w:hyperlink>
        </w:p>
        <w:p>
          <w:pPr>
            <w:pStyle w:val="Contents3"/>
            <w:tabs>
              <w:tab w:val="clear" w:pos="8459"/>
              <w:tab w:val="right" w:pos="9026" w:leader="dot"/>
            </w:tabs>
            <w:rPr/>
          </w:pPr>
          <w:hyperlink w:anchor="__RefHeading___Toc1763740_2322387425">
            <w:r>
              <w:rPr>
                <w:webHidden/>
                <w:rStyle w:val="IndexLink"/>
                <w:rtl w:val="true"/>
              </w:rPr>
              <w:t>إجزاء غسل المیت عن غیره</w:t>
            </w:r>
            <w:r>
              <w:rPr>
                <w:rStyle w:val="IndexLink"/>
                <w:rtl w:val="true"/>
              </w:rPr>
              <w:tab/>
            </w:r>
            <w:r>
              <w:rPr>
                <w:rStyle w:val="IndexLink"/>
              </w:rPr>
              <w:t>136</w:t>
            </w:r>
          </w:hyperlink>
        </w:p>
        <w:p>
          <w:pPr>
            <w:pStyle w:val="Contents3"/>
            <w:tabs>
              <w:tab w:val="clear" w:pos="8459"/>
              <w:tab w:val="right" w:pos="9026" w:leader="dot"/>
            </w:tabs>
            <w:rPr/>
          </w:pPr>
          <w:hyperlink w:anchor="__RefHeading___Toc1763742_2322387425">
            <w:r>
              <w:rPr>
                <w:webHidden/>
                <w:rStyle w:val="IndexLink"/>
                <w:rtl w:val="true"/>
              </w:rPr>
              <w:t>تغسیل المیّت قبل برده</w:t>
            </w:r>
            <w:r>
              <w:rPr>
                <w:rStyle w:val="IndexLink"/>
                <w:rtl w:val="true"/>
              </w:rPr>
              <w:tab/>
            </w:r>
            <w:r>
              <w:rPr>
                <w:rStyle w:val="IndexLink"/>
              </w:rPr>
              <w:t>136</w:t>
            </w:r>
          </w:hyperlink>
        </w:p>
        <w:p>
          <w:pPr>
            <w:pStyle w:val="Contents3"/>
            <w:tabs>
              <w:tab w:val="clear" w:pos="8459"/>
              <w:tab w:val="right" w:pos="9026" w:leader="dot"/>
            </w:tabs>
            <w:rPr/>
          </w:pPr>
          <w:hyperlink w:anchor="__RefHeading___Toc1763744_2322387425">
            <w:r>
              <w:rPr>
                <w:webHidden/>
                <w:rStyle w:val="IndexLink"/>
                <w:rtl w:val="true"/>
              </w:rPr>
              <w:t>حرمة النظر إلی عورة المیّت</w:t>
            </w:r>
            <w:r>
              <w:rPr>
                <w:rStyle w:val="IndexLink"/>
                <w:rtl w:val="true"/>
              </w:rPr>
              <w:tab/>
            </w:r>
            <w:r>
              <w:rPr>
                <w:rStyle w:val="IndexLink"/>
              </w:rPr>
              <w:t>136</w:t>
            </w:r>
          </w:hyperlink>
        </w:p>
        <w:p>
          <w:pPr>
            <w:pStyle w:val="Contents3"/>
            <w:tabs>
              <w:tab w:val="clear" w:pos="8459"/>
              <w:tab w:val="right" w:pos="9026" w:leader="dot"/>
            </w:tabs>
            <w:rPr/>
          </w:pPr>
          <w:hyperlink w:anchor="__RefHeading___Toc1763746_2322387425">
            <w:r>
              <w:rPr>
                <w:webHidden/>
                <w:rStyle w:val="IndexLink"/>
                <w:rtl w:val="true"/>
              </w:rPr>
              <w:t>واجبات المیت التی یجوز النبش لأجل تدارکها</w:t>
            </w:r>
            <w:r>
              <w:rPr>
                <w:rStyle w:val="IndexLink"/>
                <w:rtl w:val="true"/>
              </w:rPr>
              <w:tab/>
            </w:r>
            <w:r>
              <w:rPr>
                <w:rStyle w:val="IndexLink"/>
              </w:rPr>
              <w:t>137</w:t>
            </w:r>
          </w:hyperlink>
        </w:p>
        <w:p>
          <w:pPr>
            <w:pStyle w:val="Contents3"/>
            <w:tabs>
              <w:tab w:val="clear" w:pos="8459"/>
              <w:tab w:val="right" w:pos="9026" w:leader="dot"/>
            </w:tabs>
            <w:rPr/>
          </w:pPr>
          <w:hyperlink w:anchor="__RefHeading___Toc1763748_2322387425">
            <w:r>
              <w:rPr>
                <w:webHidden/>
                <w:rStyle w:val="IndexLink"/>
                <w:rtl w:val="true"/>
              </w:rPr>
              <w:t>أخذ الأجرة علی تغسیل المیّت</w:t>
            </w:r>
            <w:r>
              <w:rPr>
                <w:rStyle w:val="IndexLink"/>
                <w:rtl w:val="true"/>
              </w:rPr>
              <w:tab/>
            </w:r>
            <w:r>
              <w:rPr>
                <w:rStyle w:val="IndexLink"/>
              </w:rPr>
              <w:t>139</w:t>
            </w:r>
          </w:hyperlink>
        </w:p>
        <w:p>
          <w:pPr>
            <w:pStyle w:val="Contents3"/>
            <w:tabs>
              <w:tab w:val="clear" w:pos="8459"/>
              <w:tab w:val="right" w:pos="9026" w:leader="dot"/>
            </w:tabs>
            <w:rPr/>
          </w:pPr>
          <w:hyperlink w:anchor="__RefHeading___Toc1763750_2322387425">
            <w:r>
              <w:rPr>
                <w:webHidden/>
                <w:rStyle w:val="IndexLink"/>
                <w:rtl w:val="true"/>
              </w:rPr>
              <w:t>استعمال المیسور من السدر والکافور عند تعذّره</w:t>
            </w:r>
            <w:r>
              <w:rPr>
                <w:rStyle w:val="IndexLink"/>
                <w:rtl w:val="true"/>
              </w:rPr>
              <w:tab/>
            </w:r>
            <w:r>
              <w:rPr>
                <w:rStyle w:val="IndexLink"/>
              </w:rPr>
              <w:t>142</w:t>
            </w:r>
          </w:hyperlink>
        </w:p>
        <w:p>
          <w:pPr>
            <w:pStyle w:val="Contents3"/>
            <w:tabs>
              <w:tab w:val="clear" w:pos="8459"/>
              <w:tab w:val="right" w:pos="9026" w:leader="dot"/>
            </w:tabs>
            <w:rPr/>
          </w:pPr>
          <w:hyperlink w:anchor="__RefHeading___Toc1763752_2322387425">
            <w:r>
              <w:rPr>
                <w:webHidden/>
                <w:rStyle w:val="IndexLink"/>
                <w:rtl w:val="true"/>
              </w:rPr>
              <w:t>تنجّس بدن المیّت بعد الغسل أو أثنائه</w:t>
            </w:r>
            <w:r>
              <w:rPr>
                <w:rStyle w:val="IndexLink"/>
                <w:rtl w:val="true"/>
              </w:rPr>
              <w:tab/>
            </w:r>
            <w:r>
              <w:rPr>
                <w:rStyle w:val="IndexLink"/>
              </w:rPr>
              <w:t>142</w:t>
            </w:r>
          </w:hyperlink>
        </w:p>
        <w:p>
          <w:pPr>
            <w:pStyle w:val="Contents3"/>
            <w:tabs>
              <w:tab w:val="clear" w:pos="8459"/>
              <w:tab w:val="right" w:pos="9026" w:leader="dot"/>
            </w:tabs>
            <w:rPr/>
          </w:pPr>
          <w:hyperlink w:anchor="__RefHeading___Toc1763754_2322387425">
            <w:r>
              <w:rPr>
                <w:webHidden/>
                <w:rStyle w:val="IndexLink"/>
                <w:rtl w:val="true"/>
              </w:rPr>
              <w:t>طهارة الآلات بعد کل غسل</w:t>
            </w:r>
            <w:r>
              <w:rPr>
                <w:rStyle w:val="IndexLink"/>
                <w:rtl w:val="true"/>
              </w:rPr>
              <w:tab/>
            </w:r>
            <w:r>
              <w:rPr>
                <w:rStyle w:val="IndexLink"/>
              </w:rPr>
              <w:t>143</w:t>
            </w:r>
          </w:hyperlink>
        </w:p>
        <w:p>
          <w:pPr>
            <w:pStyle w:val="Contents2"/>
            <w:tabs>
              <w:tab w:val="clear" w:pos="8743"/>
              <w:tab w:val="right" w:pos="9026" w:leader="dot"/>
            </w:tabs>
            <w:rPr/>
          </w:pPr>
          <w:hyperlink w:anchor="__RefHeading___Toc1763756_2322387425">
            <w:r>
              <w:rPr>
                <w:webHidden/>
                <w:rStyle w:val="IndexLink"/>
                <w:rtl w:val="true"/>
              </w:rPr>
              <w:t>فصل</w:t>
            </w:r>
            <w:r>
              <w:rPr>
                <w:rStyle w:val="IndexLink"/>
                <w:rtl w:val="true"/>
              </w:rPr>
              <w:t xml:space="preserve">: </w:t>
            </w:r>
            <w:r>
              <w:rPr>
                <w:rStyle w:val="IndexLink"/>
                <w:rtl w:val="true"/>
              </w:rPr>
              <w:t>فی آداب غسل المیّت</w:t>
            </w:r>
            <w:r>
              <w:rPr>
                <w:rStyle w:val="IndexLink"/>
                <w:rtl w:val="true"/>
              </w:rPr>
              <w:tab/>
            </w:r>
            <w:r>
              <w:rPr>
                <w:rStyle w:val="IndexLink"/>
              </w:rPr>
              <w:t>144</w:t>
            </w:r>
          </w:hyperlink>
        </w:p>
        <w:p>
          <w:pPr>
            <w:pStyle w:val="Contents2"/>
            <w:tabs>
              <w:tab w:val="clear" w:pos="8743"/>
              <w:tab w:val="right" w:pos="9026" w:leader="dot"/>
            </w:tabs>
            <w:rPr/>
          </w:pPr>
          <w:hyperlink w:anchor="__RefHeading___Toc1763758_2322387425">
            <w:r>
              <w:rPr>
                <w:webHidden/>
                <w:rStyle w:val="IndexLink"/>
                <w:rtl w:val="true"/>
              </w:rPr>
              <w:t>فصل</w:t>
            </w:r>
            <w:r>
              <w:rPr>
                <w:rStyle w:val="IndexLink"/>
                <w:rtl w:val="true"/>
              </w:rPr>
              <w:t xml:space="preserve">: </w:t>
            </w:r>
            <w:r>
              <w:rPr>
                <w:rStyle w:val="IndexLink"/>
                <w:rtl w:val="true"/>
              </w:rPr>
              <w:t>فی مکروهات الغسل</w:t>
            </w:r>
            <w:r>
              <w:rPr>
                <w:rStyle w:val="IndexLink"/>
                <w:rtl w:val="true"/>
              </w:rPr>
              <w:tab/>
            </w:r>
            <w:r>
              <w:rPr>
                <w:rStyle w:val="IndexLink"/>
              </w:rPr>
              <w:t>150</w:t>
            </w:r>
          </w:hyperlink>
        </w:p>
        <w:p>
          <w:pPr>
            <w:pStyle w:val="Contents2"/>
            <w:tabs>
              <w:tab w:val="clear" w:pos="8743"/>
              <w:tab w:val="right" w:pos="9026" w:leader="dot"/>
            </w:tabs>
            <w:rPr/>
          </w:pPr>
          <w:hyperlink w:anchor="__RefHeading___Toc1763760_2322387425">
            <w:r>
              <w:rPr>
                <w:webHidden/>
                <w:rStyle w:val="IndexLink"/>
                <w:rtl w:val="true"/>
              </w:rPr>
              <w:t>فصل</w:t>
            </w:r>
            <w:r>
              <w:rPr>
                <w:rStyle w:val="IndexLink"/>
                <w:rtl w:val="true"/>
              </w:rPr>
              <w:t xml:space="preserve">: </w:t>
            </w:r>
            <w:r>
              <w:rPr>
                <w:rStyle w:val="IndexLink"/>
                <w:rtl w:val="true"/>
              </w:rPr>
              <w:t>فی تکفین المیّت</w:t>
            </w:r>
            <w:r>
              <w:rPr>
                <w:rStyle w:val="IndexLink"/>
                <w:rtl w:val="true"/>
              </w:rPr>
              <w:tab/>
            </w:r>
            <w:r>
              <w:rPr>
                <w:rStyle w:val="IndexLink"/>
              </w:rPr>
              <w:t>153</w:t>
            </w:r>
          </w:hyperlink>
        </w:p>
        <w:p>
          <w:pPr>
            <w:pStyle w:val="Contents3"/>
            <w:tabs>
              <w:tab w:val="clear" w:pos="8459"/>
              <w:tab w:val="right" w:pos="9026" w:leader="dot"/>
            </w:tabs>
            <w:rPr/>
          </w:pPr>
          <w:hyperlink w:anchor="__RefHeading___Toc1763762_2322387425">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763764_2322387425">
            <w:r>
              <w:rPr>
                <w:webHidden/>
                <w:rStyle w:val="IndexLink"/>
                <w:rtl w:val="true"/>
              </w:rPr>
              <w:t>وجوب التکفین بالأثواب الثلاثة</w:t>
            </w:r>
            <w:r>
              <w:rPr>
                <w:rStyle w:val="IndexLink"/>
                <w:rtl w:val="true"/>
              </w:rPr>
              <w:t xml:space="preserve">: </w:t>
            </w:r>
            <w:r>
              <w:rPr>
                <w:rStyle w:val="IndexLink"/>
                <w:rtl w:val="true"/>
              </w:rPr>
              <w:t>المئزروالقمیص والإزار</w:t>
            </w:r>
            <w:r>
              <w:rPr>
                <w:rStyle w:val="IndexLink"/>
                <w:rtl w:val="true"/>
              </w:rPr>
              <w:tab/>
            </w:r>
            <w:r>
              <w:rPr>
                <w:rStyle w:val="IndexLink"/>
              </w:rPr>
              <w:t>153</w:t>
            </w:r>
          </w:hyperlink>
        </w:p>
        <w:p>
          <w:pPr>
            <w:pStyle w:val="Contents3"/>
            <w:tabs>
              <w:tab w:val="clear" w:pos="8459"/>
              <w:tab w:val="right" w:pos="9026" w:leader="dot"/>
            </w:tabs>
            <w:rPr/>
          </w:pPr>
          <w:hyperlink w:anchor="__RefHeading___Toc1763766_2322387425">
            <w:r>
              <w:rPr>
                <w:webHidden/>
                <w:rStyle w:val="IndexLink"/>
                <w:rtl w:val="true"/>
              </w:rPr>
              <w:t>حکم تعذّر بعض أثواب الکفن</w:t>
            </w:r>
            <w:r>
              <w:rPr>
                <w:rStyle w:val="IndexLink"/>
                <w:rtl w:val="true"/>
              </w:rPr>
              <w:tab/>
            </w:r>
            <w:r>
              <w:rPr>
                <w:rStyle w:val="IndexLink"/>
              </w:rPr>
              <w:t>155</w:t>
            </w:r>
          </w:hyperlink>
        </w:p>
        <w:p>
          <w:pPr>
            <w:pStyle w:val="Contents3"/>
            <w:tabs>
              <w:tab w:val="clear" w:pos="8459"/>
              <w:tab w:val="right" w:pos="9026" w:leader="dot"/>
            </w:tabs>
            <w:rPr/>
          </w:pPr>
          <w:hyperlink w:anchor="__RefHeading___Toc1763768_2322387425">
            <w:r>
              <w:rPr>
                <w:webHidden/>
                <w:rStyle w:val="IndexLink"/>
                <w:rtl w:val="true"/>
              </w:rPr>
              <w:t>نیّة التکفین</w:t>
            </w:r>
            <w:r>
              <w:rPr>
                <w:rStyle w:val="IndexLink"/>
                <w:rtl w:val="true"/>
              </w:rPr>
              <w:tab/>
            </w:r>
            <w:r>
              <w:rPr>
                <w:rStyle w:val="IndexLink"/>
              </w:rPr>
              <w:t>156</w:t>
            </w:r>
          </w:hyperlink>
        </w:p>
        <w:p>
          <w:pPr>
            <w:pStyle w:val="Contents3"/>
            <w:tabs>
              <w:tab w:val="clear" w:pos="8459"/>
              <w:tab w:val="right" w:pos="9026" w:leader="dot"/>
            </w:tabs>
            <w:rPr/>
          </w:pPr>
          <w:hyperlink w:anchor="__RefHeading___Toc1763770_2322387425">
            <w:r>
              <w:rPr>
                <w:webHidden/>
                <w:rStyle w:val="IndexLink"/>
                <w:rtl w:val="true"/>
              </w:rPr>
              <w:t>اعتبار حصول الستر بتمام الأثواب أو بکلّ واحدٍ منها</w:t>
            </w:r>
            <w:r>
              <w:rPr>
                <w:rStyle w:val="IndexLink"/>
                <w:rtl w:val="true"/>
              </w:rPr>
              <w:tab/>
            </w:r>
            <w:r>
              <w:rPr>
                <w:rStyle w:val="IndexLink"/>
              </w:rPr>
              <w:t>156</w:t>
            </w:r>
          </w:hyperlink>
        </w:p>
        <w:p>
          <w:pPr>
            <w:pStyle w:val="Contents3"/>
            <w:tabs>
              <w:tab w:val="clear" w:pos="8459"/>
              <w:tab w:val="right" w:pos="9026" w:leader="dot"/>
            </w:tabs>
            <w:rPr/>
          </w:pPr>
          <w:hyperlink w:anchor="__RefHeading___Toc1763772_2322387425">
            <w:r>
              <w:rPr>
                <w:webHidden/>
                <w:rStyle w:val="IndexLink"/>
                <w:rtl w:val="true"/>
              </w:rPr>
              <w:t>التکفین بجلد المیتة أو بالمغصوب اضطراراً</w:t>
            </w:r>
            <w:r>
              <w:rPr>
                <w:rStyle w:val="IndexLink"/>
                <w:rtl w:val="true"/>
              </w:rPr>
              <w:tab/>
            </w:r>
            <w:r>
              <w:rPr>
                <w:rStyle w:val="IndexLink"/>
              </w:rPr>
              <w:t>157</w:t>
            </w:r>
          </w:hyperlink>
        </w:p>
        <w:p>
          <w:pPr>
            <w:pStyle w:val="Contents3"/>
            <w:tabs>
              <w:tab w:val="clear" w:pos="8459"/>
              <w:tab w:val="right" w:pos="9026" w:leader="dot"/>
            </w:tabs>
            <w:rPr/>
          </w:pPr>
          <w:hyperlink w:anchor="__RefHeading___Toc1763774_2322387425">
            <w:r>
              <w:rPr>
                <w:webHidden/>
                <w:rStyle w:val="IndexLink"/>
                <w:rtl w:val="true"/>
              </w:rPr>
              <w:t>ما لا یجوز التکفین به اختیاراً</w:t>
            </w:r>
            <w:r>
              <w:rPr>
                <w:rStyle w:val="IndexLink"/>
                <w:rtl w:val="true"/>
              </w:rPr>
              <w:tab/>
            </w:r>
            <w:r>
              <w:rPr>
                <w:rStyle w:val="IndexLink"/>
              </w:rPr>
              <w:t>158</w:t>
            </w:r>
          </w:hyperlink>
        </w:p>
        <w:p>
          <w:pPr>
            <w:pStyle w:val="Contents3"/>
            <w:tabs>
              <w:tab w:val="clear" w:pos="8459"/>
              <w:tab w:val="right" w:pos="9026" w:leader="dot"/>
            </w:tabs>
            <w:rPr/>
          </w:pPr>
          <w:hyperlink w:anchor="__RefHeading___Toc1763776_2322387425">
            <w:r>
              <w:rPr>
                <w:webHidden/>
                <w:rStyle w:val="IndexLink"/>
                <w:rtl w:val="true"/>
              </w:rPr>
              <w:t>صور الدوران بین أفراد ما لا یجوز التکفین به اختیاراً</w:t>
            </w:r>
            <w:r>
              <w:rPr>
                <w:rStyle w:val="IndexLink"/>
                <w:rtl w:val="true"/>
              </w:rPr>
              <w:tab/>
            </w:r>
            <w:r>
              <w:rPr>
                <w:rStyle w:val="IndexLink"/>
              </w:rPr>
              <w:t>160</w:t>
            </w:r>
          </w:hyperlink>
        </w:p>
        <w:p>
          <w:pPr>
            <w:pStyle w:val="Contents3"/>
            <w:tabs>
              <w:tab w:val="clear" w:pos="8459"/>
              <w:tab w:val="right" w:pos="9026" w:leader="dot"/>
            </w:tabs>
            <w:rPr/>
          </w:pPr>
          <w:hyperlink w:anchor="__RefHeading___Toc1763778_2322387425">
            <w:r>
              <w:rPr>
                <w:webHidden/>
                <w:rStyle w:val="IndexLink"/>
                <w:rtl w:val="true"/>
              </w:rPr>
              <w:t>حکم التکفین بالحریر غیر الخالص</w:t>
            </w:r>
            <w:r>
              <w:rPr>
                <w:rStyle w:val="IndexLink"/>
                <w:rtl w:val="true"/>
              </w:rPr>
              <w:tab/>
            </w:r>
            <w:r>
              <w:rPr>
                <w:rStyle w:val="IndexLink"/>
              </w:rPr>
              <w:t>165</w:t>
            </w:r>
          </w:hyperlink>
        </w:p>
        <w:p>
          <w:pPr>
            <w:pStyle w:val="Contents3"/>
            <w:tabs>
              <w:tab w:val="clear" w:pos="8459"/>
              <w:tab w:val="right" w:pos="9026" w:leader="dot"/>
            </w:tabs>
            <w:rPr/>
          </w:pPr>
          <w:hyperlink w:anchor="__RefHeading___Toc1763780_2322387425">
            <w:r>
              <w:rPr>
                <w:webHidden/>
                <w:rStyle w:val="IndexLink"/>
                <w:rtl w:val="true"/>
              </w:rPr>
              <w:t>یلزم إزالة ما لو تنجّس من الکفن بغسله أو بقرضه</w:t>
            </w:r>
            <w:r>
              <w:rPr>
                <w:rStyle w:val="IndexLink"/>
                <w:rtl w:val="true"/>
              </w:rPr>
              <w:tab/>
            </w:r>
            <w:r>
              <w:rPr>
                <w:rStyle w:val="IndexLink"/>
              </w:rPr>
              <w:t>165</w:t>
            </w:r>
          </w:hyperlink>
        </w:p>
        <w:p>
          <w:pPr>
            <w:pStyle w:val="Contents3"/>
            <w:tabs>
              <w:tab w:val="clear" w:pos="8459"/>
              <w:tab w:val="right" w:pos="9026" w:leader="dot"/>
            </w:tabs>
            <w:rPr/>
          </w:pPr>
          <w:hyperlink w:anchor="__RefHeading___Toc1763782_2322387425">
            <w:r>
              <w:rPr>
                <w:webHidden/>
                <w:rStyle w:val="IndexLink"/>
                <w:rtl w:val="true"/>
              </w:rPr>
              <w:t>حکم تجهیز الزوجة وشرائطه</w:t>
            </w:r>
            <w:r>
              <w:rPr>
                <w:rStyle w:val="IndexLink"/>
                <w:rtl w:val="true"/>
              </w:rPr>
              <w:tab/>
            </w:r>
            <w:r>
              <w:rPr>
                <w:rStyle w:val="IndexLink"/>
              </w:rPr>
              <w:t>166</w:t>
            </w:r>
          </w:hyperlink>
        </w:p>
        <w:p>
          <w:pPr>
            <w:pStyle w:val="Contents3"/>
            <w:tabs>
              <w:tab w:val="clear" w:pos="8459"/>
              <w:tab w:val="right" w:pos="9026" w:leader="dot"/>
            </w:tabs>
            <w:rPr/>
          </w:pPr>
          <w:hyperlink w:anchor="__RefHeading___Toc1763784_2322387425">
            <w:r>
              <w:rPr>
                <w:webHidden/>
                <w:rStyle w:val="IndexLink"/>
                <w:rtl w:val="true"/>
              </w:rPr>
              <w:t>تجهیز غیر الزوجة من واجبی النفقة</w:t>
            </w:r>
            <w:r>
              <w:rPr>
                <w:rStyle w:val="IndexLink"/>
                <w:rtl w:val="true"/>
              </w:rPr>
              <w:tab/>
            </w:r>
            <w:r>
              <w:rPr>
                <w:rStyle w:val="IndexLink"/>
              </w:rPr>
              <w:t>174</w:t>
            </w:r>
          </w:hyperlink>
        </w:p>
        <w:p>
          <w:pPr>
            <w:pStyle w:val="Contents3"/>
            <w:tabs>
              <w:tab w:val="clear" w:pos="8459"/>
              <w:tab w:val="right" w:pos="9026" w:leader="dot"/>
            </w:tabs>
            <w:rPr/>
          </w:pPr>
          <w:hyperlink w:anchor="__RefHeading___Toc1763786_2322387425">
            <w:r>
              <w:rPr>
                <w:webHidden/>
                <w:rStyle w:val="IndexLink"/>
                <w:rtl w:val="true"/>
              </w:rPr>
              <w:t>القول فی مالکیة الکفن</w:t>
            </w:r>
            <w:r>
              <w:rPr>
                <w:rStyle w:val="IndexLink"/>
                <w:rtl w:val="true"/>
              </w:rPr>
              <w:tab/>
            </w:r>
            <w:r>
              <w:rPr>
                <w:rStyle w:val="IndexLink"/>
              </w:rPr>
              <w:t>175</w:t>
            </w:r>
          </w:hyperlink>
        </w:p>
        <w:p>
          <w:pPr>
            <w:pStyle w:val="Contents3"/>
            <w:tabs>
              <w:tab w:val="clear" w:pos="8459"/>
              <w:tab w:val="right" w:pos="9026" w:leader="dot"/>
            </w:tabs>
            <w:rPr/>
          </w:pPr>
          <w:hyperlink w:anchor="__RefHeading___Toc1763788_2322387425">
            <w:r>
              <w:rPr>
                <w:webHidden/>
                <w:rStyle w:val="IndexLink"/>
                <w:rtl w:val="true"/>
              </w:rPr>
              <w:t>فروع فی التجهیز</w:t>
            </w:r>
            <w:r>
              <w:rPr>
                <w:rStyle w:val="IndexLink"/>
                <w:rtl w:val="true"/>
              </w:rPr>
              <w:tab/>
            </w:r>
            <w:r>
              <w:rPr>
                <w:rStyle w:val="IndexLink"/>
              </w:rPr>
              <w:t>177</w:t>
            </w:r>
          </w:hyperlink>
        </w:p>
        <w:p>
          <w:pPr>
            <w:pStyle w:val="Contents3"/>
            <w:tabs>
              <w:tab w:val="clear" w:pos="8459"/>
              <w:tab w:val="right" w:pos="9026" w:leader="dot"/>
            </w:tabs>
            <w:rPr/>
          </w:pPr>
          <w:hyperlink w:anchor="__RefHeading___Toc1763790_2322387425">
            <w:r>
              <w:rPr>
                <w:webHidden/>
                <w:rStyle w:val="IndexLink"/>
                <w:rtl w:val="true"/>
              </w:rPr>
              <w:t>خروج مؤنة التجهیز من الترکة</w:t>
            </w:r>
            <w:r>
              <w:rPr>
                <w:rStyle w:val="IndexLink"/>
                <w:rtl w:val="true"/>
              </w:rPr>
              <w:tab/>
            </w:r>
            <w:r>
              <w:rPr>
                <w:rStyle w:val="IndexLink"/>
              </w:rPr>
              <w:t>180</w:t>
            </w:r>
          </w:hyperlink>
        </w:p>
        <w:p>
          <w:pPr>
            <w:pStyle w:val="Contents3"/>
            <w:tabs>
              <w:tab w:val="clear" w:pos="8459"/>
              <w:tab w:val="right" w:pos="9026" w:leader="dot"/>
            </w:tabs>
            <w:rPr/>
          </w:pPr>
          <w:hyperlink w:anchor="__RefHeading___Toc1763792_2322387425">
            <w:r>
              <w:rPr>
                <w:webHidden/>
                <w:rStyle w:val="IndexLink"/>
                <w:rtl w:val="true"/>
              </w:rPr>
              <w:t>حکم الزائد عن الواجب فی التجهیز</w:t>
            </w:r>
            <w:r>
              <w:rPr>
                <w:rStyle w:val="IndexLink"/>
                <w:rtl w:val="true"/>
              </w:rPr>
              <w:tab/>
            </w:r>
            <w:r>
              <w:rPr>
                <w:rStyle w:val="IndexLink"/>
              </w:rPr>
              <w:t>181</w:t>
            </w:r>
          </w:hyperlink>
        </w:p>
        <w:p>
          <w:pPr>
            <w:pStyle w:val="Contents3"/>
            <w:tabs>
              <w:tab w:val="clear" w:pos="8459"/>
              <w:tab w:val="right" w:pos="9026" w:leader="dot"/>
            </w:tabs>
            <w:rPr/>
          </w:pPr>
          <w:hyperlink w:anchor="__RefHeading___Toc1763794_2322387425">
            <w:r>
              <w:rPr>
                <w:webHidden/>
                <w:rStyle w:val="IndexLink"/>
                <w:rtl w:val="true"/>
              </w:rPr>
              <w:t>هل یقدّم الکفن علی الحقوق المتعلّقة بالترکة کحق الرهن؟</w:t>
            </w:r>
            <w:r>
              <w:rPr>
                <w:rStyle w:val="IndexLink"/>
                <w:rtl w:val="true"/>
              </w:rPr>
              <w:tab/>
            </w:r>
            <w:r>
              <w:rPr>
                <w:rStyle w:val="IndexLink"/>
              </w:rPr>
              <w:t>183</w:t>
            </w:r>
          </w:hyperlink>
        </w:p>
        <w:p>
          <w:pPr>
            <w:pStyle w:val="Contents3"/>
            <w:tabs>
              <w:tab w:val="clear" w:pos="8459"/>
              <w:tab w:val="right" w:pos="9026" w:leader="dot"/>
            </w:tabs>
            <w:rPr/>
          </w:pPr>
          <w:hyperlink w:anchor="__RefHeading___Toc1763796_2322387425">
            <w:r>
              <w:rPr>
                <w:webHidden/>
                <w:rStyle w:val="IndexLink"/>
                <w:rtl w:val="true"/>
              </w:rPr>
              <w:t>هل یجب علی المسلمین بذل الکفن؟</w:t>
            </w:r>
            <w:r>
              <w:rPr>
                <w:rStyle w:val="IndexLink"/>
                <w:rtl w:val="true"/>
              </w:rPr>
              <w:tab/>
            </w:r>
            <w:r>
              <w:rPr>
                <w:rStyle w:val="IndexLink"/>
              </w:rPr>
              <w:t>186</w:t>
            </w:r>
          </w:hyperlink>
        </w:p>
        <w:p>
          <w:pPr>
            <w:pStyle w:val="Contents3"/>
            <w:tabs>
              <w:tab w:val="clear" w:pos="8459"/>
              <w:tab w:val="right" w:pos="9026" w:leader="dot"/>
            </w:tabs>
            <w:rPr/>
          </w:pPr>
          <w:hyperlink w:anchor="__RefHeading___Toc1763798_2322387425">
            <w:r>
              <w:rPr>
                <w:webHidden/>
                <w:rStyle w:val="IndexLink"/>
                <w:rtl w:val="true"/>
              </w:rPr>
              <w:t>تکفین المحرم کغیره</w:t>
            </w:r>
            <w:r>
              <w:rPr>
                <w:rStyle w:val="IndexLink"/>
                <w:rtl w:val="true"/>
              </w:rPr>
              <w:tab/>
            </w:r>
            <w:r>
              <w:rPr>
                <w:rStyle w:val="IndexLink"/>
              </w:rPr>
              <w:t>187</w:t>
            </w:r>
          </w:hyperlink>
        </w:p>
        <w:p>
          <w:pPr>
            <w:pStyle w:val="Contents2"/>
            <w:tabs>
              <w:tab w:val="clear" w:pos="8743"/>
              <w:tab w:val="right" w:pos="9026" w:leader="dot"/>
            </w:tabs>
            <w:rPr/>
          </w:pPr>
          <w:hyperlink w:anchor="__RefHeading___Toc1763800_2322387425">
            <w:r>
              <w:rPr>
                <w:webHidden/>
                <w:rStyle w:val="IndexLink"/>
                <w:rtl w:val="true"/>
              </w:rPr>
              <w:t>فصل</w:t>
            </w:r>
            <w:r>
              <w:rPr>
                <w:rStyle w:val="IndexLink"/>
                <w:rtl w:val="true"/>
              </w:rPr>
              <w:t xml:space="preserve">: </w:t>
            </w:r>
            <w:r>
              <w:rPr>
                <w:rStyle w:val="IndexLink"/>
                <w:rtl w:val="true"/>
              </w:rPr>
              <w:t>فی مستحبّات الکفن</w:t>
            </w:r>
            <w:r>
              <w:rPr>
                <w:rStyle w:val="IndexLink"/>
                <w:rtl w:val="true"/>
              </w:rPr>
              <w:tab/>
            </w:r>
            <w:r>
              <w:rPr>
                <w:rStyle w:val="IndexLink"/>
              </w:rPr>
              <w:t>188</w:t>
            </w:r>
          </w:hyperlink>
        </w:p>
        <w:p>
          <w:pPr>
            <w:pStyle w:val="Contents2"/>
            <w:tabs>
              <w:tab w:val="clear" w:pos="8743"/>
              <w:tab w:val="right" w:pos="9026" w:leader="dot"/>
            </w:tabs>
            <w:rPr/>
          </w:pPr>
          <w:hyperlink w:anchor="__RefHeading___Toc1763802_2322387425">
            <w:r>
              <w:rPr>
                <w:webHidden/>
                <w:rStyle w:val="IndexLink"/>
                <w:rtl w:val="true"/>
              </w:rPr>
              <w:t>فصل</w:t>
            </w:r>
            <w:r>
              <w:rPr>
                <w:rStyle w:val="IndexLink"/>
                <w:rtl w:val="true"/>
              </w:rPr>
              <w:t xml:space="preserve">: </w:t>
            </w:r>
            <w:r>
              <w:rPr>
                <w:rStyle w:val="IndexLink"/>
                <w:rtl w:val="true"/>
              </w:rPr>
              <w:t>فی بقیة المستحبّات</w:t>
            </w:r>
            <w:r>
              <w:rPr>
                <w:rStyle w:val="IndexLink"/>
                <w:rtl w:val="true"/>
              </w:rPr>
              <w:tab/>
            </w:r>
            <w:r>
              <w:rPr>
                <w:rStyle w:val="IndexLink"/>
              </w:rPr>
              <w:t>190</w:t>
            </w:r>
          </w:hyperlink>
        </w:p>
        <w:p>
          <w:pPr>
            <w:pStyle w:val="Contents2"/>
            <w:tabs>
              <w:tab w:val="clear" w:pos="8743"/>
              <w:tab w:val="right" w:pos="9026" w:leader="dot"/>
            </w:tabs>
            <w:rPr/>
          </w:pPr>
          <w:hyperlink w:anchor="__RefHeading___Toc1763804_2322387425">
            <w:r>
              <w:rPr>
                <w:webHidden/>
                <w:rStyle w:val="IndexLink"/>
                <w:rtl w:val="true"/>
              </w:rPr>
              <w:t>فصل</w:t>
            </w:r>
            <w:r>
              <w:rPr>
                <w:rStyle w:val="IndexLink"/>
                <w:rtl w:val="true"/>
              </w:rPr>
              <w:t xml:space="preserve">: </w:t>
            </w:r>
            <w:r>
              <w:rPr>
                <w:rStyle w:val="IndexLink"/>
                <w:rtl w:val="true"/>
              </w:rPr>
              <w:t>فی مکروهات الکفن</w:t>
            </w:r>
            <w:r>
              <w:rPr>
                <w:rStyle w:val="IndexLink"/>
                <w:rtl w:val="true"/>
              </w:rPr>
              <w:tab/>
            </w:r>
            <w:r>
              <w:rPr>
                <w:rStyle w:val="IndexLink"/>
              </w:rPr>
              <w:t>196</w:t>
            </w:r>
          </w:hyperlink>
        </w:p>
        <w:p>
          <w:pPr>
            <w:pStyle w:val="Contents2"/>
            <w:tabs>
              <w:tab w:val="clear" w:pos="8743"/>
              <w:tab w:val="right" w:pos="9026" w:leader="dot"/>
            </w:tabs>
            <w:rPr/>
          </w:pPr>
          <w:hyperlink w:anchor="__RefHeading___Toc1763806_2322387425">
            <w:r>
              <w:rPr>
                <w:webHidden/>
                <w:rStyle w:val="IndexLink"/>
                <w:rtl w:val="true"/>
              </w:rPr>
              <w:t>فصل</w:t>
            </w:r>
            <w:r>
              <w:rPr>
                <w:rStyle w:val="IndexLink"/>
                <w:rtl w:val="true"/>
              </w:rPr>
              <w:t xml:space="preserve">: </w:t>
            </w:r>
            <w:r>
              <w:rPr>
                <w:rStyle w:val="IndexLink"/>
                <w:rtl w:val="true"/>
              </w:rPr>
              <w:t>فی الحنوط</w:t>
            </w:r>
            <w:r>
              <w:rPr>
                <w:rStyle w:val="IndexLink"/>
                <w:rtl w:val="true"/>
              </w:rPr>
              <w:tab/>
            </w:r>
            <w:r>
              <w:rPr>
                <w:rStyle w:val="IndexLink"/>
              </w:rPr>
              <w:t>198</w:t>
            </w:r>
          </w:hyperlink>
        </w:p>
        <w:p>
          <w:pPr>
            <w:pStyle w:val="Contents3"/>
            <w:tabs>
              <w:tab w:val="clear" w:pos="8459"/>
              <w:tab w:val="right" w:pos="9026" w:leader="dot"/>
            </w:tabs>
            <w:rPr/>
          </w:pPr>
          <w:hyperlink w:anchor="__RefHeading___Toc1763808_2322387425">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763810_2322387425">
            <w:r>
              <w:rPr>
                <w:webHidden/>
                <w:rStyle w:val="IndexLink"/>
                <w:rtl w:val="true"/>
              </w:rPr>
              <w:t>تحنیط المساجد السبعة بالکافور</w:t>
            </w:r>
            <w:r>
              <w:rPr>
                <w:rStyle w:val="IndexLink"/>
                <w:rtl w:val="true"/>
              </w:rPr>
              <w:tab/>
            </w:r>
            <w:r>
              <w:rPr>
                <w:rStyle w:val="IndexLink"/>
              </w:rPr>
              <w:t>198</w:t>
            </w:r>
          </w:hyperlink>
        </w:p>
        <w:p>
          <w:pPr>
            <w:pStyle w:val="Contents3"/>
            <w:tabs>
              <w:tab w:val="clear" w:pos="8459"/>
              <w:tab w:val="right" w:pos="9026" w:leader="dot"/>
            </w:tabs>
            <w:rPr/>
          </w:pPr>
          <w:hyperlink w:anchor="__RefHeading___Toc1763812_2322387425">
            <w:r>
              <w:rPr>
                <w:webHidden/>
                <w:rStyle w:val="IndexLink"/>
                <w:rtl w:val="true"/>
              </w:rPr>
              <w:t>ما یستحب مسحه بالکافور من أعضاء المیّت</w:t>
            </w:r>
            <w:r>
              <w:rPr>
                <w:rStyle w:val="IndexLink"/>
                <w:rtl w:val="true"/>
              </w:rPr>
              <w:tab/>
            </w:r>
            <w:r>
              <w:rPr>
                <w:rStyle w:val="IndexLink"/>
              </w:rPr>
              <w:t>199</w:t>
            </w:r>
          </w:hyperlink>
        </w:p>
        <w:p>
          <w:pPr>
            <w:pStyle w:val="Contents3"/>
            <w:tabs>
              <w:tab w:val="clear" w:pos="8459"/>
              <w:tab w:val="right" w:pos="9026" w:leader="dot"/>
            </w:tabs>
            <w:rPr/>
          </w:pPr>
          <w:hyperlink w:anchor="__RefHeading___Toc1763814_2322387425">
            <w:r>
              <w:rPr>
                <w:webHidden/>
                <w:rStyle w:val="IndexLink"/>
                <w:rtl w:val="true"/>
              </w:rPr>
              <w:t>محلّ التحنیط</w:t>
            </w:r>
            <w:r>
              <w:rPr>
                <w:rStyle w:val="IndexLink"/>
                <w:rtl w:val="true"/>
              </w:rPr>
              <w:tab/>
            </w:r>
            <w:r>
              <w:rPr>
                <w:rStyle w:val="IndexLink"/>
              </w:rPr>
              <w:t>200</w:t>
            </w:r>
          </w:hyperlink>
        </w:p>
        <w:p>
          <w:pPr>
            <w:pStyle w:val="Contents4"/>
            <w:tabs>
              <w:tab w:val="clear" w:pos="8176"/>
              <w:tab w:val="right" w:pos="9026" w:leader="dot"/>
            </w:tabs>
            <w:rPr/>
          </w:pPr>
          <w:hyperlink w:anchor="__RefHeading___Toc1763816_2322387425">
            <w:r>
              <w:rPr>
                <w:webHidden/>
                <w:rStyle w:val="IndexLink"/>
                <w:rtl w:val="true"/>
              </w:rPr>
              <w:t>شروط الکافور</w:t>
            </w:r>
            <w:r>
              <w:rPr>
                <w:rStyle w:val="IndexLink"/>
                <w:rtl w:val="true"/>
              </w:rPr>
              <w:tab/>
            </w:r>
            <w:r>
              <w:rPr>
                <w:rStyle w:val="IndexLink"/>
              </w:rPr>
              <w:t>200</w:t>
            </w:r>
          </w:hyperlink>
        </w:p>
        <w:p>
          <w:pPr>
            <w:pStyle w:val="Contents3"/>
            <w:tabs>
              <w:tab w:val="clear" w:pos="8459"/>
              <w:tab w:val="right" w:pos="9026" w:leader="dot"/>
            </w:tabs>
            <w:rPr/>
          </w:pPr>
          <w:hyperlink w:anchor="__RefHeading___Toc1763818_2322387425">
            <w:r>
              <w:rPr>
                <w:webHidden/>
                <w:rStyle w:val="IndexLink"/>
                <w:rtl w:val="true"/>
              </w:rPr>
              <w:t>یجب تحنیط کل میّت ماعدا المحرم</w:t>
            </w:r>
            <w:r>
              <w:rPr>
                <w:rStyle w:val="IndexLink"/>
                <w:rtl w:val="true"/>
              </w:rPr>
              <w:tab/>
            </w:r>
            <w:r>
              <w:rPr>
                <w:rStyle w:val="IndexLink"/>
              </w:rPr>
              <w:t>201</w:t>
            </w:r>
          </w:hyperlink>
        </w:p>
        <w:p>
          <w:pPr>
            <w:pStyle w:val="Contents3"/>
            <w:tabs>
              <w:tab w:val="clear" w:pos="8459"/>
              <w:tab w:val="right" w:pos="9026" w:leader="dot"/>
            </w:tabs>
            <w:rPr/>
          </w:pPr>
          <w:hyperlink w:anchor="__RefHeading___Toc1763820_2322387425">
            <w:r>
              <w:rPr>
                <w:webHidden/>
                <w:rStyle w:val="IndexLink"/>
                <w:rtl w:val="true"/>
              </w:rPr>
              <w:t>نیّة التحنیط</w:t>
            </w:r>
            <w:r>
              <w:rPr>
                <w:rStyle w:val="IndexLink"/>
                <w:rtl w:val="true"/>
              </w:rPr>
              <w:tab/>
            </w:r>
            <w:r>
              <w:rPr>
                <w:rStyle w:val="IndexLink"/>
              </w:rPr>
              <w:t>202</w:t>
            </w:r>
          </w:hyperlink>
        </w:p>
        <w:p>
          <w:pPr>
            <w:pStyle w:val="Contents3"/>
            <w:tabs>
              <w:tab w:val="clear" w:pos="8459"/>
              <w:tab w:val="right" w:pos="9026" w:leader="dot"/>
            </w:tabs>
            <w:rPr/>
          </w:pPr>
          <w:hyperlink w:anchor="__RefHeading___Toc1763822_2322387425">
            <w:r>
              <w:rPr>
                <w:webHidden/>
                <w:rStyle w:val="IndexLink"/>
                <w:rtl w:val="true"/>
              </w:rPr>
              <w:t>مقدار الحنوط الواجب والمستحب</w:t>
            </w:r>
            <w:r>
              <w:rPr>
                <w:rStyle w:val="IndexLink"/>
                <w:rtl w:val="true"/>
              </w:rPr>
              <w:tab/>
            </w:r>
            <w:r>
              <w:rPr>
                <w:rStyle w:val="IndexLink"/>
              </w:rPr>
              <w:t>202</w:t>
            </w:r>
          </w:hyperlink>
        </w:p>
        <w:p>
          <w:pPr>
            <w:pStyle w:val="Contents3"/>
            <w:tabs>
              <w:tab w:val="clear" w:pos="8459"/>
              <w:tab w:val="right" w:pos="9026" w:leader="dot"/>
            </w:tabs>
            <w:rPr/>
          </w:pPr>
          <w:hyperlink w:anchor="__RefHeading___Toc1763824_2322387425">
            <w:r>
              <w:rPr>
                <w:webHidden/>
                <w:rStyle w:val="IndexLink"/>
                <w:rtl w:val="true"/>
              </w:rPr>
              <w:t>سقوط الحنوط بتعذّر الکافور</w:t>
            </w:r>
            <w:r>
              <w:rPr>
                <w:rStyle w:val="IndexLink"/>
                <w:rtl w:val="true"/>
              </w:rPr>
              <w:tab/>
            </w:r>
            <w:r>
              <w:rPr>
                <w:rStyle w:val="IndexLink"/>
              </w:rPr>
              <w:t>205</w:t>
            </w:r>
          </w:hyperlink>
        </w:p>
        <w:p>
          <w:pPr>
            <w:pStyle w:val="Contents3"/>
            <w:tabs>
              <w:tab w:val="clear" w:pos="8459"/>
              <w:tab w:val="right" w:pos="9026" w:leader="dot"/>
            </w:tabs>
            <w:rPr/>
          </w:pPr>
          <w:hyperlink w:anchor="__RefHeading___Toc1763826_2322387425">
            <w:r>
              <w:rPr>
                <w:webHidden/>
                <w:rStyle w:val="IndexLink"/>
                <w:rtl w:val="true"/>
              </w:rPr>
              <w:t>فروع فی مکروهات التحنیط ومستحبّاته</w:t>
            </w:r>
            <w:r>
              <w:rPr>
                <w:rStyle w:val="IndexLink"/>
                <w:rtl w:val="true"/>
              </w:rPr>
              <w:tab/>
            </w:r>
            <w:r>
              <w:rPr>
                <w:rStyle w:val="IndexLink"/>
              </w:rPr>
              <w:t>205</w:t>
            </w:r>
          </w:hyperlink>
        </w:p>
        <w:p>
          <w:pPr>
            <w:pStyle w:val="Contents3"/>
            <w:tabs>
              <w:tab w:val="clear" w:pos="8459"/>
              <w:tab w:val="right" w:pos="9026" w:leader="dot"/>
            </w:tabs>
            <w:rPr/>
          </w:pPr>
          <w:hyperlink w:anchor="__RefHeading___Toc1763828_2322387425">
            <w:r>
              <w:rPr>
                <w:webHidden/>
                <w:rStyle w:val="IndexLink"/>
                <w:rtl w:val="true"/>
              </w:rPr>
              <w:t>تقدیم التغسیل بالکافور علی التحنیط فی مورد التزاحم</w:t>
            </w:r>
            <w:r>
              <w:rPr>
                <w:rStyle w:val="IndexLink"/>
                <w:rtl w:val="true"/>
              </w:rPr>
              <w:tab/>
            </w:r>
            <w:r>
              <w:rPr>
                <w:rStyle w:val="IndexLink"/>
              </w:rPr>
              <w:t>208</w:t>
            </w:r>
          </w:hyperlink>
        </w:p>
        <w:p>
          <w:pPr>
            <w:pStyle w:val="Contents4"/>
            <w:tabs>
              <w:tab w:val="clear" w:pos="8176"/>
              <w:tab w:val="right" w:pos="9026" w:leader="dot"/>
            </w:tabs>
            <w:rPr/>
          </w:pPr>
          <w:hyperlink w:anchor="__RefHeading___Toc1763830_2322387425">
            <w:r>
              <w:rPr>
                <w:webHidden/>
                <w:rStyle w:val="IndexLink"/>
                <w:rtl w:val="true"/>
              </w:rPr>
              <w:t>تقدیم الجبهة علی سائر المواضع فی التحنیط</w:t>
            </w:r>
            <w:r>
              <w:rPr>
                <w:rStyle w:val="IndexLink"/>
                <w:rtl w:val="true"/>
              </w:rPr>
              <w:tab/>
            </w:r>
            <w:r>
              <w:rPr>
                <w:rStyle w:val="IndexLink"/>
              </w:rPr>
              <w:t>208</w:t>
            </w:r>
          </w:hyperlink>
        </w:p>
        <w:p>
          <w:pPr>
            <w:pStyle w:val="Contents2"/>
            <w:tabs>
              <w:tab w:val="clear" w:pos="8743"/>
              <w:tab w:val="right" w:pos="9026" w:leader="dot"/>
            </w:tabs>
            <w:rPr/>
          </w:pPr>
          <w:hyperlink w:anchor="__RefHeading___Toc1763832_2322387425">
            <w:r>
              <w:rPr>
                <w:webHidden/>
                <w:rStyle w:val="IndexLink"/>
                <w:rtl w:val="true"/>
              </w:rPr>
              <w:t>فصل</w:t>
            </w:r>
            <w:r>
              <w:rPr>
                <w:rStyle w:val="IndexLink"/>
                <w:rtl w:val="true"/>
              </w:rPr>
              <w:t xml:space="preserve">: </w:t>
            </w:r>
            <w:r>
              <w:rPr>
                <w:rStyle w:val="IndexLink"/>
                <w:rtl w:val="true"/>
              </w:rPr>
              <w:t>فی الجریدتین</w:t>
            </w:r>
            <w:r>
              <w:rPr>
                <w:rStyle w:val="IndexLink"/>
                <w:rtl w:val="true"/>
              </w:rPr>
              <w:tab/>
            </w:r>
            <w:r>
              <w:rPr>
                <w:rStyle w:val="IndexLink"/>
              </w:rPr>
              <w:t>208</w:t>
            </w:r>
          </w:hyperlink>
        </w:p>
        <w:p>
          <w:pPr>
            <w:pStyle w:val="Contents3"/>
            <w:tabs>
              <w:tab w:val="clear" w:pos="8459"/>
              <w:tab w:val="right" w:pos="9026" w:leader="dot"/>
            </w:tabs>
            <w:rPr/>
          </w:pPr>
          <w:hyperlink w:anchor="__RefHeading___Toc1763834_2322387425">
            <w:r>
              <w:rPr>
                <w:webHidden/>
                <w:rStyle w:val="IndexLink"/>
                <w:rtl w:val="true"/>
              </w:rPr>
              <w:t>استحباب وضعهما مع کل میّت</w:t>
            </w:r>
            <w:r>
              <w:rPr>
                <w:rStyle w:val="IndexLink"/>
                <w:rtl w:val="true"/>
              </w:rPr>
              <w:tab/>
            </w:r>
            <w:r>
              <w:rPr>
                <w:rStyle w:val="IndexLink"/>
              </w:rPr>
              <w:t>208</w:t>
            </w:r>
          </w:hyperlink>
        </w:p>
        <w:p>
          <w:pPr>
            <w:pStyle w:val="Contents3"/>
            <w:tabs>
              <w:tab w:val="clear" w:pos="8459"/>
              <w:tab w:val="right" w:pos="9026" w:leader="dot"/>
            </w:tabs>
            <w:rPr/>
          </w:pPr>
          <w:hyperlink w:anchor="__RefHeading___Toc1763836_2322387425">
            <w:r>
              <w:rPr>
                <w:webHidden/>
                <w:rStyle w:val="IndexLink"/>
                <w:rtl w:val="true"/>
              </w:rPr>
              <w:t>أولویة جریدة النخل مع الإمکان</w:t>
            </w:r>
            <w:r>
              <w:rPr>
                <w:rStyle w:val="IndexLink"/>
                <w:rtl w:val="true"/>
              </w:rPr>
              <w:tab/>
            </w:r>
            <w:r>
              <w:rPr>
                <w:rStyle w:val="IndexLink"/>
              </w:rPr>
              <w:t>209</w:t>
            </w:r>
          </w:hyperlink>
        </w:p>
        <w:p>
          <w:pPr>
            <w:pStyle w:val="Contents3"/>
            <w:tabs>
              <w:tab w:val="clear" w:pos="8459"/>
              <w:tab w:val="right" w:pos="9026" w:leader="dot"/>
            </w:tabs>
            <w:rPr/>
          </w:pPr>
          <w:hyperlink w:anchor="__RefHeading___Toc1763838_2322387425">
            <w:r>
              <w:rPr>
                <w:webHidden/>
                <w:rStyle w:val="IndexLink"/>
                <w:rtl w:val="true"/>
              </w:rPr>
              <w:t>اعتبار الرطوبة فی الجریدة</w:t>
            </w:r>
            <w:r>
              <w:rPr>
                <w:rStyle w:val="IndexLink"/>
                <w:rtl w:val="true"/>
              </w:rPr>
              <w:tab/>
            </w:r>
            <w:r>
              <w:rPr>
                <w:rStyle w:val="IndexLink"/>
              </w:rPr>
              <w:t>209</w:t>
            </w:r>
          </w:hyperlink>
        </w:p>
        <w:p>
          <w:pPr>
            <w:pStyle w:val="Contents3"/>
            <w:tabs>
              <w:tab w:val="clear" w:pos="8459"/>
              <w:tab w:val="right" w:pos="9026" w:leader="dot"/>
            </w:tabs>
            <w:rPr/>
          </w:pPr>
          <w:hyperlink w:anchor="__RefHeading___Toc1763840_2322387425">
            <w:r>
              <w:rPr>
                <w:webHidden/>
                <w:rStyle w:val="IndexLink"/>
                <w:rtl w:val="true"/>
              </w:rPr>
              <w:t>بقیة مستحبات الجریدة</w:t>
            </w:r>
            <w:r>
              <w:rPr>
                <w:rStyle w:val="IndexLink"/>
                <w:rtl w:val="true"/>
              </w:rPr>
              <w:tab/>
            </w:r>
            <w:r>
              <w:rPr>
                <w:rStyle w:val="IndexLink"/>
              </w:rPr>
              <w:t>210</w:t>
            </w:r>
          </w:hyperlink>
        </w:p>
        <w:p>
          <w:pPr>
            <w:pStyle w:val="Contents3"/>
            <w:tabs>
              <w:tab w:val="clear" w:pos="8459"/>
              <w:tab w:val="right" w:pos="9026" w:leader="dot"/>
            </w:tabs>
            <w:rPr/>
          </w:pPr>
          <w:hyperlink w:anchor="__RefHeading___Toc1763842_2322387425">
            <w:r>
              <w:rPr>
                <w:webHidden/>
                <w:rStyle w:val="IndexLink"/>
                <w:rtl w:val="true"/>
              </w:rPr>
              <w:t>کیفیة وضع الجریدتین فی القبر</w:t>
            </w:r>
            <w:r>
              <w:rPr>
                <w:rStyle w:val="IndexLink"/>
                <w:rtl w:val="true"/>
              </w:rPr>
              <w:tab/>
            </w:r>
            <w:r>
              <w:rPr>
                <w:rStyle w:val="IndexLink"/>
              </w:rPr>
              <w:t>210</w:t>
            </w:r>
          </w:hyperlink>
        </w:p>
        <w:p>
          <w:pPr>
            <w:pStyle w:val="Contents3"/>
            <w:tabs>
              <w:tab w:val="clear" w:pos="8459"/>
              <w:tab w:val="right" w:pos="9026" w:leader="dot"/>
            </w:tabs>
            <w:rPr/>
          </w:pPr>
          <w:hyperlink w:anchor="__RefHeading___Toc1763844_2322387425">
            <w:r>
              <w:rPr>
                <w:webHidden/>
                <w:rStyle w:val="IndexLink"/>
                <w:rtl w:val="true"/>
              </w:rPr>
              <w:t>لو تَرک وضع الجریدتین جُعلت علی القبر</w:t>
            </w:r>
            <w:r>
              <w:rPr>
                <w:rStyle w:val="IndexLink"/>
                <w:rtl w:val="true"/>
              </w:rPr>
              <w:tab/>
            </w:r>
            <w:r>
              <w:rPr>
                <w:rStyle w:val="IndexLink"/>
              </w:rPr>
              <w:t>211</w:t>
            </w:r>
          </w:hyperlink>
        </w:p>
        <w:p>
          <w:pPr>
            <w:pStyle w:val="Contents3"/>
            <w:tabs>
              <w:tab w:val="clear" w:pos="8459"/>
              <w:tab w:val="right" w:pos="9026" w:leader="dot"/>
            </w:tabs>
            <w:rPr/>
          </w:pPr>
          <w:hyperlink w:anchor="__RefHeading___Toc1763846_2322387425">
            <w:r>
              <w:rPr>
                <w:webHidden/>
                <w:rStyle w:val="IndexLink"/>
                <w:rtl w:val="true"/>
              </w:rPr>
              <w:t>الکتابة علی الجریدتین</w:t>
            </w:r>
            <w:r>
              <w:rPr>
                <w:rStyle w:val="IndexLink"/>
                <w:rtl w:val="true"/>
              </w:rPr>
              <w:tab/>
            </w:r>
            <w:r>
              <w:rPr>
                <w:rStyle w:val="IndexLink"/>
              </w:rPr>
              <w:t>211</w:t>
            </w:r>
          </w:hyperlink>
        </w:p>
        <w:p>
          <w:pPr>
            <w:pStyle w:val="Contents2"/>
            <w:tabs>
              <w:tab w:val="clear" w:pos="8743"/>
              <w:tab w:val="right" w:pos="9026" w:leader="dot"/>
            </w:tabs>
            <w:rPr/>
          </w:pPr>
          <w:hyperlink w:anchor="__RefHeading___Toc1763848_2322387425">
            <w:r>
              <w:rPr>
                <w:webHidden/>
                <w:rStyle w:val="IndexLink"/>
                <w:rtl w:val="true"/>
              </w:rPr>
              <w:t>فصل</w:t>
            </w:r>
            <w:r>
              <w:rPr>
                <w:rStyle w:val="IndexLink"/>
                <w:rtl w:val="true"/>
              </w:rPr>
              <w:t xml:space="preserve">: </w:t>
            </w:r>
            <w:r>
              <w:rPr>
                <w:rStyle w:val="IndexLink"/>
                <w:rtl w:val="true"/>
              </w:rPr>
              <w:t>فی التشییع</w:t>
            </w:r>
            <w:r>
              <w:rPr>
                <w:rStyle w:val="IndexLink"/>
                <w:rtl w:val="true"/>
              </w:rPr>
              <w:tab/>
            </w:r>
            <w:r>
              <w:rPr>
                <w:rStyle w:val="IndexLink"/>
              </w:rPr>
              <w:t>212</w:t>
            </w:r>
          </w:hyperlink>
        </w:p>
        <w:p>
          <w:pPr>
            <w:pStyle w:val="Contents3"/>
            <w:tabs>
              <w:tab w:val="clear" w:pos="8459"/>
              <w:tab w:val="right" w:pos="9026" w:leader="dot"/>
            </w:tabs>
            <w:rPr/>
          </w:pPr>
          <w:hyperlink w:anchor="__RefHeading___Toc1763850_2322387425">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763852_2322387425">
            <w:r>
              <w:rPr>
                <w:webHidden/>
                <w:rStyle w:val="IndexLink"/>
                <w:rtl w:val="true"/>
              </w:rPr>
              <w:t>استحباب الإعلام بموت المؤمن</w:t>
            </w:r>
            <w:r>
              <w:rPr>
                <w:rStyle w:val="IndexLink"/>
                <w:rtl w:val="true"/>
              </w:rPr>
              <w:tab/>
            </w:r>
            <w:r>
              <w:rPr>
                <w:rStyle w:val="IndexLink"/>
              </w:rPr>
              <w:t>212</w:t>
            </w:r>
          </w:hyperlink>
        </w:p>
        <w:p>
          <w:pPr>
            <w:pStyle w:val="Contents3"/>
            <w:tabs>
              <w:tab w:val="clear" w:pos="8459"/>
              <w:tab w:val="right" w:pos="9026" w:leader="dot"/>
            </w:tabs>
            <w:rPr/>
          </w:pPr>
          <w:hyperlink w:anchor="__RefHeading___Toc1763854_2322387425">
            <w:r>
              <w:rPr>
                <w:webHidden/>
                <w:rStyle w:val="IndexLink"/>
                <w:rtl w:val="true"/>
              </w:rPr>
              <w:t>استحباب التشییع</w:t>
            </w:r>
            <w:r>
              <w:rPr>
                <w:rStyle w:val="IndexLink"/>
                <w:rtl w:val="true"/>
              </w:rPr>
              <w:tab/>
            </w:r>
            <w:r>
              <w:rPr>
                <w:rStyle w:val="IndexLink"/>
              </w:rPr>
              <w:t>213</w:t>
            </w:r>
          </w:hyperlink>
        </w:p>
        <w:p>
          <w:pPr>
            <w:pStyle w:val="Contents3"/>
            <w:tabs>
              <w:tab w:val="clear" w:pos="8459"/>
              <w:tab w:val="right" w:pos="9026" w:leader="dot"/>
            </w:tabs>
            <w:rPr/>
          </w:pPr>
          <w:hyperlink w:anchor="__RefHeading___Toc1763856_2322387425">
            <w:r>
              <w:rPr>
                <w:webHidden/>
                <w:rStyle w:val="IndexLink"/>
                <w:rtl w:val="true"/>
              </w:rPr>
              <w:t>آداب التشییع</w:t>
            </w:r>
            <w:r>
              <w:rPr>
                <w:rStyle w:val="IndexLink"/>
                <w:rtl w:val="true"/>
              </w:rPr>
              <w:tab/>
            </w:r>
            <w:r>
              <w:rPr>
                <w:rStyle w:val="IndexLink"/>
              </w:rPr>
              <w:t>213</w:t>
            </w:r>
          </w:hyperlink>
        </w:p>
        <w:p>
          <w:pPr>
            <w:pStyle w:val="Contents3"/>
            <w:tabs>
              <w:tab w:val="clear" w:pos="8459"/>
              <w:tab w:val="right" w:pos="9026" w:leader="dot"/>
            </w:tabs>
            <w:rPr/>
          </w:pPr>
          <w:hyperlink w:anchor="__RefHeading___Toc1763858_2322387425">
            <w:r>
              <w:rPr>
                <w:webHidden/>
                <w:rStyle w:val="IndexLink"/>
                <w:rtl w:val="true"/>
              </w:rPr>
              <w:t>مکروهات التشییع</w:t>
            </w:r>
            <w:r>
              <w:rPr>
                <w:rStyle w:val="IndexLink"/>
                <w:rtl w:val="true"/>
              </w:rPr>
              <w:tab/>
            </w:r>
            <w:r>
              <w:rPr>
                <w:rStyle w:val="IndexLink"/>
              </w:rPr>
              <w:t>215</w:t>
            </w:r>
          </w:hyperlink>
        </w:p>
        <w:p>
          <w:pPr>
            <w:pStyle w:val="Contents2"/>
            <w:tabs>
              <w:tab w:val="clear" w:pos="8743"/>
              <w:tab w:val="right" w:pos="9026" w:leader="dot"/>
            </w:tabs>
            <w:rPr/>
          </w:pPr>
          <w:hyperlink w:anchor="__RefHeading___Toc1763860_2322387425">
            <w:r>
              <w:rPr>
                <w:webHidden/>
                <w:rStyle w:val="IndexLink"/>
                <w:rtl w:val="true"/>
              </w:rPr>
              <w:t>فصل</w:t>
            </w:r>
            <w:r>
              <w:rPr>
                <w:rStyle w:val="IndexLink"/>
                <w:rtl w:val="true"/>
              </w:rPr>
              <w:t xml:space="preserve">: </w:t>
            </w:r>
            <w:r>
              <w:rPr>
                <w:rStyle w:val="IndexLink"/>
                <w:rtl w:val="true"/>
              </w:rPr>
              <w:t>فی الصلاة علی المیّت</w:t>
            </w:r>
            <w:r>
              <w:rPr>
                <w:rStyle w:val="IndexLink"/>
                <w:rtl w:val="true"/>
              </w:rPr>
              <w:tab/>
            </w:r>
            <w:r>
              <w:rPr>
                <w:rStyle w:val="IndexLink"/>
              </w:rPr>
              <w:t>217</w:t>
            </w:r>
          </w:hyperlink>
        </w:p>
        <w:p>
          <w:pPr>
            <w:pStyle w:val="Contents3"/>
            <w:tabs>
              <w:tab w:val="clear" w:pos="8459"/>
              <w:tab w:val="right" w:pos="9026" w:leader="dot"/>
            </w:tabs>
            <w:rPr/>
          </w:pPr>
          <w:hyperlink w:anchor="__RefHeading___Toc1763862_2322387425">
            <w:r>
              <w:rPr>
                <w:webHidden/>
                <w:rStyle w:val="IndexLink"/>
                <w:rtl w:val="true"/>
              </w:rPr>
              <w:t>وجوب الصلاة علی کلّ مسلم</w:t>
            </w:r>
            <w:r>
              <w:rPr>
                <w:rStyle w:val="IndexLink"/>
                <w:rtl w:val="true"/>
              </w:rPr>
              <w:tab/>
            </w:r>
            <w:r>
              <w:rPr>
                <w:rStyle w:val="IndexLink"/>
              </w:rPr>
              <w:t>217</w:t>
            </w:r>
          </w:hyperlink>
        </w:p>
        <w:p>
          <w:pPr>
            <w:pStyle w:val="Contents3"/>
            <w:tabs>
              <w:tab w:val="clear" w:pos="8459"/>
              <w:tab w:val="right" w:pos="9026" w:leader="dot"/>
            </w:tabs>
            <w:rPr/>
          </w:pPr>
          <w:hyperlink w:anchor="__RefHeading___Toc1763864_2322387425">
            <w:r>
              <w:rPr>
                <w:webHidden/>
                <w:rStyle w:val="IndexLink"/>
                <w:rtl w:val="true"/>
              </w:rPr>
              <w:t>حرمة الصلاة علی کلّ کافر</w:t>
            </w:r>
            <w:r>
              <w:rPr>
                <w:rStyle w:val="IndexLink"/>
                <w:rtl w:val="true"/>
              </w:rPr>
              <w:tab/>
            </w:r>
            <w:r>
              <w:rPr>
                <w:rStyle w:val="IndexLink"/>
              </w:rPr>
              <w:t>217</w:t>
            </w:r>
          </w:hyperlink>
        </w:p>
        <w:p>
          <w:pPr>
            <w:pStyle w:val="Contents3"/>
            <w:tabs>
              <w:tab w:val="clear" w:pos="8459"/>
              <w:tab w:val="right" w:pos="9026" w:leader="dot"/>
            </w:tabs>
            <w:rPr/>
          </w:pPr>
          <w:hyperlink w:anchor="__RefHeading___Toc1763866_2322387425">
            <w:r>
              <w:rPr>
                <w:webHidden/>
                <w:rStyle w:val="IndexLink"/>
                <w:rtl w:val="true"/>
              </w:rPr>
              <w:t>الصلاة علی الطفل</w:t>
            </w:r>
            <w:r>
              <w:rPr>
                <w:rStyle w:val="IndexLink"/>
                <w:rtl w:val="true"/>
              </w:rPr>
              <w:tab/>
            </w:r>
            <w:r>
              <w:rPr>
                <w:rStyle w:val="IndexLink"/>
              </w:rPr>
              <w:t>217</w:t>
            </w:r>
          </w:hyperlink>
        </w:p>
        <w:p>
          <w:pPr>
            <w:pStyle w:val="Contents3"/>
            <w:tabs>
              <w:tab w:val="clear" w:pos="8459"/>
              <w:tab w:val="right" w:pos="9026" w:leader="dot"/>
            </w:tabs>
            <w:rPr/>
          </w:pPr>
          <w:hyperlink w:anchor="__RefHeading___Toc1763868_2322387425">
            <w:r>
              <w:rPr>
                <w:webHidden/>
                <w:rStyle w:val="IndexLink"/>
                <w:rtl w:val="true"/>
              </w:rPr>
              <w:t>الصلاة علی من لا یعلم إسلامه</w:t>
            </w:r>
            <w:r>
              <w:rPr>
                <w:rStyle w:val="IndexLink"/>
                <w:rtl w:val="true"/>
              </w:rPr>
              <w:tab/>
            </w:r>
            <w:r>
              <w:rPr>
                <w:rStyle w:val="IndexLink"/>
              </w:rPr>
              <w:t>218</w:t>
            </w:r>
          </w:hyperlink>
        </w:p>
        <w:p>
          <w:pPr>
            <w:pStyle w:val="Contents3"/>
            <w:tabs>
              <w:tab w:val="clear" w:pos="8459"/>
              <w:tab w:val="right" w:pos="9026" w:leader="dot"/>
            </w:tabs>
            <w:rPr/>
          </w:pPr>
          <w:hyperlink w:anchor="__RefHeading___Toc1763870_2322387425">
            <w:r>
              <w:rPr>
                <w:webHidden/>
                <w:rStyle w:val="IndexLink"/>
                <w:rtl w:val="true"/>
              </w:rPr>
              <w:t>شروط الصلاة علی المیت</w:t>
            </w:r>
            <w:r>
              <w:rPr>
                <w:rStyle w:val="IndexLink"/>
                <w:rtl w:val="true"/>
              </w:rPr>
              <w:tab/>
            </w:r>
            <w:r>
              <w:rPr>
                <w:rStyle w:val="IndexLink"/>
              </w:rPr>
              <w:t>219</w:t>
            </w:r>
          </w:hyperlink>
        </w:p>
        <w:p>
          <w:pPr>
            <w:pStyle w:val="Contents3"/>
            <w:tabs>
              <w:tab w:val="clear" w:pos="8459"/>
              <w:tab w:val="right" w:pos="9026" w:leader="dot"/>
            </w:tabs>
            <w:rPr/>
          </w:pPr>
          <w:hyperlink w:anchor="__RefHeading___Toc1763872_2322387425">
            <w:r>
              <w:rPr>
                <w:webHidden/>
                <w:rStyle w:val="IndexLink"/>
                <w:rtl w:val="true"/>
              </w:rPr>
              <w:t>صلاة الصبی الممیز علی المیت</w:t>
            </w:r>
            <w:r>
              <w:rPr>
                <w:rStyle w:val="IndexLink"/>
                <w:rtl w:val="true"/>
              </w:rPr>
              <w:tab/>
            </w:r>
            <w:r>
              <w:rPr>
                <w:rStyle w:val="IndexLink"/>
              </w:rPr>
              <w:t>219</w:t>
            </w:r>
          </w:hyperlink>
        </w:p>
        <w:p>
          <w:pPr>
            <w:pStyle w:val="Contents3"/>
            <w:tabs>
              <w:tab w:val="clear" w:pos="8459"/>
              <w:tab w:val="right" w:pos="9026" w:leader="dot"/>
            </w:tabs>
            <w:rPr/>
          </w:pPr>
          <w:hyperlink w:anchor="__RefHeading___Toc1763874_2322387425">
            <w:r>
              <w:rPr>
                <w:webHidden/>
                <w:rStyle w:val="IndexLink"/>
                <w:rtl w:val="true"/>
              </w:rPr>
              <w:t>اشتراط تأخر الصلاة عن التکفین</w:t>
            </w:r>
            <w:r>
              <w:rPr>
                <w:rStyle w:val="IndexLink"/>
                <w:rtl w:val="true"/>
              </w:rPr>
              <w:tab/>
            </w:r>
            <w:r>
              <w:rPr>
                <w:rStyle w:val="IndexLink"/>
              </w:rPr>
              <w:t>222</w:t>
            </w:r>
          </w:hyperlink>
        </w:p>
        <w:p>
          <w:pPr>
            <w:pStyle w:val="Contents3"/>
            <w:tabs>
              <w:tab w:val="clear" w:pos="8459"/>
              <w:tab w:val="right" w:pos="9026" w:leader="dot"/>
            </w:tabs>
            <w:rPr/>
          </w:pPr>
          <w:hyperlink w:anchor="__RefHeading___Toc1763876_2322387425">
            <w:r>
              <w:rPr>
                <w:webHidden/>
                <w:rStyle w:val="IndexLink"/>
                <w:rtl w:val="true"/>
              </w:rPr>
              <w:t>الصلاة عند تعذّر الکفن</w:t>
            </w:r>
            <w:r>
              <w:rPr>
                <w:rStyle w:val="IndexLink"/>
                <w:rtl w:val="true"/>
              </w:rPr>
              <w:tab/>
            </w:r>
            <w:r>
              <w:rPr>
                <w:rStyle w:val="IndexLink"/>
              </w:rPr>
              <w:t>222</w:t>
            </w:r>
          </w:hyperlink>
        </w:p>
        <w:p>
          <w:pPr>
            <w:pStyle w:val="Contents4"/>
            <w:tabs>
              <w:tab w:val="clear" w:pos="8176"/>
              <w:tab w:val="right" w:pos="9026" w:leader="dot"/>
            </w:tabs>
            <w:rPr/>
          </w:pPr>
          <w:hyperlink w:anchor="__RefHeading___Toc1763878_2322387425">
            <w:r>
              <w:rPr>
                <w:webHidden/>
                <w:rStyle w:val="IndexLink"/>
                <w:rtl w:val="true"/>
              </w:rPr>
              <w:t>عدم سقوط سائر الواجبات بتعذر الکفن</w:t>
            </w:r>
            <w:r>
              <w:rPr>
                <w:rStyle w:val="IndexLink"/>
                <w:rtl w:val="true"/>
              </w:rPr>
              <w:tab/>
            </w:r>
            <w:r>
              <w:rPr>
                <w:rStyle w:val="IndexLink"/>
              </w:rPr>
              <w:t>222</w:t>
            </w:r>
          </w:hyperlink>
        </w:p>
        <w:p>
          <w:pPr>
            <w:pStyle w:val="Contents3"/>
            <w:tabs>
              <w:tab w:val="clear" w:pos="8459"/>
              <w:tab w:val="right" w:pos="9026" w:leader="dot"/>
            </w:tabs>
            <w:rPr/>
          </w:pPr>
          <w:hyperlink w:anchor="__RefHeading___Toc1763880_2322387425">
            <w:r>
              <w:rPr>
                <w:webHidden/>
                <w:rStyle w:val="IndexLink"/>
                <w:rtl w:val="true"/>
              </w:rPr>
              <w:t>جواز تعدّد الصلاة علی المیت مع الکلام فی النیّة</w:t>
            </w:r>
            <w:r>
              <w:rPr>
                <w:rStyle w:val="IndexLink"/>
                <w:rtl w:val="true"/>
              </w:rPr>
              <w:tab/>
            </w:r>
            <w:r>
              <w:rPr>
                <w:rStyle w:val="IndexLink"/>
              </w:rPr>
              <w:t>223</w:t>
            </w:r>
          </w:hyperlink>
        </w:p>
        <w:p>
          <w:pPr>
            <w:pStyle w:val="Contents3"/>
            <w:tabs>
              <w:tab w:val="clear" w:pos="8459"/>
              <w:tab w:val="right" w:pos="9026" w:leader="dot"/>
            </w:tabs>
            <w:rPr/>
          </w:pPr>
          <w:hyperlink w:anchor="__RefHeading___Toc1763882_2322387425">
            <w:r>
              <w:rPr>
                <w:webHidden/>
                <w:rStyle w:val="IndexLink"/>
                <w:rtl w:val="true"/>
              </w:rPr>
              <w:t>حکم الصلاة علی بعض المیت</w:t>
            </w:r>
            <w:r>
              <w:rPr>
                <w:rStyle w:val="IndexLink"/>
                <w:rtl w:val="true"/>
              </w:rPr>
              <w:tab/>
            </w:r>
            <w:r>
              <w:rPr>
                <w:rStyle w:val="IndexLink"/>
              </w:rPr>
              <w:t>224</w:t>
            </w:r>
          </w:hyperlink>
        </w:p>
        <w:p>
          <w:pPr>
            <w:pStyle w:val="Contents3"/>
            <w:tabs>
              <w:tab w:val="clear" w:pos="8459"/>
              <w:tab w:val="right" w:pos="9026" w:leader="dot"/>
            </w:tabs>
            <w:rPr/>
          </w:pPr>
          <w:hyperlink w:anchor="__RefHeading___Toc1763884_2322387425">
            <w:r>
              <w:rPr>
                <w:webHidden/>
                <w:rStyle w:val="IndexLink"/>
                <w:rtl w:val="true"/>
              </w:rPr>
              <w:t>الصلاة قبل الدفن</w:t>
            </w:r>
            <w:r>
              <w:rPr>
                <w:rStyle w:val="IndexLink"/>
                <w:rtl w:val="true"/>
              </w:rPr>
              <w:tab/>
            </w:r>
            <w:r>
              <w:rPr>
                <w:rStyle w:val="IndexLink"/>
              </w:rPr>
              <w:t>225</w:t>
            </w:r>
          </w:hyperlink>
        </w:p>
        <w:p>
          <w:pPr>
            <w:pStyle w:val="Contents3"/>
            <w:tabs>
              <w:tab w:val="clear" w:pos="8459"/>
              <w:tab w:val="right" w:pos="9026" w:leader="dot"/>
            </w:tabs>
            <w:rPr/>
          </w:pPr>
          <w:hyperlink w:anchor="__RefHeading___Toc1763886_2322387425">
            <w:r>
              <w:rPr>
                <w:webHidden/>
                <w:rStyle w:val="IndexLink"/>
                <w:rtl w:val="true"/>
              </w:rPr>
              <w:t>اعتبار الاستئذان من جمیع الأولیاء</w:t>
            </w:r>
            <w:r>
              <w:rPr>
                <w:rStyle w:val="IndexLink"/>
                <w:rtl w:val="true"/>
              </w:rPr>
              <w:tab/>
            </w:r>
            <w:r>
              <w:rPr>
                <w:rStyle w:val="IndexLink"/>
              </w:rPr>
              <w:t>225</w:t>
            </w:r>
          </w:hyperlink>
        </w:p>
        <w:p>
          <w:pPr>
            <w:pStyle w:val="Contents3"/>
            <w:tabs>
              <w:tab w:val="clear" w:pos="8459"/>
              <w:tab w:val="right" w:pos="9026" w:leader="dot"/>
            </w:tabs>
            <w:rPr/>
          </w:pPr>
          <w:hyperlink w:anchor="__RefHeading___Toc1763888_2322387425">
            <w:r>
              <w:rPr>
                <w:webHidden/>
                <w:rStyle w:val="IndexLink"/>
                <w:rtl w:val="true"/>
              </w:rPr>
              <w:t>حکم ما إذا کان الولی إمرأة</w:t>
            </w:r>
            <w:r>
              <w:rPr>
                <w:rStyle w:val="IndexLink"/>
                <w:rtl w:val="true"/>
              </w:rPr>
              <w:tab/>
            </w:r>
            <w:r>
              <w:rPr>
                <w:rStyle w:val="IndexLink"/>
              </w:rPr>
              <w:t>228</w:t>
            </w:r>
          </w:hyperlink>
        </w:p>
        <w:p>
          <w:pPr>
            <w:pStyle w:val="Contents3"/>
            <w:tabs>
              <w:tab w:val="clear" w:pos="8459"/>
              <w:tab w:val="right" w:pos="9026" w:leader="dot"/>
            </w:tabs>
            <w:rPr/>
          </w:pPr>
          <w:hyperlink w:anchor="__RefHeading___Toc1763890_2322387425">
            <w:r>
              <w:rPr>
                <w:webHidden/>
                <w:rStyle w:val="IndexLink"/>
                <w:rtl w:val="true"/>
              </w:rPr>
              <w:t>تعیین المیت من یصلّی علیه</w:t>
            </w:r>
            <w:r>
              <w:rPr>
                <w:rStyle w:val="IndexLink"/>
                <w:rtl w:val="true"/>
              </w:rPr>
              <w:tab/>
            </w:r>
            <w:r>
              <w:rPr>
                <w:rStyle w:val="IndexLink"/>
              </w:rPr>
              <w:t>228</w:t>
            </w:r>
          </w:hyperlink>
        </w:p>
        <w:p>
          <w:pPr>
            <w:pStyle w:val="Contents3"/>
            <w:tabs>
              <w:tab w:val="clear" w:pos="8459"/>
              <w:tab w:val="right" w:pos="9026" w:leader="dot"/>
            </w:tabs>
            <w:rPr/>
          </w:pPr>
          <w:hyperlink w:anchor="__RefHeading___Toc1763892_2322387425">
            <w:r>
              <w:rPr>
                <w:webHidden/>
                <w:rStyle w:val="IndexLink"/>
                <w:rtl w:val="true"/>
              </w:rPr>
              <w:t>مشروعیة صلاة المیت جماعة</w:t>
            </w:r>
            <w:r>
              <w:rPr>
                <w:rStyle w:val="IndexLink"/>
                <w:rtl w:val="true"/>
              </w:rPr>
              <w:tab/>
            </w:r>
            <w:r>
              <w:rPr>
                <w:rStyle w:val="IndexLink"/>
              </w:rPr>
              <w:t>230</w:t>
            </w:r>
          </w:hyperlink>
        </w:p>
        <w:p>
          <w:pPr>
            <w:pStyle w:val="Contents4"/>
            <w:tabs>
              <w:tab w:val="clear" w:pos="8176"/>
              <w:tab w:val="right" w:pos="9026" w:leader="dot"/>
            </w:tabs>
            <w:rPr/>
          </w:pPr>
          <w:hyperlink w:anchor="__RefHeading___Toc1763894_2322387425">
            <w:r>
              <w:rPr>
                <w:webHidden/>
                <w:rStyle w:val="IndexLink"/>
                <w:rtl w:val="true"/>
              </w:rPr>
              <w:t>شروط إمامة صلاة المیت</w:t>
            </w:r>
            <w:r>
              <w:rPr>
                <w:rStyle w:val="IndexLink"/>
                <w:rtl w:val="true"/>
              </w:rPr>
              <w:tab/>
            </w:r>
            <w:r>
              <w:rPr>
                <w:rStyle w:val="IndexLink"/>
              </w:rPr>
              <w:t>230</w:t>
            </w:r>
          </w:hyperlink>
        </w:p>
        <w:p>
          <w:pPr>
            <w:pStyle w:val="Contents3"/>
            <w:tabs>
              <w:tab w:val="clear" w:pos="8459"/>
              <w:tab w:val="right" w:pos="9026" w:leader="dot"/>
            </w:tabs>
            <w:rPr/>
          </w:pPr>
          <w:hyperlink w:anchor="__RefHeading___Toc1763896_2322387425">
            <w:r>
              <w:rPr>
                <w:webHidden/>
                <w:rStyle w:val="IndexLink"/>
                <w:rtl w:val="true"/>
              </w:rPr>
              <w:t>إمامة المرأة للنساء فی صلاة المیت</w:t>
            </w:r>
            <w:r>
              <w:rPr>
                <w:rStyle w:val="IndexLink"/>
                <w:rtl w:val="true"/>
              </w:rPr>
              <w:tab/>
            </w:r>
            <w:r>
              <w:rPr>
                <w:rStyle w:val="IndexLink"/>
              </w:rPr>
              <w:t>232</w:t>
            </w:r>
          </w:hyperlink>
        </w:p>
        <w:p>
          <w:pPr>
            <w:pStyle w:val="Contents3"/>
            <w:tabs>
              <w:tab w:val="clear" w:pos="8459"/>
              <w:tab w:val="right" w:pos="9026" w:leader="dot"/>
            </w:tabs>
            <w:rPr/>
          </w:pPr>
          <w:hyperlink w:anchor="__RefHeading___Toc1763898_2322387425">
            <w:r>
              <w:rPr>
                <w:webHidden/>
                <w:rStyle w:val="IndexLink"/>
                <w:rtl w:val="true"/>
              </w:rPr>
              <w:t>صلاة العراة علی المیت</w:t>
            </w:r>
            <w:r>
              <w:rPr>
                <w:rStyle w:val="IndexLink"/>
                <w:rtl w:val="true"/>
              </w:rPr>
              <w:tab/>
            </w:r>
            <w:r>
              <w:rPr>
                <w:rStyle w:val="IndexLink"/>
              </w:rPr>
              <w:t>232</w:t>
            </w:r>
          </w:hyperlink>
        </w:p>
        <w:p>
          <w:pPr>
            <w:pStyle w:val="Contents3"/>
            <w:tabs>
              <w:tab w:val="clear" w:pos="8459"/>
              <w:tab w:val="right" w:pos="9026" w:leader="dot"/>
            </w:tabs>
            <w:rPr/>
          </w:pPr>
          <w:hyperlink w:anchor="__RefHeading___Toc1763900_2322387425">
            <w:r>
              <w:rPr>
                <w:webHidden/>
                <w:rStyle w:val="IndexLink"/>
                <w:rtl w:val="true"/>
              </w:rPr>
              <w:t>فروع فی الصلاة جماعةً علی المیت</w:t>
            </w:r>
            <w:r>
              <w:rPr>
                <w:rStyle w:val="IndexLink"/>
                <w:rtl w:val="true"/>
              </w:rPr>
              <w:tab/>
            </w:r>
            <w:r>
              <w:rPr>
                <w:rStyle w:val="IndexLink"/>
              </w:rPr>
              <w:t>234</w:t>
            </w:r>
          </w:hyperlink>
        </w:p>
        <w:p>
          <w:pPr>
            <w:pStyle w:val="Contents3"/>
            <w:tabs>
              <w:tab w:val="clear" w:pos="8459"/>
              <w:tab w:val="right" w:pos="9026" w:leader="dot"/>
            </w:tabs>
            <w:rPr/>
          </w:pPr>
          <w:hyperlink w:anchor="__RefHeading___Toc1763902_2322387425">
            <w:r>
              <w:rPr>
                <w:webHidden/>
                <w:rStyle w:val="IndexLink"/>
                <w:rtl w:val="true"/>
              </w:rPr>
              <w:t>حضور المرأة جماعة الرجال</w:t>
            </w:r>
            <w:r>
              <w:rPr>
                <w:rStyle w:val="IndexLink"/>
                <w:rtl w:val="true"/>
              </w:rPr>
              <w:tab/>
            </w:r>
            <w:r>
              <w:rPr>
                <w:rStyle w:val="IndexLink"/>
              </w:rPr>
              <w:t>234</w:t>
            </w:r>
          </w:hyperlink>
        </w:p>
        <w:p>
          <w:pPr>
            <w:pStyle w:val="Contents3"/>
            <w:tabs>
              <w:tab w:val="clear" w:pos="8459"/>
              <w:tab w:val="right" w:pos="9026" w:leader="dot"/>
            </w:tabs>
            <w:rPr/>
          </w:pPr>
          <w:hyperlink w:anchor="__RefHeading___Toc1763904_2322387425">
            <w:r>
              <w:rPr>
                <w:webHidden/>
                <w:rStyle w:val="IndexLink"/>
                <w:rtl w:val="true"/>
              </w:rPr>
              <w:t>من حضر أثناء صلاة الجماعه علی المیّت</w:t>
            </w:r>
            <w:r>
              <w:rPr>
                <w:rStyle w:val="IndexLink"/>
                <w:rtl w:val="true"/>
              </w:rPr>
              <w:tab/>
            </w:r>
            <w:r>
              <w:rPr>
                <w:rStyle w:val="IndexLink"/>
              </w:rPr>
              <w:t>237</w:t>
            </w:r>
          </w:hyperlink>
        </w:p>
        <w:p>
          <w:pPr>
            <w:pStyle w:val="Contents2"/>
            <w:tabs>
              <w:tab w:val="clear" w:pos="8743"/>
              <w:tab w:val="right" w:pos="9026" w:leader="dot"/>
            </w:tabs>
            <w:rPr/>
          </w:pPr>
          <w:hyperlink w:anchor="__RefHeading___Toc1763906_2322387425">
            <w:r>
              <w:rPr>
                <w:webHidden/>
                <w:rStyle w:val="IndexLink"/>
                <w:rtl w:val="true"/>
              </w:rPr>
              <w:t>فصل</w:t>
            </w:r>
            <w:r>
              <w:rPr>
                <w:rStyle w:val="IndexLink"/>
                <w:rtl w:val="true"/>
              </w:rPr>
              <w:t xml:space="preserve">: </w:t>
            </w:r>
            <w:r>
              <w:rPr>
                <w:rStyle w:val="IndexLink"/>
                <w:rtl w:val="true"/>
              </w:rPr>
              <w:t>فی کیفیة صلاة المیّت</w:t>
            </w:r>
            <w:r>
              <w:rPr>
                <w:rStyle w:val="IndexLink"/>
                <w:rtl w:val="true"/>
              </w:rPr>
              <w:tab/>
            </w:r>
            <w:r>
              <w:rPr>
                <w:rStyle w:val="IndexLink"/>
              </w:rPr>
              <w:t>239</w:t>
            </w:r>
          </w:hyperlink>
        </w:p>
        <w:p>
          <w:pPr>
            <w:pStyle w:val="Contents3"/>
            <w:tabs>
              <w:tab w:val="clear" w:pos="8459"/>
              <w:tab w:val="right" w:pos="9026" w:leader="dot"/>
            </w:tabs>
            <w:rPr/>
          </w:pPr>
          <w:hyperlink w:anchor="__RefHeading___Toc1763908_2322387425">
            <w:r>
              <w:rPr>
                <w:webHidden/>
                <w:rStyle w:val="IndexLink"/>
                <w:rtl w:val="true"/>
              </w:rPr>
              <w:t>وجوب الإتیان بخمس تکبیرات</w:t>
            </w:r>
            <w:r>
              <w:rPr>
                <w:rStyle w:val="IndexLink"/>
                <w:rtl w:val="true"/>
              </w:rPr>
              <w:tab/>
            </w:r>
            <w:r>
              <w:rPr>
                <w:rStyle w:val="IndexLink"/>
              </w:rPr>
              <w:t>239</w:t>
            </w:r>
          </w:hyperlink>
        </w:p>
        <w:p>
          <w:pPr>
            <w:pStyle w:val="Contents3"/>
            <w:tabs>
              <w:tab w:val="clear" w:pos="8459"/>
              <w:tab w:val="right" w:pos="9026" w:leader="dot"/>
            </w:tabs>
            <w:rPr/>
          </w:pPr>
          <w:hyperlink w:anchor="__RefHeading___Toc1763910_2322387425">
            <w:r>
              <w:rPr>
                <w:webHidden/>
                <w:rStyle w:val="IndexLink"/>
                <w:rtl w:val="true"/>
              </w:rPr>
              <w:t>صورة الأذکار بین تکبیرات الصلاة</w:t>
            </w:r>
            <w:r>
              <w:rPr>
                <w:rStyle w:val="IndexLink"/>
                <w:rtl w:val="true"/>
              </w:rPr>
              <w:tab/>
            </w:r>
            <w:r>
              <w:rPr>
                <w:rStyle w:val="IndexLink"/>
              </w:rPr>
              <w:t>240</w:t>
            </w:r>
          </w:hyperlink>
        </w:p>
        <w:p>
          <w:pPr>
            <w:pStyle w:val="Contents3"/>
            <w:tabs>
              <w:tab w:val="clear" w:pos="8459"/>
              <w:tab w:val="right" w:pos="9026" w:leader="dot"/>
            </w:tabs>
            <w:rPr/>
          </w:pPr>
          <w:hyperlink w:anchor="__RefHeading___Toc1763912_2322387425">
            <w:r>
              <w:rPr>
                <w:webHidden/>
                <w:rStyle w:val="IndexLink"/>
                <w:rtl w:val="true"/>
              </w:rPr>
              <w:t>الاتیان بالناقص عن الخمس تکبیرات</w:t>
            </w:r>
            <w:r>
              <w:rPr>
                <w:rStyle w:val="IndexLink"/>
                <w:rtl w:val="true"/>
              </w:rPr>
              <w:tab/>
            </w:r>
            <w:r>
              <w:rPr>
                <w:rStyle w:val="IndexLink"/>
              </w:rPr>
              <w:t>242</w:t>
            </w:r>
          </w:hyperlink>
        </w:p>
        <w:p>
          <w:pPr>
            <w:pStyle w:val="Contents3"/>
            <w:tabs>
              <w:tab w:val="clear" w:pos="8459"/>
              <w:tab w:val="right" w:pos="9026" w:leader="dot"/>
            </w:tabs>
            <w:rPr/>
          </w:pPr>
          <w:hyperlink w:anchor="__RefHeading___Toc1763914_2322387425">
            <w:r>
              <w:rPr>
                <w:webHidden/>
                <w:rStyle w:val="IndexLink"/>
                <w:rtl w:val="true"/>
              </w:rPr>
              <w:t>کیفیة الأدعیة بین التکبیرات</w:t>
            </w:r>
            <w:r>
              <w:rPr>
                <w:rStyle w:val="IndexLink"/>
                <w:rtl w:val="true"/>
              </w:rPr>
              <w:tab/>
            </w:r>
            <w:r>
              <w:rPr>
                <w:rStyle w:val="IndexLink"/>
              </w:rPr>
              <w:t>242</w:t>
            </w:r>
          </w:hyperlink>
        </w:p>
        <w:p>
          <w:pPr>
            <w:pStyle w:val="Contents3"/>
            <w:tabs>
              <w:tab w:val="clear" w:pos="8459"/>
              <w:tab w:val="right" w:pos="9026" w:leader="dot"/>
            </w:tabs>
            <w:rPr/>
          </w:pPr>
          <w:hyperlink w:anchor="__RefHeading___Toc1763916_2322387425">
            <w:r>
              <w:rPr>
                <w:webHidden/>
                <w:rStyle w:val="IndexLink"/>
                <w:rtl w:val="true"/>
              </w:rPr>
              <w:t>اعتبار العربیة فی الأدعیة بالقدر الواجب</w:t>
            </w:r>
            <w:r>
              <w:rPr>
                <w:rStyle w:val="IndexLink"/>
                <w:rtl w:val="true"/>
              </w:rPr>
              <w:tab/>
            </w:r>
            <w:r>
              <w:rPr>
                <w:rStyle w:val="IndexLink"/>
              </w:rPr>
              <w:t>243</w:t>
            </w:r>
          </w:hyperlink>
        </w:p>
        <w:p>
          <w:pPr>
            <w:pStyle w:val="Contents3"/>
            <w:tabs>
              <w:tab w:val="clear" w:pos="8459"/>
              <w:tab w:val="right" w:pos="9026" w:leader="dot"/>
            </w:tabs>
            <w:rPr/>
          </w:pPr>
          <w:hyperlink w:anchor="__RefHeading___Toc1763918_2322387425">
            <w:r>
              <w:rPr>
                <w:webHidden/>
                <w:rStyle w:val="IndexLink"/>
                <w:rtl w:val="true"/>
              </w:rPr>
              <w:t>ما لا یعتبر فی صلاة المیت ممّا یعتبر فی الصلاة</w:t>
            </w:r>
            <w:r>
              <w:rPr>
                <w:rStyle w:val="IndexLink"/>
                <w:rtl w:val="true"/>
              </w:rPr>
              <w:tab/>
            </w:r>
            <w:r>
              <w:rPr>
                <w:rStyle w:val="IndexLink"/>
              </w:rPr>
              <w:t>243</w:t>
            </w:r>
          </w:hyperlink>
        </w:p>
        <w:p>
          <w:pPr>
            <w:pStyle w:val="Contents3"/>
            <w:tabs>
              <w:tab w:val="clear" w:pos="8459"/>
              <w:tab w:val="right" w:pos="9026" w:leader="dot"/>
            </w:tabs>
            <w:rPr/>
          </w:pPr>
          <w:hyperlink w:anchor="__RefHeading___Toc1763920_2322387425">
            <w:r>
              <w:rPr>
                <w:webHidden/>
                <w:rStyle w:val="IndexLink"/>
                <w:rtl w:val="true"/>
              </w:rPr>
              <w:t>الشک فی ذکوریة المیت</w:t>
            </w:r>
            <w:r>
              <w:rPr>
                <w:rStyle w:val="IndexLink"/>
                <w:rtl w:val="true"/>
              </w:rPr>
              <w:tab/>
            </w:r>
            <w:r>
              <w:rPr>
                <w:rStyle w:val="IndexLink"/>
              </w:rPr>
              <w:t>244</w:t>
            </w:r>
          </w:hyperlink>
        </w:p>
        <w:p>
          <w:pPr>
            <w:pStyle w:val="Contents3"/>
            <w:tabs>
              <w:tab w:val="clear" w:pos="8459"/>
              <w:tab w:val="right" w:pos="9026" w:leader="dot"/>
            </w:tabs>
            <w:rPr/>
          </w:pPr>
          <w:hyperlink w:anchor="__RefHeading___Toc1763922_2322387425">
            <w:r>
              <w:rPr>
                <w:webHidden/>
                <w:rStyle w:val="IndexLink"/>
                <w:rtl w:val="true"/>
              </w:rPr>
              <w:t>الشک بین التکبیرات</w:t>
            </w:r>
            <w:r>
              <w:rPr>
                <w:rStyle w:val="IndexLink"/>
                <w:rtl w:val="true"/>
              </w:rPr>
              <w:tab/>
            </w:r>
            <w:r>
              <w:rPr>
                <w:rStyle w:val="IndexLink"/>
              </w:rPr>
              <w:t>244</w:t>
            </w:r>
          </w:hyperlink>
        </w:p>
        <w:p>
          <w:pPr>
            <w:pStyle w:val="Contents2"/>
            <w:tabs>
              <w:tab w:val="clear" w:pos="8743"/>
              <w:tab w:val="right" w:pos="9026" w:leader="dot"/>
            </w:tabs>
            <w:rPr/>
          </w:pPr>
          <w:hyperlink w:anchor="__RefHeading___Toc1763924_2322387425">
            <w:r>
              <w:rPr>
                <w:webHidden/>
                <w:rStyle w:val="IndexLink"/>
                <w:rtl w:val="true"/>
              </w:rPr>
              <w:t>فصل</w:t>
            </w:r>
            <w:r>
              <w:rPr>
                <w:rStyle w:val="IndexLink"/>
                <w:rtl w:val="true"/>
              </w:rPr>
              <w:t xml:space="preserve">: </w:t>
            </w:r>
            <w:r>
              <w:rPr>
                <w:rStyle w:val="IndexLink"/>
                <w:rtl w:val="true"/>
              </w:rPr>
              <w:t>فی شرائط صلاة المیّت</w:t>
            </w:r>
            <w:r>
              <w:rPr>
                <w:rStyle w:val="IndexLink"/>
                <w:rtl w:val="true"/>
              </w:rPr>
              <w:tab/>
            </w:r>
            <w:r>
              <w:rPr>
                <w:rStyle w:val="IndexLink"/>
              </w:rPr>
              <w:t>246</w:t>
            </w:r>
          </w:hyperlink>
        </w:p>
        <w:p>
          <w:pPr>
            <w:pStyle w:val="Contents3"/>
            <w:tabs>
              <w:tab w:val="clear" w:pos="8459"/>
              <w:tab w:val="right" w:pos="9026" w:leader="dot"/>
            </w:tabs>
            <w:rPr/>
          </w:pPr>
          <w:hyperlink w:anchor="__RefHeading___Toc1763926_2322387425">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763928_2322387425">
            <w:r>
              <w:rPr>
                <w:webHidden/>
                <w:rStyle w:val="IndexLink"/>
                <w:rtl w:val="true"/>
              </w:rPr>
              <w:t>الأول</w:t>
            </w:r>
            <w:r>
              <w:rPr>
                <w:rStyle w:val="IndexLink"/>
                <w:rtl w:val="true"/>
              </w:rPr>
              <w:t xml:space="preserve">: </w:t>
            </w:r>
            <w:r>
              <w:rPr>
                <w:rStyle w:val="IndexLink"/>
                <w:rtl w:val="true"/>
              </w:rPr>
              <w:t>کون المیت مستلقیاً</w:t>
            </w:r>
            <w:r>
              <w:rPr>
                <w:rStyle w:val="IndexLink"/>
                <w:rtl w:val="true"/>
              </w:rPr>
              <w:tab/>
            </w:r>
            <w:r>
              <w:rPr>
                <w:rStyle w:val="IndexLink"/>
              </w:rPr>
              <w:t>246</w:t>
            </w:r>
          </w:hyperlink>
        </w:p>
        <w:p>
          <w:pPr>
            <w:pStyle w:val="Contents3"/>
            <w:tabs>
              <w:tab w:val="clear" w:pos="8459"/>
              <w:tab w:val="right" w:pos="9026" w:leader="dot"/>
            </w:tabs>
            <w:rPr/>
          </w:pPr>
          <w:hyperlink w:anchor="__RefHeading___Toc1763930_2322387425">
            <w:r>
              <w:rPr>
                <w:webHidden/>
                <w:rStyle w:val="IndexLink"/>
                <w:rtl w:val="true"/>
              </w:rPr>
              <w:t>الثانی</w:t>
            </w:r>
            <w:r>
              <w:rPr>
                <w:rStyle w:val="IndexLink"/>
                <w:rtl w:val="true"/>
              </w:rPr>
              <w:t xml:space="preserve">: </w:t>
            </w:r>
            <w:r>
              <w:rPr>
                <w:rStyle w:val="IndexLink"/>
                <w:rtl w:val="true"/>
              </w:rPr>
              <w:t>اتجاه رأسه إلی یمین المصلّی</w:t>
            </w:r>
            <w:r>
              <w:rPr>
                <w:rStyle w:val="IndexLink"/>
                <w:rtl w:val="true"/>
              </w:rPr>
              <w:tab/>
            </w:r>
            <w:r>
              <w:rPr>
                <w:rStyle w:val="IndexLink"/>
              </w:rPr>
              <w:t>246</w:t>
            </w:r>
          </w:hyperlink>
        </w:p>
        <w:p>
          <w:pPr>
            <w:pStyle w:val="Contents3"/>
            <w:tabs>
              <w:tab w:val="clear" w:pos="8459"/>
              <w:tab w:val="right" w:pos="9026" w:leader="dot"/>
            </w:tabs>
            <w:rPr/>
          </w:pPr>
          <w:hyperlink w:anchor="__RefHeading___Toc1763932_2322387425">
            <w:r>
              <w:rPr>
                <w:webHidden/>
                <w:rStyle w:val="IndexLink"/>
                <w:rtl w:val="true"/>
              </w:rPr>
              <w:t>الثالث</w:t>
            </w:r>
            <w:r>
              <w:rPr>
                <w:rStyle w:val="IndexLink"/>
                <w:rtl w:val="true"/>
              </w:rPr>
              <w:t xml:space="preserve">: </w:t>
            </w:r>
            <w:r>
              <w:rPr>
                <w:rStyle w:val="IndexLink"/>
                <w:rtl w:val="true"/>
              </w:rPr>
              <w:t>وقوف المصلّی خلف المیّت محاذیاً له</w:t>
            </w:r>
            <w:r>
              <w:rPr>
                <w:rStyle w:val="IndexLink"/>
                <w:rtl w:val="true"/>
              </w:rPr>
              <w:tab/>
            </w:r>
            <w:r>
              <w:rPr>
                <w:rStyle w:val="IndexLink"/>
              </w:rPr>
              <w:t>246</w:t>
            </w:r>
          </w:hyperlink>
        </w:p>
        <w:p>
          <w:pPr>
            <w:pStyle w:val="Contents3"/>
            <w:tabs>
              <w:tab w:val="clear" w:pos="8459"/>
              <w:tab w:val="right" w:pos="9026" w:leader="dot"/>
            </w:tabs>
            <w:rPr/>
          </w:pPr>
          <w:hyperlink w:anchor="__RefHeading___Toc1763934_2322387425">
            <w:r>
              <w:rPr>
                <w:webHidden/>
                <w:rStyle w:val="IndexLink"/>
                <w:rtl w:val="true"/>
              </w:rPr>
              <w:t>الرابع</w:t>
            </w:r>
            <w:r>
              <w:rPr>
                <w:rStyle w:val="IndexLink"/>
                <w:rtl w:val="true"/>
              </w:rPr>
              <w:t xml:space="preserve">: </w:t>
            </w:r>
            <w:r>
              <w:rPr>
                <w:rStyle w:val="IndexLink"/>
                <w:rtl w:val="true"/>
              </w:rPr>
              <w:t>الحضور عند المیّت</w:t>
            </w:r>
            <w:r>
              <w:rPr>
                <w:rStyle w:val="IndexLink"/>
                <w:rtl w:val="true"/>
              </w:rPr>
              <w:tab/>
            </w:r>
            <w:r>
              <w:rPr>
                <w:rStyle w:val="IndexLink"/>
              </w:rPr>
              <w:t>246</w:t>
            </w:r>
          </w:hyperlink>
        </w:p>
        <w:p>
          <w:pPr>
            <w:pStyle w:val="Contents3"/>
            <w:tabs>
              <w:tab w:val="clear" w:pos="8459"/>
              <w:tab w:val="right" w:pos="9026" w:leader="dot"/>
            </w:tabs>
            <w:rPr/>
          </w:pPr>
          <w:hyperlink w:anchor="__RefHeading___Toc1763936_2322387425">
            <w:r>
              <w:rPr>
                <w:webHidden/>
                <w:rStyle w:val="IndexLink"/>
                <w:rtl w:val="true"/>
              </w:rPr>
              <w:t>الخامس</w:t>
            </w:r>
            <w:r>
              <w:rPr>
                <w:rStyle w:val="IndexLink"/>
                <w:rtl w:val="true"/>
              </w:rPr>
              <w:t xml:space="preserve">: </w:t>
            </w:r>
            <w:r>
              <w:rPr>
                <w:rStyle w:val="IndexLink"/>
                <w:rtl w:val="true"/>
              </w:rPr>
              <w:t>عدم الحائل بین المصلّی والمیت</w:t>
            </w:r>
            <w:r>
              <w:rPr>
                <w:rStyle w:val="IndexLink"/>
                <w:rtl w:val="true"/>
              </w:rPr>
              <w:tab/>
            </w:r>
            <w:r>
              <w:rPr>
                <w:rStyle w:val="IndexLink"/>
              </w:rPr>
              <w:t>247</w:t>
            </w:r>
          </w:hyperlink>
        </w:p>
        <w:p>
          <w:pPr>
            <w:pStyle w:val="Contents3"/>
            <w:tabs>
              <w:tab w:val="clear" w:pos="8459"/>
              <w:tab w:val="right" w:pos="9026" w:leader="dot"/>
            </w:tabs>
            <w:rPr/>
          </w:pPr>
          <w:hyperlink w:anchor="__RefHeading___Toc1763938_2322387425">
            <w:r>
              <w:rPr>
                <w:webHidden/>
                <w:rStyle w:val="IndexLink"/>
                <w:rtl w:val="true"/>
              </w:rPr>
              <w:t>السادس</w:t>
            </w:r>
            <w:r>
              <w:rPr>
                <w:rStyle w:val="IndexLink"/>
                <w:rtl w:val="true"/>
              </w:rPr>
              <w:t xml:space="preserve">: </w:t>
            </w:r>
            <w:r>
              <w:rPr>
                <w:rStyle w:val="IndexLink"/>
                <w:rtl w:val="true"/>
              </w:rPr>
              <w:t>عدم الإفراط فی البعد عن المیّت</w:t>
            </w:r>
            <w:r>
              <w:rPr>
                <w:rStyle w:val="IndexLink"/>
                <w:rtl w:val="true"/>
              </w:rPr>
              <w:tab/>
            </w:r>
            <w:r>
              <w:rPr>
                <w:rStyle w:val="IndexLink"/>
              </w:rPr>
              <w:t>247</w:t>
            </w:r>
          </w:hyperlink>
        </w:p>
        <w:p>
          <w:pPr>
            <w:pStyle w:val="Contents3"/>
            <w:tabs>
              <w:tab w:val="clear" w:pos="8459"/>
              <w:tab w:val="right" w:pos="9026" w:leader="dot"/>
            </w:tabs>
            <w:rPr/>
          </w:pPr>
          <w:hyperlink w:anchor="__RefHeading___Toc1763940_2322387425">
            <w:r>
              <w:rPr>
                <w:webHidden/>
                <w:rStyle w:val="IndexLink"/>
                <w:rtl w:val="true"/>
              </w:rPr>
              <w:t>السابع</w:t>
            </w:r>
            <w:r>
              <w:rPr>
                <w:rStyle w:val="IndexLink"/>
                <w:rtl w:val="true"/>
              </w:rPr>
              <w:t xml:space="preserve">: </w:t>
            </w:r>
            <w:r>
              <w:rPr>
                <w:rStyle w:val="IndexLink"/>
                <w:rtl w:val="true"/>
              </w:rPr>
              <w:t>عدم العلوّ المفرط بین المصلّی والمیت</w:t>
            </w:r>
            <w:r>
              <w:rPr>
                <w:rStyle w:val="IndexLink"/>
                <w:rtl w:val="true"/>
              </w:rPr>
              <w:tab/>
            </w:r>
            <w:r>
              <w:rPr>
                <w:rStyle w:val="IndexLink"/>
              </w:rPr>
              <w:t>247</w:t>
            </w:r>
          </w:hyperlink>
        </w:p>
        <w:p>
          <w:pPr>
            <w:pStyle w:val="Contents3"/>
            <w:tabs>
              <w:tab w:val="clear" w:pos="8459"/>
              <w:tab w:val="right" w:pos="9026" w:leader="dot"/>
            </w:tabs>
            <w:rPr/>
          </w:pPr>
          <w:hyperlink w:anchor="__RefHeading___Toc1763942_2322387425">
            <w:r>
              <w:rPr>
                <w:webHidden/>
                <w:rStyle w:val="IndexLink"/>
                <w:rtl w:val="true"/>
              </w:rPr>
              <w:t>الثامن</w:t>
            </w:r>
            <w:r>
              <w:rPr>
                <w:rStyle w:val="IndexLink"/>
                <w:rtl w:val="true"/>
              </w:rPr>
              <w:t xml:space="preserve">: </w:t>
            </w:r>
            <w:r>
              <w:rPr>
                <w:rStyle w:val="IndexLink"/>
                <w:rtl w:val="true"/>
              </w:rPr>
              <w:t>استقبال القبلة عند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1763944_2322387425">
            <w:r>
              <w:rPr>
                <w:webHidden/>
                <w:rStyle w:val="IndexLink"/>
                <w:rtl w:val="true"/>
              </w:rPr>
              <w:t>التاسع</w:t>
            </w:r>
            <w:r>
              <w:rPr>
                <w:rStyle w:val="IndexLink"/>
                <w:rtl w:val="true"/>
              </w:rPr>
              <w:t xml:space="preserve">: </w:t>
            </w:r>
            <w:r>
              <w:rPr>
                <w:rStyle w:val="IndexLink"/>
                <w:rtl w:val="true"/>
              </w:rPr>
              <w:t>القیام حال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1763946_2322387425">
            <w:r>
              <w:rPr>
                <w:webHidden/>
                <w:rStyle w:val="IndexLink"/>
                <w:rtl w:val="true"/>
              </w:rPr>
              <w:t>العاشر</w:t>
            </w:r>
            <w:r>
              <w:rPr>
                <w:rStyle w:val="IndexLink"/>
                <w:rtl w:val="true"/>
              </w:rPr>
              <w:t xml:space="preserve">: </w:t>
            </w:r>
            <w:r>
              <w:rPr>
                <w:rStyle w:val="IndexLink"/>
                <w:rtl w:val="true"/>
              </w:rPr>
              <w:t>تعیین المیت</w:t>
            </w:r>
            <w:r>
              <w:rPr>
                <w:rStyle w:val="IndexLink"/>
                <w:rtl w:val="true"/>
              </w:rPr>
              <w:tab/>
            </w:r>
            <w:r>
              <w:rPr>
                <w:rStyle w:val="IndexLink"/>
              </w:rPr>
              <w:t>247</w:t>
            </w:r>
          </w:hyperlink>
        </w:p>
        <w:p>
          <w:pPr>
            <w:pStyle w:val="Contents3"/>
            <w:tabs>
              <w:tab w:val="clear" w:pos="8459"/>
              <w:tab w:val="right" w:pos="9026" w:leader="dot"/>
            </w:tabs>
            <w:rPr/>
          </w:pPr>
          <w:hyperlink w:anchor="__RefHeading___Toc1763948_2322387425">
            <w:r>
              <w:rPr>
                <w:webHidden/>
                <w:rStyle w:val="IndexLink"/>
                <w:rtl w:val="true"/>
              </w:rPr>
              <w:t>الحادی عشر</w:t>
            </w:r>
            <w:r>
              <w:rPr>
                <w:rStyle w:val="IndexLink"/>
                <w:rtl w:val="true"/>
              </w:rPr>
              <w:t xml:space="preserve">: </w:t>
            </w:r>
            <w:r>
              <w:rPr>
                <w:rStyle w:val="IndexLink"/>
                <w:rtl w:val="true"/>
              </w:rPr>
              <w:t>قصد القربة</w:t>
            </w:r>
            <w:r>
              <w:rPr>
                <w:rStyle w:val="IndexLink"/>
                <w:rtl w:val="true"/>
              </w:rPr>
              <w:tab/>
            </w:r>
            <w:r>
              <w:rPr>
                <w:rStyle w:val="IndexLink"/>
              </w:rPr>
              <w:t>247</w:t>
            </w:r>
          </w:hyperlink>
        </w:p>
        <w:p>
          <w:pPr>
            <w:pStyle w:val="Contents3"/>
            <w:tabs>
              <w:tab w:val="clear" w:pos="8459"/>
              <w:tab w:val="right" w:pos="9026" w:leader="dot"/>
            </w:tabs>
            <w:rPr/>
          </w:pPr>
          <w:hyperlink w:anchor="__RefHeading___Toc1763950_2322387425">
            <w:r>
              <w:rPr>
                <w:webHidden/>
                <w:rStyle w:val="IndexLink"/>
                <w:rtl w:val="true"/>
              </w:rPr>
              <w:t>الثانی عشر</w:t>
            </w:r>
            <w:r>
              <w:rPr>
                <w:rStyle w:val="IndexLink"/>
                <w:rtl w:val="true"/>
              </w:rPr>
              <w:t xml:space="preserve">: </w:t>
            </w:r>
            <w:r>
              <w:rPr>
                <w:rStyle w:val="IndexLink"/>
                <w:rtl w:val="true"/>
              </w:rPr>
              <w:t>إباحة المکان</w:t>
            </w:r>
            <w:r>
              <w:rPr>
                <w:rStyle w:val="IndexLink"/>
                <w:rtl w:val="true"/>
              </w:rPr>
              <w:tab/>
            </w:r>
            <w:r>
              <w:rPr>
                <w:rStyle w:val="IndexLink"/>
              </w:rPr>
              <w:t>247</w:t>
            </w:r>
          </w:hyperlink>
        </w:p>
        <w:p>
          <w:pPr>
            <w:pStyle w:val="Contents3"/>
            <w:tabs>
              <w:tab w:val="clear" w:pos="8459"/>
              <w:tab w:val="right" w:pos="9026" w:leader="dot"/>
            </w:tabs>
            <w:rPr/>
          </w:pPr>
          <w:hyperlink w:anchor="__RefHeading___Toc1763952_2322387425">
            <w:r>
              <w:rPr>
                <w:webHidden/>
                <w:rStyle w:val="IndexLink"/>
                <w:rtl w:val="true"/>
              </w:rPr>
              <w:t>الثالث عشر</w:t>
            </w:r>
            <w:r>
              <w:rPr>
                <w:rStyle w:val="IndexLink"/>
                <w:rtl w:val="true"/>
              </w:rPr>
              <w:t xml:space="preserve">: </w:t>
            </w:r>
            <w:r>
              <w:rPr>
                <w:rStyle w:val="IndexLink"/>
                <w:rtl w:val="true"/>
              </w:rPr>
              <w:t>الموالاة بین التکبیرات والأدعیة</w:t>
            </w:r>
            <w:r>
              <w:rPr>
                <w:rStyle w:val="IndexLink"/>
                <w:rtl w:val="true"/>
              </w:rPr>
              <w:tab/>
            </w:r>
            <w:r>
              <w:rPr>
                <w:rStyle w:val="IndexLink"/>
              </w:rPr>
              <w:t>248</w:t>
            </w:r>
          </w:hyperlink>
        </w:p>
        <w:p>
          <w:pPr>
            <w:pStyle w:val="Contents3"/>
            <w:tabs>
              <w:tab w:val="clear" w:pos="8459"/>
              <w:tab w:val="right" w:pos="9026" w:leader="dot"/>
            </w:tabs>
            <w:rPr/>
          </w:pPr>
          <w:hyperlink w:anchor="__RefHeading___Toc1763954_2322387425">
            <w:r>
              <w:rPr>
                <w:webHidden/>
                <w:rStyle w:val="IndexLink"/>
                <w:rtl w:val="true"/>
              </w:rPr>
              <w:t>الرابع عشر</w:t>
            </w:r>
            <w:r>
              <w:rPr>
                <w:rStyle w:val="IndexLink"/>
                <w:rtl w:val="true"/>
              </w:rPr>
              <w:t xml:space="preserve">: </w:t>
            </w:r>
            <w:r>
              <w:rPr>
                <w:rStyle w:val="IndexLink"/>
                <w:rtl w:val="true"/>
              </w:rPr>
              <w:t>الاستقرار حال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1763956_2322387425">
            <w:r>
              <w:rPr>
                <w:webHidden/>
                <w:rStyle w:val="IndexLink"/>
                <w:rtl w:val="true"/>
              </w:rPr>
              <w:t>الخامس عشر</w:t>
            </w:r>
            <w:r>
              <w:rPr>
                <w:rStyle w:val="IndexLink"/>
                <w:rtl w:val="true"/>
              </w:rPr>
              <w:t xml:space="preserve">: </w:t>
            </w:r>
            <w:r>
              <w:rPr>
                <w:rStyle w:val="IndexLink"/>
                <w:rtl w:val="true"/>
              </w:rPr>
              <w:t>تأخر الصلاة عن الغسل والکفن</w:t>
            </w:r>
            <w:r>
              <w:rPr>
                <w:rStyle w:val="IndexLink"/>
                <w:rtl w:val="true"/>
              </w:rPr>
              <w:tab/>
            </w:r>
            <w:r>
              <w:rPr>
                <w:rStyle w:val="IndexLink"/>
              </w:rPr>
              <w:t>248</w:t>
            </w:r>
          </w:hyperlink>
        </w:p>
        <w:p>
          <w:pPr>
            <w:pStyle w:val="Contents3"/>
            <w:tabs>
              <w:tab w:val="clear" w:pos="8459"/>
              <w:tab w:val="right" w:pos="9026" w:leader="dot"/>
            </w:tabs>
            <w:rPr/>
          </w:pPr>
          <w:hyperlink w:anchor="__RefHeading___Toc1763958_2322387425">
            <w:r>
              <w:rPr>
                <w:webHidden/>
                <w:rStyle w:val="IndexLink"/>
                <w:rtl w:val="true"/>
              </w:rPr>
              <w:t>السادس عشر</w:t>
            </w:r>
            <w:r>
              <w:rPr>
                <w:rStyle w:val="IndexLink"/>
                <w:rtl w:val="true"/>
              </w:rPr>
              <w:t xml:space="preserve">: </w:t>
            </w:r>
            <w:r>
              <w:rPr>
                <w:rStyle w:val="IndexLink"/>
                <w:rtl w:val="true"/>
              </w:rPr>
              <w:t>أن یکون المیت مستور العورة</w:t>
            </w:r>
            <w:r>
              <w:rPr>
                <w:rStyle w:val="IndexLink"/>
                <w:rtl w:val="true"/>
              </w:rPr>
              <w:tab/>
            </w:r>
            <w:r>
              <w:rPr>
                <w:rStyle w:val="IndexLink"/>
              </w:rPr>
              <w:t>248</w:t>
            </w:r>
          </w:hyperlink>
        </w:p>
        <w:p>
          <w:pPr>
            <w:pStyle w:val="Contents3"/>
            <w:tabs>
              <w:tab w:val="clear" w:pos="8459"/>
              <w:tab w:val="right" w:pos="9026" w:leader="dot"/>
            </w:tabs>
            <w:rPr/>
          </w:pPr>
          <w:hyperlink w:anchor="__RefHeading___Toc1763960_2322387425">
            <w:r>
              <w:rPr>
                <w:webHidden/>
                <w:rStyle w:val="IndexLink"/>
                <w:rtl w:val="true"/>
              </w:rPr>
              <w:t>السابع عشر</w:t>
            </w:r>
            <w:r>
              <w:rPr>
                <w:rStyle w:val="IndexLink"/>
                <w:rtl w:val="true"/>
              </w:rPr>
              <w:t xml:space="preserve">: </w:t>
            </w:r>
            <w:r>
              <w:rPr>
                <w:rStyle w:val="IndexLink"/>
                <w:rtl w:val="true"/>
              </w:rPr>
              <w:t>إذن الولی</w:t>
            </w:r>
            <w:r>
              <w:rPr>
                <w:rStyle w:val="IndexLink"/>
                <w:rtl w:val="true"/>
              </w:rPr>
              <w:tab/>
            </w:r>
            <w:r>
              <w:rPr>
                <w:rStyle w:val="IndexLink"/>
              </w:rPr>
              <w:t>248</w:t>
            </w:r>
          </w:hyperlink>
        </w:p>
        <w:p>
          <w:pPr>
            <w:pStyle w:val="Contents3"/>
            <w:tabs>
              <w:tab w:val="clear" w:pos="8459"/>
              <w:tab w:val="right" w:pos="9026" w:leader="dot"/>
            </w:tabs>
            <w:rPr/>
          </w:pPr>
          <w:hyperlink w:anchor="__RefHeading___Toc1763962_2322387425">
            <w:r>
              <w:rPr>
                <w:webHidden/>
                <w:rStyle w:val="IndexLink"/>
                <w:rtl w:val="true"/>
              </w:rPr>
              <w:t>ما یعتبر فی صلاة المیت</w:t>
            </w:r>
            <w:r>
              <w:rPr>
                <w:rStyle w:val="IndexLink"/>
                <w:rtl w:val="true"/>
              </w:rPr>
              <w:tab/>
            </w:r>
            <w:r>
              <w:rPr>
                <w:rStyle w:val="IndexLink"/>
              </w:rPr>
              <w:t>249</w:t>
            </w:r>
          </w:hyperlink>
        </w:p>
        <w:p>
          <w:pPr>
            <w:pStyle w:val="Contents3"/>
            <w:tabs>
              <w:tab w:val="clear" w:pos="8459"/>
              <w:tab w:val="right" w:pos="9026" w:leader="dot"/>
            </w:tabs>
            <w:rPr/>
          </w:pPr>
          <w:hyperlink w:anchor="__RefHeading___Toc1763964_2322387425">
            <w:r>
              <w:rPr>
                <w:webHidden/>
                <w:rStyle w:val="IndexLink"/>
                <w:rtl w:val="true"/>
              </w:rPr>
              <w:t>ما یلزم فی شرطیة القیام والاستقرار</w:t>
            </w:r>
            <w:r>
              <w:rPr>
                <w:rStyle w:val="IndexLink"/>
                <w:rtl w:val="true"/>
              </w:rPr>
              <w:tab/>
            </w:r>
            <w:r>
              <w:rPr>
                <w:rStyle w:val="IndexLink"/>
              </w:rPr>
              <w:t>250</w:t>
            </w:r>
          </w:hyperlink>
        </w:p>
        <w:p>
          <w:pPr>
            <w:pStyle w:val="Contents3"/>
            <w:tabs>
              <w:tab w:val="clear" w:pos="8459"/>
              <w:tab w:val="right" w:pos="9026" w:leader="dot"/>
            </w:tabs>
            <w:rPr/>
          </w:pPr>
          <w:hyperlink w:anchor="__RefHeading___Toc1763966_2322387425">
            <w:r>
              <w:rPr>
                <w:webHidden/>
                <w:rStyle w:val="IndexLink"/>
                <w:rtl w:val="true"/>
              </w:rPr>
              <w:t>حکم الصلاة عند اشتباه القبلة</w:t>
            </w:r>
            <w:r>
              <w:rPr>
                <w:rStyle w:val="IndexLink"/>
                <w:rtl w:val="true"/>
              </w:rPr>
              <w:tab/>
            </w:r>
            <w:r>
              <w:rPr>
                <w:rStyle w:val="IndexLink"/>
              </w:rPr>
              <w:t>250</w:t>
            </w:r>
          </w:hyperlink>
        </w:p>
        <w:p>
          <w:pPr>
            <w:pStyle w:val="Contents3"/>
            <w:tabs>
              <w:tab w:val="clear" w:pos="8459"/>
              <w:tab w:val="right" w:pos="9026" w:leader="dot"/>
            </w:tabs>
            <w:rPr/>
          </w:pPr>
          <w:hyperlink w:anchor="__RefHeading___Toc1763968_2322387425">
            <w:r>
              <w:rPr>
                <w:webHidden/>
                <w:rStyle w:val="IndexLink"/>
                <w:rtl w:val="true"/>
              </w:rPr>
              <w:t>غصبیة مکان المیّت دون المصلّی</w:t>
            </w:r>
            <w:r>
              <w:rPr>
                <w:rStyle w:val="IndexLink"/>
                <w:rtl w:val="true"/>
              </w:rPr>
              <w:tab/>
            </w:r>
            <w:r>
              <w:rPr>
                <w:rStyle w:val="IndexLink"/>
              </w:rPr>
              <w:t>251</w:t>
            </w:r>
          </w:hyperlink>
        </w:p>
        <w:p>
          <w:pPr>
            <w:pStyle w:val="Contents3"/>
            <w:tabs>
              <w:tab w:val="clear" w:pos="8459"/>
              <w:tab w:val="right" w:pos="9026" w:leader="dot"/>
            </w:tabs>
            <w:rPr/>
          </w:pPr>
          <w:hyperlink w:anchor="__RefHeading___Toc1763970_2322387425">
            <w:r>
              <w:rPr>
                <w:webHidden/>
                <w:rStyle w:val="IndexLink"/>
                <w:rtl w:val="true"/>
              </w:rPr>
              <w:t>صلاة غیر المأذون من الولی</w:t>
            </w:r>
            <w:r>
              <w:rPr>
                <w:rStyle w:val="IndexLink"/>
                <w:rtl w:val="true"/>
              </w:rPr>
              <w:tab/>
            </w:r>
            <w:r>
              <w:rPr>
                <w:rStyle w:val="IndexLink"/>
              </w:rPr>
              <w:t>252</w:t>
            </w:r>
          </w:hyperlink>
        </w:p>
        <w:p>
          <w:pPr>
            <w:pStyle w:val="Contents3"/>
            <w:tabs>
              <w:tab w:val="clear" w:pos="8459"/>
              <w:tab w:val="right" w:pos="9026" w:leader="dot"/>
            </w:tabs>
            <w:rPr/>
          </w:pPr>
          <w:hyperlink w:anchor="__RefHeading___Toc1763972_2322387425">
            <w:r>
              <w:rPr>
                <w:webHidden/>
                <w:rStyle w:val="IndexLink"/>
                <w:rtl w:val="true"/>
              </w:rPr>
              <w:t>اذا دفن المیت ولم یصلَّ علیه</w:t>
            </w:r>
            <w:r>
              <w:rPr>
                <w:rStyle w:val="IndexLink"/>
                <w:rtl w:val="true"/>
              </w:rPr>
              <w:tab/>
            </w:r>
            <w:r>
              <w:rPr>
                <w:rStyle w:val="IndexLink"/>
              </w:rPr>
              <w:t>252</w:t>
            </w:r>
          </w:hyperlink>
        </w:p>
        <w:p>
          <w:pPr>
            <w:pStyle w:val="Contents3"/>
            <w:tabs>
              <w:tab w:val="clear" w:pos="8459"/>
              <w:tab w:val="right" w:pos="9026" w:leader="dot"/>
            </w:tabs>
            <w:rPr/>
          </w:pPr>
          <w:hyperlink w:anchor="__RefHeading___Toc1763974_2322387425">
            <w:r>
              <w:rPr>
                <w:webHidden/>
                <w:rStyle w:val="IndexLink"/>
                <w:rtl w:val="true"/>
              </w:rPr>
              <w:t>التیمّم لصلاة الجنازة</w:t>
            </w:r>
            <w:r>
              <w:rPr>
                <w:rStyle w:val="IndexLink"/>
                <w:rtl w:val="true"/>
              </w:rPr>
              <w:tab/>
            </w:r>
            <w:r>
              <w:rPr>
                <w:rStyle w:val="IndexLink"/>
              </w:rPr>
              <w:t>253</w:t>
            </w:r>
          </w:hyperlink>
        </w:p>
        <w:p>
          <w:pPr>
            <w:pStyle w:val="Contents3"/>
            <w:tabs>
              <w:tab w:val="clear" w:pos="8459"/>
              <w:tab w:val="right" w:pos="9026" w:leader="dot"/>
            </w:tabs>
            <w:rPr/>
          </w:pPr>
          <w:hyperlink w:anchor="__RefHeading___Toc1763976_2322387425">
            <w:r>
              <w:rPr>
                <w:webHidden/>
                <w:rStyle w:val="IndexLink"/>
                <w:rtl w:val="true"/>
              </w:rPr>
              <w:t>الکلام بغیر الصلاة أثناء صلاة الجنازة</w:t>
            </w:r>
            <w:r>
              <w:rPr>
                <w:rStyle w:val="IndexLink"/>
                <w:rtl w:val="true"/>
              </w:rPr>
              <w:tab/>
            </w:r>
            <w:r>
              <w:rPr>
                <w:rStyle w:val="IndexLink"/>
              </w:rPr>
              <w:t>253</w:t>
            </w:r>
          </w:hyperlink>
        </w:p>
        <w:p>
          <w:pPr>
            <w:pStyle w:val="Contents3"/>
            <w:tabs>
              <w:tab w:val="clear" w:pos="8459"/>
              <w:tab w:val="right" w:pos="9026" w:leader="dot"/>
            </w:tabs>
            <w:rPr/>
          </w:pPr>
          <w:hyperlink w:anchor="__RefHeading___Toc1763978_2322387425">
            <w:r>
              <w:rPr>
                <w:webHidden/>
                <w:rStyle w:val="IndexLink"/>
                <w:rtl w:val="true"/>
              </w:rPr>
              <w:t>الإشکال فی صلاة العاجز مع وجود من یستطیع القیام</w:t>
            </w:r>
            <w:r>
              <w:rPr>
                <w:rStyle w:val="IndexLink"/>
                <w:rtl w:val="true"/>
              </w:rPr>
              <w:tab/>
            </w:r>
            <w:r>
              <w:rPr>
                <w:rStyle w:val="IndexLink"/>
              </w:rPr>
              <w:t>254</w:t>
            </w:r>
          </w:hyperlink>
        </w:p>
        <w:p>
          <w:pPr>
            <w:pStyle w:val="Contents3"/>
            <w:tabs>
              <w:tab w:val="clear" w:pos="8459"/>
              <w:tab w:val="right" w:pos="9026" w:leader="dot"/>
            </w:tabs>
            <w:rPr/>
          </w:pPr>
          <w:hyperlink w:anchor="__RefHeading___Toc1763980_2322387425">
            <w:r>
              <w:rPr>
                <w:webHidden/>
                <w:rStyle w:val="IndexLink"/>
                <w:rtl w:val="true"/>
              </w:rPr>
              <w:t>انکشاف وجود القادر بعد الصلاة من العاجز</w:t>
            </w:r>
            <w:r>
              <w:rPr>
                <w:rStyle w:val="IndexLink"/>
                <w:rtl w:val="true"/>
              </w:rPr>
              <w:tab/>
            </w:r>
            <w:r>
              <w:rPr>
                <w:rStyle w:val="IndexLink"/>
              </w:rPr>
              <w:t>256</w:t>
            </w:r>
          </w:hyperlink>
        </w:p>
        <w:p>
          <w:pPr>
            <w:pStyle w:val="Contents3"/>
            <w:tabs>
              <w:tab w:val="clear" w:pos="8459"/>
              <w:tab w:val="right" w:pos="9026" w:leader="dot"/>
            </w:tabs>
            <w:rPr/>
          </w:pPr>
          <w:hyperlink w:anchor="__RefHeading___Toc1763982_2322387425">
            <w:r>
              <w:rPr>
                <w:webHidden/>
                <w:rStyle w:val="IndexLink"/>
                <w:rtl w:val="true"/>
              </w:rPr>
              <w:t>الشک فی صلاة الغیر</w:t>
            </w:r>
            <w:r>
              <w:rPr>
                <w:rStyle w:val="IndexLink"/>
                <w:rtl w:val="true"/>
              </w:rPr>
              <w:tab/>
            </w:r>
            <w:r>
              <w:rPr>
                <w:rStyle w:val="IndexLink"/>
              </w:rPr>
              <w:t>256</w:t>
            </w:r>
          </w:hyperlink>
        </w:p>
        <w:p>
          <w:pPr>
            <w:pStyle w:val="Contents3"/>
            <w:tabs>
              <w:tab w:val="clear" w:pos="8459"/>
              <w:tab w:val="right" w:pos="9026" w:leader="dot"/>
            </w:tabs>
            <w:rPr/>
          </w:pPr>
          <w:hyperlink w:anchor="__RefHeading___Toc1763984_2322387425">
            <w:r>
              <w:rPr>
                <w:webHidden/>
                <w:rStyle w:val="IndexLink"/>
                <w:rtl w:val="true"/>
              </w:rPr>
              <w:t>الصلاة علی المیّت مع العلم ببطلانها تقلیلاً أو اجتهاداً</w:t>
            </w:r>
            <w:r>
              <w:rPr>
                <w:rStyle w:val="IndexLink"/>
                <w:rtl w:val="true"/>
              </w:rPr>
              <w:tab/>
            </w:r>
            <w:r>
              <w:rPr>
                <w:rStyle w:val="IndexLink"/>
              </w:rPr>
              <w:t>257</w:t>
            </w:r>
          </w:hyperlink>
        </w:p>
        <w:p>
          <w:pPr>
            <w:pStyle w:val="Contents3"/>
            <w:tabs>
              <w:tab w:val="clear" w:pos="8459"/>
              <w:tab w:val="right" w:pos="9026" w:leader="dot"/>
            </w:tabs>
            <w:rPr/>
          </w:pPr>
          <w:hyperlink w:anchor="__RefHeading___Toc1763986_2322387425">
            <w:r>
              <w:rPr>
                <w:webHidden/>
                <w:rStyle w:val="IndexLink"/>
                <w:rtl w:val="true"/>
              </w:rPr>
              <w:t>الصلاة علی المصلوب</w:t>
            </w:r>
            <w:r>
              <w:rPr>
                <w:rStyle w:val="IndexLink"/>
                <w:rtl w:val="true"/>
              </w:rPr>
              <w:tab/>
            </w:r>
            <w:r>
              <w:rPr>
                <w:rStyle w:val="IndexLink"/>
              </w:rPr>
              <w:t>258</w:t>
            </w:r>
          </w:hyperlink>
        </w:p>
        <w:p>
          <w:pPr>
            <w:pStyle w:val="Contents3"/>
            <w:tabs>
              <w:tab w:val="clear" w:pos="8459"/>
              <w:tab w:val="right" w:pos="9026" w:leader="dot"/>
            </w:tabs>
            <w:rPr/>
          </w:pPr>
          <w:hyperlink w:anchor="__RefHeading___Toc1763988_2322387425">
            <w:r>
              <w:rPr>
                <w:webHidden/>
                <w:rStyle w:val="IndexLink"/>
                <w:rtl w:val="true"/>
              </w:rPr>
              <w:t>تکرار الصلاة علی المیت</w:t>
            </w:r>
            <w:r>
              <w:rPr>
                <w:rStyle w:val="IndexLink"/>
                <w:rtl w:val="true"/>
              </w:rPr>
              <w:tab/>
            </w:r>
            <w:r>
              <w:rPr>
                <w:rStyle w:val="IndexLink"/>
              </w:rPr>
              <w:t>260</w:t>
            </w:r>
          </w:hyperlink>
        </w:p>
        <w:p>
          <w:pPr>
            <w:pStyle w:val="Contents3"/>
            <w:tabs>
              <w:tab w:val="clear" w:pos="8459"/>
              <w:tab w:val="right" w:pos="9026" w:leader="dot"/>
            </w:tabs>
            <w:rPr/>
          </w:pPr>
          <w:hyperlink w:anchor="__RefHeading___Toc1763990_2322387425">
            <w:r>
              <w:rPr>
                <w:webHidden/>
                <w:rStyle w:val="IndexLink"/>
                <w:rtl w:val="true"/>
              </w:rPr>
              <w:t>لو ترکت الصلاة قبل الدفن</w:t>
            </w:r>
            <w:r>
              <w:rPr>
                <w:rStyle w:val="IndexLink"/>
                <w:rtl w:val="true"/>
              </w:rPr>
              <w:tab/>
            </w:r>
            <w:r>
              <w:rPr>
                <w:rStyle w:val="IndexLink"/>
              </w:rPr>
              <w:t>261</w:t>
            </w:r>
          </w:hyperlink>
        </w:p>
        <w:p>
          <w:pPr>
            <w:pStyle w:val="Contents3"/>
            <w:tabs>
              <w:tab w:val="clear" w:pos="8459"/>
              <w:tab w:val="right" w:pos="9026" w:leader="dot"/>
            </w:tabs>
            <w:rPr/>
          </w:pPr>
          <w:hyperlink w:anchor="__RefHeading___Toc1763992_2322387425">
            <w:r>
              <w:rPr>
                <w:webHidden/>
                <w:rStyle w:val="IndexLink"/>
                <w:rtl w:val="true"/>
              </w:rPr>
              <w:t>الصلاة علی المصلّی علیه قبل الدفن</w:t>
            </w:r>
            <w:r>
              <w:rPr>
                <w:rStyle w:val="IndexLink"/>
                <w:rtl w:val="true"/>
              </w:rPr>
              <w:tab/>
            </w:r>
            <w:r>
              <w:rPr>
                <w:rStyle w:val="IndexLink"/>
              </w:rPr>
              <w:t>262</w:t>
            </w:r>
          </w:hyperlink>
        </w:p>
        <w:p>
          <w:pPr>
            <w:pStyle w:val="Contents3"/>
            <w:tabs>
              <w:tab w:val="clear" w:pos="8459"/>
              <w:tab w:val="right" w:pos="9026" w:leader="dot"/>
            </w:tabs>
            <w:rPr/>
          </w:pPr>
          <w:hyperlink w:anchor="__RefHeading___Toc1763994_2322387425">
            <w:r>
              <w:rPr>
                <w:webHidden/>
                <w:rStyle w:val="IndexLink"/>
                <w:rtl w:val="true"/>
              </w:rPr>
              <w:t>استحباب المبادرة إلی صلاة‌الجنازة</w:t>
            </w:r>
            <w:r>
              <w:rPr>
                <w:rStyle w:val="IndexLink"/>
                <w:rtl w:val="true"/>
              </w:rPr>
              <w:tab/>
            </w:r>
            <w:r>
              <w:rPr>
                <w:rStyle w:val="IndexLink"/>
              </w:rPr>
              <w:t>263</w:t>
            </w:r>
          </w:hyperlink>
        </w:p>
        <w:p>
          <w:pPr>
            <w:pStyle w:val="Contents3"/>
            <w:tabs>
              <w:tab w:val="clear" w:pos="8459"/>
              <w:tab w:val="right" w:pos="9026" w:leader="dot"/>
            </w:tabs>
            <w:rPr/>
          </w:pPr>
          <w:hyperlink w:anchor="__RefHeading___Toc1763996_2322387425">
            <w:r>
              <w:rPr>
                <w:webHidden/>
                <w:rStyle w:val="IndexLink"/>
                <w:rtl w:val="true"/>
              </w:rPr>
              <w:t>الصلاة علی الجنازة أثناء الفریضة الیومیة</w:t>
            </w:r>
            <w:r>
              <w:rPr>
                <w:rStyle w:val="IndexLink"/>
                <w:rtl w:val="true"/>
              </w:rPr>
              <w:tab/>
            </w:r>
            <w:r>
              <w:rPr>
                <w:rStyle w:val="IndexLink"/>
              </w:rPr>
              <w:t>264</w:t>
            </w:r>
          </w:hyperlink>
        </w:p>
        <w:p>
          <w:pPr>
            <w:pStyle w:val="Contents3"/>
            <w:tabs>
              <w:tab w:val="clear" w:pos="8459"/>
              <w:tab w:val="right" w:pos="9026" w:leader="dot"/>
            </w:tabs>
            <w:rPr/>
          </w:pPr>
          <w:hyperlink w:anchor="__RefHeading___Toc1763998_2322387425">
            <w:r>
              <w:rPr>
                <w:webHidden/>
                <w:rStyle w:val="IndexLink"/>
                <w:rtl w:val="true"/>
              </w:rPr>
              <w:t>کیفیة الصلاة إذا تعدّدت الجنائز</w:t>
            </w:r>
            <w:r>
              <w:rPr>
                <w:rStyle w:val="IndexLink"/>
                <w:rtl w:val="true"/>
              </w:rPr>
              <w:tab/>
            </w:r>
            <w:r>
              <w:rPr>
                <w:rStyle w:val="IndexLink"/>
              </w:rPr>
              <w:t>265</w:t>
            </w:r>
          </w:hyperlink>
        </w:p>
        <w:p>
          <w:pPr>
            <w:pStyle w:val="Contents3"/>
            <w:tabs>
              <w:tab w:val="clear" w:pos="8459"/>
              <w:tab w:val="right" w:pos="9026" w:leader="dot"/>
            </w:tabs>
            <w:rPr/>
          </w:pPr>
          <w:hyperlink w:anchor="__RefHeading___Toc1764000_2322387425">
            <w:r>
              <w:rPr>
                <w:webHidden/>
                <w:rStyle w:val="IndexLink"/>
                <w:rtl w:val="true"/>
              </w:rPr>
              <w:t>إذا تواردت جنازة أثناء أخری</w:t>
            </w:r>
            <w:r>
              <w:rPr>
                <w:rStyle w:val="IndexLink"/>
                <w:rtl w:val="true"/>
              </w:rPr>
              <w:tab/>
            </w:r>
            <w:r>
              <w:rPr>
                <w:rStyle w:val="IndexLink"/>
              </w:rPr>
              <w:t>265</w:t>
            </w:r>
          </w:hyperlink>
        </w:p>
        <w:p>
          <w:pPr>
            <w:pStyle w:val="Contents2"/>
            <w:tabs>
              <w:tab w:val="clear" w:pos="8743"/>
              <w:tab w:val="right" w:pos="9026" w:leader="dot"/>
            </w:tabs>
            <w:rPr/>
          </w:pPr>
          <w:hyperlink w:anchor="__RefHeading___Toc1764002_2322387425">
            <w:r>
              <w:rPr>
                <w:webHidden/>
                <w:rStyle w:val="IndexLink"/>
                <w:rtl w:val="true"/>
              </w:rPr>
              <w:t>فصل</w:t>
            </w:r>
            <w:r>
              <w:rPr>
                <w:rStyle w:val="IndexLink"/>
                <w:rtl w:val="true"/>
              </w:rPr>
              <w:t xml:space="preserve">: </w:t>
            </w:r>
            <w:r>
              <w:rPr>
                <w:rStyle w:val="IndexLink"/>
                <w:rtl w:val="true"/>
              </w:rPr>
              <w:t>فی آداب الصلاة علی المیّت</w:t>
            </w:r>
            <w:r>
              <w:rPr>
                <w:rStyle w:val="IndexLink"/>
                <w:rtl w:val="true"/>
              </w:rPr>
              <w:tab/>
            </w:r>
            <w:r>
              <w:rPr>
                <w:rStyle w:val="IndexLink"/>
              </w:rPr>
              <w:t>267</w:t>
            </w:r>
          </w:hyperlink>
        </w:p>
        <w:p>
          <w:pPr>
            <w:pStyle w:val="Contents2"/>
            <w:tabs>
              <w:tab w:val="clear" w:pos="8743"/>
              <w:tab w:val="right" w:pos="9026" w:leader="dot"/>
            </w:tabs>
            <w:rPr/>
          </w:pPr>
          <w:hyperlink w:anchor="__RefHeading___Toc1764004_2322387425">
            <w:r>
              <w:rPr>
                <w:webHidden/>
                <w:rStyle w:val="IndexLink"/>
                <w:rtl w:val="true"/>
              </w:rPr>
              <w:t>فصل</w:t>
            </w:r>
            <w:r>
              <w:rPr>
                <w:rStyle w:val="IndexLink"/>
                <w:rtl w:val="true"/>
              </w:rPr>
              <w:t xml:space="preserve">: </w:t>
            </w:r>
            <w:r>
              <w:rPr>
                <w:rStyle w:val="IndexLink"/>
                <w:rtl w:val="true"/>
              </w:rPr>
              <w:t>فی الدفن</w:t>
            </w:r>
            <w:r>
              <w:rPr>
                <w:rStyle w:val="IndexLink"/>
                <w:rtl w:val="true"/>
              </w:rPr>
              <w:tab/>
            </w:r>
            <w:r>
              <w:rPr>
                <w:rStyle w:val="IndexLink"/>
              </w:rPr>
              <w:t>272</w:t>
            </w:r>
          </w:hyperlink>
        </w:p>
        <w:p>
          <w:pPr>
            <w:pStyle w:val="Contents3"/>
            <w:tabs>
              <w:tab w:val="clear" w:pos="8459"/>
              <w:tab w:val="right" w:pos="9026" w:leader="dot"/>
            </w:tabs>
            <w:rPr/>
          </w:pPr>
          <w:hyperlink w:anchor="__RefHeading___Toc1764006_2322387425">
            <w:r>
              <w:rPr>
                <w:webHidden/>
                <w:rStyle w:val="IndexLink"/>
                <w:rtl w:val="true"/>
              </w:rPr>
              <w:t>ما یعتبر فی وجوب مواراة المیت</w:t>
            </w:r>
            <w:r>
              <w:rPr>
                <w:rStyle w:val="IndexLink"/>
                <w:rtl w:val="true"/>
              </w:rPr>
              <w:tab/>
            </w:r>
            <w:r>
              <w:rPr>
                <w:rStyle w:val="IndexLink"/>
              </w:rPr>
              <w:t>272</w:t>
            </w:r>
          </w:hyperlink>
        </w:p>
        <w:p>
          <w:pPr>
            <w:pStyle w:val="Contents3"/>
            <w:tabs>
              <w:tab w:val="clear" w:pos="8459"/>
              <w:tab w:val="right" w:pos="9026" w:leader="dot"/>
            </w:tabs>
            <w:rPr/>
          </w:pPr>
          <w:hyperlink w:anchor="__RefHeading___Toc1764008_2322387425">
            <w:r>
              <w:rPr>
                <w:webHidden/>
                <w:rStyle w:val="IndexLink"/>
                <w:rtl w:val="true"/>
              </w:rPr>
              <w:t>شرطیة الاستقبال فی الدفن</w:t>
            </w:r>
            <w:r>
              <w:rPr>
                <w:rStyle w:val="IndexLink"/>
                <w:rtl w:val="true"/>
              </w:rPr>
              <w:tab/>
            </w:r>
            <w:r>
              <w:rPr>
                <w:rStyle w:val="IndexLink"/>
              </w:rPr>
              <w:t>273</w:t>
            </w:r>
          </w:hyperlink>
        </w:p>
        <w:p>
          <w:pPr>
            <w:pStyle w:val="Contents3"/>
            <w:tabs>
              <w:tab w:val="clear" w:pos="8459"/>
              <w:tab w:val="right" w:pos="9026" w:leader="dot"/>
            </w:tabs>
            <w:rPr/>
          </w:pPr>
          <w:hyperlink w:anchor="__RefHeading___Toc1764010_2322387425">
            <w:r>
              <w:rPr>
                <w:webHidden/>
                <w:rStyle w:val="IndexLink"/>
                <w:rtl w:val="true"/>
              </w:rPr>
              <w:t>حکم الموت فی السفینة</w:t>
            </w:r>
            <w:r>
              <w:rPr>
                <w:rStyle w:val="IndexLink"/>
                <w:rtl w:val="true"/>
              </w:rPr>
              <w:tab/>
            </w:r>
            <w:r>
              <w:rPr>
                <w:rStyle w:val="IndexLink"/>
              </w:rPr>
              <w:t>275</w:t>
            </w:r>
          </w:hyperlink>
        </w:p>
        <w:p>
          <w:pPr>
            <w:pStyle w:val="Contents3"/>
            <w:tabs>
              <w:tab w:val="clear" w:pos="8459"/>
              <w:tab w:val="right" w:pos="9026" w:leader="dot"/>
            </w:tabs>
            <w:rPr/>
          </w:pPr>
          <w:hyperlink w:anchor="__RefHeading___Toc1764012_2322387425">
            <w:r>
              <w:rPr>
                <w:webHidden/>
                <w:rStyle w:val="IndexLink"/>
                <w:rtl w:val="true"/>
              </w:rPr>
              <w:t>حکم الجنین من مسلم إذا مات فی بطن کافرة</w:t>
            </w:r>
            <w:r>
              <w:rPr>
                <w:rStyle w:val="IndexLink"/>
                <w:rtl w:val="true"/>
              </w:rPr>
              <w:tab/>
            </w:r>
            <w:r>
              <w:rPr>
                <w:rStyle w:val="IndexLink"/>
              </w:rPr>
              <w:t>276</w:t>
            </w:r>
          </w:hyperlink>
        </w:p>
        <w:p>
          <w:pPr>
            <w:pStyle w:val="Contents3"/>
            <w:tabs>
              <w:tab w:val="clear" w:pos="8459"/>
              <w:tab w:val="right" w:pos="9026" w:leader="dot"/>
            </w:tabs>
            <w:rPr/>
          </w:pPr>
          <w:hyperlink w:anchor="__RefHeading___Toc1764014_2322387425">
            <w:r>
              <w:rPr>
                <w:webHidden/>
                <w:rStyle w:val="IndexLink"/>
                <w:rtl w:val="true"/>
              </w:rPr>
              <w:t>فروع فی واجبات الدفن وأحکامه</w:t>
            </w:r>
            <w:r>
              <w:rPr>
                <w:rStyle w:val="IndexLink"/>
                <w:rtl w:val="true"/>
              </w:rPr>
              <w:tab/>
            </w:r>
            <w:r>
              <w:rPr>
                <w:rStyle w:val="IndexLink"/>
              </w:rPr>
              <w:t>277</w:t>
            </w:r>
          </w:hyperlink>
        </w:p>
        <w:p>
          <w:pPr>
            <w:pStyle w:val="Contents3"/>
            <w:tabs>
              <w:tab w:val="clear" w:pos="8459"/>
              <w:tab w:val="right" w:pos="9026" w:leader="dot"/>
            </w:tabs>
            <w:rPr/>
          </w:pPr>
          <w:hyperlink w:anchor="__RefHeading___Toc1764016_2322387425">
            <w:r>
              <w:rPr>
                <w:webHidden/>
                <w:rStyle w:val="IndexLink"/>
                <w:rtl w:val="true"/>
              </w:rPr>
              <w:t>موت الجنین فی بطن الحامل أو حیاته وموتها</w:t>
            </w:r>
            <w:r>
              <w:rPr>
                <w:rStyle w:val="IndexLink"/>
                <w:rtl w:val="true"/>
              </w:rPr>
              <w:tab/>
            </w:r>
            <w:r>
              <w:rPr>
                <w:rStyle w:val="IndexLink"/>
              </w:rPr>
              <w:t>283</w:t>
            </w:r>
          </w:hyperlink>
        </w:p>
        <w:p>
          <w:pPr>
            <w:pStyle w:val="Contents2"/>
            <w:tabs>
              <w:tab w:val="clear" w:pos="8743"/>
              <w:tab w:val="right" w:pos="9026" w:leader="dot"/>
            </w:tabs>
            <w:rPr/>
          </w:pPr>
          <w:hyperlink w:anchor="__RefHeading___Toc1764018_2322387425">
            <w:r>
              <w:rPr>
                <w:webHidden/>
                <w:rStyle w:val="IndexLink"/>
                <w:rtl w:val="true"/>
              </w:rPr>
              <w:t>فصل</w:t>
            </w:r>
            <w:r>
              <w:rPr>
                <w:rStyle w:val="IndexLink"/>
                <w:rtl w:val="true"/>
              </w:rPr>
              <w:t xml:space="preserve">: </w:t>
            </w:r>
            <w:r>
              <w:rPr>
                <w:rStyle w:val="IndexLink"/>
                <w:rtl w:val="true"/>
              </w:rPr>
              <w:t>فی المستحبّات قبل الدفن وحینه وبعده</w:t>
            </w:r>
            <w:r>
              <w:rPr>
                <w:rStyle w:val="IndexLink"/>
                <w:rtl w:val="true"/>
              </w:rPr>
              <w:tab/>
            </w:r>
            <w:r>
              <w:rPr>
                <w:rStyle w:val="IndexLink"/>
              </w:rPr>
              <w:t>285</w:t>
            </w:r>
          </w:hyperlink>
        </w:p>
        <w:p>
          <w:pPr>
            <w:pStyle w:val="Contents3"/>
            <w:tabs>
              <w:tab w:val="clear" w:pos="8459"/>
              <w:tab w:val="right" w:pos="9026" w:leader="dot"/>
            </w:tabs>
            <w:rPr/>
          </w:pPr>
          <w:hyperlink w:anchor="__RefHeading___Toc1764020_2322387425">
            <w:r>
              <w:rPr>
                <w:webHidden/>
                <w:rStyle w:val="IndexLink"/>
                <w:rtl w:val="true"/>
              </w:rPr>
              <w:t>المستحبات المتعلقة بالدفن</w:t>
            </w:r>
            <w:r>
              <w:rPr>
                <w:rStyle w:val="IndexLink"/>
                <w:rtl w:val="true"/>
              </w:rPr>
              <w:tab/>
            </w:r>
            <w:r>
              <w:rPr>
                <w:rStyle w:val="IndexLink"/>
              </w:rPr>
              <w:t>285</w:t>
            </w:r>
          </w:hyperlink>
        </w:p>
        <w:p>
          <w:pPr>
            <w:pStyle w:val="Contents3"/>
            <w:tabs>
              <w:tab w:val="clear" w:pos="8459"/>
              <w:tab w:val="right" w:pos="9026" w:leader="dot"/>
            </w:tabs>
            <w:rPr/>
          </w:pPr>
          <w:hyperlink w:anchor="__RefHeading___Toc1764022_2322387425">
            <w:r>
              <w:rPr>
                <w:webHidden/>
                <w:rStyle w:val="IndexLink"/>
                <w:rtl w:val="true"/>
              </w:rPr>
              <w:t>کیفیة التلقین</w:t>
            </w:r>
            <w:r>
              <w:rPr>
                <w:rStyle w:val="IndexLink"/>
                <w:rtl w:val="true"/>
              </w:rPr>
              <w:tab/>
            </w:r>
            <w:r>
              <w:rPr>
                <w:rStyle w:val="IndexLink"/>
              </w:rPr>
              <w:t>288</w:t>
            </w:r>
          </w:hyperlink>
        </w:p>
        <w:p>
          <w:pPr>
            <w:pStyle w:val="Contents3"/>
            <w:tabs>
              <w:tab w:val="clear" w:pos="8459"/>
              <w:tab w:val="right" w:pos="9026" w:leader="dot"/>
            </w:tabs>
            <w:rPr/>
          </w:pPr>
          <w:hyperlink w:anchor="__RefHeading___Toc1764024_2322387425">
            <w:r>
              <w:rPr>
                <w:webHidden/>
                <w:rStyle w:val="IndexLink"/>
                <w:rtl w:val="true"/>
              </w:rPr>
              <w:t>بقیة مستحبات الدفن</w:t>
            </w:r>
            <w:r>
              <w:rPr>
                <w:rStyle w:val="IndexLink"/>
                <w:rtl w:val="true"/>
              </w:rPr>
              <w:tab/>
            </w:r>
            <w:r>
              <w:rPr>
                <w:rStyle w:val="IndexLink"/>
              </w:rPr>
              <w:t>289</w:t>
            </w:r>
          </w:hyperlink>
        </w:p>
        <w:p>
          <w:pPr>
            <w:pStyle w:val="Contents3"/>
            <w:tabs>
              <w:tab w:val="clear" w:pos="8459"/>
              <w:tab w:val="right" w:pos="9026" w:leader="dot"/>
            </w:tabs>
            <w:rPr/>
          </w:pPr>
          <w:hyperlink w:anchor="__RefHeading___Toc1764026_2322387425">
            <w:r>
              <w:rPr>
                <w:webHidden/>
                <w:rStyle w:val="IndexLink"/>
                <w:rtl w:val="true"/>
              </w:rPr>
              <w:t>صلاة لیلة الدفن</w:t>
            </w:r>
            <w:r>
              <w:rPr>
                <w:rStyle w:val="IndexLink"/>
                <w:rtl w:val="true"/>
              </w:rPr>
              <w:tab/>
            </w:r>
            <w:r>
              <w:rPr>
                <w:rStyle w:val="IndexLink"/>
              </w:rPr>
              <w:t>295</w:t>
            </w:r>
          </w:hyperlink>
        </w:p>
        <w:p>
          <w:pPr>
            <w:pStyle w:val="Contents2"/>
            <w:tabs>
              <w:tab w:val="clear" w:pos="8743"/>
              <w:tab w:val="right" w:pos="9026" w:leader="dot"/>
            </w:tabs>
            <w:rPr/>
          </w:pPr>
          <w:hyperlink w:anchor="__RefHeading___Toc1764028_2322387425">
            <w:r>
              <w:rPr>
                <w:webHidden/>
                <w:rStyle w:val="IndexLink"/>
                <w:rtl w:val="true"/>
              </w:rPr>
              <w:t>فصل</w:t>
            </w:r>
            <w:r>
              <w:rPr>
                <w:rStyle w:val="IndexLink"/>
                <w:rtl w:val="true"/>
              </w:rPr>
              <w:t xml:space="preserve">: </w:t>
            </w:r>
            <w:r>
              <w:rPr>
                <w:rStyle w:val="IndexLink"/>
                <w:rtl w:val="true"/>
              </w:rPr>
              <w:t>فی مکروهات الدفن</w:t>
            </w:r>
            <w:r>
              <w:rPr>
                <w:rStyle w:val="IndexLink"/>
                <w:rtl w:val="true"/>
              </w:rPr>
              <w:tab/>
            </w:r>
            <w:r>
              <w:rPr>
                <w:rStyle w:val="IndexLink"/>
              </w:rPr>
              <w:t>298</w:t>
            </w:r>
          </w:hyperlink>
        </w:p>
        <w:p>
          <w:pPr>
            <w:pStyle w:val="Contents3"/>
            <w:tabs>
              <w:tab w:val="clear" w:pos="8459"/>
              <w:tab w:val="right" w:pos="9026" w:leader="dot"/>
            </w:tabs>
            <w:rPr/>
          </w:pPr>
          <w:hyperlink w:anchor="__RefHeading___Toc1764030_2322387425">
            <w:r>
              <w:rPr>
                <w:webHidden/>
                <w:rStyle w:val="IndexLink"/>
                <w:rtl w:val="true"/>
              </w:rPr>
              <w:t>أحکام القبور</w:t>
            </w:r>
            <w:r>
              <w:rPr>
                <w:rStyle w:val="IndexLink"/>
                <w:rtl w:val="true"/>
              </w:rPr>
              <w:tab/>
            </w:r>
            <w:r>
              <w:rPr>
                <w:rStyle w:val="IndexLink"/>
              </w:rPr>
              <w:t>298</w:t>
            </w:r>
          </w:hyperlink>
        </w:p>
        <w:p>
          <w:pPr>
            <w:pStyle w:val="Contents3"/>
            <w:tabs>
              <w:tab w:val="clear" w:pos="8459"/>
              <w:tab w:val="right" w:pos="9026" w:leader="dot"/>
            </w:tabs>
            <w:rPr/>
          </w:pPr>
          <w:hyperlink w:anchor="__RefHeading___Toc1764032_2322387425">
            <w:r>
              <w:rPr>
                <w:webHidden/>
                <w:rStyle w:val="IndexLink"/>
                <w:rtl w:val="true"/>
              </w:rPr>
              <w:t>فروع تتعلق بالمیت</w:t>
            </w:r>
            <w:r>
              <w:rPr>
                <w:rStyle w:val="IndexLink"/>
                <w:rtl w:val="true"/>
              </w:rPr>
              <w:tab/>
            </w:r>
            <w:r>
              <w:rPr>
                <w:rStyle w:val="IndexLink"/>
              </w:rPr>
              <w:t>302</w:t>
            </w:r>
          </w:hyperlink>
        </w:p>
        <w:p>
          <w:pPr>
            <w:pStyle w:val="Contents3"/>
            <w:tabs>
              <w:tab w:val="clear" w:pos="8459"/>
              <w:tab w:val="right" w:pos="9026" w:leader="dot"/>
            </w:tabs>
            <w:rPr/>
          </w:pPr>
          <w:hyperlink w:anchor="__RefHeading___Toc1764034_2322387425">
            <w:r>
              <w:rPr>
                <w:webHidden/>
                <w:rStyle w:val="IndexLink"/>
                <w:rtl w:val="true"/>
              </w:rPr>
              <w:t>حرمة نبش قبر المؤمن</w:t>
            </w:r>
            <w:r>
              <w:rPr>
                <w:rStyle w:val="IndexLink"/>
                <w:rtl w:val="true"/>
              </w:rPr>
              <w:tab/>
            </w:r>
            <w:r>
              <w:rPr>
                <w:rStyle w:val="IndexLink"/>
              </w:rPr>
              <w:t>309</w:t>
            </w:r>
          </w:hyperlink>
        </w:p>
        <w:p>
          <w:pPr>
            <w:pStyle w:val="Contents3"/>
            <w:tabs>
              <w:tab w:val="clear" w:pos="8459"/>
              <w:tab w:val="right" w:pos="9026" w:leader="dot"/>
            </w:tabs>
            <w:rPr/>
          </w:pPr>
          <w:hyperlink w:anchor="__RefHeading___Toc1764036_2322387425">
            <w:r>
              <w:rPr>
                <w:webHidden/>
                <w:rStyle w:val="IndexLink"/>
                <w:rtl w:val="true"/>
              </w:rPr>
              <w:t>مستثنیات حرمة نبش القبور</w:t>
            </w:r>
            <w:r>
              <w:rPr>
                <w:rStyle w:val="IndexLink"/>
                <w:rtl w:val="true"/>
              </w:rPr>
              <w:tab/>
            </w:r>
            <w:r>
              <w:rPr>
                <w:rStyle w:val="IndexLink"/>
              </w:rPr>
              <w:t>312</w:t>
            </w:r>
          </w:hyperlink>
        </w:p>
        <w:p>
          <w:pPr>
            <w:pStyle w:val="Contents3"/>
            <w:tabs>
              <w:tab w:val="clear" w:pos="8459"/>
              <w:tab w:val="right" w:pos="9026" w:leader="dot"/>
            </w:tabs>
            <w:rPr/>
          </w:pPr>
          <w:hyperlink w:anchor="__RefHeading___Toc1764038_2322387425">
            <w:r>
              <w:rPr>
                <w:webHidden/>
                <w:rStyle w:val="IndexLink"/>
                <w:rtl w:val="true"/>
              </w:rPr>
              <w:t>تخریب القبور وفروع تتعلق بالدفن</w:t>
            </w:r>
            <w:r>
              <w:rPr>
                <w:rStyle w:val="IndexLink"/>
                <w:rtl w:val="true"/>
              </w:rPr>
              <w:tab/>
            </w:r>
            <w:r>
              <w:rPr>
                <w:rStyle w:val="IndexLink"/>
              </w:rPr>
              <w:t>328</w:t>
            </w:r>
          </w:hyperlink>
        </w:p>
        <w:p>
          <w:pPr>
            <w:pStyle w:val="Contents2"/>
            <w:tabs>
              <w:tab w:val="clear" w:pos="8743"/>
              <w:tab w:val="right" w:pos="9026" w:leader="dot"/>
            </w:tabs>
            <w:rPr/>
          </w:pPr>
          <w:hyperlink w:anchor="__RefHeading___Toc1764040_2322387425">
            <w:r>
              <w:rPr>
                <w:webHidden/>
                <w:rStyle w:val="IndexLink"/>
                <w:rtl w:val="true"/>
              </w:rPr>
              <w:t>فصل</w:t>
            </w:r>
            <w:r>
              <w:rPr>
                <w:rStyle w:val="IndexLink"/>
                <w:rtl w:val="true"/>
              </w:rPr>
              <w:t xml:space="preserve">: </w:t>
            </w:r>
            <w:r>
              <w:rPr>
                <w:rStyle w:val="IndexLink"/>
                <w:rtl w:val="true"/>
              </w:rPr>
              <w:t>فی الأغسال المندوبة</w:t>
            </w:r>
            <w:r>
              <w:rPr>
                <w:rStyle w:val="IndexLink"/>
                <w:rtl w:val="true"/>
              </w:rPr>
              <w:tab/>
            </w:r>
            <w:r>
              <w:rPr>
                <w:rStyle w:val="IndexLink"/>
              </w:rPr>
              <w:t>335</w:t>
            </w:r>
          </w:hyperlink>
        </w:p>
        <w:p>
          <w:pPr>
            <w:pStyle w:val="Contents3"/>
            <w:tabs>
              <w:tab w:val="clear" w:pos="8459"/>
              <w:tab w:val="right" w:pos="9026" w:leader="dot"/>
            </w:tabs>
            <w:rPr/>
          </w:pPr>
          <w:hyperlink w:anchor="__RefHeading___Toc1764042_2322387425">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764044_2322387425">
            <w:r>
              <w:rPr>
                <w:webHidden/>
                <w:rStyle w:val="IndexLink"/>
                <w:rtl w:val="true"/>
              </w:rPr>
              <w:t>الأغسال الزمانیة</w:t>
            </w:r>
            <w:r>
              <w:rPr>
                <w:rStyle w:val="IndexLink"/>
                <w:rtl w:val="true"/>
              </w:rPr>
              <w:tab/>
            </w:r>
            <w:r>
              <w:rPr>
                <w:rStyle w:val="IndexLink"/>
              </w:rPr>
              <w:t>335</w:t>
            </w:r>
          </w:hyperlink>
        </w:p>
        <w:p>
          <w:pPr>
            <w:pStyle w:val="Contents3"/>
            <w:tabs>
              <w:tab w:val="clear" w:pos="8459"/>
              <w:tab w:val="right" w:pos="9026" w:leader="dot"/>
            </w:tabs>
            <w:rPr/>
          </w:pPr>
          <w:hyperlink w:anchor="__RefHeading___Toc1764046_2322387425">
            <w:r>
              <w:rPr>
                <w:webHidden/>
                <w:rStyle w:val="IndexLink"/>
                <w:rtl w:val="true"/>
              </w:rPr>
              <w:t>استحباب غسل الجمعة</w:t>
            </w:r>
            <w:r>
              <w:rPr>
                <w:rStyle w:val="IndexLink"/>
                <w:rtl w:val="true"/>
              </w:rPr>
              <w:tab/>
            </w:r>
            <w:r>
              <w:rPr>
                <w:rStyle w:val="IndexLink"/>
              </w:rPr>
              <w:t>336</w:t>
            </w:r>
          </w:hyperlink>
        </w:p>
        <w:p>
          <w:pPr>
            <w:pStyle w:val="Contents3"/>
            <w:tabs>
              <w:tab w:val="clear" w:pos="8459"/>
              <w:tab w:val="right" w:pos="9026" w:leader="dot"/>
            </w:tabs>
            <w:rPr/>
          </w:pPr>
          <w:hyperlink w:anchor="__RefHeading___Toc1764048_2322387425">
            <w:r>
              <w:rPr>
                <w:webHidden/>
                <w:rStyle w:val="IndexLink"/>
                <w:rtl w:val="true"/>
              </w:rPr>
              <w:t>مبدأ غسل الجمعة ومنتهاه</w:t>
            </w:r>
            <w:r>
              <w:rPr>
                <w:rStyle w:val="IndexLink"/>
                <w:rtl w:val="true"/>
              </w:rPr>
              <w:tab/>
            </w:r>
            <w:r>
              <w:rPr>
                <w:rStyle w:val="IndexLink"/>
              </w:rPr>
              <w:t>337</w:t>
            </w:r>
          </w:hyperlink>
        </w:p>
        <w:p>
          <w:pPr>
            <w:pStyle w:val="Contents3"/>
            <w:tabs>
              <w:tab w:val="clear" w:pos="8459"/>
              <w:tab w:val="right" w:pos="9026" w:leader="dot"/>
            </w:tabs>
            <w:rPr/>
          </w:pPr>
          <w:hyperlink w:anchor="__RefHeading___Toc1764050_2322387425">
            <w:r>
              <w:rPr>
                <w:webHidden/>
                <w:rStyle w:val="IndexLink"/>
                <w:rtl w:val="true"/>
              </w:rPr>
              <w:t>نیة الغسل بعد زوال الجمعة</w:t>
            </w:r>
            <w:r>
              <w:rPr>
                <w:rStyle w:val="IndexLink"/>
                <w:rtl w:val="true"/>
              </w:rPr>
              <w:tab/>
            </w:r>
            <w:r>
              <w:rPr>
                <w:rStyle w:val="IndexLink"/>
              </w:rPr>
              <w:t>338</w:t>
            </w:r>
          </w:hyperlink>
        </w:p>
        <w:p>
          <w:pPr>
            <w:pStyle w:val="Contents3"/>
            <w:tabs>
              <w:tab w:val="clear" w:pos="8459"/>
              <w:tab w:val="right" w:pos="9026" w:leader="dot"/>
            </w:tabs>
            <w:rPr/>
          </w:pPr>
          <w:hyperlink w:anchor="__RefHeading___Toc1764052_2322387425">
            <w:r>
              <w:rPr>
                <w:webHidden/>
                <w:rStyle w:val="IndexLink"/>
                <w:rtl w:val="true"/>
              </w:rPr>
              <w:t>قضاء غسل الجمعة</w:t>
            </w:r>
            <w:r>
              <w:rPr>
                <w:rStyle w:val="IndexLink"/>
                <w:rtl w:val="true"/>
              </w:rPr>
              <w:tab/>
            </w:r>
            <w:r>
              <w:rPr>
                <w:rStyle w:val="IndexLink"/>
              </w:rPr>
              <w:t>338</w:t>
            </w:r>
          </w:hyperlink>
        </w:p>
        <w:p>
          <w:pPr>
            <w:pStyle w:val="Contents3"/>
            <w:tabs>
              <w:tab w:val="clear" w:pos="8459"/>
              <w:tab w:val="right" w:pos="9026" w:leader="dot"/>
            </w:tabs>
            <w:rPr/>
          </w:pPr>
          <w:hyperlink w:anchor="__RefHeading___Toc1764054_2322387425">
            <w:r>
              <w:rPr>
                <w:webHidden/>
                <w:rStyle w:val="IndexLink"/>
                <w:rtl w:val="true"/>
              </w:rPr>
              <w:t>تقدیم غسل الجمعة</w:t>
            </w:r>
            <w:r>
              <w:rPr>
                <w:rStyle w:val="IndexLink"/>
                <w:rtl w:val="true"/>
              </w:rPr>
              <w:tab/>
            </w:r>
            <w:r>
              <w:rPr>
                <w:rStyle w:val="IndexLink"/>
              </w:rPr>
              <w:t>339</w:t>
            </w:r>
          </w:hyperlink>
        </w:p>
        <w:p>
          <w:pPr>
            <w:pStyle w:val="Contents3"/>
            <w:tabs>
              <w:tab w:val="clear" w:pos="8459"/>
              <w:tab w:val="right" w:pos="9026" w:leader="dot"/>
            </w:tabs>
            <w:rPr/>
          </w:pPr>
          <w:hyperlink w:anchor="__RefHeading___Toc1764056_2322387425">
            <w:r>
              <w:rPr>
                <w:webHidden/>
                <w:rStyle w:val="IndexLink"/>
                <w:rtl w:val="true"/>
              </w:rPr>
              <w:t>فروع فی وقت الجمعة وقضائه</w:t>
            </w:r>
            <w:r>
              <w:rPr>
                <w:rStyle w:val="IndexLink"/>
                <w:rtl w:val="true"/>
              </w:rPr>
              <w:tab/>
            </w:r>
            <w:r>
              <w:rPr>
                <w:rStyle w:val="IndexLink"/>
              </w:rPr>
              <w:t>340</w:t>
            </w:r>
          </w:hyperlink>
        </w:p>
        <w:p>
          <w:pPr>
            <w:pStyle w:val="Contents3"/>
            <w:tabs>
              <w:tab w:val="clear" w:pos="8459"/>
              <w:tab w:val="right" w:pos="9026" w:leader="dot"/>
            </w:tabs>
            <w:rPr/>
          </w:pPr>
          <w:hyperlink w:anchor="__RefHeading___Toc1764058_2322387425">
            <w:r>
              <w:rPr>
                <w:webHidden/>
                <w:rStyle w:val="IndexLink"/>
                <w:rtl w:val="true"/>
              </w:rPr>
              <w:t>صحة غسل الجمعة من الجنب والحائض</w:t>
            </w:r>
            <w:r>
              <w:rPr>
                <w:rStyle w:val="IndexLink"/>
                <w:rtl w:val="true"/>
              </w:rPr>
              <w:tab/>
            </w:r>
            <w:r>
              <w:rPr>
                <w:rStyle w:val="IndexLink"/>
              </w:rPr>
              <w:t>347</w:t>
            </w:r>
          </w:hyperlink>
        </w:p>
        <w:p>
          <w:pPr>
            <w:pStyle w:val="Contents3"/>
            <w:tabs>
              <w:tab w:val="clear" w:pos="8459"/>
              <w:tab w:val="right" w:pos="9026" w:leader="dot"/>
            </w:tabs>
            <w:rPr/>
          </w:pPr>
          <w:hyperlink w:anchor="__RefHeading___Toc1764060_2322387425">
            <w:r>
              <w:rPr>
                <w:webHidden/>
                <w:rStyle w:val="IndexLink"/>
                <w:rtl w:val="true"/>
              </w:rPr>
              <w:t>التیمم بدل غسل الجمعة</w:t>
            </w:r>
            <w:r>
              <w:rPr>
                <w:rStyle w:val="IndexLink"/>
                <w:rtl w:val="true"/>
              </w:rPr>
              <w:tab/>
            </w:r>
            <w:r>
              <w:rPr>
                <w:rStyle w:val="IndexLink"/>
              </w:rPr>
              <w:t>349</w:t>
            </w:r>
          </w:hyperlink>
        </w:p>
        <w:p>
          <w:pPr>
            <w:pStyle w:val="Contents3"/>
            <w:tabs>
              <w:tab w:val="clear" w:pos="8459"/>
              <w:tab w:val="right" w:pos="9026" w:leader="dot"/>
            </w:tabs>
            <w:rPr/>
          </w:pPr>
          <w:hyperlink w:anchor="__RefHeading___Toc1764062_2322387425">
            <w:r>
              <w:rPr>
                <w:webHidden/>
                <w:rStyle w:val="IndexLink"/>
                <w:rtl w:val="true"/>
              </w:rPr>
              <w:t>أغسال لیالی شهر رمضان</w:t>
            </w:r>
            <w:r>
              <w:rPr>
                <w:rStyle w:val="IndexLink"/>
                <w:rtl w:val="true"/>
              </w:rPr>
              <w:tab/>
            </w:r>
            <w:r>
              <w:rPr>
                <w:rStyle w:val="IndexLink"/>
              </w:rPr>
              <w:t>350</w:t>
            </w:r>
          </w:hyperlink>
        </w:p>
        <w:p>
          <w:pPr>
            <w:pStyle w:val="Contents3"/>
            <w:tabs>
              <w:tab w:val="clear" w:pos="8459"/>
              <w:tab w:val="right" w:pos="9026" w:leader="dot"/>
            </w:tabs>
            <w:rPr/>
          </w:pPr>
          <w:hyperlink w:anchor="__RefHeading___Toc1764064_2322387425">
            <w:r>
              <w:rPr>
                <w:webHidden/>
                <w:rStyle w:val="IndexLink"/>
                <w:rtl w:val="true"/>
              </w:rPr>
              <w:t>غُسل یومی العیدین ووقته</w:t>
            </w:r>
            <w:r>
              <w:rPr>
                <w:rStyle w:val="IndexLink"/>
                <w:rtl w:val="true"/>
              </w:rPr>
              <w:tab/>
            </w:r>
            <w:r>
              <w:rPr>
                <w:rStyle w:val="IndexLink"/>
              </w:rPr>
              <w:t>354</w:t>
            </w:r>
          </w:hyperlink>
        </w:p>
        <w:p>
          <w:pPr>
            <w:pStyle w:val="Contents3"/>
            <w:tabs>
              <w:tab w:val="clear" w:pos="8459"/>
              <w:tab w:val="right" w:pos="9026" w:leader="dot"/>
            </w:tabs>
            <w:rPr/>
          </w:pPr>
          <w:hyperlink w:anchor="__RefHeading___Toc1764066_2322387425">
            <w:r>
              <w:rPr>
                <w:webHidden/>
                <w:rStyle w:val="IndexLink"/>
                <w:rtl w:val="true"/>
              </w:rPr>
              <w:t>غسل یوم الترویة</w:t>
            </w:r>
            <w:r>
              <w:rPr>
                <w:rStyle w:val="IndexLink"/>
                <w:rtl w:val="true"/>
              </w:rPr>
              <w:tab/>
            </w:r>
            <w:r>
              <w:rPr>
                <w:rStyle w:val="IndexLink"/>
              </w:rPr>
              <w:t>355</w:t>
            </w:r>
          </w:hyperlink>
        </w:p>
        <w:p>
          <w:pPr>
            <w:pStyle w:val="Contents3"/>
            <w:tabs>
              <w:tab w:val="clear" w:pos="8459"/>
              <w:tab w:val="right" w:pos="9026" w:leader="dot"/>
            </w:tabs>
            <w:rPr/>
          </w:pPr>
          <w:hyperlink w:anchor="__RefHeading___Toc1764068_2322387425">
            <w:r>
              <w:rPr>
                <w:webHidden/>
                <w:rStyle w:val="IndexLink"/>
                <w:rtl w:val="true"/>
              </w:rPr>
              <w:t>غسل یوم عرفة</w:t>
            </w:r>
            <w:r>
              <w:rPr>
                <w:rStyle w:val="IndexLink"/>
                <w:rtl w:val="true"/>
              </w:rPr>
              <w:tab/>
            </w:r>
            <w:r>
              <w:rPr>
                <w:rStyle w:val="IndexLink"/>
              </w:rPr>
              <w:t>355</w:t>
            </w:r>
          </w:hyperlink>
        </w:p>
        <w:p>
          <w:pPr>
            <w:pStyle w:val="Contents3"/>
            <w:tabs>
              <w:tab w:val="clear" w:pos="8459"/>
              <w:tab w:val="right" w:pos="9026" w:leader="dot"/>
            </w:tabs>
            <w:rPr/>
          </w:pPr>
          <w:hyperlink w:anchor="__RefHeading___Toc1764070_2322387425">
            <w:r>
              <w:rPr>
                <w:webHidden/>
                <w:rStyle w:val="IndexLink"/>
                <w:rtl w:val="true"/>
              </w:rPr>
              <w:t>غسل أیام من رجب</w:t>
            </w:r>
            <w:r>
              <w:rPr>
                <w:rStyle w:val="IndexLink"/>
                <w:rtl w:val="true"/>
              </w:rPr>
              <w:tab/>
            </w:r>
            <w:r>
              <w:rPr>
                <w:rStyle w:val="IndexLink"/>
              </w:rPr>
              <w:t>355</w:t>
            </w:r>
          </w:hyperlink>
        </w:p>
        <w:p>
          <w:pPr>
            <w:pStyle w:val="Contents3"/>
            <w:tabs>
              <w:tab w:val="clear" w:pos="8459"/>
              <w:tab w:val="right" w:pos="9026" w:leader="dot"/>
            </w:tabs>
            <w:rPr/>
          </w:pPr>
          <w:hyperlink w:anchor="__RefHeading___Toc1764072_2322387425">
            <w:r>
              <w:rPr>
                <w:webHidden/>
                <w:rStyle w:val="IndexLink"/>
                <w:rtl w:val="true"/>
              </w:rPr>
              <w:t>غسل یوم الغدیر</w:t>
            </w:r>
            <w:r>
              <w:rPr>
                <w:rStyle w:val="IndexLink"/>
                <w:rtl w:val="true"/>
              </w:rPr>
              <w:tab/>
            </w:r>
            <w:r>
              <w:rPr>
                <w:rStyle w:val="IndexLink"/>
              </w:rPr>
              <w:t>356</w:t>
            </w:r>
          </w:hyperlink>
        </w:p>
        <w:p>
          <w:pPr>
            <w:pStyle w:val="Contents3"/>
            <w:tabs>
              <w:tab w:val="clear" w:pos="8459"/>
              <w:tab w:val="right" w:pos="9026" w:leader="dot"/>
            </w:tabs>
            <w:rPr/>
          </w:pPr>
          <w:hyperlink w:anchor="__RefHeading___Toc1764074_2322387425">
            <w:r>
              <w:rPr>
                <w:webHidden/>
                <w:rStyle w:val="IndexLink"/>
                <w:rtl w:val="true"/>
              </w:rPr>
              <w:t>غسل یوم المباهلة</w:t>
            </w:r>
            <w:r>
              <w:rPr>
                <w:rStyle w:val="IndexLink"/>
                <w:rtl w:val="true"/>
              </w:rPr>
              <w:tab/>
            </w:r>
            <w:r>
              <w:rPr>
                <w:rStyle w:val="IndexLink"/>
              </w:rPr>
              <w:t>357</w:t>
            </w:r>
          </w:hyperlink>
        </w:p>
        <w:p>
          <w:pPr>
            <w:pStyle w:val="Contents3"/>
            <w:tabs>
              <w:tab w:val="clear" w:pos="8459"/>
              <w:tab w:val="right" w:pos="9026" w:leader="dot"/>
            </w:tabs>
            <w:rPr/>
          </w:pPr>
          <w:hyperlink w:anchor="__RefHeading___Toc1764076_2322387425">
            <w:r>
              <w:rPr>
                <w:webHidden/>
                <w:rStyle w:val="IndexLink"/>
                <w:rtl w:val="true"/>
              </w:rPr>
              <w:t>بقیة الأغسال الزمانیة</w:t>
            </w:r>
            <w:r>
              <w:rPr>
                <w:rStyle w:val="IndexLink"/>
                <w:rtl w:val="true"/>
              </w:rPr>
              <w:tab/>
            </w:r>
            <w:r>
              <w:rPr>
                <w:rStyle w:val="IndexLink"/>
              </w:rPr>
              <w:t>357</w:t>
            </w:r>
          </w:hyperlink>
        </w:p>
        <w:p>
          <w:pPr>
            <w:pStyle w:val="Contents2"/>
            <w:tabs>
              <w:tab w:val="clear" w:pos="8743"/>
              <w:tab w:val="right" w:pos="9026" w:leader="dot"/>
            </w:tabs>
            <w:rPr/>
          </w:pPr>
          <w:hyperlink w:anchor="__RefHeading___Toc1764078_2322387425">
            <w:r>
              <w:rPr>
                <w:webHidden/>
                <w:rStyle w:val="IndexLink"/>
                <w:rtl w:val="true"/>
              </w:rPr>
              <w:t>فصل</w:t>
            </w:r>
            <w:r>
              <w:rPr>
                <w:rStyle w:val="IndexLink"/>
                <w:rtl w:val="true"/>
              </w:rPr>
              <w:t xml:space="preserve">: </w:t>
            </w:r>
            <w:r>
              <w:rPr>
                <w:rStyle w:val="IndexLink"/>
                <w:rtl w:val="true"/>
              </w:rPr>
              <w:t>فی الأغسال المکانیّة</w:t>
            </w:r>
            <w:r>
              <w:rPr>
                <w:rStyle w:val="IndexLink"/>
                <w:rtl w:val="true"/>
              </w:rPr>
              <w:tab/>
            </w:r>
            <w:r>
              <w:rPr>
                <w:rStyle w:val="IndexLink"/>
              </w:rPr>
              <w:t>359</w:t>
            </w:r>
          </w:hyperlink>
        </w:p>
        <w:p>
          <w:pPr>
            <w:pStyle w:val="Contents2"/>
            <w:tabs>
              <w:tab w:val="clear" w:pos="8743"/>
              <w:tab w:val="right" w:pos="9026" w:leader="dot"/>
            </w:tabs>
            <w:rPr/>
          </w:pPr>
          <w:hyperlink w:anchor="__RefHeading___Toc1764080_2322387425">
            <w:r>
              <w:rPr>
                <w:webHidden/>
                <w:rStyle w:val="IndexLink"/>
                <w:rtl w:val="true"/>
              </w:rPr>
              <w:t>فصل</w:t>
            </w:r>
            <w:r>
              <w:rPr>
                <w:rStyle w:val="IndexLink"/>
                <w:rtl w:val="true"/>
              </w:rPr>
              <w:t xml:space="preserve">: </w:t>
            </w:r>
            <w:r>
              <w:rPr>
                <w:rStyle w:val="IndexLink"/>
                <w:rtl w:val="true"/>
              </w:rPr>
              <w:t>فی الأغسال الفعلیّة</w:t>
            </w:r>
            <w:r>
              <w:rPr>
                <w:rStyle w:val="IndexLink"/>
                <w:rtl w:val="true"/>
              </w:rPr>
              <w:tab/>
            </w:r>
            <w:r>
              <w:rPr>
                <w:rStyle w:val="IndexLink"/>
              </w:rPr>
              <w:t>362</w:t>
            </w:r>
          </w:hyperlink>
        </w:p>
        <w:p>
          <w:pPr>
            <w:pStyle w:val="Contents3"/>
            <w:tabs>
              <w:tab w:val="clear" w:pos="8459"/>
              <w:tab w:val="right" w:pos="9026" w:leader="dot"/>
            </w:tabs>
            <w:rPr/>
          </w:pPr>
          <w:hyperlink w:anchor="__RefHeading___Toc1764082_2322387425">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1764084_2322387425">
            <w:r>
              <w:rPr>
                <w:webHidden/>
                <w:rStyle w:val="IndexLink"/>
                <w:rtl w:val="true"/>
              </w:rPr>
              <w:t>أقسام الأغسال الفعلیة</w:t>
            </w:r>
            <w:r>
              <w:rPr>
                <w:rStyle w:val="IndexLink"/>
                <w:rtl w:val="true"/>
              </w:rPr>
              <w:tab/>
            </w:r>
            <w:r>
              <w:rPr>
                <w:rStyle w:val="IndexLink"/>
              </w:rPr>
              <w:t>362</w:t>
            </w:r>
          </w:hyperlink>
        </w:p>
        <w:p>
          <w:pPr>
            <w:pStyle w:val="Contents3"/>
            <w:tabs>
              <w:tab w:val="clear" w:pos="8459"/>
              <w:tab w:val="right" w:pos="9026" w:leader="dot"/>
            </w:tabs>
            <w:rPr/>
          </w:pPr>
          <w:hyperlink w:anchor="__RefHeading___Toc1764086_2322387425">
            <w:r>
              <w:rPr>
                <w:webHidden/>
                <w:rStyle w:val="IndexLink"/>
                <w:rtl w:val="true"/>
              </w:rPr>
              <w:t>بعض الأغسال المسنونة</w:t>
            </w:r>
            <w:r>
              <w:rPr>
                <w:rStyle w:val="IndexLink"/>
                <w:rtl w:val="true"/>
              </w:rPr>
              <w:tab/>
            </w:r>
            <w:r>
              <w:rPr>
                <w:rStyle w:val="IndexLink"/>
              </w:rPr>
              <w:t>372</w:t>
            </w:r>
          </w:hyperlink>
        </w:p>
        <w:p>
          <w:pPr>
            <w:pStyle w:val="Contents3"/>
            <w:tabs>
              <w:tab w:val="clear" w:pos="8459"/>
              <w:tab w:val="right" w:pos="9026" w:leader="dot"/>
            </w:tabs>
            <w:rPr/>
          </w:pPr>
          <w:hyperlink w:anchor="__RefHeading___Toc1764088_2322387425">
            <w:r>
              <w:rPr>
                <w:webHidden/>
                <w:rStyle w:val="IndexLink"/>
                <w:rtl w:val="true"/>
              </w:rPr>
              <w:t>إجزاء الأغسال و کفایة غسل واحد</w:t>
            </w:r>
            <w:r>
              <w:rPr>
                <w:rStyle w:val="IndexLink"/>
                <w:rtl w:val="true"/>
              </w:rPr>
              <w:tab/>
            </w:r>
            <w:r>
              <w:rPr>
                <w:rStyle w:val="IndexLink"/>
              </w:rPr>
              <w:t>373</w:t>
            </w:r>
          </w:hyperlink>
        </w:p>
        <w:p>
          <w:pPr>
            <w:pStyle w:val="Contents3"/>
            <w:tabs>
              <w:tab w:val="clear" w:pos="8459"/>
              <w:tab w:val="right" w:pos="9026" w:leader="dot"/>
            </w:tabs>
            <w:rPr/>
          </w:pPr>
          <w:hyperlink w:anchor="__RefHeading___Toc1764090_2322387425">
            <w:r>
              <w:rPr>
                <w:webHidden/>
                <w:rStyle w:val="IndexLink"/>
                <w:rtl w:val="true"/>
              </w:rPr>
              <w:t>تداخل الأغسال و کفایة غسل واحد</w:t>
            </w:r>
            <w:r>
              <w:rPr>
                <w:rStyle w:val="IndexLink"/>
                <w:rtl w:val="true"/>
              </w:rPr>
              <w:tab/>
            </w:r>
            <w:r>
              <w:rPr>
                <w:rStyle w:val="IndexLink"/>
              </w:rPr>
              <w:t>375</w:t>
            </w:r>
          </w:hyperlink>
        </w:p>
        <w:p>
          <w:pPr>
            <w:pStyle w:val="Contents3"/>
            <w:tabs>
              <w:tab w:val="clear" w:pos="8459"/>
              <w:tab w:val="right" w:pos="9026" w:leader="dot"/>
            </w:tabs>
            <w:rPr/>
          </w:pPr>
          <w:hyperlink w:anchor="__RefHeading___Toc1764092_2322387425">
            <w:r>
              <w:rPr>
                <w:webHidden/>
                <w:rStyle w:val="IndexLink"/>
                <w:rtl w:val="true"/>
              </w:rPr>
              <w:t>الکلام فی استحباب الغسل نفساً</w:t>
            </w:r>
            <w:r>
              <w:rPr>
                <w:rStyle w:val="IndexLink"/>
                <w:rtl w:val="true"/>
              </w:rPr>
              <w:tab/>
            </w:r>
            <w:r>
              <w:rPr>
                <w:rStyle w:val="IndexLink"/>
              </w:rPr>
              <w:t>378</w:t>
            </w:r>
          </w:hyperlink>
        </w:p>
        <w:p>
          <w:pPr>
            <w:pStyle w:val="Contents3"/>
            <w:tabs>
              <w:tab w:val="clear" w:pos="8459"/>
              <w:tab w:val="right" w:pos="9026" w:leader="dot"/>
            </w:tabs>
            <w:rPr/>
          </w:pPr>
          <w:hyperlink w:anchor="__RefHeading___Toc1764094_2322387425">
            <w:r>
              <w:rPr>
                <w:webHidden/>
                <w:rStyle w:val="IndexLink"/>
                <w:rtl w:val="true"/>
              </w:rPr>
              <w:t>بدلیة التیمم فی المقام</w:t>
            </w:r>
            <w:r>
              <w:rPr>
                <w:rStyle w:val="IndexLink"/>
                <w:rtl w:val="true"/>
              </w:rPr>
              <w:tab/>
            </w:r>
            <w:r>
              <w:rPr>
                <w:rStyle w:val="IndexLink"/>
              </w:rPr>
              <w:t>379</w:t>
            </w:r>
          </w:hyperlink>
        </w:p>
        <w:p>
          <w:pPr>
            <w:pStyle w:val="Contents2"/>
            <w:tabs>
              <w:tab w:val="clear" w:pos="8743"/>
              <w:tab w:val="right" w:pos="9026" w:leader="dot"/>
            </w:tabs>
            <w:rPr/>
          </w:pPr>
          <w:hyperlink w:anchor="__RefHeading___Toc1764096_2322387425">
            <w:r>
              <w:rPr>
                <w:webHidden/>
                <w:rStyle w:val="IndexLink"/>
                <w:rtl w:val="true"/>
              </w:rPr>
              <w:t>فصل</w:t>
            </w:r>
            <w:r>
              <w:rPr>
                <w:rStyle w:val="IndexLink"/>
                <w:rtl w:val="true"/>
              </w:rPr>
              <w:t xml:space="preserve">: </w:t>
            </w:r>
            <w:r>
              <w:rPr>
                <w:rStyle w:val="IndexLink"/>
                <w:rtl w:val="true"/>
              </w:rPr>
              <w:t>فی التیمّم</w:t>
            </w:r>
            <w:r>
              <w:rPr>
                <w:rStyle w:val="IndexLink"/>
                <w:rtl w:val="true"/>
              </w:rPr>
              <w:tab/>
            </w:r>
            <w:r>
              <w:rPr>
                <w:rStyle w:val="IndexLink"/>
              </w:rPr>
              <w:t>380</w:t>
            </w:r>
          </w:hyperlink>
        </w:p>
        <w:p>
          <w:pPr>
            <w:pStyle w:val="Contents3"/>
            <w:tabs>
              <w:tab w:val="clear" w:pos="8459"/>
              <w:tab w:val="right" w:pos="9026" w:leader="dot"/>
            </w:tabs>
            <w:rPr/>
          </w:pPr>
          <w:hyperlink w:anchor="__RefHeading___Toc1764098_2322387425">
            <w:r>
              <w:rPr>
                <w:webHidden/>
                <w:rStyle w:val="IndexLink"/>
                <w:rtl w:val="true"/>
              </w:rPr>
              <w:t>مسوّغات التیمّم</w:t>
            </w:r>
            <w:r>
              <w:rPr>
                <w:rStyle w:val="IndexLink"/>
                <w:rtl w:val="true"/>
              </w:rPr>
              <w:tab/>
            </w:r>
            <w:r>
              <w:rPr>
                <w:rStyle w:val="IndexLink"/>
              </w:rPr>
              <w:t>380</w:t>
            </w:r>
          </w:hyperlink>
        </w:p>
        <w:p>
          <w:pPr>
            <w:pStyle w:val="Contents3"/>
            <w:tabs>
              <w:tab w:val="clear" w:pos="8459"/>
              <w:tab w:val="right" w:pos="9026" w:leader="dot"/>
            </w:tabs>
            <w:rPr/>
          </w:pPr>
          <w:hyperlink w:anchor="__RefHeading___Toc1764100_2322387425">
            <w:r>
              <w:rPr>
                <w:webHidden/>
                <w:rStyle w:val="IndexLink"/>
                <w:rtl w:val="true"/>
              </w:rPr>
              <w:t>الأول</w:t>
            </w:r>
            <w:r>
              <w:rPr>
                <w:rStyle w:val="IndexLink"/>
                <w:rtl w:val="true"/>
              </w:rPr>
              <w:t xml:space="preserve">: </w:t>
            </w:r>
            <w:r>
              <w:rPr>
                <w:rStyle w:val="IndexLink"/>
                <w:rtl w:val="true"/>
              </w:rPr>
              <w:t>عدم وجدان الماء</w:t>
            </w:r>
            <w:r>
              <w:rPr>
                <w:rStyle w:val="IndexLink"/>
                <w:rtl w:val="true"/>
              </w:rPr>
              <w:tab/>
            </w:r>
            <w:r>
              <w:rPr>
                <w:rStyle w:val="IndexLink"/>
              </w:rPr>
              <w:t>380</w:t>
            </w:r>
          </w:hyperlink>
        </w:p>
        <w:p>
          <w:pPr>
            <w:pStyle w:val="Contents4"/>
            <w:tabs>
              <w:tab w:val="clear" w:pos="8176"/>
              <w:tab w:val="right" w:pos="9026" w:leader="dot"/>
            </w:tabs>
            <w:rPr/>
          </w:pPr>
          <w:hyperlink w:anchor="__RefHeading___Toc1764102_2322387425">
            <w:r>
              <w:rPr>
                <w:webHidden/>
                <w:rStyle w:val="IndexLink"/>
                <w:rtl w:val="true"/>
              </w:rPr>
              <w:t>وجوب الطلب ومقداره</w:t>
            </w:r>
            <w:r>
              <w:rPr>
                <w:rStyle w:val="IndexLink"/>
                <w:rtl w:val="true"/>
              </w:rPr>
              <w:tab/>
            </w:r>
            <w:r>
              <w:rPr>
                <w:rStyle w:val="IndexLink"/>
              </w:rPr>
              <w:t>380</w:t>
            </w:r>
          </w:hyperlink>
        </w:p>
        <w:p>
          <w:pPr>
            <w:pStyle w:val="Contents3"/>
            <w:tabs>
              <w:tab w:val="clear" w:pos="8459"/>
              <w:tab w:val="right" w:pos="9026" w:leader="dot"/>
            </w:tabs>
            <w:rPr/>
          </w:pPr>
          <w:hyperlink w:anchor="__RefHeading___Toc1764104_2322387425">
            <w:r>
              <w:rPr>
                <w:webHidden/>
                <w:rStyle w:val="IndexLink"/>
                <w:rtl w:val="true"/>
              </w:rPr>
              <w:t>محققات الطلب ومسقطاته</w:t>
            </w:r>
            <w:r>
              <w:rPr>
                <w:rStyle w:val="IndexLink"/>
                <w:rtl w:val="true"/>
              </w:rPr>
              <w:tab/>
            </w:r>
            <w:r>
              <w:rPr>
                <w:rStyle w:val="IndexLink"/>
              </w:rPr>
              <w:t>383</w:t>
            </w:r>
          </w:hyperlink>
        </w:p>
        <w:p>
          <w:pPr>
            <w:pStyle w:val="Contents3"/>
            <w:tabs>
              <w:tab w:val="clear" w:pos="8459"/>
              <w:tab w:val="right" w:pos="9026" w:leader="dot"/>
            </w:tabs>
            <w:rPr/>
          </w:pPr>
          <w:hyperlink w:anchor="__RefHeading___Toc1764106_2322387425">
            <w:r>
              <w:rPr>
                <w:webHidden/>
                <w:rStyle w:val="IndexLink"/>
                <w:rtl w:val="true"/>
              </w:rPr>
              <w:t>لو ترک الطلب متعمدّاً صحّت صلاته وإنْ عصی</w:t>
            </w:r>
            <w:r>
              <w:rPr>
                <w:rStyle w:val="IndexLink"/>
                <w:rtl w:val="true"/>
              </w:rPr>
              <w:tab/>
            </w:r>
            <w:r>
              <w:rPr>
                <w:rStyle w:val="IndexLink"/>
              </w:rPr>
              <w:t>392</w:t>
            </w:r>
          </w:hyperlink>
        </w:p>
        <w:p>
          <w:pPr>
            <w:pStyle w:val="Contents3"/>
            <w:tabs>
              <w:tab w:val="clear" w:pos="8459"/>
              <w:tab w:val="right" w:pos="9026" w:leader="dot"/>
            </w:tabs>
            <w:rPr/>
          </w:pPr>
          <w:hyperlink w:anchor="__RefHeading___Toc1764108_2322387425">
            <w:r>
              <w:rPr>
                <w:webHidden/>
                <w:rStyle w:val="IndexLink"/>
                <w:rtl w:val="true"/>
              </w:rPr>
              <w:t>اذا أخطا الماء أو اعتقد ضیق الوقت فتبین العکس</w:t>
            </w:r>
            <w:r>
              <w:rPr>
                <w:rStyle w:val="IndexLink"/>
                <w:rtl w:val="true"/>
              </w:rPr>
              <w:tab/>
            </w:r>
            <w:r>
              <w:rPr>
                <w:rStyle w:val="IndexLink"/>
              </w:rPr>
              <w:t>393</w:t>
            </w:r>
          </w:hyperlink>
        </w:p>
        <w:p>
          <w:pPr>
            <w:pStyle w:val="Contents3"/>
            <w:tabs>
              <w:tab w:val="clear" w:pos="8459"/>
              <w:tab w:val="right" w:pos="9026" w:leader="dot"/>
            </w:tabs>
            <w:rPr/>
          </w:pPr>
          <w:hyperlink w:anchor="__RefHeading___Toc1764110_2322387425">
            <w:r>
              <w:rPr>
                <w:webHidden/>
                <w:rStyle w:val="IndexLink"/>
                <w:rtl w:val="true"/>
              </w:rPr>
              <w:t>حکم إراقة الماء بعد الوقت وقبله أو إبطال الوضوء</w:t>
            </w:r>
            <w:r>
              <w:rPr>
                <w:rStyle w:val="IndexLink"/>
                <w:rtl w:val="true"/>
              </w:rPr>
              <w:tab/>
            </w:r>
            <w:r>
              <w:rPr>
                <w:rStyle w:val="IndexLink"/>
              </w:rPr>
              <w:t>397</w:t>
            </w:r>
          </w:hyperlink>
        </w:p>
        <w:p>
          <w:pPr>
            <w:pStyle w:val="Contents3"/>
            <w:tabs>
              <w:tab w:val="clear" w:pos="8459"/>
              <w:tab w:val="right" w:pos="9026" w:leader="dot"/>
            </w:tabs>
            <w:rPr/>
          </w:pPr>
          <w:hyperlink w:anchor="__RefHeading___Toc1764112_2322387425">
            <w:r>
              <w:rPr>
                <w:webHidden/>
                <w:rStyle w:val="IndexLink"/>
                <w:rtl w:val="true"/>
              </w:rPr>
              <w:t>حکم الطلب عند الخوف أو الحرج أو اختلاف الأرض</w:t>
            </w:r>
            <w:r>
              <w:rPr>
                <w:rStyle w:val="IndexLink"/>
                <w:rtl w:val="true"/>
              </w:rPr>
              <w:tab/>
            </w:r>
            <w:r>
              <w:rPr>
                <w:rStyle w:val="IndexLink"/>
              </w:rPr>
              <w:t>399</w:t>
            </w:r>
          </w:hyperlink>
        </w:p>
        <w:p>
          <w:pPr>
            <w:pStyle w:val="Contents3"/>
            <w:tabs>
              <w:tab w:val="clear" w:pos="8459"/>
              <w:tab w:val="right" w:pos="9026" w:leader="dot"/>
            </w:tabs>
            <w:rPr/>
          </w:pPr>
          <w:hyperlink w:anchor="__RefHeading___Toc1764114_2322387425">
            <w:r>
              <w:rPr>
                <w:webHidden/>
                <w:rStyle w:val="IndexLink"/>
                <w:rtl w:val="true"/>
              </w:rPr>
              <w:t>الثانی</w:t>
            </w:r>
            <w:r>
              <w:rPr>
                <w:rStyle w:val="IndexLink"/>
                <w:rtl w:val="true"/>
              </w:rPr>
              <w:t xml:space="preserve">: </w:t>
            </w:r>
            <w:r>
              <w:rPr>
                <w:rStyle w:val="IndexLink"/>
                <w:rtl w:val="true"/>
              </w:rPr>
              <w:t>عدم الوصلة إلی الماء</w:t>
            </w:r>
            <w:r>
              <w:rPr>
                <w:rStyle w:val="IndexLink"/>
                <w:rtl w:val="true"/>
              </w:rPr>
              <w:tab/>
            </w:r>
            <w:r>
              <w:rPr>
                <w:rStyle w:val="IndexLink"/>
              </w:rPr>
              <w:t>399</w:t>
            </w:r>
          </w:hyperlink>
        </w:p>
        <w:p>
          <w:pPr>
            <w:pStyle w:val="Contents3"/>
            <w:tabs>
              <w:tab w:val="clear" w:pos="8459"/>
              <w:tab w:val="right" w:pos="9026" w:leader="dot"/>
            </w:tabs>
            <w:rPr/>
          </w:pPr>
          <w:hyperlink w:anchor="__RefHeading___Toc1764116_2322387425">
            <w:r>
              <w:rPr>
                <w:webHidden/>
                <w:rStyle w:val="IndexLink"/>
                <w:rtl w:val="true"/>
              </w:rPr>
              <w:t>أنحاء تحصیل الماء</w:t>
            </w:r>
            <w:r>
              <w:rPr>
                <w:rStyle w:val="IndexLink"/>
                <w:rtl w:val="true"/>
              </w:rPr>
              <w:tab/>
            </w:r>
            <w:r>
              <w:rPr>
                <w:rStyle w:val="IndexLink"/>
              </w:rPr>
              <w:t>400</w:t>
            </w:r>
          </w:hyperlink>
        </w:p>
        <w:p>
          <w:pPr>
            <w:pStyle w:val="Contents3"/>
            <w:tabs>
              <w:tab w:val="clear" w:pos="8459"/>
              <w:tab w:val="right" w:pos="9026" w:leader="dot"/>
            </w:tabs>
            <w:rPr/>
          </w:pPr>
          <w:hyperlink w:anchor="__RefHeading___Toc1764118_2322387425">
            <w:r>
              <w:rPr>
                <w:webHidden/>
                <w:rStyle w:val="IndexLink"/>
                <w:rtl w:val="true"/>
              </w:rPr>
              <w:t>الثالث</w:t>
            </w:r>
            <w:r>
              <w:rPr>
                <w:rStyle w:val="IndexLink"/>
                <w:rtl w:val="true"/>
              </w:rPr>
              <w:t xml:space="preserve">: </w:t>
            </w:r>
            <w:r>
              <w:rPr>
                <w:rStyle w:val="IndexLink"/>
                <w:rtl w:val="true"/>
              </w:rPr>
              <w:t>الخوف من استعمال الماء</w:t>
            </w:r>
            <w:r>
              <w:rPr>
                <w:rStyle w:val="IndexLink"/>
                <w:rtl w:val="true"/>
              </w:rPr>
              <w:tab/>
            </w:r>
            <w:r>
              <w:rPr>
                <w:rStyle w:val="IndexLink"/>
              </w:rPr>
              <w:t>401</w:t>
            </w:r>
          </w:hyperlink>
        </w:p>
        <w:p>
          <w:pPr>
            <w:pStyle w:val="Contents3"/>
            <w:tabs>
              <w:tab w:val="clear" w:pos="8459"/>
              <w:tab w:val="right" w:pos="9026" w:leader="dot"/>
            </w:tabs>
            <w:rPr/>
          </w:pPr>
          <w:hyperlink w:anchor="__RefHeading___Toc1764120_2322387425">
            <w:r>
              <w:rPr>
                <w:webHidden/>
                <w:rStyle w:val="IndexLink"/>
                <w:rtl w:val="true"/>
              </w:rPr>
              <w:t>حکم الطهارة المائیة مع الضرر والحرج</w:t>
            </w:r>
            <w:r>
              <w:rPr>
                <w:rStyle w:val="IndexLink"/>
                <w:rtl w:val="true"/>
              </w:rPr>
              <w:tab/>
            </w:r>
            <w:r>
              <w:rPr>
                <w:rStyle w:val="IndexLink"/>
              </w:rPr>
              <w:t>403</w:t>
            </w:r>
          </w:hyperlink>
        </w:p>
        <w:p>
          <w:pPr>
            <w:pStyle w:val="Contents3"/>
            <w:tabs>
              <w:tab w:val="clear" w:pos="8459"/>
              <w:tab w:val="right" w:pos="9026" w:leader="dot"/>
            </w:tabs>
            <w:rPr/>
          </w:pPr>
          <w:hyperlink w:anchor="__RefHeading___Toc1764122_2322387425">
            <w:r>
              <w:rPr>
                <w:webHidden/>
                <w:rStyle w:val="IndexLink"/>
                <w:rtl w:val="true"/>
              </w:rPr>
              <w:t>التیمّم أو الوضوء باعتقاد الضرر أو خوفه وتبین الخلاف</w:t>
            </w:r>
            <w:r>
              <w:rPr>
                <w:rStyle w:val="IndexLink"/>
                <w:rtl w:val="true"/>
              </w:rPr>
              <w:tab/>
            </w:r>
            <w:r>
              <w:rPr>
                <w:rStyle w:val="IndexLink"/>
              </w:rPr>
              <w:t>405</w:t>
            </w:r>
          </w:hyperlink>
        </w:p>
        <w:p>
          <w:pPr>
            <w:pStyle w:val="Contents3"/>
            <w:tabs>
              <w:tab w:val="clear" w:pos="8459"/>
              <w:tab w:val="right" w:pos="9026" w:leader="dot"/>
            </w:tabs>
            <w:rPr/>
          </w:pPr>
          <w:hyperlink w:anchor="__RefHeading___Toc1764124_2322387425">
            <w:r>
              <w:rPr>
                <w:webHidden/>
                <w:rStyle w:val="IndexLink"/>
                <w:rtl w:val="true"/>
              </w:rPr>
              <w:t>الإجناب عمداً مع العلم بالتضرر باستعمال الماء</w:t>
            </w:r>
            <w:r>
              <w:rPr>
                <w:rStyle w:val="IndexLink"/>
                <w:rtl w:val="true"/>
              </w:rPr>
              <w:tab/>
            </w:r>
            <w:r>
              <w:rPr>
                <w:rStyle w:val="IndexLink"/>
              </w:rPr>
              <w:t>409</w:t>
            </w:r>
          </w:hyperlink>
        </w:p>
        <w:p>
          <w:pPr>
            <w:pStyle w:val="Contents3"/>
            <w:tabs>
              <w:tab w:val="clear" w:pos="8459"/>
              <w:tab w:val="right" w:pos="9026" w:leader="dot"/>
            </w:tabs>
            <w:rPr/>
          </w:pPr>
          <w:hyperlink w:anchor="__RefHeading___Toc1764126_2322387425">
            <w:r>
              <w:rPr>
                <w:webHidden/>
                <w:rStyle w:val="IndexLink"/>
                <w:rtl w:val="true"/>
              </w:rPr>
              <w:t>حکم إبطال الوضوء أو الجماع مع عدم التمکن من الماء</w:t>
            </w:r>
            <w:r>
              <w:rPr>
                <w:rStyle w:val="IndexLink"/>
                <w:rtl w:val="true"/>
              </w:rPr>
              <w:tab/>
            </w:r>
            <w:r>
              <w:rPr>
                <w:rStyle w:val="IndexLink"/>
              </w:rPr>
              <w:t>412</w:t>
            </w:r>
          </w:hyperlink>
        </w:p>
        <w:p>
          <w:pPr>
            <w:pStyle w:val="Contents3"/>
            <w:tabs>
              <w:tab w:val="clear" w:pos="8459"/>
              <w:tab w:val="right" w:pos="9026" w:leader="dot"/>
            </w:tabs>
            <w:rPr/>
          </w:pPr>
          <w:hyperlink w:anchor="__RefHeading___Toc1764128_2322387425">
            <w:r>
              <w:rPr>
                <w:webHidden/>
                <w:rStyle w:val="IndexLink"/>
                <w:rtl w:val="true"/>
              </w:rPr>
              <w:t>الرابع</w:t>
            </w:r>
            <w:r>
              <w:rPr>
                <w:rStyle w:val="IndexLink"/>
                <w:rtl w:val="true"/>
              </w:rPr>
              <w:t xml:space="preserve">: </w:t>
            </w:r>
            <w:r>
              <w:rPr>
                <w:rStyle w:val="IndexLink"/>
                <w:rtl w:val="true"/>
              </w:rPr>
              <w:t>الحرج فی تحصیل الماء أو استعماله</w:t>
            </w:r>
            <w:r>
              <w:rPr>
                <w:rStyle w:val="IndexLink"/>
                <w:rtl w:val="true"/>
              </w:rPr>
              <w:tab/>
            </w:r>
            <w:r>
              <w:rPr>
                <w:rStyle w:val="IndexLink"/>
              </w:rPr>
              <w:t>413</w:t>
            </w:r>
          </w:hyperlink>
        </w:p>
        <w:p>
          <w:pPr>
            <w:pStyle w:val="Contents3"/>
            <w:tabs>
              <w:tab w:val="clear" w:pos="8459"/>
              <w:tab w:val="right" w:pos="9026" w:leader="dot"/>
            </w:tabs>
            <w:rPr/>
          </w:pPr>
          <w:hyperlink w:anchor="__RefHeading___Toc1764130_2322387425">
            <w:r>
              <w:rPr>
                <w:webHidden/>
                <w:rStyle w:val="IndexLink"/>
                <w:rtl w:val="true"/>
              </w:rPr>
              <w:t>الخامس</w:t>
            </w:r>
            <w:r>
              <w:rPr>
                <w:rStyle w:val="IndexLink"/>
                <w:rtl w:val="true"/>
              </w:rPr>
              <w:t xml:space="preserve">: </w:t>
            </w:r>
            <w:r>
              <w:rPr>
                <w:rStyle w:val="IndexLink"/>
                <w:rtl w:val="true"/>
              </w:rPr>
              <w:t>الخوف علی نفسه أو غیره من العطش لو توضأ بالماء</w:t>
            </w:r>
            <w:r>
              <w:rPr>
                <w:rStyle w:val="IndexLink"/>
                <w:rtl w:val="true"/>
              </w:rPr>
              <w:tab/>
            </w:r>
            <w:r>
              <w:rPr>
                <w:rStyle w:val="IndexLink"/>
              </w:rPr>
              <w:t>414</w:t>
            </w:r>
          </w:hyperlink>
        </w:p>
        <w:p>
          <w:pPr>
            <w:pStyle w:val="Contents3"/>
            <w:tabs>
              <w:tab w:val="clear" w:pos="8459"/>
              <w:tab w:val="right" w:pos="9026" w:leader="dot"/>
            </w:tabs>
            <w:rPr/>
          </w:pPr>
          <w:hyperlink w:anchor="__RefHeading___Toc1764132_2322387425">
            <w:r>
              <w:rPr>
                <w:webHidden/>
                <w:rStyle w:val="IndexLink"/>
                <w:rtl w:val="true"/>
              </w:rPr>
              <w:t>وظیفة من کان معه ماءان</w:t>
            </w:r>
            <w:r>
              <w:rPr>
                <w:rStyle w:val="IndexLink"/>
                <w:rtl w:val="true"/>
              </w:rPr>
              <w:t xml:space="preserve">: </w:t>
            </w:r>
            <w:r>
              <w:rPr>
                <w:rStyle w:val="IndexLink"/>
                <w:rtl w:val="true"/>
              </w:rPr>
              <w:t>طاهر ونجس</w:t>
            </w:r>
            <w:r>
              <w:rPr>
                <w:rStyle w:val="IndexLink"/>
                <w:rtl w:val="true"/>
              </w:rPr>
              <w:tab/>
            </w:r>
            <w:r>
              <w:rPr>
                <w:rStyle w:val="IndexLink"/>
              </w:rPr>
              <w:t>422</w:t>
            </w:r>
          </w:hyperlink>
        </w:p>
        <w:p>
          <w:pPr>
            <w:pStyle w:val="Contents3"/>
            <w:tabs>
              <w:tab w:val="clear" w:pos="8459"/>
              <w:tab w:val="right" w:pos="9026" w:leader="dot"/>
            </w:tabs>
            <w:rPr/>
          </w:pPr>
          <w:hyperlink w:anchor="__RefHeading___Toc1764134_2322387425">
            <w:r>
              <w:rPr>
                <w:webHidden/>
                <w:rStyle w:val="IndexLink"/>
                <w:rtl w:val="true"/>
              </w:rPr>
              <w:t>السادس</w:t>
            </w:r>
            <w:r>
              <w:rPr>
                <w:rStyle w:val="IndexLink"/>
                <w:rtl w:val="true"/>
              </w:rPr>
              <w:t xml:space="preserve">: </w:t>
            </w:r>
            <w:r>
              <w:rPr>
                <w:rStyle w:val="IndexLink"/>
                <w:rtl w:val="true"/>
              </w:rPr>
              <w:t>إذا عارض الوضوء أو الغسل واجب أهم</w:t>
            </w:r>
            <w:r>
              <w:rPr>
                <w:rStyle w:val="IndexLink"/>
                <w:rtl w:val="true"/>
              </w:rPr>
              <w:tab/>
            </w:r>
            <w:r>
              <w:rPr>
                <w:rStyle w:val="IndexLink"/>
              </w:rPr>
              <w:t>425</w:t>
            </w:r>
          </w:hyperlink>
        </w:p>
        <w:p>
          <w:pPr>
            <w:pStyle w:val="Contents3"/>
            <w:tabs>
              <w:tab w:val="clear" w:pos="8459"/>
              <w:tab w:val="right" w:pos="9026" w:leader="dot"/>
            </w:tabs>
            <w:rPr/>
          </w:pPr>
          <w:hyperlink w:anchor="__RefHeading___Toc1764136_2322387425">
            <w:r>
              <w:rPr>
                <w:webHidden/>
                <w:rStyle w:val="IndexLink"/>
                <w:rtl w:val="true"/>
              </w:rPr>
              <w:t>لو قدم الطهارة الحدثیة علی الخبثیة</w:t>
            </w:r>
            <w:r>
              <w:rPr>
                <w:rStyle w:val="IndexLink"/>
                <w:rtl w:val="true"/>
              </w:rPr>
              <w:tab/>
            </w:r>
            <w:r>
              <w:rPr>
                <w:rStyle w:val="IndexLink"/>
              </w:rPr>
              <w:t>426</w:t>
            </w:r>
          </w:hyperlink>
        </w:p>
        <w:p>
          <w:pPr>
            <w:pStyle w:val="Contents3"/>
            <w:tabs>
              <w:tab w:val="clear" w:pos="8459"/>
              <w:tab w:val="right" w:pos="9026" w:leader="dot"/>
            </w:tabs>
            <w:rPr/>
          </w:pPr>
          <w:hyperlink w:anchor="__RefHeading___Toc1764138_2322387425">
            <w:r>
              <w:rPr>
                <w:webHidden/>
                <w:rStyle w:val="IndexLink"/>
                <w:rtl w:val="true"/>
              </w:rPr>
              <w:t>تعیّن تقدیم الطهارة الحدثیة لو فقد التراب</w:t>
            </w:r>
            <w:r>
              <w:rPr>
                <w:rStyle w:val="IndexLink"/>
                <w:rtl w:val="true"/>
              </w:rPr>
              <w:tab/>
            </w:r>
            <w:r>
              <w:rPr>
                <w:rStyle w:val="IndexLink"/>
              </w:rPr>
              <w:t>428</w:t>
            </w:r>
          </w:hyperlink>
        </w:p>
        <w:p>
          <w:pPr>
            <w:pStyle w:val="Contents3"/>
            <w:tabs>
              <w:tab w:val="clear" w:pos="8459"/>
              <w:tab w:val="right" w:pos="9026" w:leader="dot"/>
            </w:tabs>
            <w:rPr/>
          </w:pPr>
          <w:hyperlink w:anchor="__RefHeading___Toc1764140_2322387425">
            <w:r>
              <w:rPr>
                <w:webHidden/>
                <w:rStyle w:val="IndexLink"/>
                <w:rtl w:val="true"/>
              </w:rPr>
              <w:t>دوران الأمر بین صرف الماء للوضوء أو إزالة بعض الخبث</w:t>
            </w:r>
            <w:r>
              <w:rPr>
                <w:rStyle w:val="IndexLink"/>
                <w:rtl w:val="true"/>
              </w:rPr>
              <w:tab/>
            </w:r>
            <w:r>
              <w:rPr>
                <w:rStyle w:val="IndexLink"/>
              </w:rPr>
              <w:t>429</w:t>
            </w:r>
          </w:hyperlink>
        </w:p>
        <w:p>
          <w:pPr>
            <w:pStyle w:val="Contents3"/>
            <w:tabs>
              <w:tab w:val="clear" w:pos="8459"/>
              <w:tab w:val="right" w:pos="9026" w:leader="dot"/>
            </w:tabs>
            <w:rPr/>
          </w:pPr>
          <w:hyperlink w:anchor="__RefHeading___Toc1764142_2322387425">
            <w:r>
              <w:rPr>
                <w:webHidden/>
                <w:rStyle w:val="IndexLink"/>
                <w:rtl w:val="true"/>
              </w:rPr>
              <w:t>الدوران بین الترک فی الوقت أو شرب النجس</w:t>
            </w:r>
            <w:r>
              <w:rPr>
                <w:rStyle w:val="IndexLink"/>
                <w:rtl w:val="true"/>
              </w:rPr>
              <w:tab/>
            </w:r>
            <w:r>
              <w:rPr>
                <w:rStyle w:val="IndexLink"/>
              </w:rPr>
              <w:t>433</w:t>
            </w:r>
          </w:hyperlink>
        </w:p>
        <w:p>
          <w:pPr>
            <w:pStyle w:val="Contents3"/>
            <w:tabs>
              <w:tab w:val="clear" w:pos="8459"/>
              <w:tab w:val="right" w:pos="9026" w:leader="dot"/>
            </w:tabs>
            <w:rPr/>
          </w:pPr>
          <w:hyperlink w:anchor="__RefHeading___Toc1764144_2322387425">
            <w:r>
              <w:rPr>
                <w:webHidden/>
                <w:rStyle w:val="IndexLink"/>
                <w:rtl w:val="true"/>
              </w:rPr>
              <w:t>دوران الأمر بین تحصیل الماء وتحصیل الساتر</w:t>
            </w:r>
            <w:r>
              <w:rPr>
                <w:rStyle w:val="IndexLink"/>
                <w:rtl w:val="true"/>
              </w:rPr>
              <w:tab/>
            </w:r>
            <w:r>
              <w:rPr>
                <w:rStyle w:val="IndexLink"/>
              </w:rPr>
              <w:t>437</w:t>
            </w:r>
          </w:hyperlink>
        </w:p>
        <w:p>
          <w:pPr>
            <w:pStyle w:val="Contents3"/>
            <w:tabs>
              <w:tab w:val="clear" w:pos="8459"/>
              <w:tab w:val="right" w:pos="9026" w:leader="dot"/>
            </w:tabs>
            <w:rPr/>
          </w:pPr>
          <w:hyperlink w:anchor="__RefHeading___Toc1764146_2322387425">
            <w:r>
              <w:rPr>
                <w:webHidden/>
                <w:rStyle w:val="IndexLink"/>
                <w:rtl w:val="true"/>
              </w:rPr>
              <w:t>الدوران بین تحصیل الماء أو القبلة</w:t>
            </w:r>
            <w:r>
              <w:rPr>
                <w:rStyle w:val="IndexLink"/>
                <w:rtl w:val="true"/>
              </w:rPr>
              <w:tab/>
            </w:r>
            <w:r>
              <w:rPr>
                <w:rStyle w:val="IndexLink"/>
              </w:rPr>
              <w:t>438</w:t>
            </w:r>
          </w:hyperlink>
        </w:p>
        <w:p>
          <w:pPr>
            <w:pStyle w:val="Contents3"/>
            <w:tabs>
              <w:tab w:val="clear" w:pos="8459"/>
              <w:tab w:val="right" w:pos="9026" w:leader="dot"/>
            </w:tabs>
            <w:rPr/>
          </w:pPr>
          <w:hyperlink w:anchor="__RefHeading___Toc1764148_2322387425">
            <w:r>
              <w:rPr>
                <w:webHidden/>
                <w:rStyle w:val="IndexLink"/>
                <w:rtl w:val="true"/>
              </w:rPr>
              <w:t>السابع</w:t>
            </w:r>
            <w:r>
              <w:rPr>
                <w:rStyle w:val="IndexLink"/>
                <w:rtl w:val="true"/>
              </w:rPr>
              <w:t xml:space="preserve">: </w:t>
            </w:r>
            <w:r>
              <w:rPr>
                <w:rStyle w:val="IndexLink"/>
                <w:rtl w:val="true"/>
              </w:rPr>
              <w:t>ضیق الوقت عن استعمال الماء</w:t>
            </w:r>
            <w:r>
              <w:rPr>
                <w:rStyle w:val="IndexLink"/>
                <w:rtl w:val="true"/>
              </w:rPr>
              <w:tab/>
            </w:r>
            <w:r>
              <w:rPr>
                <w:rStyle w:val="IndexLink"/>
              </w:rPr>
              <w:t>441</w:t>
            </w:r>
          </w:hyperlink>
        </w:p>
        <w:p>
          <w:pPr>
            <w:pStyle w:val="Contents4"/>
            <w:tabs>
              <w:tab w:val="clear" w:pos="8176"/>
              <w:tab w:val="right" w:pos="9026" w:leader="dot"/>
            </w:tabs>
            <w:rPr/>
          </w:pPr>
          <w:hyperlink w:anchor="__RefHeading___Toc1764150_2322387425">
            <w:r>
              <w:rPr>
                <w:webHidden/>
                <w:rStyle w:val="IndexLink"/>
                <w:rtl w:val="true"/>
              </w:rPr>
              <w:t>لو ضیّق الوقت علی نفسه بالاختیار</w:t>
            </w:r>
            <w:r>
              <w:rPr>
                <w:rStyle w:val="IndexLink"/>
                <w:rtl w:val="true"/>
              </w:rPr>
              <w:tab/>
            </w:r>
            <w:r>
              <w:rPr>
                <w:rStyle w:val="IndexLink"/>
              </w:rPr>
              <w:t>441</w:t>
            </w:r>
          </w:hyperlink>
        </w:p>
        <w:p>
          <w:pPr>
            <w:pStyle w:val="Contents3"/>
            <w:tabs>
              <w:tab w:val="clear" w:pos="8459"/>
              <w:tab w:val="right" w:pos="9026" w:leader="dot"/>
            </w:tabs>
            <w:rPr/>
          </w:pPr>
          <w:hyperlink w:anchor="__RefHeading___Toc1764152_2322387425">
            <w:r>
              <w:rPr>
                <w:webHidden/>
                <w:rStyle w:val="IndexLink"/>
                <w:rtl w:val="true"/>
              </w:rPr>
              <w:t>الشک فی ضیق الوقت وسعته</w:t>
            </w:r>
            <w:r>
              <w:rPr>
                <w:rStyle w:val="IndexLink"/>
                <w:rtl w:val="true"/>
              </w:rPr>
              <w:tab/>
            </w:r>
            <w:r>
              <w:rPr>
                <w:rStyle w:val="IndexLink"/>
              </w:rPr>
              <w:t>443</w:t>
            </w:r>
          </w:hyperlink>
        </w:p>
        <w:p>
          <w:pPr>
            <w:pStyle w:val="Contents3"/>
            <w:tabs>
              <w:tab w:val="clear" w:pos="8459"/>
              <w:tab w:val="right" w:pos="9026" w:leader="dot"/>
            </w:tabs>
            <w:rPr/>
          </w:pPr>
          <w:hyperlink w:anchor="__RefHeading___Toc1764154_2322387425">
            <w:r>
              <w:rPr>
                <w:webHidden/>
                <w:rStyle w:val="IndexLink"/>
                <w:rtl w:val="true"/>
              </w:rPr>
              <w:t>ضیق الوقت عن تحصیل الماء الموجود</w:t>
            </w:r>
            <w:r>
              <w:rPr>
                <w:rStyle w:val="IndexLink"/>
                <w:rtl w:val="true"/>
              </w:rPr>
              <w:tab/>
            </w:r>
            <w:r>
              <w:rPr>
                <w:rStyle w:val="IndexLink"/>
              </w:rPr>
              <w:t>447</w:t>
            </w:r>
          </w:hyperlink>
        </w:p>
        <w:p>
          <w:pPr>
            <w:pStyle w:val="Contents3"/>
            <w:tabs>
              <w:tab w:val="clear" w:pos="8459"/>
              <w:tab w:val="right" w:pos="9026" w:leader="dot"/>
            </w:tabs>
            <w:rPr/>
          </w:pPr>
          <w:hyperlink w:anchor="__RefHeading___Toc1764156_2322387425">
            <w:r>
              <w:rPr>
                <w:webHidden/>
                <w:rStyle w:val="IndexLink"/>
                <w:rtl w:val="true"/>
              </w:rPr>
              <w:t>من ضاق وقته عن استعمال الماء فخالف واستعمله</w:t>
            </w:r>
            <w:r>
              <w:rPr>
                <w:rStyle w:val="IndexLink"/>
                <w:rtl w:val="true"/>
              </w:rPr>
              <w:tab/>
            </w:r>
            <w:r>
              <w:rPr>
                <w:rStyle w:val="IndexLink"/>
              </w:rPr>
              <w:t>448</w:t>
            </w:r>
          </w:hyperlink>
        </w:p>
        <w:p>
          <w:pPr>
            <w:pStyle w:val="Contents3"/>
            <w:tabs>
              <w:tab w:val="clear" w:pos="8459"/>
              <w:tab w:val="right" w:pos="9026" w:leader="dot"/>
            </w:tabs>
            <w:rPr/>
          </w:pPr>
          <w:hyperlink w:anchor="__RefHeading___Toc1764158_2322387425">
            <w:r>
              <w:rPr>
                <w:webHidden/>
                <w:rStyle w:val="IndexLink"/>
                <w:rtl w:val="true"/>
              </w:rPr>
              <w:t>التیمّم لصلاة أو غایة ضاق وقتها لایبیح غیرها</w:t>
            </w:r>
            <w:r>
              <w:rPr>
                <w:rStyle w:val="IndexLink"/>
                <w:rtl w:val="true"/>
              </w:rPr>
              <w:tab/>
            </w:r>
            <w:r>
              <w:rPr>
                <w:rStyle w:val="IndexLink"/>
              </w:rPr>
              <w:t>450</w:t>
            </w:r>
          </w:hyperlink>
        </w:p>
        <w:p>
          <w:pPr>
            <w:pStyle w:val="Contents3"/>
            <w:tabs>
              <w:tab w:val="clear" w:pos="8459"/>
              <w:tab w:val="right" w:pos="9026" w:leader="dot"/>
            </w:tabs>
            <w:rPr/>
          </w:pPr>
          <w:hyperlink w:anchor="__RefHeading___Toc1764160_2322387425">
            <w:r>
              <w:rPr>
                <w:webHidden/>
                <w:rStyle w:val="IndexLink"/>
                <w:rtl w:val="true"/>
              </w:rPr>
              <w:t>المدار ضیق الوقت عن الواجبات لا مع المستحبات</w:t>
            </w:r>
            <w:r>
              <w:rPr>
                <w:rStyle w:val="IndexLink"/>
                <w:rtl w:val="true"/>
              </w:rPr>
              <w:tab/>
            </w:r>
            <w:r>
              <w:rPr>
                <w:rStyle w:val="IndexLink"/>
              </w:rPr>
              <w:t>455</w:t>
            </w:r>
          </w:hyperlink>
        </w:p>
        <w:p>
          <w:pPr>
            <w:pStyle w:val="Contents3"/>
            <w:tabs>
              <w:tab w:val="clear" w:pos="8459"/>
              <w:tab w:val="right" w:pos="9026" w:leader="dot"/>
            </w:tabs>
            <w:rPr/>
          </w:pPr>
          <w:hyperlink w:anchor="__RefHeading___Toc1764162_2322387425">
            <w:r>
              <w:rPr>
                <w:webHidden/>
                <w:rStyle w:val="IndexLink"/>
                <w:rtl w:val="true"/>
              </w:rPr>
              <w:t>حکم ضیق الوقت فی المستحبّات</w:t>
            </w:r>
            <w:r>
              <w:rPr>
                <w:rStyle w:val="IndexLink"/>
                <w:rtl w:val="true"/>
              </w:rPr>
              <w:tab/>
            </w:r>
            <w:r>
              <w:rPr>
                <w:rStyle w:val="IndexLink"/>
              </w:rPr>
              <w:t>456</w:t>
            </w:r>
          </w:hyperlink>
        </w:p>
        <w:p>
          <w:pPr>
            <w:pStyle w:val="Contents3"/>
            <w:tabs>
              <w:tab w:val="clear" w:pos="8459"/>
              <w:tab w:val="right" w:pos="9026" w:leader="dot"/>
            </w:tabs>
            <w:rPr/>
          </w:pPr>
          <w:hyperlink w:anchor="__RefHeading___Toc1764164_2322387425">
            <w:r>
              <w:rPr>
                <w:webHidden/>
                <w:rStyle w:val="IndexLink"/>
                <w:rtl w:val="true"/>
              </w:rPr>
              <w:t>التیمّم باعتقاد السعة فتبیّن الضیق أو العکس</w:t>
            </w:r>
            <w:r>
              <w:rPr>
                <w:rStyle w:val="IndexLink"/>
                <w:rtl w:val="true"/>
              </w:rPr>
              <w:tab/>
            </w:r>
            <w:r>
              <w:rPr>
                <w:rStyle w:val="IndexLink"/>
              </w:rPr>
              <w:t>458</w:t>
            </w:r>
          </w:hyperlink>
        </w:p>
        <w:p>
          <w:pPr>
            <w:pStyle w:val="Contents3"/>
            <w:tabs>
              <w:tab w:val="clear" w:pos="8459"/>
              <w:tab w:val="right" w:pos="9026" w:leader="dot"/>
            </w:tabs>
            <w:rPr/>
          </w:pPr>
          <w:hyperlink w:anchor="__RefHeading___Toc1764166_2322387425">
            <w:r>
              <w:rPr>
                <w:webHidden/>
                <w:rStyle w:val="IndexLink"/>
                <w:rtl w:val="true"/>
              </w:rPr>
              <w:t>الثامن</w:t>
            </w:r>
            <w:r>
              <w:rPr>
                <w:rStyle w:val="IndexLink"/>
                <w:rtl w:val="true"/>
              </w:rPr>
              <w:t xml:space="preserve">: </w:t>
            </w:r>
            <w:r>
              <w:rPr>
                <w:rStyle w:val="IndexLink"/>
                <w:rtl w:val="true"/>
              </w:rPr>
              <w:t>العجز عن استعمال الماء لمانع شرعی</w:t>
            </w:r>
            <w:r>
              <w:rPr>
                <w:rStyle w:val="IndexLink"/>
                <w:rtl w:val="true"/>
              </w:rPr>
              <w:tab/>
            </w:r>
            <w:r>
              <w:rPr>
                <w:rStyle w:val="IndexLink"/>
              </w:rPr>
              <w:t>460</w:t>
            </w:r>
          </w:hyperlink>
        </w:p>
        <w:p>
          <w:pPr>
            <w:pStyle w:val="Contents3"/>
            <w:tabs>
              <w:tab w:val="clear" w:pos="8459"/>
              <w:tab w:val="right" w:pos="9026" w:leader="dot"/>
            </w:tabs>
            <w:rPr/>
          </w:pPr>
          <w:hyperlink w:anchor="__RefHeading___Toc1764168_2322387425">
            <w:r>
              <w:rPr>
                <w:webHidden/>
                <w:rStyle w:val="IndexLink"/>
                <w:rtl w:val="true"/>
              </w:rPr>
              <w:t>حکم من کان جنباً مع عدم الماء إلاّ فی المسجد</w:t>
            </w:r>
            <w:r>
              <w:rPr>
                <w:rStyle w:val="IndexLink"/>
                <w:rtl w:val="true"/>
              </w:rPr>
              <w:tab/>
            </w:r>
            <w:r>
              <w:rPr>
                <w:rStyle w:val="IndexLink"/>
              </w:rPr>
              <w:t>462</w:t>
            </w:r>
          </w:hyperlink>
        </w:p>
        <w:p>
          <w:pPr>
            <w:pStyle w:val="Contents3"/>
            <w:tabs>
              <w:tab w:val="clear" w:pos="8459"/>
              <w:tab w:val="right" w:pos="9026" w:leader="dot"/>
            </w:tabs>
            <w:rPr/>
          </w:pPr>
          <w:hyperlink w:anchor="__RefHeading___Toc1764170_2322387425">
            <w:r>
              <w:rPr>
                <w:webHidden/>
                <w:rStyle w:val="IndexLink"/>
                <w:rtl w:val="true"/>
              </w:rPr>
              <w:t>موارد مشروعیة التیمّم مع وجدان الماء</w:t>
            </w:r>
            <w:r>
              <w:rPr>
                <w:rStyle w:val="IndexLink"/>
                <w:rtl w:val="true"/>
              </w:rPr>
              <w:tab/>
            </w:r>
            <w:r>
              <w:rPr>
                <w:rStyle w:val="IndexLink"/>
              </w:rPr>
              <w:t>464</w:t>
            </w:r>
          </w:hyperlink>
        </w:p>
        <w:p>
          <w:pPr>
            <w:pStyle w:val="Contents3"/>
            <w:tabs>
              <w:tab w:val="clear" w:pos="8459"/>
              <w:tab w:val="right" w:pos="9026" w:leader="dot"/>
            </w:tabs>
            <w:rPr/>
          </w:pPr>
          <w:hyperlink w:anchor="__RefHeading___Toc1764172_2322387425">
            <w:r>
              <w:rPr>
                <w:webHidden/>
                <w:rStyle w:val="IndexLink"/>
                <w:rtl w:val="true"/>
              </w:rPr>
              <w:t>خلط المطلق بالمضاف</w:t>
            </w:r>
            <w:r>
              <w:rPr>
                <w:rStyle w:val="IndexLink"/>
                <w:rtl w:val="true"/>
              </w:rPr>
              <w:tab/>
            </w:r>
            <w:r>
              <w:rPr>
                <w:rStyle w:val="IndexLink"/>
              </w:rPr>
              <w:t>466</w:t>
            </w:r>
          </w:hyperlink>
        </w:p>
        <w:p>
          <w:pPr>
            <w:pStyle w:val="Contents2"/>
            <w:tabs>
              <w:tab w:val="clear" w:pos="8743"/>
              <w:tab w:val="right" w:pos="9026" w:leader="dot"/>
            </w:tabs>
            <w:rPr/>
          </w:pPr>
          <w:hyperlink w:anchor="__RefHeading___Toc1764174_2322387425">
            <w:r>
              <w:rPr>
                <w:webHidden/>
                <w:rStyle w:val="IndexLink"/>
                <w:rtl w:val="true"/>
              </w:rPr>
              <w:t>فصل</w:t>
            </w:r>
            <w:r>
              <w:rPr>
                <w:rStyle w:val="IndexLink"/>
                <w:rtl w:val="true"/>
              </w:rPr>
              <w:t xml:space="preserve">: </w:t>
            </w:r>
            <w:r>
              <w:rPr>
                <w:rStyle w:val="IndexLink"/>
                <w:rtl w:val="true"/>
              </w:rPr>
              <w:t>فی بیان ما یصحّ التیمّم به</w:t>
            </w:r>
            <w:r>
              <w:rPr>
                <w:rStyle w:val="IndexLink"/>
                <w:rtl w:val="true"/>
              </w:rPr>
              <w:tab/>
            </w:r>
            <w:r>
              <w:rPr>
                <w:rStyle w:val="IndexLink"/>
              </w:rPr>
              <w:t>467</w:t>
            </w:r>
          </w:hyperlink>
        </w:p>
        <w:p>
          <w:pPr>
            <w:pStyle w:val="Contents3"/>
            <w:tabs>
              <w:tab w:val="clear" w:pos="8459"/>
              <w:tab w:val="right" w:pos="9026" w:leader="dot"/>
            </w:tabs>
            <w:rPr/>
          </w:pPr>
          <w:hyperlink w:anchor="__RefHeading___Toc1764176_2322387425">
            <w:r>
              <w:rPr>
                <w:webHidden/>
                <w:rStyle w:val="IndexLink"/>
                <w:rtl w:val="true"/>
              </w:rPr>
              <w:t>جواز التیمّم علی مطلق وجه الأرض</w:t>
            </w:r>
            <w:r>
              <w:rPr>
                <w:rStyle w:val="IndexLink"/>
                <w:rtl w:val="true"/>
              </w:rPr>
              <w:tab/>
            </w:r>
            <w:r>
              <w:rPr>
                <w:rStyle w:val="IndexLink"/>
              </w:rPr>
              <w:t>467</w:t>
            </w:r>
          </w:hyperlink>
        </w:p>
        <w:p>
          <w:pPr>
            <w:pStyle w:val="Contents3"/>
            <w:tabs>
              <w:tab w:val="clear" w:pos="8459"/>
              <w:tab w:val="right" w:pos="9026" w:leader="dot"/>
            </w:tabs>
            <w:rPr/>
          </w:pPr>
          <w:hyperlink w:anchor="__RefHeading___Toc1764178_2322387425">
            <w:r>
              <w:rPr>
                <w:webHidden/>
                <w:rStyle w:val="IndexLink"/>
                <w:rtl w:val="true"/>
              </w:rPr>
              <w:t>حکم التیمّم بالجص والنّورة والطین قبل الإحراق وبعده</w:t>
            </w:r>
            <w:r>
              <w:rPr>
                <w:rStyle w:val="IndexLink"/>
                <w:rtl w:val="true"/>
              </w:rPr>
              <w:tab/>
            </w:r>
            <w:r>
              <w:rPr>
                <w:rStyle w:val="IndexLink"/>
              </w:rPr>
              <w:t>468</w:t>
            </w:r>
          </w:hyperlink>
        </w:p>
        <w:p>
          <w:pPr>
            <w:pStyle w:val="Contents3"/>
            <w:tabs>
              <w:tab w:val="clear" w:pos="8459"/>
              <w:tab w:val="right" w:pos="9026" w:leader="dot"/>
            </w:tabs>
            <w:rPr/>
          </w:pPr>
          <w:hyperlink w:anchor="__RefHeading___Toc1764180_2322387425">
            <w:r>
              <w:rPr>
                <w:webHidden/>
                <w:rStyle w:val="IndexLink"/>
                <w:rtl w:val="true"/>
              </w:rPr>
              <w:t>حکم التیمّم بالمعادن ونحوها ممّا خرج عن اسم الأرض</w:t>
            </w:r>
            <w:r>
              <w:rPr>
                <w:rStyle w:val="IndexLink"/>
                <w:rtl w:val="true"/>
              </w:rPr>
              <w:tab/>
            </w:r>
            <w:r>
              <w:rPr>
                <w:rStyle w:val="IndexLink"/>
              </w:rPr>
              <w:t>469</w:t>
            </w:r>
          </w:hyperlink>
        </w:p>
        <w:p>
          <w:pPr>
            <w:pStyle w:val="Contents3"/>
            <w:tabs>
              <w:tab w:val="clear" w:pos="8459"/>
              <w:tab w:val="right" w:pos="9026" w:leader="dot"/>
            </w:tabs>
            <w:rPr/>
          </w:pPr>
          <w:hyperlink w:anchor="__RefHeading___Toc1764182_2322387425">
            <w:r>
              <w:rPr>
                <w:webHidden/>
                <w:rStyle w:val="IndexLink"/>
                <w:rtl w:val="true"/>
              </w:rPr>
              <w:t>جواز التیمّم بالغبار ومع فقده فبالطین</w:t>
            </w:r>
            <w:r>
              <w:rPr>
                <w:rStyle w:val="IndexLink"/>
                <w:rtl w:val="true"/>
              </w:rPr>
              <w:tab/>
            </w:r>
            <w:r>
              <w:rPr>
                <w:rStyle w:val="IndexLink"/>
              </w:rPr>
              <w:t>470</w:t>
            </w:r>
          </w:hyperlink>
        </w:p>
        <w:p>
          <w:pPr>
            <w:pStyle w:val="Contents3"/>
            <w:tabs>
              <w:tab w:val="clear" w:pos="8459"/>
              <w:tab w:val="right" w:pos="9026" w:leader="dot"/>
            </w:tabs>
            <w:rPr/>
          </w:pPr>
          <w:hyperlink w:anchor="__RefHeading___Toc1764184_2322387425">
            <w:r>
              <w:rPr>
                <w:webHidden/>
                <w:rStyle w:val="IndexLink"/>
                <w:rtl w:val="true"/>
              </w:rPr>
              <w:t>وظیفة من فقد الأرض والغبار والطین</w:t>
            </w:r>
            <w:r>
              <w:rPr>
                <w:rStyle w:val="IndexLink"/>
                <w:rtl w:val="true"/>
              </w:rPr>
              <w:tab/>
            </w:r>
            <w:r>
              <w:rPr>
                <w:rStyle w:val="IndexLink"/>
              </w:rPr>
              <w:t>472</w:t>
            </w:r>
          </w:hyperlink>
        </w:p>
        <w:p>
          <w:pPr>
            <w:pStyle w:val="Contents3"/>
            <w:tabs>
              <w:tab w:val="clear" w:pos="8459"/>
              <w:tab w:val="right" w:pos="9026" w:leader="dot"/>
            </w:tabs>
            <w:rPr/>
          </w:pPr>
          <w:hyperlink w:anchor="__RefHeading___Toc1764186_2322387425">
            <w:r>
              <w:rPr>
                <w:webHidden/>
                <w:rStyle w:val="IndexLink"/>
                <w:rtl w:val="true"/>
              </w:rPr>
              <w:t>حکم التیمّم بالثلج</w:t>
            </w:r>
            <w:r>
              <w:rPr>
                <w:rStyle w:val="IndexLink"/>
                <w:rtl w:val="true"/>
              </w:rPr>
              <w:tab/>
            </w:r>
            <w:r>
              <w:rPr>
                <w:rStyle w:val="IndexLink"/>
              </w:rPr>
              <w:t>472</w:t>
            </w:r>
          </w:hyperlink>
        </w:p>
        <w:p>
          <w:pPr>
            <w:pStyle w:val="Contents3"/>
            <w:tabs>
              <w:tab w:val="clear" w:pos="8459"/>
              <w:tab w:val="right" w:pos="9026" w:leader="dot"/>
            </w:tabs>
            <w:rPr/>
          </w:pPr>
          <w:hyperlink w:anchor="__RefHeading___Toc1764188_2322387425">
            <w:r>
              <w:rPr>
                <w:webHidden/>
                <w:rStyle w:val="IndexLink"/>
                <w:rtl w:val="true"/>
              </w:rPr>
              <w:t>تعین الطهارة المائیة لو أمکن إذابة الثلج</w:t>
            </w:r>
            <w:r>
              <w:rPr>
                <w:rStyle w:val="IndexLink"/>
                <w:rtl w:val="true"/>
              </w:rPr>
              <w:tab/>
            </w:r>
            <w:r>
              <w:rPr>
                <w:rStyle w:val="IndexLink"/>
              </w:rPr>
              <w:t>474</w:t>
            </w:r>
          </w:hyperlink>
        </w:p>
        <w:p>
          <w:pPr>
            <w:pStyle w:val="Contents3"/>
            <w:tabs>
              <w:tab w:val="clear" w:pos="8459"/>
              <w:tab w:val="right" w:pos="9026" w:leader="dot"/>
            </w:tabs>
            <w:rPr/>
          </w:pPr>
          <w:hyperlink w:anchor="__RefHeading___Toc1764190_2322387425">
            <w:r>
              <w:rPr>
                <w:webHidden/>
                <w:rStyle w:val="IndexLink"/>
                <w:rtl w:val="true"/>
              </w:rPr>
              <w:t>الأحوط الترتیب بین أنواع الأرض بحسب الإمکان</w:t>
            </w:r>
            <w:r>
              <w:rPr>
                <w:rStyle w:val="IndexLink"/>
                <w:rtl w:val="true"/>
              </w:rPr>
              <w:tab/>
            </w:r>
            <w:r>
              <w:rPr>
                <w:rStyle w:val="IndexLink"/>
              </w:rPr>
              <w:t>475</w:t>
            </w:r>
          </w:hyperlink>
        </w:p>
        <w:p>
          <w:pPr>
            <w:pStyle w:val="Contents3"/>
            <w:tabs>
              <w:tab w:val="clear" w:pos="8459"/>
              <w:tab w:val="right" w:pos="9026" w:leader="dot"/>
            </w:tabs>
            <w:rPr/>
          </w:pPr>
          <w:hyperlink w:anchor="__RefHeading___Toc1764192_2322387425">
            <w:r>
              <w:rPr>
                <w:webHidden/>
                <w:rStyle w:val="IndexLink"/>
                <w:rtl w:val="true"/>
              </w:rPr>
              <w:t>من لا یجد الاّ الجص المطبوخ أو الآجر أو الخزف أو الرماد</w:t>
            </w:r>
            <w:r>
              <w:rPr>
                <w:rStyle w:val="IndexLink"/>
                <w:rtl w:val="true"/>
              </w:rPr>
              <w:tab/>
            </w:r>
            <w:r>
              <w:rPr>
                <w:rStyle w:val="IndexLink"/>
              </w:rPr>
              <w:t>477</w:t>
            </w:r>
          </w:hyperlink>
        </w:p>
        <w:p>
          <w:pPr>
            <w:pStyle w:val="Contents3"/>
            <w:tabs>
              <w:tab w:val="clear" w:pos="8459"/>
              <w:tab w:val="right" w:pos="9026" w:leader="dot"/>
            </w:tabs>
            <w:rPr/>
          </w:pPr>
          <w:hyperlink w:anchor="__RefHeading___Toc1764194_2322387425">
            <w:r>
              <w:rPr>
                <w:webHidden/>
                <w:rStyle w:val="IndexLink"/>
                <w:rtl w:val="true"/>
              </w:rPr>
              <w:t>جواز التیمّم علی الحائظ من الطین ونحوه مما لا یخرج عن اسم الأرض</w:t>
            </w:r>
            <w:r>
              <w:rPr>
                <w:rStyle w:val="IndexLink"/>
                <w:rtl w:val="true"/>
              </w:rPr>
              <w:tab/>
            </w:r>
            <w:r>
              <w:rPr>
                <w:rStyle w:val="IndexLink"/>
              </w:rPr>
              <w:t>478</w:t>
            </w:r>
          </w:hyperlink>
        </w:p>
        <w:p>
          <w:pPr>
            <w:pStyle w:val="Contents3"/>
            <w:tabs>
              <w:tab w:val="clear" w:pos="8459"/>
              <w:tab w:val="right" w:pos="9026" w:leader="dot"/>
            </w:tabs>
            <w:rPr/>
          </w:pPr>
          <w:hyperlink w:anchor="__RefHeading___Toc1764196_2322387425">
            <w:r>
              <w:rPr>
                <w:webHidden/>
                <w:rStyle w:val="IndexLink"/>
                <w:rtl w:val="true"/>
              </w:rPr>
              <w:t>وجوب إزالة ما لصق بالید من الطین عند التیمّم</w:t>
            </w:r>
            <w:r>
              <w:rPr>
                <w:rStyle w:val="IndexLink"/>
                <w:rtl w:val="true"/>
              </w:rPr>
              <w:tab/>
            </w:r>
            <w:r>
              <w:rPr>
                <w:rStyle w:val="IndexLink"/>
              </w:rPr>
              <w:t>478</w:t>
            </w:r>
          </w:hyperlink>
        </w:p>
        <w:p>
          <w:pPr>
            <w:pStyle w:val="Contents3"/>
            <w:tabs>
              <w:tab w:val="clear" w:pos="8459"/>
              <w:tab w:val="right" w:pos="9026" w:leader="dot"/>
            </w:tabs>
            <w:rPr/>
          </w:pPr>
          <w:hyperlink w:anchor="__RefHeading___Toc1764198_2322387425">
            <w:r>
              <w:rPr>
                <w:webHidden/>
                <w:rStyle w:val="IndexLink"/>
                <w:rtl w:val="true"/>
              </w:rPr>
              <w:t>حکم التیمّم بالتراب الممزوج بغیره</w:t>
            </w:r>
            <w:r>
              <w:rPr>
                <w:rStyle w:val="IndexLink"/>
                <w:rtl w:val="true"/>
              </w:rPr>
              <w:tab/>
            </w:r>
            <w:r>
              <w:rPr>
                <w:rStyle w:val="IndexLink"/>
              </w:rPr>
              <w:t>480</w:t>
            </w:r>
          </w:hyperlink>
        </w:p>
        <w:p>
          <w:pPr>
            <w:pStyle w:val="Contents3"/>
            <w:tabs>
              <w:tab w:val="clear" w:pos="8459"/>
              <w:tab w:val="right" w:pos="9026" w:leader="dot"/>
            </w:tabs>
            <w:rPr/>
          </w:pPr>
          <w:hyperlink w:anchor="__RefHeading___Toc1764200_2322387425">
            <w:r>
              <w:rPr>
                <w:webHidden/>
                <w:rStyle w:val="IndexLink"/>
                <w:rtl w:val="true"/>
              </w:rPr>
              <w:t>وجوب شراء ما یتیمّم به</w:t>
            </w:r>
            <w:r>
              <w:rPr>
                <w:rStyle w:val="IndexLink"/>
                <w:rtl w:val="true"/>
              </w:rPr>
              <w:tab/>
            </w:r>
            <w:r>
              <w:rPr>
                <w:rStyle w:val="IndexLink"/>
              </w:rPr>
              <w:t>481</w:t>
            </w:r>
          </w:hyperlink>
        </w:p>
        <w:p>
          <w:pPr>
            <w:pStyle w:val="Contents3"/>
            <w:tabs>
              <w:tab w:val="clear" w:pos="8459"/>
              <w:tab w:val="right" w:pos="9026" w:leader="dot"/>
            </w:tabs>
            <w:rPr/>
          </w:pPr>
          <w:hyperlink w:anchor="__RefHeading___Toc1764202_2322387425">
            <w:r>
              <w:rPr>
                <w:webHidden/>
                <w:rStyle w:val="IndexLink"/>
                <w:rtl w:val="true"/>
              </w:rPr>
              <w:t>حکم التیمّم علی الأرض الندیّة</w:t>
            </w:r>
            <w:r>
              <w:rPr>
                <w:rStyle w:val="IndexLink"/>
                <w:rtl w:val="true"/>
              </w:rPr>
              <w:tab/>
            </w:r>
            <w:r>
              <w:rPr>
                <w:rStyle w:val="IndexLink"/>
              </w:rPr>
              <w:t>481</w:t>
            </w:r>
          </w:hyperlink>
        </w:p>
        <w:p>
          <w:pPr>
            <w:pStyle w:val="Contents3"/>
            <w:tabs>
              <w:tab w:val="clear" w:pos="8459"/>
              <w:tab w:val="right" w:pos="9026" w:leader="dot"/>
            </w:tabs>
            <w:rPr/>
          </w:pPr>
          <w:hyperlink w:anchor="__RefHeading___Toc1764204_2322387425">
            <w:r>
              <w:rPr>
                <w:webHidden/>
                <w:rStyle w:val="IndexLink"/>
                <w:rtl w:val="true"/>
              </w:rPr>
              <w:t>حکم التیمّم بما لا یصح التیمّم به جهلاً</w:t>
            </w:r>
            <w:r>
              <w:rPr>
                <w:rStyle w:val="IndexLink"/>
                <w:rtl w:val="true"/>
              </w:rPr>
              <w:tab/>
            </w:r>
            <w:r>
              <w:rPr>
                <w:rStyle w:val="IndexLink"/>
              </w:rPr>
              <w:t>483</w:t>
            </w:r>
          </w:hyperlink>
        </w:p>
        <w:p>
          <w:pPr>
            <w:pStyle w:val="Contents3"/>
            <w:tabs>
              <w:tab w:val="clear" w:pos="8459"/>
              <w:tab w:val="right" w:pos="9026" w:leader="dot"/>
            </w:tabs>
            <w:rPr/>
          </w:pPr>
          <w:hyperlink w:anchor="__RefHeading___Toc1764206_2322387425">
            <w:r>
              <w:rPr>
                <w:webHidden/>
                <w:rStyle w:val="IndexLink"/>
                <w:rtl w:val="true"/>
              </w:rPr>
              <w:t>تحدید المراد من الطین</w:t>
            </w:r>
            <w:r>
              <w:rPr>
                <w:rStyle w:val="IndexLink"/>
                <w:rtl w:val="true"/>
              </w:rPr>
              <w:tab/>
            </w:r>
            <w:r>
              <w:rPr>
                <w:rStyle w:val="IndexLink"/>
              </w:rPr>
              <w:t>483</w:t>
            </w:r>
          </w:hyperlink>
        </w:p>
        <w:p>
          <w:pPr>
            <w:pStyle w:val="Contents2"/>
            <w:tabs>
              <w:tab w:val="clear" w:pos="8743"/>
              <w:tab w:val="right" w:pos="9026" w:leader="dot"/>
            </w:tabs>
            <w:rPr/>
          </w:pPr>
          <w:hyperlink w:anchor="__RefHeading___Toc1764208_2322387425">
            <w:r>
              <w:rPr>
                <w:webHidden/>
                <w:rStyle w:val="IndexLink"/>
                <w:rtl w:val="true"/>
              </w:rPr>
              <w:t>فصل</w:t>
            </w:r>
            <w:r>
              <w:rPr>
                <w:rStyle w:val="IndexLink"/>
                <w:rtl w:val="true"/>
              </w:rPr>
              <w:t xml:space="preserve">: </w:t>
            </w:r>
            <w:r>
              <w:rPr>
                <w:rStyle w:val="IndexLink"/>
                <w:rtl w:val="true"/>
              </w:rPr>
              <w:t>فی شرائط ما یتیمّم به</w:t>
            </w:r>
            <w:r>
              <w:rPr>
                <w:rStyle w:val="IndexLink"/>
                <w:rtl w:val="true"/>
              </w:rPr>
              <w:tab/>
            </w:r>
            <w:r>
              <w:rPr>
                <w:rStyle w:val="IndexLink"/>
              </w:rPr>
              <w:t>484</w:t>
            </w:r>
          </w:hyperlink>
        </w:p>
        <w:p>
          <w:pPr>
            <w:pStyle w:val="Contents3"/>
            <w:tabs>
              <w:tab w:val="clear" w:pos="8459"/>
              <w:tab w:val="right" w:pos="9026" w:leader="dot"/>
            </w:tabs>
            <w:rPr/>
          </w:pPr>
          <w:hyperlink w:anchor="__RefHeading___Toc1764210_2322387425">
            <w:r>
              <w:rPr>
                <w:webHidden/>
                <w:rStyle w:val="IndexLink"/>
                <w:rtl w:val="true"/>
              </w:rPr>
              <w:t>اشتراط الطهارة والإطلاق والإباحة</w:t>
            </w:r>
            <w:r>
              <w:rPr>
                <w:rStyle w:val="IndexLink"/>
                <w:rtl w:val="true"/>
              </w:rPr>
              <w:tab/>
            </w:r>
            <w:r>
              <w:rPr>
                <w:rStyle w:val="IndexLink"/>
              </w:rPr>
              <w:t>484</w:t>
            </w:r>
          </w:hyperlink>
        </w:p>
        <w:p>
          <w:pPr>
            <w:pStyle w:val="Contents3"/>
            <w:tabs>
              <w:tab w:val="clear" w:pos="8459"/>
              <w:tab w:val="right" w:pos="9026" w:leader="dot"/>
            </w:tabs>
            <w:rPr/>
          </w:pPr>
          <w:hyperlink w:anchor="__RefHeading___Toc1764212_2322387425">
            <w:r>
              <w:rPr>
                <w:webHidden/>
                <w:rStyle w:val="IndexLink"/>
                <w:rtl w:val="true"/>
              </w:rPr>
              <w:t>حکم التیمّم حال الجهل بالغصبیة أو نسیانها</w:t>
            </w:r>
            <w:r>
              <w:rPr>
                <w:rStyle w:val="IndexLink"/>
                <w:rtl w:val="true"/>
              </w:rPr>
              <w:tab/>
            </w:r>
            <w:r>
              <w:rPr>
                <w:rStyle w:val="IndexLink"/>
              </w:rPr>
              <w:t>489</w:t>
            </w:r>
          </w:hyperlink>
        </w:p>
        <w:p>
          <w:pPr>
            <w:pStyle w:val="Contents3"/>
            <w:tabs>
              <w:tab w:val="clear" w:pos="8459"/>
              <w:tab w:val="right" w:pos="9026" w:leader="dot"/>
            </w:tabs>
            <w:rPr/>
          </w:pPr>
          <w:hyperlink w:anchor="__RefHeading___Toc1764214_2322387425">
            <w:r>
              <w:rPr>
                <w:webHidden/>
                <w:rStyle w:val="IndexLink"/>
                <w:rtl w:val="true"/>
              </w:rPr>
              <w:t>التیمّم بالتراب فی آنیة الذهب والفضة</w:t>
            </w:r>
            <w:r>
              <w:rPr>
                <w:rStyle w:val="IndexLink"/>
                <w:rtl w:val="true"/>
              </w:rPr>
              <w:tab/>
            </w:r>
            <w:r>
              <w:rPr>
                <w:rStyle w:val="IndexLink"/>
              </w:rPr>
              <w:t>490</w:t>
            </w:r>
          </w:hyperlink>
        </w:p>
        <w:p>
          <w:pPr>
            <w:pStyle w:val="Contents3"/>
            <w:tabs>
              <w:tab w:val="clear" w:pos="8459"/>
              <w:tab w:val="right" w:pos="9026" w:leader="dot"/>
            </w:tabs>
            <w:rPr/>
          </w:pPr>
          <w:hyperlink w:anchor="__RefHeading___Toc1764216_2322387425">
            <w:r>
              <w:rPr>
                <w:webHidden/>
                <w:rStyle w:val="IndexLink"/>
                <w:rtl w:val="true"/>
              </w:rPr>
              <w:t>اشتباه التراب النجس بغیره والمباح بالمغصوب</w:t>
            </w:r>
            <w:r>
              <w:rPr>
                <w:rStyle w:val="IndexLink"/>
                <w:rtl w:val="true"/>
              </w:rPr>
              <w:tab/>
            </w:r>
            <w:r>
              <w:rPr>
                <w:rStyle w:val="IndexLink"/>
              </w:rPr>
              <w:t>491</w:t>
            </w:r>
          </w:hyperlink>
        </w:p>
        <w:p>
          <w:pPr>
            <w:pStyle w:val="Contents3"/>
            <w:tabs>
              <w:tab w:val="clear" w:pos="8459"/>
              <w:tab w:val="right" w:pos="9026" w:leader="dot"/>
            </w:tabs>
            <w:rPr/>
          </w:pPr>
          <w:hyperlink w:anchor="__RefHeading___Toc1764218_2322387425">
            <w:r>
              <w:rPr>
                <w:webHidden/>
                <w:rStyle w:val="IndexLink"/>
                <w:rtl w:val="true"/>
              </w:rPr>
              <w:t>العلم الإجمالی بغصبیة الماء أو التراب أو نجاسة أحدهما أو إضافته</w:t>
            </w:r>
            <w:r>
              <w:rPr>
                <w:rStyle w:val="IndexLink"/>
                <w:rtl w:val="true"/>
              </w:rPr>
              <w:tab/>
            </w:r>
            <w:r>
              <w:rPr>
                <w:rStyle w:val="IndexLink"/>
              </w:rPr>
              <w:t>492</w:t>
            </w:r>
          </w:hyperlink>
        </w:p>
        <w:p>
          <w:pPr>
            <w:pStyle w:val="Contents3"/>
            <w:tabs>
              <w:tab w:val="clear" w:pos="8459"/>
              <w:tab w:val="right" w:pos="9026" w:leader="dot"/>
            </w:tabs>
            <w:rPr/>
          </w:pPr>
          <w:hyperlink w:anchor="__RefHeading___Toc1764220_2322387425">
            <w:r>
              <w:rPr>
                <w:webHidden/>
                <w:rStyle w:val="IndexLink"/>
                <w:rtl w:val="true"/>
              </w:rPr>
              <w:t>التیمّم بما یشک فی کونه ترابا</w:t>
            </w:r>
            <w:r>
              <w:rPr>
                <w:rStyle w:val="IndexLink"/>
                <w:rtl w:val="true"/>
              </w:rPr>
              <w:tab/>
            </w:r>
            <w:r>
              <w:rPr>
                <w:rStyle w:val="IndexLink"/>
              </w:rPr>
              <w:t>496</w:t>
            </w:r>
          </w:hyperlink>
        </w:p>
        <w:p>
          <w:pPr>
            <w:pStyle w:val="Contents3"/>
            <w:tabs>
              <w:tab w:val="clear" w:pos="8459"/>
              <w:tab w:val="right" w:pos="9026" w:leader="dot"/>
            </w:tabs>
            <w:rPr/>
          </w:pPr>
          <w:hyperlink w:anchor="__RefHeading___Toc1764222_2322387425">
            <w:r>
              <w:rPr>
                <w:webHidden/>
                <w:rStyle w:val="IndexLink"/>
                <w:rtl w:val="true"/>
              </w:rPr>
              <w:t>حکم تیمّم المحبوس فی مکان مغصوب ووضوئه بمائه</w:t>
            </w:r>
            <w:r>
              <w:rPr>
                <w:rStyle w:val="IndexLink"/>
                <w:rtl w:val="true"/>
              </w:rPr>
              <w:tab/>
            </w:r>
            <w:r>
              <w:rPr>
                <w:rStyle w:val="IndexLink"/>
              </w:rPr>
              <w:t>499</w:t>
            </w:r>
          </w:hyperlink>
        </w:p>
        <w:p>
          <w:pPr>
            <w:pStyle w:val="Contents3"/>
            <w:tabs>
              <w:tab w:val="clear" w:pos="8459"/>
              <w:tab w:val="right" w:pos="9026" w:leader="dot"/>
            </w:tabs>
            <w:rPr/>
          </w:pPr>
          <w:hyperlink w:anchor="__RefHeading___Toc1764224_2322387425">
            <w:r>
              <w:rPr>
                <w:webHidden/>
                <w:rStyle w:val="IndexLink"/>
                <w:rtl w:val="true"/>
              </w:rPr>
              <w:t>إذا کان التراب لا یکفی لضرب الکفّین معاً</w:t>
            </w:r>
            <w:r>
              <w:rPr>
                <w:rStyle w:val="IndexLink"/>
                <w:rtl w:val="true"/>
              </w:rPr>
              <w:tab/>
            </w:r>
            <w:r>
              <w:rPr>
                <w:rStyle w:val="IndexLink"/>
              </w:rPr>
              <w:t>504</w:t>
            </w:r>
          </w:hyperlink>
        </w:p>
        <w:p>
          <w:pPr>
            <w:pStyle w:val="Contents3"/>
            <w:tabs>
              <w:tab w:val="clear" w:pos="8459"/>
              <w:tab w:val="right" w:pos="9026" w:leader="dot"/>
            </w:tabs>
            <w:rPr/>
          </w:pPr>
          <w:hyperlink w:anchor="__RefHeading___Toc1764226_2322387425">
            <w:r>
              <w:rPr>
                <w:webHidden/>
                <w:rStyle w:val="IndexLink"/>
                <w:rtl w:val="true"/>
              </w:rPr>
              <w:t>مستحبات التیمّم ومایتیمّم به ومکروهاته</w:t>
            </w:r>
            <w:r>
              <w:rPr>
                <w:rStyle w:val="IndexLink"/>
                <w:rtl w:val="true"/>
              </w:rPr>
              <w:tab/>
            </w:r>
            <w:r>
              <w:rPr>
                <w:rStyle w:val="IndexLink"/>
              </w:rPr>
              <w:t>505</w:t>
            </w:r>
          </w:hyperlink>
        </w:p>
        <w:p>
          <w:pPr>
            <w:pStyle w:val="Contents2"/>
            <w:tabs>
              <w:tab w:val="clear" w:pos="8743"/>
              <w:tab w:val="right" w:pos="9026" w:leader="dot"/>
            </w:tabs>
            <w:rPr/>
          </w:pPr>
          <w:hyperlink w:anchor="__RefHeading___Toc1764228_2322387425">
            <w:r>
              <w:rPr>
                <w:webHidden/>
                <w:rStyle w:val="IndexLink"/>
                <w:rtl w:val="true"/>
              </w:rPr>
              <w:t>فصل</w:t>
            </w:r>
            <w:r>
              <w:rPr>
                <w:rStyle w:val="IndexLink"/>
                <w:rtl w:val="true"/>
              </w:rPr>
              <w:t xml:space="preserve">: </w:t>
            </w:r>
            <w:r>
              <w:rPr>
                <w:rStyle w:val="IndexLink"/>
                <w:rtl w:val="true"/>
              </w:rPr>
              <w:t>فی کیفیّة التیمّم</w:t>
            </w:r>
            <w:r>
              <w:rPr>
                <w:rStyle w:val="IndexLink"/>
                <w:rtl w:val="true"/>
              </w:rPr>
              <w:tab/>
            </w:r>
            <w:r>
              <w:rPr>
                <w:rStyle w:val="IndexLink"/>
              </w:rPr>
              <w:t>507</w:t>
            </w:r>
          </w:hyperlink>
        </w:p>
        <w:p>
          <w:pPr>
            <w:pStyle w:val="Contents3"/>
            <w:tabs>
              <w:tab w:val="clear" w:pos="8459"/>
              <w:tab w:val="right" w:pos="9026" w:leader="dot"/>
            </w:tabs>
            <w:rPr/>
          </w:pPr>
          <w:hyperlink w:anchor="__RefHeading___Toc1764230_2322387425">
            <w:r>
              <w:rPr>
                <w:webHidden/>
                <w:rStyle w:val="IndexLink"/>
                <w:rtl w:val="true"/>
              </w:rPr>
              <w:t>اشارة</w:t>
            </w:r>
            <w:r>
              <w:rPr>
                <w:rStyle w:val="IndexLink"/>
                <w:rtl w:val="true"/>
              </w:rPr>
              <w:tab/>
            </w:r>
            <w:r>
              <w:rPr>
                <w:rStyle w:val="IndexLink"/>
              </w:rPr>
              <w:t>507</w:t>
            </w:r>
          </w:hyperlink>
        </w:p>
        <w:p>
          <w:pPr>
            <w:pStyle w:val="Contents3"/>
            <w:tabs>
              <w:tab w:val="clear" w:pos="8459"/>
              <w:tab w:val="right" w:pos="9026" w:leader="dot"/>
            </w:tabs>
            <w:rPr/>
          </w:pPr>
          <w:hyperlink w:anchor="__RefHeading___Toc1764232_2322387425">
            <w:r>
              <w:rPr>
                <w:webHidden/>
                <w:rStyle w:val="IndexLink"/>
                <w:rtl w:val="true"/>
              </w:rPr>
              <w:t>الأول</w:t>
            </w:r>
            <w:r>
              <w:rPr>
                <w:rStyle w:val="IndexLink"/>
                <w:rtl w:val="true"/>
              </w:rPr>
              <w:t xml:space="preserve">: </w:t>
            </w:r>
            <w:r>
              <w:rPr>
                <w:rStyle w:val="IndexLink"/>
                <w:rtl w:val="true"/>
              </w:rPr>
              <w:t>ضرب باطن الیدین معاً اختیاراً وبما تیسّر مع الاضطرار</w:t>
            </w:r>
            <w:r>
              <w:rPr>
                <w:rStyle w:val="IndexLink"/>
                <w:rtl w:val="true"/>
              </w:rPr>
              <w:tab/>
            </w:r>
            <w:r>
              <w:rPr>
                <w:rStyle w:val="IndexLink"/>
              </w:rPr>
              <w:t>507</w:t>
            </w:r>
          </w:hyperlink>
        </w:p>
        <w:p>
          <w:pPr>
            <w:pStyle w:val="Contents3"/>
            <w:tabs>
              <w:tab w:val="clear" w:pos="8459"/>
              <w:tab w:val="right" w:pos="9026" w:leader="dot"/>
            </w:tabs>
            <w:rPr/>
          </w:pPr>
          <w:hyperlink w:anchor="__RefHeading___Toc1764234_2322387425">
            <w:r>
              <w:rPr>
                <w:webHidden/>
                <w:rStyle w:val="IndexLink"/>
                <w:rtl w:val="true"/>
              </w:rPr>
              <w:t>الثانی</w:t>
            </w:r>
            <w:r>
              <w:rPr>
                <w:rStyle w:val="IndexLink"/>
                <w:rtl w:val="true"/>
              </w:rPr>
              <w:t xml:space="preserve">: </w:t>
            </w:r>
            <w:r>
              <w:rPr>
                <w:rStyle w:val="IndexLink"/>
                <w:rtl w:val="true"/>
              </w:rPr>
              <w:t>مسح الجبهة والجبینین</w:t>
            </w:r>
            <w:r>
              <w:rPr>
                <w:rStyle w:val="IndexLink"/>
                <w:rtl w:val="true"/>
              </w:rPr>
              <w:tab/>
            </w:r>
            <w:r>
              <w:rPr>
                <w:rStyle w:val="IndexLink"/>
              </w:rPr>
              <w:t>509</w:t>
            </w:r>
          </w:hyperlink>
        </w:p>
        <w:p>
          <w:pPr>
            <w:pStyle w:val="Contents3"/>
            <w:tabs>
              <w:tab w:val="clear" w:pos="8459"/>
              <w:tab w:val="right" w:pos="9026" w:leader="dot"/>
            </w:tabs>
            <w:rPr/>
          </w:pPr>
          <w:hyperlink w:anchor="__RefHeading___Toc1764236_2322387425">
            <w:r>
              <w:rPr>
                <w:webHidden/>
                <w:rStyle w:val="IndexLink"/>
                <w:rtl w:val="true"/>
              </w:rPr>
              <w:t>الثالث</w:t>
            </w:r>
            <w:r>
              <w:rPr>
                <w:rStyle w:val="IndexLink"/>
                <w:rtl w:val="true"/>
              </w:rPr>
              <w:t xml:space="preserve">: </w:t>
            </w:r>
            <w:r>
              <w:rPr>
                <w:rStyle w:val="IndexLink"/>
                <w:rtl w:val="true"/>
              </w:rPr>
              <w:t>مسح ظاهر کل من الکفین بباطن الاُخری</w:t>
            </w:r>
            <w:r>
              <w:rPr>
                <w:rStyle w:val="IndexLink"/>
                <w:rtl w:val="true"/>
              </w:rPr>
              <w:tab/>
            </w:r>
            <w:r>
              <w:rPr>
                <w:rStyle w:val="IndexLink"/>
              </w:rPr>
              <w:t>510</w:t>
            </w:r>
          </w:hyperlink>
        </w:p>
        <w:p>
          <w:pPr>
            <w:pStyle w:val="Contents3"/>
            <w:tabs>
              <w:tab w:val="clear" w:pos="8459"/>
              <w:tab w:val="right" w:pos="9026" w:leader="dot"/>
            </w:tabs>
            <w:rPr/>
          </w:pPr>
          <w:hyperlink w:anchor="__RefHeading___Toc1764238_2322387425">
            <w:r>
              <w:rPr>
                <w:webHidden/>
                <w:rStyle w:val="IndexLink"/>
                <w:rtl w:val="true"/>
              </w:rPr>
              <w:t>شرائط التیمّم</w:t>
            </w:r>
            <w:r>
              <w:rPr>
                <w:rStyle w:val="IndexLink"/>
                <w:rtl w:val="true"/>
              </w:rPr>
              <w:tab/>
            </w:r>
            <w:r>
              <w:rPr>
                <w:rStyle w:val="IndexLink"/>
              </w:rPr>
              <w:t>511</w:t>
            </w:r>
          </w:hyperlink>
        </w:p>
        <w:p>
          <w:pPr>
            <w:pStyle w:val="Contents4"/>
            <w:tabs>
              <w:tab w:val="clear" w:pos="8176"/>
              <w:tab w:val="right" w:pos="9026" w:leader="dot"/>
            </w:tabs>
            <w:rPr/>
          </w:pPr>
          <w:hyperlink w:anchor="__RefHeading___Toc1764240_2322387425">
            <w:r>
              <w:rPr>
                <w:webHidden/>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511</w:t>
            </w:r>
          </w:hyperlink>
        </w:p>
        <w:p>
          <w:pPr>
            <w:pStyle w:val="Contents4"/>
            <w:tabs>
              <w:tab w:val="clear" w:pos="8176"/>
              <w:tab w:val="right" w:pos="9026" w:leader="dot"/>
            </w:tabs>
            <w:rPr/>
          </w:pPr>
          <w:hyperlink w:anchor="__RefHeading___Toc1764242_2322387425">
            <w:r>
              <w:rPr>
                <w:webHidden/>
                <w:rStyle w:val="IndexLink"/>
                <w:rtl w:val="true"/>
              </w:rPr>
              <w:t>الثانی</w:t>
            </w:r>
            <w:r>
              <w:rPr>
                <w:rStyle w:val="IndexLink"/>
                <w:rtl w:val="true"/>
              </w:rPr>
              <w:t xml:space="preserve">: </w:t>
            </w:r>
            <w:r>
              <w:rPr>
                <w:rStyle w:val="IndexLink"/>
                <w:rtl w:val="true"/>
              </w:rPr>
              <w:t>المباشرة مع الاختیار</w:t>
            </w:r>
            <w:r>
              <w:rPr>
                <w:rStyle w:val="IndexLink"/>
                <w:rtl w:val="true"/>
              </w:rPr>
              <w:tab/>
            </w:r>
            <w:r>
              <w:rPr>
                <w:rStyle w:val="IndexLink"/>
              </w:rPr>
              <w:t>512</w:t>
            </w:r>
          </w:hyperlink>
        </w:p>
        <w:p>
          <w:pPr>
            <w:pStyle w:val="Contents4"/>
            <w:tabs>
              <w:tab w:val="clear" w:pos="8176"/>
              <w:tab w:val="right" w:pos="9026" w:leader="dot"/>
            </w:tabs>
            <w:rPr/>
          </w:pPr>
          <w:hyperlink w:anchor="__RefHeading___Toc1764244_2322387425">
            <w:r>
              <w:rPr>
                <w:webHidden/>
                <w:rStyle w:val="IndexLink"/>
                <w:rtl w:val="true"/>
              </w:rPr>
              <w:t>الثالث</w:t>
            </w:r>
            <w:r>
              <w:rPr>
                <w:rStyle w:val="IndexLink"/>
                <w:rtl w:val="true"/>
              </w:rPr>
              <w:t xml:space="preserve">: </w:t>
            </w:r>
            <w:r>
              <w:rPr>
                <w:rStyle w:val="IndexLink"/>
                <w:rtl w:val="true"/>
              </w:rPr>
              <w:t>الموالاة ولو کان بدلاً عن الغسل</w:t>
            </w:r>
            <w:r>
              <w:rPr>
                <w:rStyle w:val="IndexLink"/>
                <w:rtl w:val="true"/>
              </w:rPr>
              <w:tab/>
            </w:r>
            <w:r>
              <w:rPr>
                <w:rStyle w:val="IndexLink"/>
              </w:rPr>
              <w:t>512</w:t>
            </w:r>
          </w:hyperlink>
        </w:p>
        <w:p>
          <w:pPr>
            <w:pStyle w:val="Contents4"/>
            <w:tabs>
              <w:tab w:val="clear" w:pos="8176"/>
              <w:tab w:val="right" w:pos="9026" w:leader="dot"/>
            </w:tabs>
            <w:rPr/>
          </w:pPr>
          <w:hyperlink w:anchor="__RefHeading___Toc1764246_2322387425">
            <w:r>
              <w:rPr>
                <w:webHidden/>
                <w:rStyle w:val="IndexLink"/>
                <w:rtl w:val="true"/>
              </w:rPr>
              <w:t>الرابع</w:t>
            </w:r>
            <w:r>
              <w:rPr>
                <w:rStyle w:val="IndexLink"/>
                <w:rtl w:val="true"/>
              </w:rPr>
              <w:t xml:space="preserve">: </w:t>
            </w:r>
            <w:r>
              <w:rPr>
                <w:rStyle w:val="IndexLink"/>
                <w:rtl w:val="true"/>
              </w:rPr>
              <w:t>الترتیب، بمسح الوجه ثمّ الید الیمین ثم الیسری</w:t>
            </w:r>
            <w:r>
              <w:rPr>
                <w:rStyle w:val="IndexLink"/>
                <w:rtl w:val="true"/>
              </w:rPr>
              <w:tab/>
            </w:r>
            <w:r>
              <w:rPr>
                <w:rStyle w:val="IndexLink"/>
              </w:rPr>
              <w:t>512</w:t>
            </w:r>
          </w:hyperlink>
        </w:p>
        <w:p>
          <w:pPr>
            <w:pStyle w:val="Contents4"/>
            <w:tabs>
              <w:tab w:val="clear" w:pos="8176"/>
              <w:tab w:val="right" w:pos="9026" w:leader="dot"/>
            </w:tabs>
            <w:rPr/>
          </w:pPr>
          <w:hyperlink w:anchor="__RefHeading___Toc1764248_2322387425">
            <w:r>
              <w:rPr>
                <w:webHidden/>
                <w:rStyle w:val="IndexLink"/>
                <w:rtl w:val="true"/>
              </w:rPr>
              <w:t>الخامس</w:t>
            </w:r>
            <w:r>
              <w:rPr>
                <w:rStyle w:val="IndexLink"/>
                <w:rtl w:val="true"/>
              </w:rPr>
              <w:t xml:space="preserve">: </w:t>
            </w:r>
            <w:r>
              <w:rPr>
                <w:rStyle w:val="IndexLink"/>
                <w:rtl w:val="true"/>
              </w:rPr>
              <w:t>الابتداء بالأعلی الأعلی ومنه الی الأسفل فی الوجه والیدین</w:t>
            </w:r>
            <w:r>
              <w:rPr>
                <w:rStyle w:val="IndexLink"/>
                <w:rtl w:val="true"/>
              </w:rPr>
              <w:tab/>
            </w:r>
            <w:r>
              <w:rPr>
                <w:rStyle w:val="IndexLink"/>
              </w:rPr>
              <w:t>512</w:t>
            </w:r>
          </w:hyperlink>
        </w:p>
        <w:p>
          <w:pPr>
            <w:pStyle w:val="Contents4"/>
            <w:tabs>
              <w:tab w:val="clear" w:pos="8176"/>
              <w:tab w:val="right" w:pos="9026" w:leader="dot"/>
            </w:tabs>
            <w:rPr/>
          </w:pPr>
          <w:hyperlink w:anchor="__RefHeading___Toc1764250_2322387425">
            <w:r>
              <w:rPr>
                <w:webHidden/>
                <w:rStyle w:val="IndexLink"/>
                <w:rtl w:val="true"/>
              </w:rPr>
              <w:t>السادس</w:t>
            </w:r>
            <w:r>
              <w:rPr>
                <w:rStyle w:val="IndexLink"/>
                <w:rtl w:val="true"/>
              </w:rPr>
              <w:t xml:space="preserve">: </w:t>
            </w:r>
            <w:r>
              <w:rPr>
                <w:rStyle w:val="IndexLink"/>
                <w:rtl w:val="true"/>
              </w:rPr>
              <w:t>عدم الحائل بین الماسح والممسوح</w:t>
            </w:r>
            <w:r>
              <w:rPr>
                <w:rStyle w:val="IndexLink"/>
                <w:rtl w:val="true"/>
              </w:rPr>
              <w:tab/>
            </w:r>
            <w:r>
              <w:rPr>
                <w:rStyle w:val="IndexLink"/>
              </w:rPr>
              <w:t>512</w:t>
            </w:r>
          </w:hyperlink>
        </w:p>
        <w:p>
          <w:pPr>
            <w:pStyle w:val="Contents4"/>
            <w:tabs>
              <w:tab w:val="clear" w:pos="8176"/>
              <w:tab w:val="right" w:pos="9026" w:leader="dot"/>
            </w:tabs>
            <w:rPr/>
          </w:pPr>
          <w:hyperlink w:anchor="__RefHeading___Toc1764252_2322387425">
            <w:r>
              <w:rPr>
                <w:webHidden/>
                <w:rStyle w:val="IndexLink"/>
                <w:rtl w:val="true"/>
              </w:rPr>
              <w:t>السابع</w:t>
            </w:r>
            <w:r>
              <w:rPr>
                <w:rStyle w:val="IndexLink"/>
                <w:rtl w:val="true"/>
              </w:rPr>
              <w:t xml:space="preserve">: </w:t>
            </w:r>
            <w:r>
              <w:rPr>
                <w:rStyle w:val="IndexLink"/>
                <w:rtl w:val="true"/>
              </w:rPr>
              <w:t>طهارة الماسح والمسوح مع الاختیار</w:t>
            </w:r>
            <w:r>
              <w:rPr>
                <w:rStyle w:val="IndexLink"/>
                <w:rtl w:val="true"/>
              </w:rPr>
              <w:tab/>
            </w:r>
            <w:r>
              <w:rPr>
                <w:rStyle w:val="IndexLink"/>
              </w:rPr>
              <w:t>512</w:t>
            </w:r>
          </w:hyperlink>
        </w:p>
        <w:p>
          <w:pPr>
            <w:pStyle w:val="Contents3"/>
            <w:tabs>
              <w:tab w:val="clear" w:pos="8459"/>
              <w:tab w:val="right" w:pos="9026" w:leader="dot"/>
            </w:tabs>
            <w:rPr/>
          </w:pPr>
          <w:hyperlink w:anchor="__RefHeading___Toc1764254_2322387425">
            <w:r>
              <w:rPr>
                <w:webHidden/>
                <w:rStyle w:val="IndexLink"/>
                <w:rtl w:val="true"/>
              </w:rPr>
              <w:t>لو بقی فی الممسوح ما لم یمسح علیه</w:t>
            </w:r>
            <w:r>
              <w:rPr>
                <w:rStyle w:val="IndexLink"/>
                <w:rtl w:val="true"/>
              </w:rPr>
              <w:tab/>
            </w:r>
            <w:r>
              <w:rPr>
                <w:rStyle w:val="IndexLink"/>
              </w:rPr>
              <w:t>513</w:t>
            </w:r>
          </w:hyperlink>
        </w:p>
        <w:p>
          <w:pPr>
            <w:pStyle w:val="Contents3"/>
            <w:tabs>
              <w:tab w:val="clear" w:pos="8459"/>
              <w:tab w:val="right" w:pos="9026" w:leader="dot"/>
            </w:tabs>
            <w:rPr/>
          </w:pPr>
          <w:hyperlink w:anchor="__RefHeading___Toc1764256_2322387425">
            <w:r>
              <w:rPr>
                <w:webHidden/>
                <w:rStyle w:val="IndexLink"/>
                <w:rtl w:val="true"/>
              </w:rPr>
              <w:t>مسح اللحم الزائد</w:t>
            </w:r>
            <w:r>
              <w:rPr>
                <w:rStyle w:val="IndexLink"/>
                <w:rtl w:val="true"/>
              </w:rPr>
              <w:tab/>
            </w:r>
            <w:r>
              <w:rPr>
                <w:rStyle w:val="IndexLink"/>
              </w:rPr>
              <w:t>513</w:t>
            </w:r>
          </w:hyperlink>
        </w:p>
        <w:p>
          <w:pPr>
            <w:pStyle w:val="Contents3"/>
            <w:tabs>
              <w:tab w:val="clear" w:pos="8459"/>
              <w:tab w:val="right" w:pos="9026" w:leader="dot"/>
            </w:tabs>
            <w:rPr/>
          </w:pPr>
          <w:hyperlink w:anchor="__RefHeading___Toc1764258_2322387425">
            <w:r>
              <w:rPr>
                <w:webHidden/>
                <w:rStyle w:val="IndexLink"/>
                <w:rtl w:val="true"/>
              </w:rPr>
              <w:t>حکم الجبیرة علی الماسح أو الممسوح</w:t>
            </w:r>
            <w:r>
              <w:rPr>
                <w:rStyle w:val="IndexLink"/>
                <w:rtl w:val="true"/>
              </w:rPr>
              <w:tab/>
            </w:r>
            <w:r>
              <w:rPr>
                <w:rStyle w:val="IndexLink"/>
              </w:rPr>
              <w:t>514</w:t>
            </w:r>
          </w:hyperlink>
        </w:p>
        <w:p>
          <w:pPr>
            <w:pStyle w:val="Contents3"/>
            <w:tabs>
              <w:tab w:val="clear" w:pos="8459"/>
              <w:tab w:val="right" w:pos="9026" w:leader="dot"/>
            </w:tabs>
            <w:rPr/>
          </w:pPr>
          <w:hyperlink w:anchor="__RefHeading___Toc1764260_2322387425">
            <w:r>
              <w:rPr>
                <w:webHidden/>
                <w:rStyle w:val="IndexLink"/>
                <w:rtl w:val="true"/>
              </w:rPr>
              <w:t>جواز الاستنابة مع تعذر المباشرة</w:t>
            </w:r>
            <w:r>
              <w:rPr>
                <w:rStyle w:val="IndexLink"/>
                <w:rtl w:val="true"/>
              </w:rPr>
              <w:tab/>
            </w:r>
            <w:r>
              <w:rPr>
                <w:rStyle w:val="IndexLink"/>
              </w:rPr>
              <w:t>515</w:t>
            </w:r>
          </w:hyperlink>
        </w:p>
        <w:p>
          <w:pPr>
            <w:pStyle w:val="Contents3"/>
            <w:tabs>
              <w:tab w:val="clear" w:pos="8459"/>
              <w:tab w:val="right" w:pos="9026" w:leader="dot"/>
            </w:tabs>
            <w:rPr/>
          </w:pPr>
          <w:hyperlink w:anchor="__RefHeading___Toc1764262_2322387425">
            <w:r>
              <w:rPr>
                <w:webHidden/>
                <w:rStyle w:val="IndexLink"/>
                <w:rtl w:val="true"/>
              </w:rPr>
              <w:t>حکم ما لو کان باطن الیدین نجساً</w:t>
            </w:r>
            <w:r>
              <w:rPr>
                <w:rStyle w:val="IndexLink"/>
                <w:rtl w:val="true"/>
              </w:rPr>
              <w:tab/>
            </w:r>
            <w:r>
              <w:rPr>
                <w:rStyle w:val="IndexLink"/>
              </w:rPr>
              <w:t>516</w:t>
            </w:r>
          </w:hyperlink>
        </w:p>
        <w:p>
          <w:pPr>
            <w:pStyle w:val="Contents3"/>
            <w:tabs>
              <w:tab w:val="clear" w:pos="8459"/>
              <w:tab w:val="right" w:pos="9026" w:leader="dot"/>
            </w:tabs>
            <w:rPr/>
          </w:pPr>
          <w:hyperlink w:anchor="__RefHeading___Toc1764264_2322387425">
            <w:r>
              <w:rPr>
                <w:webHidden/>
                <w:rStyle w:val="IndexLink"/>
                <w:rtl w:val="true"/>
              </w:rPr>
              <w:t>حکم الأقطع فی التیمّم</w:t>
            </w:r>
            <w:r>
              <w:rPr>
                <w:rStyle w:val="IndexLink"/>
                <w:rtl w:val="true"/>
              </w:rPr>
              <w:tab/>
            </w:r>
            <w:r>
              <w:rPr>
                <w:rStyle w:val="IndexLink"/>
              </w:rPr>
              <w:t>517</w:t>
            </w:r>
          </w:hyperlink>
        </w:p>
        <w:p>
          <w:pPr>
            <w:pStyle w:val="Contents3"/>
            <w:tabs>
              <w:tab w:val="clear" w:pos="8459"/>
              <w:tab w:val="right" w:pos="9026" w:leader="dot"/>
            </w:tabs>
            <w:rPr/>
          </w:pPr>
          <w:hyperlink w:anchor="__RefHeading___Toc1764266_2322387425">
            <w:r>
              <w:rPr>
                <w:webHidden/>
                <w:rStyle w:val="IndexLink"/>
                <w:rtl w:val="true"/>
              </w:rPr>
              <w:t>لو کان علی الباطن نجاسة لها جرم ولا یمکن إزالتها</w:t>
            </w:r>
            <w:r>
              <w:rPr>
                <w:rStyle w:val="IndexLink"/>
                <w:rtl w:val="true"/>
              </w:rPr>
              <w:tab/>
            </w:r>
            <w:r>
              <w:rPr>
                <w:rStyle w:val="IndexLink"/>
              </w:rPr>
              <w:t>520</w:t>
            </w:r>
          </w:hyperlink>
        </w:p>
        <w:p>
          <w:pPr>
            <w:pStyle w:val="Contents3"/>
            <w:tabs>
              <w:tab w:val="clear" w:pos="8459"/>
              <w:tab w:val="right" w:pos="9026" w:leader="dot"/>
            </w:tabs>
            <w:rPr/>
          </w:pPr>
          <w:hyperlink w:anchor="__RefHeading___Toc1764268_2322387425">
            <w:r>
              <w:rPr>
                <w:webHidden/>
                <w:rStyle w:val="IndexLink"/>
                <w:rtl w:val="true"/>
              </w:rPr>
              <w:t>الخاتم حائل یجب نزعه</w:t>
            </w:r>
            <w:r>
              <w:rPr>
                <w:rStyle w:val="IndexLink"/>
                <w:rtl w:val="true"/>
              </w:rPr>
              <w:tab/>
            </w:r>
            <w:r>
              <w:rPr>
                <w:rStyle w:val="IndexLink"/>
              </w:rPr>
              <w:t>521</w:t>
            </w:r>
          </w:hyperlink>
        </w:p>
        <w:p>
          <w:pPr>
            <w:pStyle w:val="Contents3"/>
            <w:tabs>
              <w:tab w:val="clear" w:pos="8459"/>
              <w:tab w:val="right" w:pos="9026" w:leader="dot"/>
            </w:tabs>
            <w:rPr/>
          </w:pPr>
          <w:hyperlink w:anchor="__RefHeading___Toc1764270_2322387425">
            <w:r>
              <w:rPr>
                <w:webHidden/>
                <w:rStyle w:val="IndexLink"/>
                <w:rtl w:val="true"/>
              </w:rPr>
              <w:t>تعیین المبدل عنه ولو إجمالاً عند تعدّد التیمّم</w:t>
            </w:r>
            <w:r>
              <w:rPr>
                <w:rStyle w:val="IndexLink"/>
                <w:rtl w:val="true"/>
              </w:rPr>
              <w:tab/>
            </w:r>
            <w:r>
              <w:rPr>
                <w:rStyle w:val="IndexLink"/>
              </w:rPr>
              <w:t>521</w:t>
            </w:r>
          </w:hyperlink>
        </w:p>
        <w:p>
          <w:pPr>
            <w:pStyle w:val="Contents3"/>
            <w:tabs>
              <w:tab w:val="clear" w:pos="8459"/>
              <w:tab w:val="right" w:pos="9026" w:leader="dot"/>
            </w:tabs>
            <w:rPr/>
          </w:pPr>
          <w:hyperlink w:anchor="__RefHeading___Toc1764272_2322387425">
            <w:r>
              <w:rPr>
                <w:webHidden/>
                <w:rStyle w:val="IndexLink"/>
                <w:rtl w:val="true"/>
              </w:rPr>
              <w:t>کفایة قصد ما فی الذمّة من الغایات</w:t>
            </w:r>
            <w:r>
              <w:rPr>
                <w:rStyle w:val="IndexLink"/>
                <w:rtl w:val="true"/>
              </w:rPr>
              <w:tab/>
            </w:r>
            <w:r>
              <w:rPr>
                <w:rStyle w:val="IndexLink"/>
              </w:rPr>
              <w:t>522</w:t>
            </w:r>
          </w:hyperlink>
        </w:p>
        <w:p>
          <w:pPr>
            <w:pStyle w:val="Contents3"/>
            <w:tabs>
              <w:tab w:val="clear" w:pos="8459"/>
              <w:tab w:val="right" w:pos="9026" w:leader="dot"/>
            </w:tabs>
            <w:rPr/>
          </w:pPr>
          <w:hyperlink w:anchor="__RefHeading___Toc1764274_2322387425">
            <w:r>
              <w:rPr>
                <w:webHidden/>
                <w:rStyle w:val="IndexLink"/>
                <w:rtl w:val="true"/>
              </w:rPr>
              <w:t>حکم ما لو قصد غایة فانکشف عدمها أو غیرها</w:t>
            </w:r>
            <w:r>
              <w:rPr>
                <w:rStyle w:val="IndexLink"/>
                <w:rtl w:val="true"/>
              </w:rPr>
              <w:tab/>
            </w:r>
            <w:r>
              <w:rPr>
                <w:rStyle w:val="IndexLink"/>
              </w:rPr>
              <w:t>523</w:t>
            </w:r>
          </w:hyperlink>
        </w:p>
        <w:p>
          <w:pPr>
            <w:pStyle w:val="Contents3"/>
            <w:tabs>
              <w:tab w:val="clear" w:pos="8459"/>
              <w:tab w:val="right" w:pos="9026" w:leader="dot"/>
            </w:tabs>
            <w:rPr/>
          </w:pPr>
          <w:hyperlink w:anchor="__RefHeading___Toc1764276_2322387425">
            <w:r>
              <w:rPr>
                <w:webHidden/>
                <w:rStyle w:val="IndexLink"/>
                <w:rtl w:val="true"/>
              </w:rPr>
              <w:t>شرطیّة إمرار الماسح علی الممسوح</w:t>
            </w:r>
            <w:r>
              <w:rPr>
                <w:rStyle w:val="IndexLink"/>
                <w:rtl w:val="true"/>
              </w:rPr>
              <w:tab/>
            </w:r>
            <w:r>
              <w:rPr>
                <w:rStyle w:val="IndexLink"/>
              </w:rPr>
              <w:t>526</w:t>
            </w:r>
          </w:hyperlink>
        </w:p>
        <w:p>
          <w:pPr>
            <w:pStyle w:val="Contents3"/>
            <w:tabs>
              <w:tab w:val="clear" w:pos="8459"/>
              <w:tab w:val="right" w:pos="9026" w:leader="dot"/>
            </w:tabs>
            <w:rPr/>
          </w:pPr>
          <w:hyperlink w:anchor="__RefHeading___Toc1764278_2322387425">
            <w:r>
              <w:rPr>
                <w:webHidden/>
                <w:rStyle w:val="IndexLink"/>
                <w:rtl w:val="true"/>
              </w:rPr>
              <w:t>کفایة ضربة واحدة للتیمّم بدلاً عن الوضوء والغسل</w:t>
            </w:r>
            <w:r>
              <w:rPr>
                <w:rStyle w:val="IndexLink"/>
                <w:rtl w:val="true"/>
              </w:rPr>
              <w:tab/>
            </w:r>
            <w:r>
              <w:rPr>
                <w:rStyle w:val="IndexLink"/>
              </w:rPr>
              <w:t>528</w:t>
            </w:r>
          </w:hyperlink>
        </w:p>
        <w:p>
          <w:pPr>
            <w:pStyle w:val="Contents3"/>
            <w:tabs>
              <w:tab w:val="clear" w:pos="8459"/>
              <w:tab w:val="right" w:pos="9026" w:leader="dot"/>
            </w:tabs>
            <w:rPr/>
          </w:pPr>
          <w:hyperlink w:anchor="__RefHeading___Toc1764280_2322387425">
            <w:r>
              <w:rPr>
                <w:webHidden/>
                <w:rStyle w:val="IndexLink"/>
                <w:rtl w:val="true"/>
              </w:rPr>
              <w:t>الشک بعد الفراغ أو فی الأثناء من التیمّم</w:t>
            </w:r>
            <w:r>
              <w:rPr>
                <w:rStyle w:val="IndexLink"/>
                <w:rtl w:val="true"/>
              </w:rPr>
              <w:tab/>
            </w:r>
            <w:r>
              <w:rPr>
                <w:rStyle w:val="IndexLink"/>
              </w:rPr>
              <w:t>530</w:t>
            </w:r>
          </w:hyperlink>
        </w:p>
        <w:p>
          <w:pPr>
            <w:pStyle w:val="Contents3"/>
            <w:tabs>
              <w:tab w:val="clear" w:pos="8459"/>
              <w:tab w:val="right" w:pos="9026" w:leader="dot"/>
            </w:tabs>
            <w:rPr/>
          </w:pPr>
          <w:hyperlink w:anchor="__RefHeading___Toc1764282_2322387425">
            <w:r>
              <w:rPr>
                <w:webHidden/>
                <w:rStyle w:val="IndexLink"/>
                <w:rtl w:val="true"/>
              </w:rPr>
              <w:t>حکم التیمّم إذا علم فوات جزء منه بعد الفراغ</w:t>
            </w:r>
            <w:r>
              <w:rPr>
                <w:rStyle w:val="IndexLink"/>
                <w:rtl w:val="true"/>
              </w:rPr>
              <w:tab/>
            </w:r>
            <w:r>
              <w:rPr>
                <w:rStyle w:val="IndexLink"/>
              </w:rPr>
              <w:t>533</w:t>
            </w:r>
          </w:hyperlink>
        </w:p>
        <w:p>
          <w:pPr>
            <w:pStyle w:val="Contents2"/>
            <w:tabs>
              <w:tab w:val="clear" w:pos="8743"/>
              <w:tab w:val="right" w:pos="9026" w:leader="dot"/>
            </w:tabs>
            <w:rPr/>
          </w:pPr>
          <w:hyperlink w:anchor="__RefHeading___Toc1764284_2322387425">
            <w:r>
              <w:rPr>
                <w:webHidden/>
                <w:rStyle w:val="IndexLink"/>
                <w:rtl w:val="true"/>
              </w:rPr>
              <w:t>فصل</w:t>
            </w:r>
            <w:r>
              <w:rPr>
                <w:rStyle w:val="IndexLink"/>
                <w:rtl w:val="true"/>
              </w:rPr>
              <w:t xml:space="preserve">: </w:t>
            </w:r>
            <w:r>
              <w:rPr>
                <w:rStyle w:val="IndexLink"/>
                <w:rtl w:val="true"/>
              </w:rPr>
              <w:t>فی أحکام التیمّم</w:t>
            </w:r>
            <w:r>
              <w:rPr>
                <w:rStyle w:val="IndexLink"/>
                <w:rtl w:val="true"/>
              </w:rPr>
              <w:tab/>
            </w:r>
            <w:r>
              <w:rPr>
                <w:rStyle w:val="IndexLink"/>
              </w:rPr>
              <w:t>534</w:t>
            </w:r>
          </w:hyperlink>
        </w:p>
        <w:p>
          <w:pPr>
            <w:pStyle w:val="Contents3"/>
            <w:tabs>
              <w:tab w:val="clear" w:pos="8459"/>
              <w:tab w:val="right" w:pos="9026" w:leader="dot"/>
            </w:tabs>
            <w:rPr/>
          </w:pPr>
          <w:hyperlink w:anchor="__RefHeading___Toc1764286_2322387425">
            <w:r>
              <w:rPr>
                <w:webHidden/>
                <w:rStyle w:val="IndexLink"/>
                <w:rtl w:val="true"/>
              </w:rPr>
              <w:t>حکم التیمّم قبل الوقت</w:t>
            </w:r>
            <w:r>
              <w:rPr>
                <w:rStyle w:val="IndexLink"/>
                <w:rtl w:val="true"/>
              </w:rPr>
              <w:tab/>
            </w:r>
            <w:r>
              <w:rPr>
                <w:rStyle w:val="IndexLink"/>
              </w:rPr>
              <w:t>534</w:t>
            </w:r>
          </w:hyperlink>
        </w:p>
        <w:p>
          <w:pPr>
            <w:pStyle w:val="Contents3"/>
            <w:tabs>
              <w:tab w:val="clear" w:pos="8459"/>
              <w:tab w:val="right" w:pos="9026" w:leader="dot"/>
            </w:tabs>
            <w:rPr/>
          </w:pPr>
          <w:hyperlink w:anchor="__RefHeading___Toc1764288_2322387425">
            <w:r>
              <w:rPr>
                <w:webHidden/>
                <w:rStyle w:val="IndexLink"/>
                <w:rtl w:val="true"/>
              </w:rPr>
              <w:t>الصلاة بالتیمّم السابق لصلاة دخل وقتها</w:t>
            </w:r>
            <w:r>
              <w:rPr>
                <w:rStyle w:val="IndexLink"/>
                <w:rtl w:val="true"/>
              </w:rPr>
              <w:tab/>
            </w:r>
            <w:r>
              <w:rPr>
                <w:rStyle w:val="IndexLink"/>
              </w:rPr>
              <w:t>537</w:t>
            </w:r>
          </w:hyperlink>
        </w:p>
        <w:p>
          <w:pPr>
            <w:pStyle w:val="Contents3"/>
            <w:tabs>
              <w:tab w:val="clear" w:pos="8459"/>
              <w:tab w:val="right" w:pos="9026" w:leader="dot"/>
            </w:tabs>
            <w:rPr/>
          </w:pPr>
          <w:hyperlink w:anchor="__RefHeading___Toc1764290_2322387425">
            <w:r>
              <w:rPr>
                <w:webHidden/>
                <w:rStyle w:val="IndexLink"/>
                <w:rtl w:val="true"/>
              </w:rPr>
              <w:t>حکم التیمّم فی سعة الوقت</w:t>
            </w:r>
            <w:r>
              <w:rPr>
                <w:rStyle w:val="IndexLink"/>
                <w:rtl w:val="true"/>
              </w:rPr>
              <w:tab/>
            </w:r>
            <w:r>
              <w:rPr>
                <w:rStyle w:val="IndexLink"/>
              </w:rPr>
              <w:t>537</w:t>
            </w:r>
          </w:hyperlink>
        </w:p>
        <w:p>
          <w:pPr>
            <w:pStyle w:val="Contents3"/>
            <w:tabs>
              <w:tab w:val="clear" w:pos="8459"/>
              <w:tab w:val="right" w:pos="9026" w:leader="dot"/>
            </w:tabs>
            <w:rPr/>
          </w:pPr>
          <w:hyperlink w:anchor="__RefHeading___Toc1764292_2322387425">
            <w:r>
              <w:rPr>
                <w:webHidden/>
                <w:rStyle w:val="IndexLink"/>
                <w:rtl w:val="true"/>
              </w:rPr>
              <w:t>البدار إلی صلاة اُخری لمن تیمّم لصلاة سابقة</w:t>
            </w:r>
            <w:r>
              <w:rPr>
                <w:rStyle w:val="IndexLink"/>
                <w:rtl w:val="true"/>
              </w:rPr>
              <w:tab/>
            </w:r>
            <w:r>
              <w:rPr>
                <w:rStyle w:val="IndexLink"/>
              </w:rPr>
              <w:t>540</w:t>
            </w:r>
          </w:hyperlink>
        </w:p>
        <w:p>
          <w:pPr>
            <w:pStyle w:val="Contents3"/>
            <w:tabs>
              <w:tab w:val="clear" w:pos="8459"/>
              <w:tab w:val="right" w:pos="9026" w:leader="dot"/>
            </w:tabs>
            <w:rPr/>
          </w:pPr>
          <w:hyperlink w:anchor="__RefHeading___Toc1764294_2322387425">
            <w:r>
              <w:rPr>
                <w:webHidden/>
                <w:rStyle w:val="IndexLink"/>
                <w:rtl w:val="true"/>
              </w:rPr>
              <w:t>المراد من آخر الوقت</w:t>
            </w:r>
            <w:r>
              <w:rPr>
                <w:rStyle w:val="IndexLink"/>
                <w:rtl w:val="true"/>
              </w:rPr>
              <w:tab/>
            </w:r>
            <w:r>
              <w:rPr>
                <w:rStyle w:val="IndexLink"/>
              </w:rPr>
              <w:t>541</w:t>
            </w:r>
          </w:hyperlink>
        </w:p>
        <w:p>
          <w:pPr>
            <w:pStyle w:val="Contents3"/>
            <w:tabs>
              <w:tab w:val="clear" w:pos="8459"/>
              <w:tab w:val="right" w:pos="9026" w:leader="dot"/>
            </w:tabs>
            <w:rPr/>
          </w:pPr>
          <w:hyperlink w:anchor="__RefHeading___Toc1764296_2322387425">
            <w:r>
              <w:rPr>
                <w:webHidden/>
                <w:rStyle w:val="IndexLink"/>
                <w:rtl w:val="true"/>
              </w:rPr>
              <w:t>التیمّم للصلاة القضائیة والنافلة</w:t>
            </w:r>
            <w:r>
              <w:rPr>
                <w:rStyle w:val="IndexLink"/>
                <w:rtl w:val="true"/>
              </w:rPr>
              <w:tab/>
            </w:r>
            <w:r>
              <w:rPr>
                <w:rStyle w:val="IndexLink"/>
              </w:rPr>
              <w:t>542</w:t>
            </w:r>
          </w:hyperlink>
        </w:p>
        <w:p>
          <w:pPr>
            <w:pStyle w:val="Contents3"/>
            <w:tabs>
              <w:tab w:val="clear" w:pos="8459"/>
              <w:tab w:val="right" w:pos="9026" w:leader="dot"/>
            </w:tabs>
            <w:rPr/>
          </w:pPr>
          <w:hyperlink w:anchor="__RefHeading___Toc1764298_2322387425">
            <w:r>
              <w:rPr>
                <w:webHidden/>
                <w:rStyle w:val="IndexLink"/>
                <w:rtl w:val="true"/>
              </w:rPr>
              <w:t>التیمّم بتخیّل ضیق الوقت</w:t>
            </w:r>
            <w:r>
              <w:rPr>
                <w:rStyle w:val="IndexLink"/>
                <w:rtl w:val="true"/>
              </w:rPr>
              <w:tab/>
            </w:r>
            <w:r>
              <w:rPr>
                <w:rStyle w:val="IndexLink"/>
              </w:rPr>
              <w:t>545</w:t>
            </w:r>
          </w:hyperlink>
        </w:p>
        <w:p>
          <w:pPr>
            <w:pStyle w:val="Contents3"/>
            <w:tabs>
              <w:tab w:val="clear" w:pos="8459"/>
              <w:tab w:val="right" w:pos="9026" w:leader="dot"/>
            </w:tabs>
            <w:rPr/>
          </w:pPr>
          <w:hyperlink w:anchor="__RefHeading___Toc1764300_2322387425">
            <w:r>
              <w:rPr>
                <w:webHidden/>
                <w:rStyle w:val="IndexLink"/>
                <w:rtl w:val="true"/>
              </w:rPr>
              <w:t>إجزاء التیمّم عمّا صلاّه لو زال العذر</w:t>
            </w:r>
            <w:r>
              <w:rPr>
                <w:rStyle w:val="IndexLink"/>
                <w:rtl w:val="true"/>
              </w:rPr>
              <w:tab/>
            </w:r>
            <w:r>
              <w:rPr>
                <w:rStyle w:val="IndexLink"/>
              </w:rPr>
              <w:t>547</w:t>
            </w:r>
          </w:hyperlink>
        </w:p>
        <w:p>
          <w:pPr>
            <w:pStyle w:val="Contents4"/>
            <w:tabs>
              <w:tab w:val="clear" w:pos="8176"/>
              <w:tab w:val="right" w:pos="9026" w:leader="dot"/>
            </w:tabs>
            <w:rPr/>
          </w:pPr>
          <w:hyperlink w:anchor="__RefHeading___Toc1764302_2322387425">
            <w:r>
              <w:rPr>
                <w:webHidden/>
                <w:rStyle w:val="IndexLink"/>
                <w:rtl w:val="true"/>
              </w:rPr>
              <w:t>موارد استحباب إعادة الصلاة لو زال العذر</w:t>
            </w:r>
            <w:r>
              <w:rPr>
                <w:rStyle w:val="IndexLink"/>
                <w:rtl w:val="true"/>
              </w:rPr>
              <w:tab/>
            </w:r>
            <w:r>
              <w:rPr>
                <w:rStyle w:val="IndexLink"/>
              </w:rPr>
              <w:t>547</w:t>
            </w:r>
          </w:hyperlink>
        </w:p>
        <w:p>
          <w:pPr>
            <w:pStyle w:val="Contents3"/>
            <w:tabs>
              <w:tab w:val="clear" w:pos="8459"/>
              <w:tab w:val="right" w:pos="9026" w:leader="dot"/>
            </w:tabs>
            <w:rPr/>
          </w:pPr>
          <w:hyperlink w:anchor="__RefHeading___Toc1764304_2322387425">
            <w:r>
              <w:rPr>
                <w:webHidden/>
                <w:rStyle w:val="IndexLink"/>
                <w:rtl w:val="true"/>
              </w:rPr>
              <w:t>المتیمّم لغایة بحکم الطاهر تشرع له الغایات الاُخر</w:t>
            </w:r>
            <w:r>
              <w:rPr>
                <w:rStyle w:val="IndexLink"/>
                <w:rtl w:val="true"/>
              </w:rPr>
              <w:tab/>
            </w:r>
            <w:r>
              <w:rPr>
                <w:rStyle w:val="IndexLink"/>
              </w:rPr>
              <w:t>549</w:t>
            </w:r>
          </w:hyperlink>
        </w:p>
        <w:p>
          <w:pPr>
            <w:pStyle w:val="Contents3"/>
            <w:tabs>
              <w:tab w:val="clear" w:pos="8459"/>
              <w:tab w:val="right" w:pos="9026" w:leader="dot"/>
            </w:tabs>
            <w:rPr/>
          </w:pPr>
          <w:hyperlink w:anchor="__RefHeading___Toc1764306_2322387425">
            <w:r>
              <w:rPr>
                <w:webHidden/>
                <w:rStyle w:val="IndexLink"/>
                <w:rtl w:val="true"/>
              </w:rPr>
              <w:t>غایات الوضوء والغسل غایات للتیمّم</w:t>
            </w:r>
            <w:r>
              <w:rPr>
                <w:rStyle w:val="IndexLink"/>
                <w:rtl w:val="true"/>
              </w:rPr>
              <w:tab/>
            </w:r>
            <w:r>
              <w:rPr>
                <w:rStyle w:val="IndexLink"/>
              </w:rPr>
              <w:t>550</w:t>
            </w:r>
          </w:hyperlink>
        </w:p>
        <w:p>
          <w:pPr>
            <w:pStyle w:val="Contents3"/>
            <w:tabs>
              <w:tab w:val="clear" w:pos="8459"/>
              <w:tab w:val="right" w:pos="9026" w:leader="dot"/>
            </w:tabs>
            <w:rPr/>
          </w:pPr>
          <w:hyperlink w:anchor="__RefHeading___Toc1764308_2322387425">
            <w:r>
              <w:rPr>
                <w:webHidden/>
                <w:rStyle w:val="IndexLink"/>
                <w:rtl w:val="true"/>
              </w:rPr>
              <w:t>إغناء تیمّم الجنب عن الوضوء</w:t>
            </w:r>
            <w:r>
              <w:rPr>
                <w:rStyle w:val="IndexLink"/>
                <w:rtl w:val="true"/>
              </w:rPr>
              <w:tab/>
            </w:r>
            <w:r>
              <w:rPr>
                <w:rStyle w:val="IndexLink"/>
              </w:rPr>
              <w:t>554</w:t>
            </w:r>
          </w:hyperlink>
        </w:p>
        <w:p>
          <w:pPr>
            <w:pStyle w:val="Contents3"/>
            <w:tabs>
              <w:tab w:val="clear" w:pos="8459"/>
              <w:tab w:val="right" w:pos="9026" w:leader="dot"/>
            </w:tabs>
            <w:rPr/>
          </w:pPr>
          <w:hyperlink w:anchor="__RefHeading___Toc1764310_2322387425">
            <w:r>
              <w:rPr>
                <w:webHidden/>
                <w:rStyle w:val="IndexLink"/>
                <w:rtl w:val="true"/>
              </w:rPr>
              <w:t>فی نواقض التیمّم</w:t>
            </w:r>
            <w:r>
              <w:rPr>
                <w:rStyle w:val="IndexLink"/>
                <w:rtl w:val="true"/>
              </w:rPr>
              <w:tab/>
            </w:r>
            <w:r>
              <w:rPr>
                <w:rStyle w:val="IndexLink"/>
              </w:rPr>
              <w:t>555</w:t>
            </w:r>
          </w:hyperlink>
        </w:p>
        <w:p>
          <w:pPr>
            <w:pStyle w:val="Contents4"/>
            <w:tabs>
              <w:tab w:val="clear" w:pos="8176"/>
              <w:tab w:val="right" w:pos="9026" w:leader="dot"/>
            </w:tabs>
            <w:rPr/>
          </w:pPr>
          <w:hyperlink w:anchor="__RefHeading___Toc1764312_2322387425">
            <w:r>
              <w:rPr>
                <w:webHidden/>
                <w:rStyle w:val="IndexLink"/>
                <w:rtl w:val="true"/>
              </w:rPr>
              <w:t>الأول</w:t>
            </w:r>
            <w:r>
              <w:rPr>
                <w:rStyle w:val="IndexLink"/>
                <w:rtl w:val="true"/>
              </w:rPr>
              <w:t xml:space="preserve">: </w:t>
            </w:r>
            <w:r>
              <w:rPr>
                <w:rStyle w:val="IndexLink"/>
                <w:rtl w:val="true"/>
              </w:rPr>
              <w:t>الحدث</w:t>
            </w:r>
            <w:r>
              <w:rPr>
                <w:rStyle w:val="IndexLink"/>
                <w:rtl w:val="true"/>
              </w:rPr>
              <w:tab/>
            </w:r>
            <w:r>
              <w:rPr>
                <w:rStyle w:val="IndexLink"/>
              </w:rPr>
              <w:t>555</w:t>
            </w:r>
          </w:hyperlink>
        </w:p>
        <w:p>
          <w:pPr>
            <w:pStyle w:val="Contents3"/>
            <w:tabs>
              <w:tab w:val="clear" w:pos="8459"/>
              <w:tab w:val="right" w:pos="9026" w:leader="dot"/>
            </w:tabs>
            <w:rPr/>
          </w:pPr>
          <w:hyperlink w:anchor="__RefHeading___Toc1764314_2322387425">
            <w:r>
              <w:rPr>
                <w:webHidden/>
                <w:rStyle w:val="IndexLink"/>
                <w:rtl w:val="true"/>
              </w:rPr>
              <w:t>وجدان الماء فی زمان لا یسع الوضوء أو الغسل</w:t>
            </w:r>
            <w:r>
              <w:rPr>
                <w:rStyle w:val="IndexLink"/>
                <w:rtl w:val="true"/>
              </w:rPr>
              <w:tab/>
            </w:r>
            <w:r>
              <w:rPr>
                <w:rStyle w:val="IndexLink"/>
              </w:rPr>
              <w:t>556</w:t>
            </w:r>
          </w:hyperlink>
        </w:p>
        <w:p>
          <w:pPr>
            <w:pStyle w:val="Contents3"/>
            <w:tabs>
              <w:tab w:val="clear" w:pos="8459"/>
              <w:tab w:val="right" w:pos="9026" w:leader="dot"/>
            </w:tabs>
            <w:rPr/>
          </w:pPr>
          <w:hyperlink w:anchor="__RefHeading___Toc1764316_2322387425">
            <w:r>
              <w:rPr>
                <w:webHidden/>
                <w:rStyle w:val="IndexLink"/>
                <w:rtl w:val="true"/>
              </w:rPr>
              <w:t>وجدان الماء أثناء الصلاة قبل الرکوع أو بعده</w:t>
            </w:r>
            <w:r>
              <w:rPr>
                <w:rStyle w:val="IndexLink"/>
                <w:rtl w:val="true"/>
              </w:rPr>
              <w:tab/>
            </w:r>
            <w:r>
              <w:rPr>
                <w:rStyle w:val="IndexLink"/>
              </w:rPr>
              <w:t>556</w:t>
            </w:r>
          </w:hyperlink>
        </w:p>
        <w:p>
          <w:pPr>
            <w:pStyle w:val="Contents3"/>
            <w:tabs>
              <w:tab w:val="clear" w:pos="8459"/>
              <w:tab w:val="right" w:pos="9026" w:leader="dot"/>
            </w:tabs>
            <w:rPr/>
          </w:pPr>
          <w:hyperlink w:anchor="__RefHeading___Toc1764318_2322387425">
            <w:r>
              <w:rPr>
                <w:webHidden/>
                <w:rStyle w:val="IndexLink"/>
                <w:rtl w:val="true"/>
              </w:rPr>
              <w:t>وجدان الماء أثناء غیر الصلاة من العبادات</w:t>
            </w:r>
            <w:r>
              <w:rPr>
                <w:rStyle w:val="IndexLink"/>
                <w:rtl w:val="true"/>
              </w:rPr>
              <w:tab/>
            </w:r>
            <w:r>
              <w:rPr>
                <w:rStyle w:val="IndexLink"/>
              </w:rPr>
              <w:t>558</w:t>
            </w:r>
          </w:hyperlink>
        </w:p>
        <w:p>
          <w:pPr>
            <w:pStyle w:val="Contents3"/>
            <w:tabs>
              <w:tab w:val="clear" w:pos="8459"/>
              <w:tab w:val="right" w:pos="9026" w:leader="dot"/>
            </w:tabs>
            <w:rPr/>
          </w:pPr>
          <w:hyperlink w:anchor="__RefHeading___Toc1764320_2322387425">
            <w:r>
              <w:rPr>
                <w:webHidden/>
                <w:rStyle w:val="IndexLink"/>
                <w:rtl w:val="true"/>
              </w:rPr>
              <w:t>زوال العذر غیر الفقدان</w:t>
            </w:r>
            <w:r>
              <w:rPr>
                <w:rStyle w:val="IndexLink"/>
                <w:rtl w:val="true"/>
              </w:rPr>
              <w:tab/>
            </w:r>
            <w:r>
              <w:rPr>
                <w:rStyle w:val="IndexLink"/>
              </w:rPr>
              <w:t>559</w:t>
            </w:r>
          </w:hyperlink>
        </w:p>
        <w:p>
          <w:pPr>
            <w:pStyle w:val="Contents3"/>
            <w:tabs>
              <w:tab w:val="clear" w:pos="8459"/>
              <w:tab w:val="right" w:pos="9026" w:leader="dot"/>
            </w:tabs>
            <w:rPr/>
          </w:pPr>
          <w:hyperlink w:anchor="__RefHeading___Toc1764322_2322387425">
            <w:r>
              <w:rPr>
                <w:webHidden/>
                <w:rStyle w:val="IndexLink"/>
                <w:rtl w:val="true"/>
              </w:rPr>
              <w:t>وجدان الماء بعد الرکوع ثمّ فقدانه</w:t>
            </w:r>
            <w:r>
              <w:rPr>
                <w:rStyle w:val="IndexLink"/>
                <w:rtl w:val="true"/>
              </w:rPr>
              <w:tab/>
            </w:r>
            <w:r>
              <w:rPr>
                <w:rStyle w:val="IndexLink"/>
              </w:rPr>
              <w:t>560</w:t>
            </w:r>
          </w:hyperlink>
        </w:p>
        <w:p>
          <w:pPr>
            <w:pStyle w:val="Contents3"/>
            <w:tabs>
              <w:tab w:val="clear" w:pos="8459"/>
              <w:tab w:val="right" w:pos="9026" w:leader="dot"/>
            </w:tabs>
            <w:rPr/>
          </w:pPr>
          <w:hyperlink w:anchor="__RefHeading___Toc1764324_2322387425">
            <w:r>
              <w:rPr>
                <w:webHidden/>
                <w:rStyle w:val="IndexLink"/>
                <w:rtl w:val="true"/>
              </w:rPr>
              <w:t>بعض فروع وجدان الماء بعد الرکوع</w:t>
            </w:r>
            <w:r>
              <w:rPr>
                <w:rStyle w:val="IndexLink"/>
                <w:rtl w:val="true"/>
              </w:rPr>
              <w:tab/>
            </w:r>
            <w:r>
              <w:rPr>
                <w:rStyle w:val="IndexLink"/>
              </w:rPr>
              <w:t>562</w:t>
            </w:r>
          </w:hyperlink>
        </w:p>
        <w:p>
          <w:pPr>
            <w:pStyle w:val="Contents3"/>
            <w:tabs>
              <w:tab w:val="clear" w:pos="8459"/>
              <w:tab w:val="right" w:pos="9026" w:leader="dot"/>
            </w:tabs>
            <w:rPr/>
          </w:pPr>
          <w:hyperlink w:anchor="__RefHeading___Toc1764326_2322387425">
            <w:r>
              <w:rPr>
                <w:webHidden/>
                <w:rStyle w:val="IndexLink"/>
                <w:rtl w:val="true"/>
              </w:rPr>
              <w:t>صحة صلاة من أتمّها مع وجوب قطعها</w:t>
            </w:r>
            <w:r>
              <w:rPr>
                <w:rStyle w:val="IndexLink"/>
                <w:rtl w:val="true"/>
              </w:rPr>
              <w:tab/>
            </w:r>
            <w:r>
              <w:rPr>
                <w:rStyle w:val="IndexLink"/>
              </w:rPr>
              <w:t>566</w:t>
            </w:r>
          </w:hyperlink>
        </w:p>
        <w:p>
          <w:pPr>
            <w:pStyle w:val="Contents3"/>
            <w:tabs>
              <w:tab w:val="clear" w:pos="8459"/>
              <w:tab w:val="right" w:pos="9026" w:leader="dot"/>
            </w:tabs>
            <w:rPr/>
          </w:pPr>
          <w:hyperlink w:anchor="__RefHeading___Toc1764328_2322387425">
            <w:r>
              <w:rPr>
                <w:webHidden/>
                <w:rStyle w:val="IndexLink"/>
                <w:rtl w:val="true"/>
              </w:rPr>
              <w:t>وجدان المتیمّم تیمّمین ما یکفی لأحدهما</w:t>
            </w:r>
            <w:r>
              <w:rPr>
                <w:rStyle w:val="IndexLink"/>
                <w:rtl w:val="true"/>
              </w:rPr>
              <w:tab/>
            </w:r>
            <w:r>
              <w:rPr>
                <w:rStyle w:val="IndexLink"/>
              </w:rPr>
              <w:t>567</w:t>
            </w:r>
          </w:hyperlink>
        </w:p>
        <w:p>
          <w:pPr>
            <w:pStyle w:val="Contents3"/>
            <w:tabs>
              <w:tab w:val="clear" w:pos="8459"/>
              <w:tab w:val="right" w:pos="9026" w:leader="dot"/>
            </w:tabs>
            <w:rPr/>
          </w:pPr>
          <w:hyperlink w:anchor="__RefHeading___Toc1764330_2322387425">
            <w:r>
              <w:rPr>
                <w:webHidden/>
                <w:rStyle w:val="IndexLink"/>
                <w:rtl w:val="true"/>
              </w:rPr>
              <w:t>إذا وجد ماء یکفی الغسل أو الوضوء وهو محدث بغیر الجنابة</w:t>
            </w:r>
            <w:r>
              <w:rPr>
                <w:rStyle w:val="IndexLink"/>
                <w:rtl w:val="true"/>
              </w:rPr>
              <w:tab/>
            </w:r>
            <w:r>
              <w:rPr>
                <w:rStyle w:val="IndexLink"/>
              </w:rPr>
              <w:t>575</w:t>
            </w:r>
          </w:hyperlink>
        </w:p>
        <w:p>
          <w:pPr>
            <w:pStyle w:val="Contents3"/>
            <w:tabs>
              <w:tab w:val="clear" w:pos="8459"/>
              <w:tab w:val="right" w:pos="9026" w:leader="dot"/>
            </w:tabs>
            <w:rPr/>
          </w:pPr>
          <w:hyperlink w:anchor="__RefHeading___Toc1764332_2322387425">
            <w:r>
              <w:rPr>
                <w:webHidden/>
                <w:rStyle w:val="IndexLink"/>
                <w:rtl w:val="true"/>
              </w:rPr>
              <w:t>هل ینقض التیمّم بدل الغسل بالحدث الأصغر</w:t>
            </w:r>
            <w:r>
              <w:rPr>
                <w:rStyle w:val="IndexLink"/>
                <w:rtl w:val="true"/>
              </w:rPr>
              <w:tab/>
            </w:r>
            <w:r>
              <w:rPr>
                <w:rStyle w:val="IndexLink"/>
              </w:rPr>
              <w:t>576</w:t>
            </w:r>
          </w:hyperlink>
        </w:p>
        <w:p>
          <w:pPr>
            <w:pStyle w:val="Contents3"/>
            <w:tabs>
              <w:tab w:val="clear" w:pos="8459"/>
              <w:tab w:val="right" w:pos="9026" w:leader="dot"/>
            </w:tabs>
            <w:rPr/>
          </w:pPr>
          <w:hyperlink w:anchor="__RefHeading___Toc1764334_2322387425">
            <w:r>
              <w:rPr>
                <w:webHidden/>
                <w:rStyle w:val="IndexLink"/>
                <w:rtl w:val="true"/>
              </w:rPr>
              <w:t>التداخل فی التیمّمات</w:t>
            </w:r>
            <w:r>
              <w:rPr>
                <w:rStyle w:val="IndexLink"/>
                <w:rtl w:val="true"/>
              </w:rPr>
              <w:tab/>
            </w:r>
            <w:r>
              <w:rPr>
                <w:rStyle w:val="IndexLink"/>
              </w:rPr>
              <w:t>578</w:t>
            </w:r>
          </w:hyperlink>
        </w:p>
        <w:p>
          <w:pPr>
            <w:pStyle w:val="Contents3"/>
            <w:tabs>
              <w:tab w:val="clear" w:pos="8459"/>
              <w:tab w:val="right" w:pos="9026" w:leader="dot"/>
            </w:tabs>
            <w:rPr/>
          </w:pPr>
          <w:hyperlink w:anchor="__RefHeading___Toc1764336_2322387425">
            <w:r>
              <w:rPr>
                <w:webHidden/>
                <w:rStyle w:val="IndexLink"/>
                <w:rtl w:val="true"/>
              </w:rPr>
              <w:t>التیمّم بدل أغسال عدیدة أو غسل معین إذا انکشف غیره</w:t>
            </w:r>
            <w:r>
              <w:rPr>
                <w:rStyle w:val="IndexLink"/>
                <w:rtl w:val="true"/>
              </w:rPr>
              <w:tab/>
            </w:r>
            <w:r>
              <w:rPr>
                <w:rStyle w:val="IndexLink"/>
              </w:rPr>
              <w:t>580</w:t>
            </w:r>
          </w:hyperlink>
        </w:p>
        <w:p>
          <w:pPr>
            <w:pStyle w:val="Contents3"/>
            <w:tabs>
              <w:tab w:val="clear" w:pos="8459"/>
              <w:tab w:val="right" w:pos="9026" w:leader="dot"/>
            </w:tabs>
            <w:rPr/>
          </w:pPr>
          <w:hyperlink w:anchor="__RefHeading___Toc1764338_2322387425">
            <w:r>
              <w:rPr>
                <w:webHidden/>
                <w:rStyle w:val="IndexLink"/>
                <w:rtl w:val="true"/>
              </w:rPr>
              <w:t>إذا تزاحم جُنبٌ ومیّت ومحدث بالأصغر علی الماء</w:t>
            </w:r>
            <w:r>
              <w:rPr>
                <w:rStyle w:val="IndexLink"/>
                <w:rtl w:val="true"/>
              </w:rPr>
              <w:tab/>
            </w:r>
            <w:r>
              <w:rPr>
                <w:rStyle w:val="IndexLink"/>
              </w:rPr>
              <w:t>581</w:t>
            </w:r>
          </w:hyperlink>
        </w:p>
        <w:p>
          <w:pPr>
            <w:pStyle w:val="Contents3"/>
            <w:tabs>
              <w:tab w:val="clear" w:pos="8459"/>
              <w:tab w:val="right" w:pos="9026" w:leader="dot"/>
            </w:tabs>
            <w:rPr/>
          </w:pPr>
          <w:hyperlink w:anchor="__RefHeading___Toc1764340_2322387425">
            <w:r>
              <w:rPr>
                <w:webHidden/>
                <w:rStyle w:val="IndexLink"/>
                <w:rtl w:val="true"/>
              </w:rPr>
              <w:t>التیمّم لصلاة منذورة</w:t>
            </w:r>
            <w:r>
              <w:rPr>
                <w:rStyle w:val="IndexLink"/>
                <w:rtl w:val="true"/>
              </w:rPr>
              <w:tab/>
            </w:r>
            <w:r>
              <w:rPr>
                <w:rStyle w:val="IndexLink"/>
              </w:rPr>
              <w:t>583</w:t>
            </w:r>
          </w:hyperlink>
        </w:p>
        <w:p>
          <w:pPr>
            <w:pStyle w:val="Contents3"/>
            <w:tabs>
              <w:tab w:val="clear" w:pos="8459"/>
              <w:tab w:val="right" w:pos="9026" w:leader="dot"/>
            </w:tabs>
            <w:rPr/>
          </w:pPr>
          <w:hyperlink w:anchor="__RefHeading___Toc1764342_2322387425">
            <w:r>
              <w:rPr>
                <w:webHidden/>
                <w:rStyle w:val="IndexLink"/>
                <w:rtl w:val="true"/>
              </w:rPr>
              <w:t>استئجار من وظیفته التیمّم للصلاة عن المیت</w:t>
            </w:r>
            <w:r>
              <w:rPr>
                <w:rStyle w:val="IndexLink"/>
                <w:rtl w:val="true"/>
              </w:rPr>
              <w:tab/>
            </w:r>
            <w:r>
              <w:rPr>
                <w:rStyle w:val="IndexLink"/>
              </w:rPr>
              <w:t>584</w:t>
            </w:r>
          </w:hyperlink>
        </w:p>
        <w:p>
          <w:pPr>
            <w:pStyle w:val="Contents3"/>
            <w:tabs>
              <w:tab w:val="clear" w:pos="8459"/>
              <w:tab w:val="right" w:pos="9026" w:leader="dot"/>
            </w:tabs>
            <w:rPr/>
          </w:pPr>
          <w:hyperlink w:anchor="__RefHeading___Toc1764344_2322387425">
            <w:r>
              <w:rPr>
                <w:webHidden/>
                <w:rStyle w:val="IndexLink"/>
                <w:rtl w:val="true"/>
              </w:rPr>
              <w:t>المجنب المتیمّم مع کون الماء فی المسجد</w:t>
            </w:r>
            <w:r>
              <w:rPr>
                <w:rStyle w:val="IndexLink"/>
                <w:rtl w:val="true"/>
              </w:rPr>
              <w:tab/>
            </w:r>
            <w:r>
              <w:rPr>
                <w:rStyle w:val="IndexLink"/>
              </w:rPr>
              <w:t>584</w:t>
            </w:r>
          </w:hyperlink>
        </w:p>
        <w:p>
          <w:pPr>
            <w:pStyle w:val="Contents3"/>
            <w:tabs>
              <w:tab w:val="clear" w:pos="8459"/>
              <w:tab w:val="right" w:pos="9026" w:leader="dot"/>
            </w:tabs>
            <w:rPr/>
          </w:pPr>
          <w:hyperlink w:anchor="__RefHeading___Toc1764346_2322387425">
            <w:r>
              <w:rPr>
                <w:webHidden/>
                <w:rStyle w:val="IndexLink"/>
                <w:rtl w:val="true"/>
              </w:rPr>
              <w:t>لو أمکن الجمع فی سائر الفروض تعیّن</w:t>
            </w:r>
            <w:r>
              <w:rPr>
                <w:rStyle w:val="IndexLink"/>
                <w:rtl w:val="true"/>
              </w:rPr>
              <w:tab/>
            </w:r>
            <w:r>
              <w:rPr>
                <w:rStyle w:val="IndexLink"/>
              </w:rPr>
              <w:t>586</w:t>
            </w:r>
          </w:hyperlink>
        </w:p>
        <w:p>
          <w:pPr>
            <w:pStyle w:val="Contents3"/>
            <w:tabs>
              <w:tab w:val="clear" w:pos="8459"/>
              <w:tab w:val="right" w:pos="9026" w:leader="dot"/>
            </w:tabs>
            <w:rPr/>
          </w:pPr>
          <w:hyperlink w:anchor="__RefHeading___Toc1764348_2322387425">
            <w:r>
              <w:rPr>
                <w:webHidden/>
                <w:rStyle w:val="IndexLink"/>
                <w:rtl w:val="true"/>
              </w:rPr>
              <w:t>لو علم بعدم وجدان ما تیمّم به بعد الوقت</w:t>
            </w:r>
            <w:r>
              <w:rPr>
                <w:rStyle w:val="IndexLink"/>
                <w:rtl w:val="true"/>
              </w:rPr>
              <w:tab/>
            </w:r>
            <w:r>
              <w:rPr>
                <w:rStyle w:val="IndexLink"/>
              </w:rPr>
              <w:t>587</w:t>
            </w:r>
          </w:hyperlink>
        </w:p>
        <w:p>
          <w:pPr>
            <w:pStyle w:val="Contents3"/>
            <w:tabs>
              <w:tab w:val="clear" w:pos="8459"/>
              <w:tab w:val="right" w:pos="9026" w:leader="dot"/>
            </w:tabs>
            <w:rPr/>
          </w:pPr>
          <w:hyperlink w:anchor="__RefHeading___Toc1764350_2322387425">
            <w:r>
              <w:rPr>
                <w:webHidden/>
                <w:rStyle w:val="IndexLink"/>
                <w:rtl w:val="true"/>
              </w:rPr>
              <w:t>التیمّم لمسّ القرآن</w:t>
            </w:r>
            <w:r>
              <w:rPr>
                <w:rStyle w:val="IndexLink"/>
                <w:rtl w:val="true"/>
              </w:rPr>
              <w:tab/>
            </w:r>
            <w:r>
              <w:rPr>
                <w:rStyle w:val="IndexLink"/>
              </w:rPr>
              <w:t>588</w:t>
            </w:r>
          </w:hyperlink>
        </w:p>
        <w:p>
          <w:pPr>
            <w:pStyle w:val="Contents3"/>
            <w:tabs>
              <w:tab w:val="clear" w:pos="8459"/>
              <w:tab w:val="right" w:pos="9026" w:leader="dot"/>
            </w:tabs>
            <w:rPr/>
          </w:pPr>
          <w:hyperlink w:anchor="__RefHeading___Toc1764352_2322387425">
            <w:r>
              <w:rPr>
                <w:webHidden/>
                <w:rStyle w:val="IndexLink"/>
                <w:rtl w:val="true"/>
              </w:rPr>
              <w:t>وجوب إزالة الحاجب عن مواضع التیمّم</w:t>
            </w:r>
            <w:r>
              <w:rPr>
                <w:rStyle w:val="IndexLink"/>
                <w:rtl w:val="true"/>
              </w:rPr>
              <w:tab/>
            </w:r>
            <w:r>
              <w:rPr>
                <w:rStyle w:val="IndexLink"/>
              </w:rPr>
              <w:t>590</w:t>
            </w:r>
          </w:hyperlink>
        </w:p>
        <w:p>
          <w:pPr>
            <w:pStyle w:val="Contents3"/>
            <w:tabs>
              <w:tab w:val="clear" w:pos="8459"/>
              <w:tab w:val="right" w:pos="9026" w:leader="dot"/>
            </w:tabs>
            <w:rPr/>
          </w:pPr>
          <w:hyperlink w:anchor="__RefHeading___Toc1764354_2322387425">
            <w:r>
              <w:rPr>
                <w:webHidden/>
                <w:rStyle w:val="IndexLink"/>
                <w:rtl w:val="true"/>
              </w:rPr>
              <w:t>الأحوط فی موارد الحدث الأکبر غیر الجنابة</w:t>
            </w:r>
            <w:r>
              <w:rPr>
                <w:rStyle w:val="IndexLink"/>
                <w:rtl w:val="true"/>
              </w:rPr>
              <w:tab/>
            </w:r>
            <w:r>
              <w:rPr>
                <w:rStyle w:val="IndexLink"/>
              </w:rPr>
              <w:t>591</w:t>
            </w:r>
          </w:hyperlink>
        </w:p>
        <w:p>
          <w:pPr>
            <w:pStyle w:val="Contents3"/>
            <w:tabs>
              <w:tab w:val="clear" w:pos="8459"/>
              <w:tab w:val="right" w:pos="9026" w:leader="dot"/>
            </w:tabs>
            <w:rPr/>
          </w:pPr>
          <w:hyperlink w:anchor="__RefHeading___Toc1764356_2322387425">
            <w:r>
              <w:rPr>
                <w:webHidden/>
                <w:rStyle w:val="IndexLink"/>
                <w:rtl w:val="true"/>
              </w:rPr>
              <w:t>نقش لفظ الجلالة علی العضو</w:t>
            </w:r>
            <w:r>
              <w:rPr>
                <w:rStyle w:val="IndexLink"/>
                <w:rtl w:val="true"/>
              </w:rPr>
              <w:tab/>
            </w:r>
            <w:r>
              <w:rPr>
                <w:rStyle w:val="IndexLink"/>
              </w:rPr>
              <w:t>591</w:t>
            </w:r>
          </w:hyperlink>
        </w:p>
        <w:p>
          <w:pPr>
            <w:pStyle w:val="Contents2"/>
            <w:tabs>
              <w:tab w:val="clear" w:pos="8743"/>
              <w:tab w:val="right" w:pos="9026" w:leader="dot"/>
            </w:tabs>
            <w:rPr/>
          </w:pPr>
          <w:hyperlink w:anchor="__RefHeading___Toc1764358_2322387425">
            <w:r>
              <w:rPr>
                <w:webHidden/>
                <w:rStyle w:val="IndexLink"/>
                <w:rtl w:val="true"/>
              </w:rPr>
              <w:t>فهرس المحتویات الجزء الخامس من کتاب</w:t>
            </w:r>
            <w:r>
              <w:rPr>
                <w:rStyle w:val="IndexLink"/>
                <w:rtl w:val="true"/>
              </w:rPr>
              <w:tab/>
            </w:r>
            <w:r>
              <w:rPr>
                <w:rStyle w:val="IndexLink"/>
              </w:rPr>
              <w:t>598</w:t>
            </w:r>
          </w:hyperlink>
        </w:p>
        <w:p>
          <w:pPr>
            <w:pStyle w:val="Contents2"/>
            <w:tabs>
              <w:tab w:val="clear" w:pos="8743"/>
              <w:tab w:val="right" w:pos="9026" w:leader="dot"/>
            </w:tabs>
            <w:rPr/>
          </w:pPr>
          <w:hyperlink w:anchor="__RefHeading___Toc1764360_2322387425">
            <w:r>
              <w:rPr>
                <w:webHidden/>
                <w:rStyle w:val="IndexLink"/>
                <w:rtl w:val="true"/>
              </w:rPr>
              <w:t>الاصدارات العلمیة لمؤسسة السبطین علیهماالسلام العالمیة</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6_136488"/>
      <w:bookmarkStart w:id="1" w:name="pg13276_136488"/>
      <w:bookmarkEnd w:id="1"/>
    </w:p>
    <w:p>
      <w:pPr>
        <w:pStyle w:val="Heading2"/>
        <w:numPr>
          <w:ilvl w:val="1"/>
          <w:numId w:val="1"/>
        </w:numPr>
        <w:rPr/>
      </w:pPr>
      <w:bookmarkStart w:id="2" w:name="pg13276_136488"/>
      <w:bookmarkStart w:id="3" w:name="__RefHeading___Toc1763536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3538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76_136496"/>
      <w:bookmarkStart w:id="8" w:name="pg13276_136496"/>
      <w:bookmarkEnd w:id="8"/>
    </w:p>
    <w:p>
      <w:pPr>
        <w:pStyle w:val="Heading2"/>
        <w:numPr>
          <w:ilvl w:val="1"/>
          <w:numId w:val="1"/>
        </w:numPr>
        <w:rPr/>
      </w:pPr>
      <w:bookmarkStart w:id="9" w:name="pg13276_136496"/>
      <w:bookmarkStart w:id="10" w:name="__RefHeading___Toc1763540_2322387425"/>
      <w:bookmarkStart w:id="11" w:name="_Toc3"/>
      <w:bookmarkEnd w:id="9"/>
      <w:bookmarkEnd w:id="10"/>
      <w:r>
        <w:rPr>
          <w:rtl w:val="true"/>
        </w:rPr>
        <w:t>فصل</w:t>
      </w:r>
      <w:r>
        <w:rPr>
          <w:rtl w:val="true"/>
        </w:rPr>
        <w:t xml:space="preserve">: </w:t>
      </w:r>
      <w:r>
        <w:rPr>
          <w:rtl w:val="true"/>
        </w:rPr>
        <w:t>فی أحکام الأموات</w:t>
      </w:r>
      <w:bookmarkEnd w:id="11"/>
    </w:p>
    <w:p>
      <w:pPr>
        <w:pStyle w:val="Heading3"/>
        <w:numPr>
          <w:ilvl w:val="2"/>
          <w:numId w:val="1"/>
        </w:numPr>
        <w:rPr/>
      </w:pPr>
      <w:bookmarkStart w:id="12" w:name="__RefHeading___Toc1763542_2322387425"/>
      <w:bookmarkStart w:id="13" w:name="_Toc4"/>
      <w:bookmarkEnd w:id="12"/>
      <w:r>
        <w:rPr>
          <w:rtl w:val="true"/>
        </w:rPr>
        <w:t>وجوب التوبة وحقیقتها</w:t>
      </w:r>
      <w:bookmarkEnd w:id="13"/>
    </w:p>
    <w:p>
      <w:pPr>
        <w:pStyle w:val="BookText"/>
        <w:rPr/>
      </w:pPr>
      <w:r>
        <w:rPr>
          <w:rFonts w:ascii="Amiri" w:hAnsi="Amiri" w:eastAsia="Amiri" w:cs="Amiri"/>
          <w:color w:val="111111"/>
          <w:sz w:val="28"/>
          <w:sz w:val="28"/>
          <w:szCs w:val="28"/>
          <w:rtl w:val="true"/>
          <w:lang w:bidi="ar-SA"/>
        </w:rPr>
        <w:t>اعلم أنّ أهمّ الاُمور وأوجب</w:t>
      </w:r>
      <w:r>
        <w:rPr>
          <w:rStyle w:val="FootnoteAnchor"/>
          <w:rtl w:val="true"/>
        </w:rPr>
        <w:footnoteReference w:id="2"/>
      </w:r>
      <w:r>
        <w:rPr>
          <w:rFonts w:ascii="IRNazanin" w:hAnsi="IRNazanin" w:eastAsia="IRNazanin"/>
          <w:color w:val="111111"/>
          <w:sz w:val="28"/>
          <w:sz w:val="28"/>
          <w:szCs w:val="28"/>
          <w:rtl w:val="true"/>
          <w:lang w:bidi="fa-IR"/>
        </w:rPr>
        <w:t>الواجبات</w:t>
      </w:r>
      <w:r>
        <w:rPr>
          <w:rStyle w:val="FootnoteAnchor"/>
          <w:rtl w:val="true"/>
        </w:rPr>
        <w:footnoteReference w:id="3"/>
      </w:r>
      <w:r>
        <w:rPr>
          <w:rFonts w:ascii="IRNazanin" w:hAnsi="IRNazanin" w:eastAsia="IRNazanin"/>
          <w:color w:val="111111"/>
          <w:sz w:val="28"/>
          <w:sz w:val="28"/>
          <w:szCs w:val="28"/>
          <w:rtl w:val="true"/>
          <w:lang w:bidi="fa-IR"/>
        </w:rPr>
        <w:t>التوبة من المعاصی، وحقیقتها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لایکفی مطلق الندم فی تحقق التوبة؛ حتّی یبلغ إلی مرتبة یتراجع معها العبد عمّا اقترف وتنزجر نفسه عن فعله، وهذا معنی العزم علی ترک العود إلی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مظاهر التذلّل والخضوع الذی یبدو علی العبد المذنب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من الاُمور القلبیّة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یکفی مجرَّد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حاجة إلیه مع الندم القلبیّ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لایبعد اعتبار إصلاح ما أفسده ـ مع الإمکان ـ فی ترتب الأثر علیها، کما هو الحال فی العزم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ترک العود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والمرتبة الکاملة</w:t>
      </w:r>
      <w:bookmarkStart w:id="14" w:name="pg13276_136497"/>
    </w:p>
    <w:p>
      <w:pPr>
        <w:pStyle w:val="BookText"/>
        <w:rPr/>
      </w:pPr>
      <w:bookmarkEnd w:id="14"/>
      <w:r>
        <w:rPr>
          <w:rFonts w:ascii="IRNazanin" w:hAnsi="IRNazanin" w:eastAsia="IRNazanin"/>
          <w:color w:val="111111"/>
          <w:sz w:val="28"/>
          <w:sz w:val="28"/>
          <w:szCs w:val="28"/>
          <w:rtl w:val="true"/>
          <w:lang w:bidi="fa-IR"/>
        </w:rPr>
        <w:t xml:space="preserve">منها ما ذکره أمیرالموءمنین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توءدّی إلی المخلوقین حقوقهم حتّی تلقی اللّه أملس ولیس علیک 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کلّ فریضة علیک ضیّعتها فتوءدّی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اللحم الذی نبت علی السحت فتذیبه بالأحزان، حتی یلصق الجلد بالعظام وینشأ بینهما لحم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ألم الطاعة کما أذقته حلاوة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نقله عنه سیّدنا الشریف الرضیّ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الحکمة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مذکور فی نهج البلاغة، واستفادوا من کلامه الشریف اعتبار الاُمور العدیدة فی التوبة،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حقوق الناس،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حقوق اللّه،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إذابة اللحم،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إذاقة ألم الطاعة للجسم و إزالة حلاوة المعصیة، وجملة من الاُمور المذکورة شرط فی تحقّقها، وجملة منها شرط فی کمالها کالأخیرین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763544_2322387425"/>
      <w:bookmarkStart w:id="16" w:name="_Toc5"/>
      <w:bookmarkEnd w:id="15"/>
      <w:r>
        <w:rPr>
          <w:rtl w:val="true"/>
        </w:rPr>
        <w:t>ما یجب فعله عند ظهور علامات الموت</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برضا صاحب الدین والحقّ بالتأخیر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بالرضا بالتأخیر لایجب حتّی مع ظهور الأمارات، ومع العلم بعدم الرضا أو الشکّ فیه یجب الأداء ولو مع عدم ظهورها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ظهور</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عند عدم الاطمئنان بالبقاء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التخییر بین الأداء والوصیة وإلاشهاد مع الاطمئنان من الأخیرین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أمارات الموت أداء حقوق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یتضیّق وقت أدائها بذلک، وأمّا غیرها فالدیون الحالّة المطالب بها وما یشبهها یجب أداؤها فوراً غیر مقیّد بظهور أمارات الموت، والدیون المؤجّلة ـ التی تحلّ بالموت ـ وما یماثلها لایتعین أداؤها فعلاً، بل یتخیّر بینه وبین الاستیثاق من أدائها بعد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وردّ الودائع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الردّ علی الوصیة مبنیّ علی الاحتیاط، وفی حکم الردّ إعلام المالک أو ولیّه والإیداع عند غیره إذا کان مأذوناً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والأمانات التی عنده مع الإمکان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برضا أربابها بالبقاء عند الورثة والوصیة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والوصیّة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ترکه تضییعاً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مع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بالاستیثاق من وصولها إلی أصحابها بعد وفاته، سواء حصل ذلک بالوصیّة أم بغیرها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جواز الوصیّة مع الإمکان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مع الاستحکام علی وجه لا یعتریها الخلل بعد موته</w:t>
      </w:r>
      <w:r>
        <w:rPr>
          <w:rFonts w:eastAsia="IRNazanin" w:cs="IRNazanin"/>
          <w:color w:val="111111"/>
          <w:sz w:val="28"/>
          <w:szCs w:val="28"/>
          <w:rtl w:val="true"/>
          <w:lang w:bidi="fa-IR"/>
        </w:rPr>
        <w:t>.</w:t>
      </w:r>
      <w:bookmarkStart w:id="17" w:name="pg13276_136499"/>
    </w:p>
    <w:p>
      <w:pPr>
        <w:pStyle w:val="Heading3"/>
        <w:numPr>
          <w:ilvl w:val="2"/>
          <w:numId w:val="1"/>
        </w:numPr>
        <w:rPr/>
      </w:pPr>
      <w:bookmarkStart w:id="18" w:name="__RefHeading___Toc1763546_2322387425"/>
      <w:bookmarkStart w:id="19" w:name="_Toc6"/>
      <w:bookmarkEnd w:id="17"/>
      <w:bookmarkEnd w:id="18"/>
      <w:r>
        <w:rPr>
          <w:rtl w:val="true"/>
        </w:rPr>
        <w:t>الوصیة بأداء الواجبات من صوم وصلاة وحج ونحوها</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الواجبات التی لا تقبل النیابة</w:t>
      </w:r>
      <w:r>
        <w:rPr>
          <w:rStyle w:val="FootnoteAnchor"/>
          <w:rtl w:val="true"/>
        </w:rPr>
        <w:footnoteReference w:id="8"/>
      </w:r>
      <w:r>
        <w:rPr>
          <w:rFonts w:ascii="IRNazanin" w:hAnsi="IRNazanin" w:eastAsia="IRNazanin"/>
          <w:color w:val="111111"/>
          <w:sz w:val="28"/>
          <w:sz w:val="28"/>
          <w:szCs w:val="28"/>
          <w:rtl w:val="true"/>
          <w:lang w:bidi="fa-IR"/>
        </w:rPr>
        <w:t>حال الحیاة</w:t>
      </w:r>
      <w:r>
        <w:rPr>
          <w:rStyle w:val="FootnoteAnchor"/>
          <w:rtl w:val="true"/>
        </w:rPr>
        <w:footnoteReference w:id="9"/>
      </w:r>
      <w:r>
        <w:rPr>
          <w:rFonts w:ascii="IRNazanin" w:hAnsi="IRNazanin" w:eastAsia="IRNazanin"/>
          <w:color w:val="111111"/>
          <w:sz w:val="28"/>
          <w:sz w:val="28"/>
          <w:szCs w:val="28"/>
          <w:rtl w:val="true"/>
          <w:lang w:bidi="fa-IR"/>
        </w:rPr>
        <w:t>کالصلاة والصوم والحج</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 الحج منها مسامحة، فلو کان متمکّناً من استنابة غیره لأدائه عنه قبل وفاته لزمه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ونحوها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بها إذا کان له 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احتمل وجود متبرّع، وفیما علی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کالصلاة والصوم التی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فاتته لعذر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عمدٍ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ـ إن شاء اللّه ـ عدم الاختصاص بما فاتته 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ما لم یکن عن طغیان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کما سیأتی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إعلامه،</w:t>
      </w:r>
      <w:bookmarkStart w:id="20" w:name="pg13276_136500"/>
    </w:p>
    <w:p>
      <w:pPr>
        <w:pStyle w:val="BookText"/>
        <w:rPr/>
      </w:pPr>
      <w:bookmarkEnd w:id="20"/>
      <w:r>
        <w:rPr>
          <w:rFonts w:ascii="IRNazanin" w:hAnsi="IRNazanin" w:eastAsia="IRNazanin"/>
          <w:color w:val="111111"/>
          <w:sz w:val="28"/>
          <w:sz w:val="28"/>
          <w:szCs w:val="28"/>
          <w:rtl w:val="true"/>
          <w:lang w:bidi="fa-IR"/>
        </w:rPr>
        <w:t>أو الوصیّة باستئجارها</w:t>
      </w:r>
      <w:r>
        <w:rPr>
          <w:rStyle w:val="FootnoteAnchor"/>
          <w:rtl w:val="true"/>
        </w:rPr>
        <w:footnoteReference w:id="11"/>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763548_2322387425"/>
      <w:bookmarkStart w:id="22" w:name="_Toc7"/>
      <w:bookmarkEnd w:id="21"/>
      <w:r>
        <w:rPr>
          <w:rtl w:val="true"/>
        </w:rPr>
        <w:t>تملیک غیر الوارث</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تملیک ماله</w:t>
      </w:r>
      <w:r>
        <w:rPr>
          <w:rStyle w:val="FootnoteAnchor"/>
          <w:rtl w:val="true"/>
        </w:rPr>
        <w:footnoteReference w:id="12"/>
      </w:r>
      <w:r>
        <w:rPr>
          <w:rFonts w:ascii="IRNazanin" w:hAnsi="IRNazanin" w:eastAsia="IRNazanin"/>
          <w:color w:val="111111"/>
          <w:sz w:val="28"/>
          <w:sz w:val="28"/>
          <w:szCs w:val="28"/>
          <w:rtl w:val="true"/>
          <w:lang w:bidi="fa-IR"/>
        </w:rPr>
        <w:t>بتمامه لغیر الوارث، لکن لا یجوز له تفویت شیء منه علی الوارث بالإقرار کذباً؛ لأنّ المال بعد موته یکون للوارث فإذا أقرّ به لغیره کذباً فوَّت علیه ماله</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کان إقراره فی مرض الموت وکان متّهماً فیه، فحیث إنّه لایخرج حینئذٍ من الأصل بل من الثلث، فلو کان متصرّفاً فیه بالوصیّة بإخراجه لم یکن مفوّتاً علی الوارث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23" w:name="__RefHeading___Toc1763550_2322387425"/>
      <w:bookmarkStart w:id="24" w:name="_Toc8"/>
      <w:bookmarkEnd w:id="23"/>
      <w:r>
        <w:rPr>
          <w:rtl w:val="true"/>
        </w:rPr>
        <w:t>هل یجب الإعلام بمال لایعلمه الوارث؟</w:t>
      </w:r>
      <w:bookmarkEnd w:id="24"/>
    </w:p>
    <w:p>
      <w:pPr>
        <w:pStyle w:val="BookText"/>
        <w:rPr/>
      </w:pPr>
      <w:r>
        <w:rPr>
          <w:rFonts w:ascii="IRNazanin" w:hAnsi="IRNazanin" w:eastAsia="IRNazanin"/>
          <w:color w:val="111111"/>
          <w:sz w:val="28"/>
          <w:sz w:val="28"/>
          <w:szCs w:val="28"/>
          <w:rtl w:val="true"/>
          <w:lang w:bidi="fa-IR"/>
        </w:rPr>
        <w:t>نعم، إذا کان له مال مدفون فی مکان لا یعلمه الوارث یحتمل</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وجوبه، للزوم ترکه الإتلاف والإسراف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إعلامه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5" w:name="pg13276_136501"/>
    </w:p>
    <w:p>
      <w:pPr>
        <w:pStyle w:val="BookText"/>
        <w:rPr/>
      </w:pPr>
      <w:bookmarkEnd w:id="25"/>
      <w:r>
        <w:rPr>
          <w:rFonts w:ascii="IRNazanin" w:hAnsi="IRNazanin" w:eastAsia="IRNazanin"/>
          <w:color w:val="111111"/>
          <w:sz w:val="28"/>
          <w:sz w:val="28"/>
          <w:szCs w:val="28"/>
          <w:rtl w:val="true"/>
          <w:lang w:bidi="fa-IR"/>
        </w:rPr>
        <w:t>لکنّه أیضاً مشکل، وکذا إذا کان له دین</w:t>
      </w:r>
      <w:r>
        <w:rPr>
          <w:rStyle w:val="FootnoteAnchor"/>
          <w:rtl w:val="true"/>
        </w:rPr>
        <w:footnoteReference w:id="15"/>
      </w:r>
      <w:r>
        <w:rPr>
          <w:rFonts w:ascii="IRNazanin" w:hAnsi="IRNazanin" w:eastAsia="IRNazanin"/>
          <w:color w:val="111111"/>
          <w:sz w:val="28"/>
          <w:sz w:val="28"/>
          <w:szCs w:val="28"/>
          <w:rtl w:val="true"/>
          <w:lang w:bidi="fa-IR"/>
        </w:rPr>
        <w:t>علی شخص، والأحوط الإعلام، وإذا عدّ عدم الإعلام تفویتاً فواجب یقیناً</w:t>
      </w:r>
      <w:r>
        <w:rPr>
          <w:rFonts w:eastAsia="IRNazanin" w:cs="IRNazanin"/>
          <w:color w:val="111111"/>
          <w:sz w:val="28"/>
          <w:szCs w:val="28"/>
          <w:rtl w:val="true"/>
          <w:lang w:bidi="fa-IR"/>
        </w:rPr>
        <w:t>.</w:t>
      </w:r>
    </w:p>
    <w:p>
      <w:pPr>
        <w:pStyle w:val="Heading3"/>
        <w:numPr>
          <w:ilvl w:val="2"/>
          <w:numId w:val="1"/>
        </w:numPr>
        <w:rPr/>
      </w:pPr>
      <w:bookmarkStart w:id="26" w:name="__RefHeading___Toc1763552_2322387425"/>
      <w:bookmarkStart w:id="27" w:name="_Toc9"/>
      <w:bookmarkEnd w:id="26"/>
      <w:r>
        <w:rPr>
          <w:rtl w:val="true"/>
        </w:rPr>
        <w:t>هل یجب نصب القیّم علی الأطفال؟</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نصب قیّم علی أطفاله، إلاّ إذا عدّ عدمه تضییعاً لهم أو لمالهم، وعلی تقدیر النصب یجب أن یکون أمیناً، وکذا إذا عیّن علی أداء حقوقه الواجبة شخصاً، یجب أن یکون أمیناً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أوصی بثلثه فی وجوه الخیرات غیر الواجبة، لا یبعد</w:t>
      </w:r>
      <w:r>
        <w:rPr>
          <w:rStyle w:val="FootnoteAnchor"/>
          <w:rtl w:val="true"/>
        </w:rPr>
        <w:footnoteReference w:id="17"/>
      </w:r>
      <w:r>
        <w:rPr>
          <w:rFonts w:ascii="IRNazanin" w:hAnsi="IRNazanin" w:eastAsia="IRNazanin"/>
          <w:color w:val="111111"/>
          <w:sz w:val="28"/>
          <w:sz w:val="28"/>
          <w:szCs w:val="28"/>
          <w:rtl w:val="true"/>
          <w:lang w:bidi="fa-IR"/>
        </w:rPr>
        <w:t>عدم وجوب کون الوصیّ علیها أمیناً</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الأمانة فیه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أن یکون أمیناً علی الأحوط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یستلزم محرّماً آخر، کما إذا جعل غیر الأمین وصیّاً علی جواریه، وهو یعلم تقرّبهن للزنا، أو علی دکاکینه وهو یعلم إیجاره لها فی الخمر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لکنّه أیضاً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اعتبار الأمانة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موهون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أن یکون أمیناً؛ لعدم الفرق بین الوجوه الخیریّة وغیرها، وبین أن یکون الموصی له فقیراً أو غنیاً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8" w:name="pg13276_136502"/>
    </w:p>
    <w:p>
      <w:pPr>
        <w:pStyle w:val="BookText"/>
        <w:rPr/>
      </w:pPr>
      <w:bookmarkEnd w:id="28"/>
      <w:r>
        <w:rPr>
          <w:rFonts w:ascii="Amiri" w:hAnsi="Amiri" w:eastAsia="Amiri" w:cs="Amiri"/>
          <w:color w:val="111111"/>
          <w:sz w:val="28"/>
          <w:sz w:val="28"/>
          <w:szCs w:val="28"/>
          <w:rtl w:val="true"/>
          <w:lang w:bidi="ar-SA"/>
        </w:rPr>
        <w:t xml:space="preserve">خصوصاً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لاخصوصیّة للفقراء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راجعة إلی 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1763554_2322387425"/>
      <w:bookmarkStart w:id="30" w:name="_Toc10"/>
      <w:bookmarkEnd w:id="29"/>
      <w:r>
        <w:rPr>
          <w:rtl w:val="true"/>
        </w:rPr>
        <w:t>فصل</w:t>
      </w:r>
      <w:r>
        <w:rPr>
          <w:rtl w:val="true"/>
        </w:rPr>
        <w:t xml:space="preserve">: </w:t>
      </w:r>
      <w:r>
        <w:rPr>
          <w:rtl w:val="true"/>
        </w:rPr>
        <w:t>فی آداب المریض</w:t>
      </w:r>
      <w:bookmarkEnd w:id="30"/>
    </w:p>
    <w:p>
      <w:pPr>
        <w:pStyle w:val="BookText"/>
        <w:rPr/>
      </w:pPr>
      <w:r>
        <w:rPr>
          <w:rFonts w:ascii="IRNazanin" w:hAnsi="IRNazanin" w:eastAsia="IRNazanin"/>
          <w:color w:val="111111"/>
          <w:sz w:val="28"/>
          <w:sz w:val="28"/>
          <w:szCs w:val="28"/>
          <w:rtl w:val="true"/>
          <w:lang w:bidi="fa-IR"/>
        </w:rPr>
        <w:t>وما یستحبّ علیه</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بالإتیان بها وبما یتلوها من الفصل الآتی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بالعمل بجمیعها رجاءً، وأمّا المشروعیّة فهو مبنیّ علی قیام الحجّة علیها، وإتمامها فی کثیر منها نظر؛ لضعف سند کثیر من روایاتها، وقاعدة التسامح عندنا غیر تامّة، واتّکال المشهور مع احتمال کونه لجریهم علی طبق العادة غیر صالح للجبر، وحینئذٍ فلا وجه لإتیانها، فلا محیص من إتیانها رجاءً، کما هو الشأن فی غالب المستحبّات،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أکثر مّما سرده هنا، ومن رام الوقوف علیها فعلیه بکتب الآداب والسُنن، وکثیر منها لایمکن أن یجعل مستنداً فی المقام؛ للخلل فی الصدور أو لظهورها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بها رجاءً لعدم ثبوت الاستحباب الشرعی فی بعضها، وکذلک فی الفصل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والشکر 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الشکایة من مرضه إلی غیر الموءمن</w:t>
      </w:r>
      <w:r>
        <w:rPr>
          <w:rStyle w:val="FootnoteAnchor"/>
          <w:rtl w:val="true"/>
        </w:rPr>
        <w:footnoteReference w:id="22"/>
      </w:r>
      <w:r>
        <w:rPr>
          <w:rFonts w:ascii="IRNazanin" w:hAnsi="IRNazanin" w:eastAsia="IRNazanin"/>
          <w:color w:val="111111"/>
          <w:sz w:val="28"/>
          <w:sz w:val="28"/>
          <w:szCs w:val="28"/>
          <w:rtl w:val="true"/>
          <w:lang w:bidi="fa-IR"/>
        </w:rPr>
        <w:t>، وحدّ الشکایة أن یقول</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ابتُلیت بما لم یُبتَلَ به أحد، أو أصابنی ما لم یُصِب أحداً، وأمّا إذا قال</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سهرت البارحة، أو کنت محموماً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یخفی مرضه إلی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یجدّد التوبة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یوصی بالخیرات للفقراء من أرحامه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الموءمنین بمرضه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لهم فی عیادته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التعجیل فی شرب الدواء ومراجعة الطبیب، إلاّ مع الیأس</w:t>
      </w:r>
      <w:r>
        <w:rPr>
          <w:rStyle w:val="FootnoteAnchor"/>
          <w:rtl w:val="true"/>
        </w:rPr>
        <w:footnoteReference w:id="26"/>
      </w:r>
      <w:r>
        <w:rPr>
          <w:rFonts w:ascii="Amiri" w:hAnsi="Amiri" w:eastAsia="Amiri" w:cs="Amiri"/>
          <w:color w:val="111111"/>
          <w:sz w:val="28"/>
          <w:sz w:val="28"/>
          <w:szCs w:val="28"/>
          <w:rtl w:val="true"/>
          <w:lang w:bidi="ar-SA"/>
        </w:rPr>
        <w:t>من البُرء</w:t>
      </w:r>
      <w:r>
        <w:rPr>
          <w:rStyle w:val="FootnoteAnchor"/>
          <w:rtl w:val="true"/>
        </w:rPr>
        <w:footnoteReference w:id="27"/>
      </w:r>
      <w:r>
        <w:rPr>
          <w:rFonts w:ascii="IRNazanin" w:hAnsi="IRNazanin" w:eastAsia="IRNazanin"/>
          <w:color w:val="111111"/>
          <w:sz w:val="28"/>
          <w:sz w:val="28"/>
          <w:szCs w:val="28"/>
          <w:rtl w:val="true"/>
          <w:lang w:bidi="fa-IR"/>
        </w:rPr>
        <w:t>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یجتنب مایحتمل</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الضرر</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یجب إذا کان الاحتمال ممّا یعتنی به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یتصدّق هو وأقرباوءه بشیء،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w:t>
      </w:r>
      <w:r>
        <w:rPr>
          <w:rStyle w:val="FootnoteAnchor"/>
          <w:rtl w:val="true"/>
        </w:rPr>
        <w:footnoteReference w:id="30"/>
      </w:r>
      <w:r>
        <w:rPr>
          <w:rFonts w:ascii="IRNazanin" w:hAnsi="IRNazanin" w:eastAsia="IRNazanin"/>
          <w:color w:val="111111"/>
          <w:sz w:val="28"/>
          <w:sz w:val="28"/>
          <w:szCs w:val="28"/>
          <w:rtl w:val="true"/>
          <w:lang w:bidi="fa-IR"/>
        </w:rPr>
        <w:t>عند حضور الموءمنین بالتوحید والنبوّة والإمامة والمعاد وسائر العقائد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ینصب قیّماً أمیناً</w:t>
      </w:r>
      <w:r>
        <w:rPr>
          <w:rStyle w:val="FootnoteAnchor"/>
          <w:rtl w:val="true"/>
        </w:rPr>
        <w:footnoteReference w:id="31"/>
      </w:r>
      <w:r>
        <w:rPr>
          <w:rFonts w:ascii="IRNazanin" w:hAnsi="IRNazanin" w:eastAsia="IRNazanin"/>
          <w:color w:val="111111"/>
          <w:sz w:val="28"/>
          <w:sz w:val="28"/>
          <w:szCs w:val="28"/>
          <w:rtl w:val="true"/>
          <w:lang w:bidi="fa-IR"/>
        </w:rPr>
        <w:t>علی صغاره</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یجب إذا کان تضییعاً لهم، کما تقدم، وکذا فی الرابع عشر ـ إحکام أمر وصیته إلی آخره ـ قد تجب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ویجعل علیه ناظراً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یوصی بثلث ماله إن کان موسراً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یهیئ کفنه، ومن أهمّ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إحکام أمر وصیّته</w:t>
      </w:r>
      <w:r>
        <w:rPr>
          <w:rStyle w:val="FootnoteAnchor"/>
          <w:rtl w:val="true"/>
        </w:rPr>
        <w:footnoteReference w:id="33"/>
      </w:r>
      <w:r>
        <w:rPr>
          <w:rFonts w:ascii="IRNazanin" w:hAnsi="IRNazanin" w:eastAsia="IRNazanin"/>
          <w:color w:val="111111"/>
          <w:sz w:val="28"/>
          <w:sz w:val="28"/>
          <w:szCs w:val="28"/>
          <w:rtl w:val="true"/>
          <w:lang w:bidi="fa-IR"/>
        </w:rPr>
        <w:t>، وتوضیحه، وإعلام الوصیّ والناظر بها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عند موته، بل قیل بوجوبه فی جمیع الأحوال، ویستفاد من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حال النزع</w:t>
      </w:r>
      <w:r>
        <w:rPr>
          <w:rFonts w:eastAsia="IRNazanin" w:cs="IRNazanin"/>
          <w:color w:val="111111"/>
          <w:sz w:val="28"/>
          <w:szCs w:val="28"/>
          <w:rtl w:val="true"/>
          <w:lang w:bidi="fa-IR"/>
        </w:rPr>
        <w:t xml:space="preserve">. </w:t>
      </w:r>
      <w:bookmarkStart w:id="31" w:name="pg13276_136505"/>
    </w:p>
    <w:p>
      <w:pPr>
        <w:pStyle w:val="Heading2"/>
        <w:numPr>
          <w:ilvl w:val="1"/>
          <w:numId w:val="1"/>
        </w:numPr>
        <w:rPr/>
      </w:pPr>
      <w:bookmarkStart w:id="32" w:name="__RefHeading___Toc1763556_2322387425"/>
      <w:bookmarkStart w:id="33" w:name="_Toc11"/>
      <w:bookmarkEnd w:id="31"/>
      <w:bookmarkEnd w:id="32"/>
      <w:r>
        <w:rPr>
          <w:rtl w:val="true"/>
        </w:rPr>
        <w:t>فصل</w:t>
      </w:r>
      <w:r>
        <w:rPr>
          <w:rtl w:val="true"/>
        </w:rPr>
        <w:t xml:space="preserve">: </w:t>
      </w:r>
      <w:r>
        <w:rPr>
          <w:rtl w:val="true"/>
        </w:rPr>
        <w:t>فی استحباب عیادة المریض وآدابها</w:t>
      </w:r>
      <w:bookmarkEnd w:id="33"/>
    </w:p>
    <w:p>
      <w:pPr>
        <w:pStyle w:val="Heading3"/>
        <w:numPr>
          <w:ilvl w:val="2"/>
          <w:numId w:val="1"/>
        </w:numPr>
        <w:rPr/>
      </w:pPr>
      <w:bookmarkStart w:id="34" w:name="__RefHeading___Toc1763558_2322387425"/>
      <w:bookmarkStart w:id="35" w:name="_Toc12"/>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عیادة المریض</w:t>
      </w:r>
      <w:r>
        <w:rPr>
          <w:rStyle w:val="FootnoteAnchor"/>
          <w:rtl w:val="true"/>
        </w:rPr>
        <w:footnoteReference w:id="34"/>
      </w:r>
      <w:r>
        <w:rPr>
          <w:rFonts w:ascii="IRNazanin" w:hAnsi="IRNazanin" w:eastAsia="IRNazanin"/>
          <w:color w:val="111111"/>
          <w:sz w:val="28"/>
          <w:sz w:val="28"/>
          <w:szCs w:val="28"/>
          <w:rtl w:val="true"/>
          <w:lang w:bidi="fa-IR"/>
        </w:rPr>
        <w:t>من المستحبّات الموءکّدة، وفی بعض الأخبار أنَّ عیادته عیادة اللّه تعالی، فإنّه حاضر عند المریض الموءمن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نقله فی المتن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تتأکّد</w:t>
      </w:r>
      <w:r>
        <w:rPr>
          <w:rStyle w:val="FootnoteAnchor"/>
          <w:rtl w:val="true"/>
        </w:rPr>
        <w:footnoteReference w:id="35"/>
      </w:r>
      <w:r>
        <w:rPr>
          <w:rFonts w:ascii="IRNazanin" w:hAnsi="IRNazanin" w:eastAsia="IRNazanin"/>
          <w:color w:val="111111"/>
          <w:sz w:val="28"/>
          <w:sz w:val="28"/>
          <w:szCs w:val="28"/>
          <w:rtl w:val="true"/>
          <w:lang w:bidi="fa-IR"/>
        </w:rPr>
        <w:t>فی وجع العین والضرس والدُمَّل، وکذا من اشتدّ مرضه</w:t>
      </w:r>
      <w:r>
        <w:rPr>
          <w:rStyle w:val="FootnoteAnchor"/>
          <w:rtl w:val="true"/>
        </w:rPr>
        <w:footnoteReference w:id="36"/>
      </w:r>
      <w:r>
        <w:rPr>
          <w:rFonts w:ascii="IRNazanin" w:hAnsi="IRNazanin" w:eastAsia="IRNazanin"/>
          <w:color w:val="111111"/>
          <w:sz w:val="28"/>
          <w:sz w:val="28"/>
          <w:szCs w:val="28"/>
          <w:rtl w:val="true"/>
          <w:lang w:bidi="fa-IR"/>
        </w:rPr>
        <w:t>أو 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تکون فی اللیل أو فی النهار</w:t>
      </w:r>
      <w:r>
        <w:rPr>
          <w:rStyle w:val="FootnoteAnchor"/>
          <w:rtl w:val="true"/>
        </w:rPr>
        <w:footnoteReference w:id="37"/>
      </w:r>
      <w:r>
        <w:rPr>
          <w:rFonts w:ascii="IRNazanin" w:hAnsi="IRNazanin" w:eastAsia="IRNazanin"/>
          <w:color w:val="111111"/>
          <w:sz w:val="28"/>
          <w:sz w:val="28"/>
          <w:szCs w:val="28"/>
          <w:rtl w:val="true"/>
          <w:lang w:bidi="fa-IR"/>
        </w:rPr>
        <w:t>، بل یستحبّ فی الصباح والمساء، ولا یشترط فیها الجلوس، بل ولا السوءال عن حاله</w:t>
      </w:r>
      <w:r>
        <w:rPr>
          <w:rFonts w:eastAsia="IRNazanin" w:cs="IRNazanin"/>
          <w:color w:val="111111"/>
          <w:sz w:val="28"/>
          <w:szCs w:val="28"/>
          <w:rtl w:val="true"/>
          <w:lang w:bidi="fa-IR"/>
        </w:rPr>
        <w:t>.</w:t>
      </w:r>
    </w:p>
    <w:p>
      <w:pPr>
        <w:pStyle w:val="Heading3"/>
        <w:numPr>
          <w:ilvl w:val="2"/>
          <w:numId w:val="1"/>
        </w:numPr>
        <w:rPr/>
      </w:pPr>
      <w:bookmarkStart w:id="36" w:name="__RefHeading___Toc1763560_2322387425"/>
      <w:bookmarkStart w:id="37" w:name="_Toc13"/>
      <w:bookmarkEnd w:id="36"/>
      <w:r>
        <w:rPr>
          <w:rtl w:val="true"/>
        </w:rPr>
        <w:t>آداب العیادة</w:t>
      </w:r>
      <w:bookmarkEnd w:id="37"/>
    </w:p>
    <w:p>
      <w:pPr>
        <w:pStyle w:val="BookText"/>
        <w:rPr/>
      </w:pPr>
      <w:r>
        <w:rPr>
          <w:rFonts w:ascii="IRNazanin" w:hAnsi="IRNazanin" w:eastAsia="IRNazanin"/>
          <w:color w:val="111111"/>
          <w:sz w:val="28"/>
          <w:sz w:val="28"/>
          <w:szCs w:val="28"/>
          <w:rtl w:val="true"/>
          <w:lang w:bidi="fa-IR"/>
        </w:rPr>
        <w:t>ولها آداب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عنده، ولکن لا یطیل الجلوس إلاّ إذا کان المریض طالباً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العائد إحدی یدیه علی الاُخری أو علی جبهته حال الجلوس عند المریض</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یده علی ذراع المریض</w:t>
      </w:r>
      <w:r>
        <w:rPr>
          <w:rStyle w:val="FootnoteAnchor"/>
          <w:rtl w:val="true"/>
        </w:rPr>
        <w:footnoteReference w:id="39"/>
      </w:r>
      <w:r>
        <w:rPr>
          <w:rFonts w:ascii="IRNazanin" w:hAnsi="IRNazanin" w:eastAsia="IRNazanin"/>
          <w:color w:val="111111"/>
          <w:sz w:val="28"/>
          <w:sz w:val="28"/>
          <w:szCs w:val="28"/>
          <w:rtl w:val="true"/>
          <w:lang w:bidi="fa-IR"/>
        </w:rPr>
        <w:t>عند الدعاء له أو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له بالشفاء، والأولی أن یقول</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اشفِهِ بشفائک، وداوه بدوائک، وعافِهِ من بلائک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الدعاء،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یستصحب هدیّة</w:t>
      </w:r>
      <w:r>
        <w:rPr>
          <w:rStyle w:val="FootnoteAnchor"/>
          <w:rtl w:val="true"/>
        </w:rPr>
        <w:footnoteReference w:id="41"/>
      </w:r>
      <w:r>
        <w:rPr>
          <w:rFonts w:ascii="IRNazanin" w:hAnsi="IRNazanin" w:eastAsia="IRNazanin"/>
          <w:color w:val="111111"/>
          <w:sz w:val="28"/>
          <w:sz w:val="28"/>
          <w:szCs w:val="28"/>
          <w:rtl w:val="true"/>
          <w:lang w:bidi="fa-IR"/>
        </w:rPr>
        <w:t>له من فاکهة أو نحوها ممّا یُفرحه ویریحه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علیه فاتحة الکتاب سبعین، أو أربعین مرّة، أو سبع مرّات، أو مرّة واحدة، فعن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الحمد علی میّت سبعین مرّة ثمّ ردّت فیه الروح ما کان ذلک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قراءة القرآن،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قرئت الحمد علی وجعٍ سبعین مرّةً إلاّ سکن بإذن اللّه، وإن شئتم فجرّبوا ولا تشکّوا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نالته علّة فلیقرأ فی جیبه الحمد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ینفض لباسه بعد قراءة الحمد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یأکل عنده ما یضرّه ویشتهیه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یفعل عنده ما یغیظه أو یضیق خلقه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یلتمس منه الدعاء؛ فإنّه ممّن یُستجاب دعاوءه</w:t>
      </w:r>
      <w:r>
        <w:rPr>
          <w:rStyle w:val="FootnoteAnchor"/>
          <w:rtl w:val="true"/>
        </w:rPr>
        <w:footnoteReference w:id="43"/>
      </w:r>
      <w:r>
        <w:rPr>
          <w:rFonts w:ascii="IRNazanin" w:hAnsi="IRNazanin" w:eastAsia="IRNazanin"/>
          <w:color w:val="111111"/>
          <w:sz w:val="28"/>
          <w:sz w:val="28"/>
          <w:szCs w:val="28"/>
          <w:rtl w:val="true"/>
          <w:lang w:bidi="fa-IR"/>
        </w:rPr>
        <w:t>، فعن الصادق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یُستجاب دعاوءهم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والغازی والمریض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دعوتهم مستجابة</w:t>
      </w:r>
      <w:r>
        <w:rPr>
          <w:rFonts w:eastAsia="IRNazanin" w:cs="IRNazanin"/>
          <w:color w:val="111111"/>
          <w:sz w:val="28"/>
          <w:szCs w:val="28"/>
          <w:rtl w:val="true"/>
          <w:lang w:bidi="fa-IR"/>
        </w:rPr>
        <w:t xml:space="preserve">:...».). </w:t>
      </w:r>
      <w:bookmarkStart w:id="38" w:name="pg13276_136507"/>
    </w:p>
    <w:p>
      <w:pPr>
        <w:pStyle w:val="Heading2"/>
        <w:numPr>
          <w:ilvl w:val="1"/>
          <w:numId w:val="1"/>
        </w:numPr>
        <w:rPr/>
      </w:pPr>
      <w:bookmarkStart w:id="39" w:name="__RefHeading___Toc1763562_2322387425"/>
      <w:bookmarkStart w:id="40" w:name="_Toc14"/>
      <w:bookmarkEnd w:id="38"/>
      <w:bookmarkEnd w:id="39"/>
      <w:r>
        <w:rPr>
          <w:rtl w:val="true"/>
        </w:rPr>
        <w:t>فصل</w:t>
      </w:r>
      <w:r>
        <w:rPr>
          <w:rtl w:val="true"/>
        </w:rPr>
        <w:t xml:space="preserve">: </w:t>
      </w:r>
      <w:r>
        <w:rPr>
          <w:rtl w:val="true"/>
        </w:rPr>
        <w:t>فیما یتعلق بالمحتضر مما هو وظیفة الغیر</w:t>
      </w:r>
      <w:bookmarkEnd w:id="40"/>
    </w:p>
    <w:p>
      <w:pPr>
        <w:pStyle w:val="Heading3"/>
        <w:numPr>
          <w:ilvl w:val="2"/>
          <w:numId w:val="1"/>
        </w:numPr>
        <w:rPr/>
      </w:pPr>
      <w:bookmarkStart w:id="41" w:name="__RefHeading___Toc1763564_2322387425"/>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یتعلّق بالمحتَضَر</w:t>
      </w:r>
      <w:r>
        <w:rPr>
          <w:rStyle w:val="FootnoteAnchor"/>
          <w:rtl w:val="true"/>
        </w:rPr>
        <w:footnoteReference w:id="44"/>
      </w:r>
      <w:r>
        <w:rPr>
          <w:rFonts w:ascii="IRNazanin" w:hAnsi="IRNazanin" w:eastAsia="IRNazanin"/>
          <w:color w:val="111111"/>
          <w:sz w:val="28"/>
          <w:sz w:val="28"/>
          <w:szCs w:val="28"/>
          <w:rtl w:val="true"/>
          <w:lang w:bidi="fa-IR"/>
        </w:rPr>
        <w:t>ممّا هو وظیفة الغیر</w:t>
      </w:r>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763566_2322387425"/>
      <w:bookmarkStart w:id="44" w:name="_Toc16"/>
      <w:bookmarkEnd w:id="43"/>
      <w:r>
        <w:rPr>
          <w:rtl w:val="true"/>
        </w:rPr>
        <w:t>الأول</w:t>
      </w:r>
      <w:r>
        <w:rPr>
          <w:rtl w:val="true"/>
        </w:rPr>
        <w:t xml:space="preserve">: </w:t>
      </w:r>
      <w:r>
        <w:rPr>
          <w:rtl w:val="true"/>
        </w:rPr>
        <w:t>توجیه المیّت إلی القبلة</w:t>
      </w:r>
      <w:bookmarkEnd w:id="4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توجیهه إلی القبلة، بوضعه علی وجهٍ لو جلس کان وجهه إلی القبلة، ووجوبه لا یخلو من قوّة</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الشریعتمداری،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الأدلة التی استدلّوا بها فی المقام علی الوجوب لاتخلو من مناقشة، نعم هو الأحوط فلا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علی الغیر فضلاً عن وجوبه علی نفس المحتَضَر إشکال، نعم هو أحوط، والأحوط أیضاً أن یکون ذلک بإذن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أشرف علی الموت إشرافاً قریباً، لامطلق الاحتضار وإن طال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وکذلک یجب علی المحتَضَر نفسه إن تمکّن منه، بل لا یبعد تقدّمه علی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القوّة تأمّل، والأظهر عدم وجوبه علی المحتَضَر نفسه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45" w:name="pg13276_136508"/>
    </w:p>
    <w:p>
      <w:pPr>
        <w:pStyle w:val="Heading3"/>
        <w:numPr>
          <w:ilvl w:val="2"/>
          <w:numId w:val="1"/>
        </w:numPr>
        <w:rPr/>
      </w:pPr>
      <w:bookmarkStart w:id="46" w:name="__RefHeading___Toc1763568_2322387425"/>
      <w:bookmarkStart w:id="47" w:name="_Toc17"/>
      <w:bookmarkEnd w:id="45"/>
      <w:bookmarkEnd w:id="46"/>
      <w:r>
        <w:rPr>
          <w:rtl w:val="true"/>
        </w:rPr>
        <w:t>هل یجب أن یوجّه المحتضر نفسه؟</w:t>
      </w:r>
      <w:bookmarkEnd w:id="47"/>
    </w:p>
    <w:p>
      <w:pPr>
        <w:pStyle w:val="BookText"/>
        <w:rPr/>
      </w:pPr>
      <w:r>
        <w:rPr>
          <w:rFonts w:ascii="IRNazanin" w:hAnsi="IRNazanin" w:eastAsia="IRNazanin"/>
          <w:color w:val="111111"/>
          <w:sz w:val="28"/>
          <w:sz w:val="28"/>
          <w:szCs w:val="28"/>
          <w:rtl w:val="true"/>
          <w:lang w:bidi="fa-IR"/>
        </w:rPr>
        <w:t>بل لا یبعد</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المحتَضَر نفسه أیضاً، وإن لم یمکن بالکیفیّة المذکورة فبالممکن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8" w:name="__RefHeading___Toc1763570_2322387425"/>
      <w:bookmarkStart w:id="49" w:name="_Toc18"/>
      <w:bookmarkEnd w:id="48"/>
      <w:r>
        <w:rPr>
          <w:rtl w:val="true"/>
        </w:rPr>
        <w:t>فروع فیما یتعلق بتوجیه المیت</w:t>
      </w:r>
      <w:bookmarkEnd w:id="49"/>
    </w:p>
    <w:p>
      <w:pPr>
        <w:pStyle w:val="BookText"/>
        <w:rPr/>
      </w:pPr>
      <w:r>
        <w:rPr>
          <w:rFonts w:ascii="Amiri" w:hAnsi="Amiri" w:eastAsia="Amiri" w:cs="Amiri"/>
          <w:color w:val="111111"/>
          <w:sz w:val="28"/>
          <w:sz w:val="28"/>
          <w:szCs w:val="28"/>
          <w:rtl w:val="true"/>
          <w:lang w:bidi="ar-SA"/>
        </w:rPr>
        <w:t>وإلاّ فبتوجیهه جالساً</w:t>
      </w:r>
      <w:r>
        <w:rPr>
          <w:rStyle w:val="FootnoteAnchor"/>
          <w:rtl w:val="true"/>
        </w:rPr>
        <w:footnoteReference w:id="48"/>
      </w:r>
      <w:r>
        <w:rPr>
          <w:rFonts w:ascii="Amiri" w:hAnsi="Amiri" w:eastAsia="Amiri" w:cs="Amiri"/>
          <w:color w:val="111111"/>
          <w:sz w:val="28"/>
          <w:sz w:val="28"/>
          <w:szCs w:val="28"/>
          <w:rtl w:val="true"/>
          <w:lang w:bidi="ar-SA"/>
        </w:rPr>
        <w:t>أو مضطجعاً</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تأذّیه بالجلوس والاضطجاع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الأیمن، أو علی الأیسر مع تعذّر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الرجل والامرأة والصغیر والکبیر، بشرط أن یکون مسلماً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ویجب أن یکون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وجوبه، نعم، لو منع الولیّ لغرض صحیح کفّ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وجوبه لایخلو من قوّة، خصوصاً فیما یعلم رضا المحتَضَر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وإن کان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إلاّ إذا علم برضا المحتَضَر نفسه به ولم یکن قاصراً فإنّه لاحاجة إلی الاستئذان من الولیّ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بإذن</w:t>
      </w:r>
    </w:p>
    <w:p>
      <w:pPr>
        <w:pStyle w:val="BookText"/>
        <w:rPr/>
      </w:pPr>
      <w:r>
        <w:rPr>
          <w:rFonts w:ascii="Amiri" w:hAnsi="Amiri" w:eastAsia="Amiri" w:cs="Amiri"/>
          <w:color w:val="111111"/>
          <w:sz w:val="28"/>
          <w:sz w:val="28"/>
          <w:szCs w:val="28"/>
          <w:rtl w:val="true"/>
          <w:lang w:bidi="ar-SA"/>
        </w:rPr>
        <w:t>ولیّه</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الاستئذان منه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الاستئذان من المحتَضَر مع الإمکان، ومع عدم الإمکان یستأذن من ولیّه ومن الحاکم الشرعی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بإذن نفسه مع الإمکان؛ لأنّ الأولیاء لا ولایة لهم فی حال الحیاة، ولکن بناءً علی وجوبه لادلیل علی أن یکون ذلک بإذنه أو إذن ولیّه بعد الموت أو إذن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لزوم الاستئذان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المحتَضَر إلی القبلة لایعدّ تجهیزاً للمیت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نعم، هو الأولی والأحوط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الاستئذان فیه غیر معلوم، لکنّ مراعاته ـ حتی الإمکان ـ لا تُترک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زین الدین،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الإمکان، وإلاّ فالأحوط الاستئذان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لاحاجة إلی الاستئذان من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لایحتاج إلی الإذن من الحاکم فی أمثال هذه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الحاجة إلی الاستئذان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وترک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لایحتاج فی هذه الاُمور إلی الاستئذان من الحاکم،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الحاکم الشرعیّ،</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وضعه علی الأرض، لامطلقاً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بعد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مراعاة الاستقبال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إبقاؤه کذلک إلی ما بعد الموت فی أقلّ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إلی ما بعد الفراغ من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بالکیفیّة المذکورة فی جمیع الحالات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ما بعد الفراغ من الغسل وبعده، فالأولی وضعه بنحو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یوضع حین الصلاة علیه إلی حال الدفن بجعل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قِبلة البلد طرف الجنوب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تکون قبلته فی نقطة الجنوب، والضابط جعل رأسه إلی یمین المصلّی ورجلیه إلی یساره، کما 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ورجله إلی المشرق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منحرفاً فی آفاقنا بحیث تقع جنبه الیمنی إلی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کانت القبلة للجنوب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القبلة إلی الجنوب کأمثال بلادنا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3276_136511"/>
    </w:p>
    <w:p>
      <w:pPr>
        <w:pStyle w:val="Heading3"/>
        <w:numPr>
          <w:ilvl w:val="2"/>
          <w:numId w:val="1"/>
        </w:numPr>
        <w:rPr/>
      </w:pPr>
      <w:bookmarkStart w:id="51" w:name="__RefHeading___Toc1763572_2322387425"/>
      <w:bookmarkStart w:id="52" w:name="_Toc19"/>
      <w:bookmarkEnd w:id="50"/>
      <w:bookmarkEnd w:id="51"/>
      <w:r>
        <w:rPr>
          <w:rtl w:val="true"/>
        </w:rPr>
        <w:t>الثانی والثالث</w:t>
      </w:r>
      <w:r>
        <w:rPr>
          <w:rtl w:val="true"/>
        </w:rPr>
        <w:t xml:space="preserve">: </w:t>
      </w:r>
      <w:r>
        <w:rPr>
          <w:rtl w:val="true"/>
        </w:rPr>
        <w:t>استحباب تلقین المیت الاعتقادات الحقة وتلقینه کلمات الفرج</w:t>
      </w:r>
      <w:bookmarkEnd w:id="5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تلقینه</w:t>
      </w:r>
      <w:r>
        <w:rPr>
          <w:rStyle w:val="FootnoteAnchor"/>
          <w:rtl w:val="true"/>
        </w:rPr>
        <w:footnoteReference w:id="52"/>
      </w:r>
      <w:r>
        <w:rPr>
          <w:rFonts w:ascii="IRNazanin" w:hAnsi="IRNazanin" w:eastAsia="IRNazanin"/>
          <w:color w:val="111111"/>
          <w:sz w:val="28"/>
          <w:sz w:val="28"/>
          <w:szCs w:val="28"/>
          <w:rtl w:val="true"/>
          <w:lang w:bidi="fa-IR"/>
        </w:rPr>
        <w:t>الشهادتین، والإقرار بالأئمة الاثنی عشر، وسائر الاعتقادات الحقّة علی وجه یُفهم، بل یستحبّ تکرارها إلی أن یموت، ویناسب قراءة العدیلة</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یستحبّ؛ لأنّها مأثورة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تلقینه کلمات الفرج، وأیضاً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الکثیر من معاصیک، واقبل منّی الیسیر من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ویعفو عن الکثیر، اقبَلْ منّی الیسیر واعفُ عنّی الکثیر، إنّک أنت العفوّ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ارحمنی فإنّک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 ح</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763574_2322387425"/>
      <w:bookmarkStart w:id="54" w:name="_Toc20"/>
      <w:bookmarkEnd w:id="53"/>
      <w:r>
        <w:rPr>
          <w:rtl w:val="true"/>
        </w:rPr>
        <w:t>الرابع</w:t>
      </w:r>
      <w:r>
        <w:rPr>
          <w:rtl w:val="true"/>
        </w:rPr>
        <w:t xml:space="preserve">: </w:t>
      </w:r>
      <w:r>
        <w:rPr>
          <w:rtl w:val="true"/>
        </w:rPr>
        <w:t>نقله إلی مصلاّه إذا عسر علیه النزع</w:t>
      </w:r>
      <w:bookmarkEnd w:id="5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إلی مصلاّه إذا عسر علیه النزع بشرط أن لا یوجب</w:t>
      </w:r>
      <w:r>
        <w:rPr>
          <w:rStyle w:val="FootnoteAnchor"/>
          <w:rtl w:val="true"/>
        </w:rPr>
        <w:footnoteReference w:id="55"/>
      </w:r>
      <w:r>
        <w:rPr>
          <w:rFonts w:ascii="IRNazanin" w:hAnsi="IRNazanin" w:eastAsia="IRNazanin"/>
          <w:color w:val="111111"/>
          <w:sz w:val="28"/>
          <w:sz w:val="28"/>
          <w:szCs w:val="28"/>
          <w:rtl w:val="true"/>
          <w:lang w:bidi="fa-IR"/>
        </w:rPr>
        <w:t>أذاه</w:t>
      </w:r>
      <w:r>
        <w:rPr>
          <w:rFonts w:eastAsia="IRNazanin" w:cs="IRNazanin"/>
          <w:color w:val="111111"/>
          <w:sz w:val="28"/>
          <w:szCs w:val="28"/>
          <w:rtl w:val="true"/>
          <w:lang w:bidi="fa-IR"/>
        </w:rPr>
        <w:t>.</w:t>
      </w:r>
    </w:p>
    <w:p>
      <w:pPr>
        <w:pStyle w:val="Heading3"/>
        <w:numPr>
          <w:ilvl w:val="2"/>
          <w:numId w:val="1"/>
        </w:numPr>
        <w:rPr/>
      </w:pPr>
      <w:bookmarkStart w:id="55" w:name="__RefHeading___Toc1763576_2322387425"/>
      <w:bookmarkStart w:id="56" w:name="_Toc21"/>
      <w:bookmarkEnd w:id="55"/>
      <w:r>
        <w:rPr>
          <w:rtl w:val="true"/>
        </w:rPr>
        <w:t>الخامس</w:t>
      </w:r>
      <w:r>
        <w:rPr>
          <w:rtl w:val="true"/>
        </w:rPr>
        <w:t xml:space="preserve">: </w:t>
      </w:r>
      <w:r>
        <w:rPr>
          <w:rtl w:val="true"/>
        </w:rPr>
        <w:t>قراءة القرآن سیّما بعض السور</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سورة یس</w:t>
      </w:r>
      <w:r>
        <w:rPr>
          <w:rStyle w:val="FootnoteAnchor"/>
          <w:rtl w:val="true"/>
        </w:rPr>
        <w:footnoteReference w:id="56"/>
      </w:r>
      <w:r>
        <w:rPr>
          <w:rFonts w:ascii="IRNazanin" w:hAnsi="IRNazanin" w:eastAsia="IRNazanin"/>
          <w:color w:val="111111"/>
          <w:sz w:val="28"/>
          <w:sz w:val="28"/>
          <w:szCs w:val="28"/>
          <w:rtl w:val="true"/>
          <w:lang w:bidi="fa-IR"/>
        </w:rPr>
        <w:t xml:space="preserve">والصافّات لتعجیل راحته، وکذا آیة </w:t>
      </w:r>
      <w:bookmarkStart w:id="57" w:name="pg13276_136512"/>
    </w:p>
    <w:p>
      <w:pPr>
        <w:pStyle w:val="BookText"/>
        <w:rPr/>
      </w:pPr>
      <w:bookmarkEnd w:id="57"/>
      <w:r>
        <w:rPr>
          <w:rFonts w:ascii="IRNazanin" w:hAnsi="IRNazanin" w:eastAsia="IRNazanin"/>
          <w:color w:val="111111"/>
          <w:sz w:val="28"/>
          <w:sz w:val="28"/>
          <w:szCs w:val="28"/>
          <w:rtl w:val="true"/>
          <w:lang w:bidi="fa-IR"/>
        </w:rPr>
        <w:t xml:space="preserve">الکرسیّ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وآیة السخرة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وثلاث آیات من آخر 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ویقرأ سورة الأحزاب، بل مطلق قراءة القرآن</w:t>
      </w:r>
      <w:r>
        <w:rPr>
          <w:rFonts w:eastAsia="IRNazanin" w:cs="IRNazanin"/>
          <w:color w:val="111111"/>
          <w:sz w:val="28"/>
          <w:szCs w:val="28"/>
          <w:rtl w:val="true"/>
          <w:lang w:bidi="fa-IR"/>
        </w:rPr>
        <w:t>.</w:t>
      </w:r>
    </w:p>
    <w:p>
      <w:pPr>
        <w:pStyle w:val="Heading2"/>
        <w:numPr>
          <w:ilvl w:val="1"/>
          <w:numId w:val="1"/>
        </w:numPr>
        <w:rPr/>
      </w:pPr>
      <w:bookmarkStart w:id="58" w:name="__RefHeading___Toc1763578_2322387425"/>
      <w:bookmarkStart w:id="59" w:name="_Toc22"/>
      <w:bookmarkEnd w:id="58"/>
      <w:r>
        <w:rPr>
          <w:rtl w:val="true"/>
        </w:rPr>
        <w:t>فصل</w:t>
      </w:r>
      <w:r>
        <w:rPr>
          <w:rtl w:val="true"/>
        </w:rPr>
        <w:t xml:space="preserve">: </w:t>
      </w:r>
      <w:r>
        <w:rPr>
          <w:rtl w:val="true"/>
        </w:rPr>
        <w:t>فی المستحبّات بعد الموت</w:t>
      </w:r>
      <w:bookmarkEnd w:id="59"/>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 مّما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مستحبّات هذا الفصل مبنیّ علی قاعدة التسامح، فلابدّ من أن یکون 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تغمیض عینیه وتطبیق فمه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فکّیه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یدیه إلی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تغطیته بثوب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الإسراج فی المکان الّذی مات فیه إن مات فی اللیل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الموءمنین لیحضروا جنازته</w:t>
      </w:r>
      <w:r>
        <w:rPr>
          <w:rFonts w:eastAsia="IRNazanin" w:cs="IRNazanin"/>
          <w:color w:val="111111"/>
          <w:sz w:val="28"/>
          <w:szCs w:val="28"/>
          <w:rtl w:val="true"/>
          <w:lang w:bidi="fa-IR"/>
        </w:rPr>
        <w:t xml:space="preserve">. </w:t>
      </w:r>
      <w:bookmarkStart w:id="60" w:name="pg13276_136513"/>
    </w:p>
    <w:p>
      <w:pPr>
        <w:pStyle w:val="BookText"/>
        <w:rPr/>
      </w:pPr>
      <w:bookmarkEnd w:id="60"/>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التعجیل</w:t>
      </w:r>
      <w:r>
        <w:rPr>
          <w:rStyle w:val="FootnoteAnchor"/>
          <w:rtl w:val="true"/>
        </w:rPr>
        <w:footnoteReference w:id="59"/>
      </w:r>
      <w:r>
        <w:rPr>
          <w:rFonts w:ascii="IRNazanin" w:hAnsi="IRNazanin" w:eastAsia="IRNazanin"/>
          <w:color w:val="111111"/>
          <w:sz w:val="28"/>
          <w:sz w:val="28"/>
          <w:szCs w:val="28"/>
          <w:rtl w:val="true"/>
          <w:lang w:bidi="fa-IR"/>
        </w:rPr>
        <w:t>فی دفنه</w:t>
      </w:r>
      <w:r>
        <w:rPr>
          <w:rStyle w:val="FootnoteAnchor"/>
          <w:rtl w:val="true"/>
        </w:rPr>
        <w:footnoteReference w:id="60"/>
      </w:r>
      <w:r>
        <w:rPr>
          <w:rFonts w:ascii="IRNazanin" w:hAnsi="IRNazanin" w:eastAsia="IRNazanin"/>
          <w:color w:val="111111"/>
          <w:sz w:val="28"/>
          <w:sz w:val="28"/>
          <w:szCs w:val="28"/>
          <w:rtl w:val="true"/>
          <w:lang w:bidi="fa-IR"/>
        </w:rPr>
        <w:t>، فلا ینتظرون اللیل إن مات فی النهار، ولا النهار إن مات فی اللیل، إلاّ إذا شکّ فی موته</w:t>
      </w:r>
      <w:r>
        <w:rPr>
          <w:rStyle w:val="FootnoteAnchor"/>
          <w:rtl w:val="true"/>
        </w:rPr>
        <w:footnoteReference w:id="61"/>
      </w:r>
      <w:r>
        <w:rPr>
          <w:rFonts w:ascii="IRNazanin" w:hAnsi="IRNazanin" w:eastAsia="IRNazanin"/>
          <w:color w:val="111111"/>
          <w:sz w:val="28"/>
          <w:sz w:val="28"/>
          <w:szCs w:val="28"/>
          <w:rtl w:val="true"/>
          <w:lang w:bidi="fa-IR"/>
        </w:rPr>
        <w:t>فینتظر حتّی الیقین، وإن کانت حاملاً مع حیاة ولدها فإلی أن یشقّ جنبها الأیسر</w:t>
      </w:r>
      <w:r>
        <w:rPr>
          <w:rStyle w:val="FootnoteAnchor"/>
          <w:rtl w:val="true"/>
        </w:rPr>
        <w:footnoteReference w:id="62"/>
      </w:r>
      <w:r>
        <w:rPr>
          <w:rFonts w:ascii="IRNazanin" w:hAnsi="IRNazanin" w:eastAsia="IRNazanin"/>
          <w:color w:val="111111"/>
          <w:sz w:val="28"/>
          <w:sz w:val="28"/>
          <w:szCs w:val="28"/>
          <w:rtl w:val="true"/>
          <w:lang w:bidi="fa-IR"/>
        </w:rPr>
        <w:t>لإخراجه ثمّ خیاطته</w:t>
      </w:r>
      <w:r>
        <w:rPr>
          <w:rFonts w:eastAsia="IRNazanin" w:cs="IRNazanin"/>
          <w:color w:val="111111"/>
          <w:sz w:val="28"/>
          <w:szCs w:val="28"/>
          <w:rtl w:val="true"/>
          <w:lang w:bidi="fa-IR"/>
        </w:rPr>
        <w:t>.</w:t>
      </w:r>
    </w:p>
    <w:p>
      <w:pPr>
        <w:pStyle w:val="Heading2"/>
        <w:numPr>
          <w:ilvl w:val="1"/>
          <w:numId w:val="1"/>
        </w:numPr>
        <w:rPr/>
      </w:pPr>
      <w:bookmarkStart w:id="61" w:name="__RefHeading___Toc1763580_2322387425"/>
      <w:bookmarkStart w:id="62" w:name="_Toc23"/>
      <w:bookmarkEnd w:id="61"/>
      <w:r>
        <w:rPr>
          <w:rtl w:val="true"/>
        </w:rPr>
        <w:t>فصل</w:t>
      </w:r>
      <w:r>
        <w:rPr>
          <w:rtl w:val="true"/>
        </w:rPr>
        <w:t xml:space="preserve">: </w:t>
      </w:r>
      <w:r>
        <w:rPr>
          <w:rtl w:val="true"/>
        </w:rPr>
        <w:t>فی المکروهات</w:t>
      </w:r>
      <w:bookmarkEnd w:id="62"/>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یمسّ</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 وترک تثقیل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 النزع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یوجب أذاه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تثقیل بطنه</w:t>
      </w:r>
      <w:r>
        <w:rPr>
          <w:rStyle w:val="FootnoteAnchor"/>
          <w:rtl w:val="true"/>
        </w:rPr>
        <w:footnoteReference w:id="65"/>
      </w:r>
      <w:r>
        <w:rPr>
          <w:rFonts w:ascii="IRNazanin" w:hAnsi="IRNazanin" w:eastAsia="IRNazanin"/>
          <w:color w:val="111111"/>
          <w:sz w:val="28"/>
          <w:sz w:val="28"/>
          <w:szCs w:val="28"/>
          <w:rtl w:val="true"/>
          <w:lang w:bidi="fa-IR"/>
        </w:rPr>
        <w:t>بحدید أو غیره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63" w:name="pg13276_136514"/>
    </w:p>
    <w:p>
      <w:pPr>
        <w:pStyle w:val="BookText"/>
        <w:rPr/>
      </w:pPr>
      <w:bookmarkEnd w:id="63"/>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إبقاوءه وحده، فإنّ الشیطان یعبث فی جوفه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الجنب والحائض عنده حالة الاحتضار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زائداً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یحضره عملة الموتی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تخلّی عنده النساء وحدهنّ خوفاً من صراخهنّ عنده</w:t>
      </w:r>
      <w:r>
        <w:rPr>
          <w:rFonts w:eastAsia="IRNazanin" w:cs="IRNazanin"/>
          <w:color w:val="111111"/>
          <w:sz w:val="28"/>
          <w:szCs w:val="28"/>
          <w:rtl w:val="true"/>
          <w:lang w:bidi="fa-IR"/>
        </w:rPr>
        <w:t>.</w:t>
      </w:r>
    </w:p>
    <w:p>
      <w:pPr>
        <w:pStyle w:val="Heading2"/>
        <w:numPr>
          <w:ilvl w:val="1"/>
          <w:numId w:val="1"/>
        </w:numPr>
        <w:rPr/>
      </w:pPr>
      <w:bookmarkStart w:id="64" w:name="__RefHeading___Toc1763582_2322387425"/>
      <w:bookmarkStart w:id="65" w:name="_Toc24"/>
      <w:bookmarkEnd w:id="64"/>
      <w:r>
        <w:rPr>
          <w:rtl w:val="true"/>
        </w:rPr>
        <w:t>فصل</w:t>
      </w:r>
      <w:r>
        <w:rPr>
          <w:rtl w:val="true"/>
        </w:rPr>
        <w:t xml:space="preserve">: </w:t>
      </w:r>
      <w:r>
        <w:rPr>
          <w:rtl w:val="true"/>
        </w:rPr>
        <w:t>فی حکم کراهة الموت</w:t>
      </w:r>
      <w:bookmarkEnd w:id="65"/>
    </w:p>
    <w:p>
      <w:pPr>
        <w:pStyle w:val="BookText"/>
        <w:rPr/>
      </w:pPr>
      <w:r>
        <w:rPr>
          <w:rFonts w:ascii="IRNazanin" w:hAnsi="IRNazanin" w:eastAsia="IRNazanin"/>
          <w:color w:val="111111"/>
          <w:sz w:val="28"/>
          <w:sz w:val="28"/>
          <w:szCs w:val="28"/>
          <w:rtl w:val="true"/>
          <w:lang w:bidi="fa-IR"/>
        </w:rPr>
        <w:t>لا تحرم کراهة الموت، نعم یستحبّ عند ظهور أماراته أن یحبّ لقاء اللّه تعالی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تمنّی الموت</w:t>
      </w:r>
      <w:r>
        <w:rPr>
          <w:rStyle w:val="FootnoteAnchor"/>
          <w:rtl w:val="true"/>
        </w:rPr>
        <w:footnoteReference w:id="68"/>
      </w:r>
      <w:r>
        <w:rPr>
          <w:rFonts w:ascii="IRNazanin" w:hAnsi="IRNazanin" w:eastAsia="IRNazanin"/>
          <w:color w:val="111111"/>
          <w:sz w:val="28"/>
          <w:sz w:val="28"/>
          <w:szCs w:val="28"/>
          <w:rtl w:val="true"/>
          <w:lang w:bidi="fa-IR"/>
        </w:rPr>
        <w:t>ولو کان فی شدّة وبلیّة، بل ینبغی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أحیِنی ما کانت الحیاة خیراً لی، وتوفّنی إذا کانت الوفاة خیراً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طول الأمل</w:t>
      </w:r>
      <w:r>
        <w:rPr>
          <w:rStyle w:val="FootnoteAnchor"/>
          <w:rtl w:val="true"/>
        </w:rPr>
        <w:footnoteReference w:id="69"/>
      </w:r>
      <w:r>
        <w:rPr>
          <w:rFonts w:ascii="IRNazanin" w:hAnsi="IRNazanin" w:eastAsia="IRNazanin"/>
          <w:color w:val="111111"/>
          <w:sz w:val="28"/>
          <w:sz w:val="28"/>
          <w:szCs w:val="28"/>
          <w:rtl w:val="true"/>
          <w:lang w:bidi="fa-IR"/>
        </w:rPr>
        <w:t xml:space="preserve">، وأن یحسب الموت بعیداً عنه، ویستحبّ </w:t>
      </w:r>
    </w:p>
    <w:p>
      <w:pPr>
        <w:pStyle w:val="BookText"/>
        <w:rPr/>
      </w:pPr>
      <w:r>
        <w:rPr>
          <w:rFonts w:ascii="IRNazanin" w:hAnsi="IRNazanin" w:eastAsia="IRNazanin"/>
          <w:color w:val="111111"/>
          <w:sz w:val="28"/>
          <w:sz w:val="28"/>
          <w:szCs w:val="28"/>
          <w:rtl w:val="true"/>
          <w:lang w:bidi="fa-IR"/>
        </w:rPr>
        <w:t>ذکر الموت کثیراً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الفِرار</w:t>
      </w:r>
      <w:r>
        <w:rPr>
          <w:rStyle w:val="FootnoteAnchor"/>
          <w:rtl w:val="true"/>
        </w:rPr>
        <w:footnoteReference w:id="71"/>
      </w:r>
      <w:r>
        <w:rPr>
          <w:rFonts w:ascii="IRNazanin" w:hAnsi="IRNazanin" w:eastAsia="IRNazanin"/>
          <w:color w:val="111111"/>
          <w:sz w:val="28"/>
          <w:sz w:val="28"/>
          <w:szCs w:val="28"/>
          <w:rtl w:val="true"/>
          <w:lang w:bidi="fa-IR"/>
        </w:rPr>
        <w:t>من الوباء</w:t>
      </w:r>
      <w:r>
        <w:rPr>
          <w:rStyle w:val="FootnoteAnchor"/>
          <w:rtl w:val="true"/>
        </w:rPr>
        <w:footnoteReference w:id="72"/>
      </w:r>
      <w:r>
        <w:rPr>
          <w:rFonts w:ascii="IRNazanin" w:hAnsi="IRNazanin" w:eastAsia="IRNazanin"/>
          <w:color w:val="111111"/>
          <w:sz w:val="28"/>
          <w:sz w:val="28"/>
          <w:szCs w:val="28"/>
          <w:rtl w:val="true"/>
          <w:lang w:bidi="fa-IR"/>
        </w:rPr>
        <w:t>والطاعون، وما فی بعض الأخبار من أنّ الفرار من الطاعون کالفرار من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بمن کان فی ثغر من الثغور لحفظه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المسجد ووقع الطاعون فی أهله یکره الفرار منه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66" w:name="pg13276_136516"/>
    </w:p>
    <w:p>
      <w:pPr>
        <w:pStyle w:val="Heading2"/>
        <w:numPr>
          <w:ilvl w:val="1"/>
          <w:numId w:val="1"/>
        </w:numPr>
        <w:rPr/>
      </w:pPr>
      <w:bookmarkStart w:id="67" w:name="__RefHeading___Toc1763584_2322387425"/>
      <w:bookmarkStart w:id="68" w:name="_Toc25"/>
      <w:bookmarkEnd w:id="66"/>
      <w:bookmarkEnd w:id="67"/>
      <w:r>
        <w:rPr>
          <w:rtl w:val="true"/>
        </w:rPr>
        <w:t>فصل</w:t>
      </w:r>
      <w:r>
        <w:rPr>
          <w:rtl w:val="true"/>
        </w:rPr>
        <w:t xml:space="preserve">: </w:t>
      </w:r>
      <w:r>
        <w:rPr>
          <w:rtl w:val="true"/>
        </w:rPr>
        <w:t>فی أنّ وجوب تجهیز المیّت کفائی</w:t>
      </w:r>
      <w:bookmarkEnd w:id="68"/>
    </w:p>
    <w:p>
      <w:pPr>
        <w:pStyle w:val="Heading3"/>
        <w:numPr>
          <w:ilvl w:val="2"/>
          <w:numId w:val="1"/>
        </w:numPr>
        <w:rPr/>
      </w:pPr>
      <w:bookmarkStart w:id="69" w:name="__RefHeading___Toc1763586_2322387425"/>
      <w:bookmarkStart w:id="70" w:name="_Toc26"/>
      <w:bookmarkEnd w:id="69"/>
      <w:r>
        <w:rPr>
          <w:rtl w:val="true"/>
        </w:rPr>
        <w:t>کفائیة وجوب التجهیز وشرطیّة إذن‌الولی</w:t>
      </w:r>
      <w:bookmarkEnd w:id="70"/>
    </w:p>
    <w:p>
      <w:pPr>
        <w:pStyle w:val="BookText"/>
        <w:rPr/>
      </w:pPr>
      <w:r>
        <w:rPr>
          <w:rFonts w:ascii="IRNazanin" w:hAnsi="IRNazanin" w:eastAsia="IRNazanin"/>
          <w:color w:val="111111"/>
          <w:sz w:val="28"/>
          <w:sz w:val="28"/>
          <w:szCs w:val="28"/>
          <w:rtl w:val="true"/>
          <w:lang w:bidi="fa-IR"/>
        </w:rPr>
        <w:t>الأعمال الواجبة المتعلّقة بتجهیز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التغسیل والتکفین والصلاة والدفن من الواجبات الکفائیّة</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لایبعد وجوبها علی الولیّ مباشرةً أو تسبیباً، ویسقط مع قیام غیره بها بإذنه، بل مطلقاً فی الدفن ونحوه، ومع فقدان الولیّ تجب علی سائر المکلّفین کفایةً، وکذا مع امتناعه عن القیام بها بأحد الوجهین ویسقط حینئذٍ اعتبار إذنه ومّما ذکر یظهر النظر فی بعض 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واجبة علی جمیع المکلّفین، وتسقط بفعل البعض، فلو ترکوا أجمع أثموا أجمع، ولو کان ممّا یقبل صدوره عن جماعة کالصلاة إذا قام به جماعة فی زمان واحد اتّصف فعل کلّ منهم بالوجوب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یجب</w:t>
      </w:r>
      <w:r>
        <w:rPr>
          <w:rStyle w:val="FootnoteAnchor"/>
          <w:rtl w:val="true"/>
        </w:rPr>
        <w:footnoteReference w:id="75"/>
      </w:r>
      <w:r>
        <w:rPr>
          <w:rFonts w:ascii="IRNazanin" w:hAnsi="IRNazanin" w:eastAsia="IRNazanin"/>
          <w:color w:val="111111"/>
          <w:sz w:val="28"/>
          <w:sz w:val="28"/>
          <w:szCs w:val="28"/>
          <w:rtl w:val="true"/>
          <w:lang w:bidi="fa-IR"/>
        </w:rPr>
        <w:t>علی غیر الولیّ الاستئذان</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من جهة أنّ الأدلة لاتدّل علی أزید من أحقّیة الولیّ وأولویّته، فلا یجوز مزاحمته ولامزاحمة مَن أمره بإیجاد تلک الأعمال أو ببعضها، وأمّا کون إذنه أو الاستئذان منه شرطاً لصحّة عمل غیره فلا دلیل علیه عدا شهرته بین أرباب الفتوی، وبناءً علی هذا فلا یجب الاستئذان من الحاکم ومن الرتبة المتأخرة عند امتناع الرتبة المتقدمة بطریق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ولاینافی</w:t>
      </w:r>
      <w:bookmarkStart w:id="71" w:name="pg13276_136517"/>
    </w:p>
    <w:p>
      <w:pPr>
        <w:pStyle w:val="BookText"/>
        <w:rPr/>
      </w:pPr>
      <w:bookmarkEnd w:id="71"/>
      <w:r>
        <w:rPr>
          <w:rFonts w:ascii="IRNazanin" w:hAnsi="IRNazanin" w:eastAsia="IRNazanin"/>
          <w:color w:val="111111"/>
          <w:sz w:val="28"/>
          <w:sz w:val="28"/>
          <w:szCs w:val="28"/>
          <w:rtl w:val="true"/>
          <w:lang w:bidi="fa-IR"/>
        </w:rPr>
        <w:t>وجوبه</w:t>
      </w:r>
      <w:r>
        <w:rPr>
          <w:rStyle w:val="FootnoteAnchor"/>
          <w:rtl w:val="true"/>
        </w:rPr>
        <w:footnoteReference w:id="77"/>
      </w:r>
      <w:r>
        <w:rPr>
          <w:rFonts w:ascii="IRNazanin" w:hAnsi="IRNazanin" w:eastAsia="IRNazanin"/>
          <w:color w:val="111111"/>
          <w:sz w:val="28"/>
          <w:sz w:val="28"/>
          <w:szCs w:val="28"/>
          <w:rtl w:val="true"/>
          <w:lang w:bidi="fa-IR"/>
        </w:rPr>
        <w:t>وجوبها علی الکلّ؛ لأنّ الاستئذان منه شرط</w:t>
      </w:r>
      <w:r>
        <w:rPr>
          <w:rStyle w:val="FootnoteAnchor"/>
          <w:rtl w:val="true"/>
        </w:rPr>
        <w:footnoteReference w:id="78"/>
      </w:r>
      <w:r>
        <w:rPr>
          <w:rFonts w:ascii="Amiri" w:hAnsi="Amiri" w:eastAsia="Amiri" w:cs="Amiri"/>
          <w:color w:val="111111"/>
          <w:sz w:val="28"/>
          <w:sz w:val="28"/>
          <w:szCs w:val="28"/>
          <w:rtl w:val="true"/>
          <w:lang w:bidi="ar-SA"/>
        </w:rPr>
        <w:t>صحّة الفعل</w:t>
      </w:r>
      <w:r>
        <w:rPr>
          <w:rStyle w:val="FootnoteAnchor"/>
          <w:rtl w:val="true"/>
        </w:rPr>
        <w:footnoteReference w:id="79"/>
      </w:r>
      <w:r>
        <w:rPr>
          <w:rFonts w:ascii="IRNazanin" w:hAnsi="IRNazanin" w:eastAsia="IRNazanin"/>
          <w:color w:val="111111"/>
          <w:sz w:val="28"/>
          <w:sz w:val="28"/>
          <w:szCs w:val="28"/>
          <w:rtl w:val="true"/>
          <w:lang w:bidi="fa-IR"/>
        </w:rPr>
        <w:t>، لا شرط وجوبه</w:t>
      </w:r>
      <w:r>
        <w:rPr>
          <w:rFonts w:eastAsia="IRNazanin" w:cs="IRNazanin"/>
          <w:color w:val="111111"/>
          <w:sz w:val="28"/>
          <w:szCs w:val="28"/>
          <w:rtl w:val="true"/>
          <w:lang w:bidi="fa-IR"/>
        </w:rPr>
        <w:t>.</w:t>
      </w:r>
    </w:p>
    <w:p>
      <w:pPr>
        <w:pStyle w:val="Heading3"/>
        <w:numPr>
          <w:ilvl w:val="2"/>
          <w:numId w:val="1"/>
        </w:numPr>
        <w:rPr/>
      </w:pPr>
      <w:bookmarkStart w:id="72" w:name="__RefHeading___Toc1763588_2322387425"/>
      <w:bookmarkStart w:id="73" w:name="_Toc27"/>
      <w:bookmarkEnd w:id="72"/>
      <w:r>
        <w:rPr>
          <w:rtl w:val="true"/>
        </w:rPr>
        <w:t>إذا امتنع الولی سقط اعتبار إذنه</w:t>
      </w:r>
      <w:bookmarkEnd w:id="73"/>
    </w:p>
    <w:p>
      <w:pPr>
        <w:pStyle w:val="BookText"/>
        <w:rPr/>
      </w:pPr>
      <w:r>
        <w:rPr>
          <w:rFonts w:ascii="IRNazanin" w:hAnsi="IRNazanin" w:eastAsia="IRNazanin"/>
          <w:color w:val="111111"/>
          <w:sz w:val="28"/>
          <w:sz w:val="28"/>
          <w:szCs w:val="28"/>
          <w:rtl w:val="true"/>
          <w:lang w:bidi="fa-IR"/>
        </w:rPr>
        <w:t>وإذا امتنع الولیّ من المباشرة والإذن یسقط اعتبار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 للحاکم</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لاحاجة إلی إجبار الحاکم؛ لأنّ حقّه یسقط بامتناعه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سقوط حقّه بالامتناع من دون حاجة إلی إجبار الحاکم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الشرعیّ إجباره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باب الأمر بالمعروف مع تحقّق شرائطه، ولاخصوصیة للحاکم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أن</w:t>
      </w:r>
    </w:p>
    <w:p>
      <w:pPr>
        <w:pStyle w:val="BookText"/>
        <w:rPr/>
      </w:pPr>
      <w:r>
        <w:rPr>
          <w:rFonts w:ascii="IRNazanin" w:hAnsi="IRNazanin" w:eastAsia="IRNazanin"/>
          <w:color w:val="111111"/>
          <w:sz w:val="28"/>
          <w:sz w:val="28"/>
          <w:szCs w:val="28"/>
          <w:rtl w:val="true"/>
          <w:lang w:bidi="fa-IR"/>
        </w:rPr>
        <w:t>یجبره</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الحق یسقط بالامتناع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للإجبار، ولا لما ذکر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سقوط الولایة علی فرض ثبوتها بالامتناع، وجواز تصدّی الغیر بلا توقفٍ علی إذن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أحد الأمرین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السقوط بالامتناع، ولایجب الاستئذان من غیره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یمکن یستأذن من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الحاجة إلی إذنه والأحوط الاستئذان من الطبقة المتأخرة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البروجردی، الشاهرودی، المیلانی، عبداللّه الشیرازی، الفانی،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الاستئذان من المرتبة المتأخّرة أیضاً</w:t>
      </w:r>
      <w:r>
        <w:rPr>
          <w:rFonts w:eastAsia="IRNazanin" w:cs="IRNazanin"/>
          <w:color w:val="111111"/>
          <w:sz w:val="28"/>
          <w:szCs w:val="28"/>
          <w:rtl w:val="true"/>
          <w:lang w:bidi="fa-IR"/>
        </w:rPr>
        <w:t>.</w:t>
      </w:r>
      <w:bookmarkStart w:id="74" w:name="pg13276_136519"/>
    </w:p>
    <w:p>
      <w:pPr>
        <w:pStyle w:val="Heading3"/>
        <w:numPr>
          <w:ilvl w:val="2"/>
          <w:numId w:val="1"/>
        </w:numPr>
        <w:rPr/>
      </w:pPr>
      <w:bookmarkStart w:id="75" w:name="__RefHeading___Toc1763590_2322387425"/>
      <w:bookmarkStart w:id="76" w:name="_Toc28"/>
      <w:bookmarkEnd w:id="74"/>
      <w:bookmarkEnd w:id="75"/>
      <w:r>
        <w:rPr>
          <w:rtl w:val="true"/>
        </w:rPr>
        <w:t>عدم اعتبار الصراحة فی إذن الولیّ</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أعمّ من الصریح</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 عرفاً أنّه إذن وتعیین منه،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والفحوی وشاهد الحال القطعیّ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763592_2322387425"/>
      <w:bookmarkStart w:id="78" w:name="_Toc29"/>
      <w:bookmarkEnd w:id="77"/>
      <w:r>
        <w:rPr>
          <w:rtl w:val="true"/>
        </w:rPr>
        <w:t>سقوط وجوب المبادرة بالعلم بمباشرة الغیر</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بمباشرة بعض المکلّفین یسقط وجوب المبادرة</w:t>
      </w:r>
      <w:r>
        <w:rPr>
          <w:rStyle w:val="FootnoteAnchor"/>
          <w:rtl w:val="true"/>
        </w:rPr>
        <w:footnoteReference w:id="83"/>
      </w:r>
      <w:r>
        <w:rPr>
          <w:rFonts w:ascii="IRNazanin" w:hAnsi="IRNazanin" w:eastAsia="IRNazanin"/>
          <w:color w:val="111111"/>
          <w:sz w:val="28"/>
          <w:sz w:val="28"/>
          <w:szCs w:val="28"/>
          <w:rtl w:val="true"/>
          <w:lang w:bidi="fa-IR"/>
        </w:rPr>
        <w:t>، ولا یسقط</w:t>
      </w:r>
      <w:r>
        <w:rPr>
          <w:rStyle w:val="FootnoteAnchor"/>
          <w:rtl w:val="true"/>
        </w:rPr>
        <w:footnoteReference w:id="84"/>
      </w:r>
      <w:r>
        <w:rPr>
          <w:rFonts w:ascii="IRNazanin" w:hAnsi="IRNazanin" w:eastAsia="IRNazanin"/>
          <w:color w:val="111111"/>
          <w:sz w:val="28"/>
          <w:sz w:val="28"/>
          <w:szCs w:val="28"/>
          <w:rtl w:val="true"/>
          <w:lang w:bidi="fa-IR"/>
        </w:rPr>
        <w:t>أصل الوجوب إلاّ بعد إتیان الفعل منه أو من غیره، فمع الشروع فی الفعل أیضاً لا یسقط الوجوب، فلو شرع بعض المکلّفین بالصلاة یجوز لغیره الشروع فیها بنیّة الوجوب</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بنیّة القربة المردّدة بین الوجوب والاستحباب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أنّه یتمّها قبله، وإلاّ فینوی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یدخل فیها بقصد القربة المطلقة من جهة احتمال سقوط الأمر بالنسبة إلی تلک القطعة التی أتی بها، وذلک من جهة أنّ سقوط الأمر أیضاً مثل فعلیّته تدریجی، نعم، سقوطه عن تلک القطعة مشروط بتعقّبها بالبقیّة؛ لأنّ الواجب ارتباطی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الوجوب مع العلم بأنّ الشارع فیها أوّلاً یتمّها قبله،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أنّ غیره یتمّ الصلاة قبله لا یجوز له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ینوی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بإتمام الغیر قبله یشکل قصد الوجوب، فالمتعیّن احتیاطاً أن یأتی بها رجاءً مطلقاً، ولایقصد الوجوب والاستحباب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علم أنّ الغیر یتمّ الصلاة قبله لا یجوز له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أحرز أنّه یتمّ قبله لم یجز له ذلک، بل ینوی الاستحباب أو القربة المطلقة، وهکذا الحال فی المتقدّم شروعاً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أتمّ</w:t>
      </w:r>
      <w:bookmarkStart w:id="79" w:name="pg13276_136520"/>
    </w:p>
    <w:p>
      <w:pPr>
        <w:pStyle w:val="BookText"/>
        <w:rPr/>
      </w:pPr>
      <w:bookmarkEnd w:id="79"/>
      <w:r>
        <w:rPr>
          <w:rFonts w:ascii="IRNazanin" w:hAnsi="IRNazanin" w:eastAsia="IRNazanin"/>
          <w:color w:val="111111"/>
          <w:sz w:val="28"/>
          <w:sz w:val="28"/>
          <w:szCs w:val="28"/>
          <w:rtl w:val="true"/>
          <w:lang w:bidi="fa-IR"/>
        </w:rPr>
        <w:t>الأوّل یسقط الوجوب عن الثانی فیتمّها بنیّة الاستحباب</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763594_2322387425"/>
      <w:bookmarkStart w:id="81" w:name="_Toc30"/>
      <w:bookmarkEnd w:id="80"/>
      <w:r>
        <w:rPr>
          <w:rtl w:val="true"/>
        </w:rPr>
        <w:t>الظنّ بمباشرة الغیر</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بمباشرة الغیر لا یسقط</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حصل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المبادرة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حصول الاطمئنان من القرائن؛ لکون المیّت بین أهله أو بین المؤمنین الذین یهتمّون بأمر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الشکّ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763596_2322387425"/>
      <w:bookmarkStart w:id="83" w:name="_Toc31"/>
      <w:bookmarkEnd w:id="82"/>
      <w:r>
        <w:rPr>
          <w:rtl w:val="true"/>
        </w:rPr>
        <w:t>العلم بصدور الفعل عن الغیر والشک فی صحته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صدور الفعل عن غیره سقط عنه التکلیف ما لم یعلم بطلانه وإن شکّ فی الصحّة، بل وإن ظنّ البطلان</w:t>
      </w:r>
      <w:r>
        <w:rPr>
          <w:rStyle w:val="FootnoteAnchor"/>
          <w:rtl w:val="true"/>
        </w:rPr>
        <w:footnoteReference w:id="88"/>
      </w:r>
      <w:r>
        <w:rPr>
          <w:rFonts w:ascii="IRNazanin" w:hAnsi="IRNazanin" w:eastAsia="IRNazanin"/>
          <w:color w:val="111111"/>
          <w:sz w:val="28"/>
          <w:sz w:val="28"/>
          <w:szCs w:val="28"/>
          <w:rtl w:val="true"/>
          <w:lang w:bidi="fa-IR"/>
        </w:rPr>
        <w:t>فیحمل فعله علی الصحّة، سواء کان ذلک الغیر عادلاً أو فاسقاً</w:t>
      </w:r>
      <w:r>
        <w:rPr>
          <w:rFonts w:eastAsia="IRNazanin" w:cs="IRNazanin"/>
          <w:color w:val="111111"/>
          <w:sz w:val="28"/>
          <w:szCs w:val="28"/>
          <w:rtl w:val="true"/>
          <w:lang w:bidi="fa-IR"/>
        </w:rPr>
        <w:t>.</w:t>
      </w:r>
    </w:p>
    <w:p>
      <w:pPr>
        <w:pStyle w:val="Heading3"/>
        <w:numPr>
          <w:ilvl w:val="2"/>
          <w:numId w:val="1"/>
        </w:numPr>
        <w:rPr/>
      </w:pPr>
      <w:bookmarkStart w:id="84" w:name="__RefHeading___Toc1763598_2322387425"/>
      <w:bookmarkStart w:id="85" w:name="_Toc32"/>
      <w:bookmarkEnd w:id="84"/>
      <w:r>
        <w:rPr>
          <w:rtl w:val="true"/>
        </w:rPr>
        <w:t>الکلام فی تجهیر الصبی الممیّز وکفایته عن البالغین</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یکن من تجهیز المیّت مشروطاً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کالتوجیه إلی القبلة والتکفین والدفن یکفی</w:t>
      </w:r>
      <w:r>
        <w:rPr>
          <w:rStyle w:val="FootnoteAnchor"/>
          <w:rtl w:val="true"/>
        </w:rPr>
        <w:footnoteReference w:id="89"/>
      </w:r>
      <w:r>
        <w:rPr>
          <w:rFonts w:ascii="IRNazanin" w:hAnsi="IRNazanin" w:eastAsia="IRNazanin"/>
          <w:color w:val="111111"/>
          <w:sz w:val="28"/>
          <w:sz w:val="28"/>
          <w:szCs w:val="28"/>
          <w:rtl w:val="true"/>
          <w:lang w:bidi="fa-IR"/>
        </w:rPr>
        <w:t>صدوره من کلّ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البالغ العاقل أو الصبیّ أو المجنون، وکلّ ما یشترط فیه قصد القربة کالتغسیل والصلاة یجب صدوره من البالغ العاقل، فلا یکفی صلاة الصبیّ علیه إن قلنا بعدم صحّة صلاته، بل وإن قلنا بصحّتها</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الکلام فی عبادة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الأقوی</w:t>
      </w:r>
      <w:bookmarkStart w:id="86" w:name="pg13276_136521"/>
    </w:p>
    <w:p>
      <w:pPr>
        <w:pStyle w:val="BookText"/>
        <w:rPr/>
      </w:pPr>
      <w:bookmarkEnd w:id="86"/>
      <w:r>
        <w:rPr>
          <w:rFonts w:ascii="IRNazanin" w:hAnsi="IRNazanin" w:eastAsia="IRNazanin"/>
          <w:color w:val="111111"/>
          <w:sz w:val="28"/>
          <w:sz w:val="28"/>
          <w:szCs w:val="28"/>
          <w:rtl w:val="true"/>
          <w:lang w:bidi="fa-IR"/>
        </w:rPr>
        <w:t>علی الأحوط</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إذا علمنا بوقوعها منه صحیحة جامعة لجمیع الشرائط لا یبعد کفایتها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مع ذلک 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1763600_2322387425"/>
      <w:bookmarkStart w:id="88" w:name="_Toc33"/>
      <w:bookmarkEnd w:id="87"/>
      <w:r>
        <w:rPr>
          <w:rtl w:val="true"/>
        </w:rPr>
        <w:t>فصل</w:t>
      </w:r>
      <w:r>
        <w:rPr>
          <w:rtl w:val="true"/>
        </w:rPr>
        <w:t xml:space="preserve">: </w:t>
      </w:r>
      <w:r>
        <w:rPr>
          <w:rtl w:val="true"/>
        </w:rPr>
        <w:t>فی مراتب الأولیاء</w:t>
      </w:r>
      <w:bookmarkEnd w:id="88"/>
    </w:p>
    <w:p>
      <w:pPr>
        <w:pStyle w:val="Heading3"/>
        <w:numPr>
          <w:ilvl w:val="2"/>
          <w:numId w:val="1"/>
        </w:numPr>
        <w:rPr/>
      </w:pPr>
      <w:bookmarkStart w:id="89" w:name="__RefHeading___Toc1763602_2322387425"/>
      <w:bookmarkStart w:id="90" w:name="_Toc34"/>
      <w:bookmarkEnd w:id="89"/>
      <w:r>
        <w:rPr>
          <w:rtl w:val="true"/>
        </w:rPr>
        <w:t>الزوج أولی بزوجته والمالک أولی بممولکه</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أولی</w:t>
      </w:r>
      <w:r>
        <w:rPr>
          <w:rStyle w:val="FootnoteAnchor"/>
          <w:rtl w:val="true"/>
        </w:rPr>
        <w:footnoteReference w:id="92"/>
      </w:r>
      <w:r>
        <w:rPr>
          <w:rFonts w:ascii="IRNazanin" w:hAnsi="IRNazanin" w:eastAsia="IRNazanin"/>
          <w:color w:val="111111"/>
          <w:sz w:val="28"/>
          <w:sz w:val="28"/>
          <w:szCs w:val="28"/>
          <w:rtl w:val="true"/>
          <w:lang w:bidi="fa-IR"/>
        </w:rPr>
        <w:t>بزوجته من جمیع أقاربها، حرّةً کانت أم أمة</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الأمة إشکال، بل الظاهر ولایة سیّدها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دائمة أم منقطعة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مع قصر مدّة الانقطاع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المنقطعة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الحاجة إلی الاستئذان عن غیر زوجها، و هی زوجة یترتب علیها ما یترتّب علی غیرها من الأحکام،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کالتوارث ووجوب النفقة و حقّ 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مع قصر مدّتها أو انتهت قبل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الاستئذان</w:t>
      </w:r>
    </w:p>
    <w:p>
      <w:pPr>
        <w:pStyle w:val="BookText"/>
        <w:rPr/>
      </w:pPr>
      <w:r>
        <w:rPr>
          <w:rFonts w:ascii="IRNazanin" w:hAnsi="IRNazanin" w:eastAsia="IRNazanin"/>
          <w:color w:val="111111"/>
          <w:sz w:val="28"/>
          <w:sz w:val="28"/>
          <w:szCs w:val="28"/>
          <w:rtl w:val="true"/>
          <w:lang w:bidi="fa-IR"/>
        </w:rPr>
        <w:t>من المرتبة اللاحقة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الزوج المالک</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المالک علی سائر الطبقات وإن کان هو الأظهر، لکن لایخلو من إشکال، فیعمل بما یقتضیه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بعبده أو أمته من کلّ أحد، وإذا کان متعدّداً اشترکوا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المالک طبقات الأرحام بترتیب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فالطبقة الاُولی وهم الأبوان والأولاد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مقدّمون علی الثانیة وهم الإخوة والأجداد، والثانیة مقدّمون علی الثالثة وهم الأعمام والأخوال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الأرحام المولی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المعتِق، ثمّ ضامن الجریرة، ثمّ الحاکم الشرعی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ثبوت الولایة له ولعدول الموءمنین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الولایة له غیر ثابت، وکذا لعدول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لإطلاق الدلیل الدالّ علی ولایته، سواء کان الموردان من موارد المال أم الحق أو لا؛ فإنّه ولیّ مَن لا ولیّ له، فإذا لم یتیَسّر الحاکم الشرعی فلا یبعد ثبوت الولایة لعدول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والظاهر عدم الولایة للعدول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الولایة له ولمن بعده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عدول الموءمنین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ولایتهم واعتبار إذنهم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ولایتهم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ولایتهم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یستأنس لولایتهم ببعض الأخبار، فلایُترک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ولایة الحاکم، إلاّ أنّ الاستئذان منه مهما أمکن أحوط، وأمّا عدول المؤمنین فلا ولایة لهم ولااستئذان منهم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ولایة لهم علی الأقوی، وفی ثبوت الولایة للحاکم إشکال، وإن کان الأحوط مراجعته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لایعتبر إذنهم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لادلیل علی ولایتهم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ولایتهم، ولا یعتبر إذنهم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الولایة لهم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لاتبعد کفایة الثقة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ثبوت الولایة لهم، فلا یعتبر إذنهم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3276_136523"/>
    </w:p>
    <w:p>
      <w:pPr>
        <w:pStyle w:val="Heading3"/>
        <w:numPr>
          <w:ilvl w:val="2"/>
          <w:numId w:val="1"/>
        </w:numPr>
        <w:rPr/>
      </w:pPr>
      <w:bookmarkStart w:id="92" w:name="__RefHeading___Toc1763604_2322387425"/>
      <w:bookmarkStart w:id="93" w:name="_Toc35"/>
      <w:bookmarkEnd w:id="91"/>
      <w:bookmarkEnd w:id="92"/>
      <w:r>
        <w:rPr>
          <w:rtl w:val="true"/>
        </w:rPr>
        <w:t>بعض المرحجات فی الأولویة وفروعها</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طبقةٍ</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الاحوط الاستئذان من الجمیع حسب مراتب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جملة ممّا ذکر فی هذه المسألة نظر وتأمّل، فلا بدّ من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اختلاف فی البین من جهة الإذن وعدمه فالأحوط الاستئذان ممّن هو وارث فعلاً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الذکور، وإن لا یخلو من وجه، لکنّ الاحتیاط لاینبغی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مزاحمة من فی طبقتهم من الورثة لهم، وإلاّ فالأحوط اعتبار رضا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الإناث</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اشتراک الإناث مع الذکور فی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الذکور المتقربون بالاُمّ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الاستئذان من جمیع مَن هو وارث بالفعل، وممّا ذکرنا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تقدّمهم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والبالغون علی 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ثبوت الولایة لغیر البالغ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مَتَّ إلی المیّت</w:t>
      </w:r>
      <w:r>
        <w:rPr>
          <w:rStyle w:val="FootnoteAnchor"/>
          <w:rtl w:val="true"/>
        </w:rPr>
        <w:footnoteReference w:id="97"/>
      </w:r>
      <w:r>
        <w:rPr>
          <w:rFonts w:ascii="Amiri" w:hAnsi="Amiri" w:eastAsia="Amiri" w:cs="Amiri"/>
          <w:color w:val="111111"/>
          <w:sz w:val="28"/>
          <w:sz w:val="28"/>
          <w:szCs w:val="28"/>
          <w:rtl w:val="true"/>
          <w:lang w:bidi="ar-SA"/>
        </w:rPr>
        <w:t>بالأب والاُمّ أولی ممّـن مَتّ بأحدهما</w:t>
      </w:r>
      <w:r>
        <w:rPr>
          <w:rStyle w:val="FootnoteAnchor"/>
          <w:rtl w:val="true"/>
        </w:rPr>
        <w:footnoteReference w:id="98"/>
      </w:r>
      <w:r>
        <w:rPr>
          <w:rFonts w:ascii="IRNazanin" w:hAnsi="IRNazanin" w:eastAsia="IRNazanin"/>
          <w:color w:val="111111"/>
          <w:sz w:val="28"/>
          <w:sz w:val="28"/>
          <w:szCs w:val="28"/>
          <w:rtl w:val="true"/>
          <w:lang w:bidi="fa-IR"/>
        </w:rPr>
        <w:t>، ومن انتسب إلیه بالأب أولی ممّن انتسب إلیه بالاُمّ، وفی الطبقة الاُولی الأب مقدّم علی الاُمّ</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الأب علی الأولاد لادلیل علیه، وکذا تقدّم الجَدّ علی الإخوة فی الطبقة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تقدیم الأب فی الطبقة الاُولی علی الأولاد، والجدّ علی الأخ، والأخ من الأبوین علی الأخ من أحدهما، والأخ من الأب علی الأخ من الاُمّ، والعمّ علی الخال تأمّل وإشکال، فلا یُترک الاحتیاط بالاستئذان من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وهم</w:t>
      </w:r>
    </w:p>
    <w:p>
      <w:pPr>
        <w:pStyle w:val="BookText"/>
        <w:rPr/>
      </w:pPr>
      <w:r>
        <w:rPr>
          <w:rFonts w:ascii="IRNazanin" w:hAnsi="IRNazanin" w:eastAsia="IRNazanin"/>
          <w:color w:val="111111"/>
          <w:sz w:val="28"/>
          <w:sz w:val="28"/>
          <w:szCs w:val="28"/>
          <w:rtl w:val="true"/>
          <w:lang w:bidi="fa-IR"/>
        </w:rPr>
        <w:t>مقدّمون علی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الطبقة الثانیة الجَدّ</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تقدّم الجَدّ علی الإخوة، ویمنع تقدیم العمّ علی الخال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الإخوة، وهم مقدّمون علی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الطبقة الثالثة العمّ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مقدّم علی الخال، وهما علی أولادهما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طبقةٍ ذکورٌ فالولایة للإناث</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عدم تقدّم الذکور علی الإناث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لم یکونوا بالغین أو کانوا غائبین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لایتیسّر إعلامهم وتصدّیهم بأحد الوجهین المتقدمین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کانوا غائبین،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کانوا غائبین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الاستئذان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لاحاجة إلی استئذان الحاکم عن غیر البالغین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الحاکم</w:t>
      </w:r>
      <w:r>
        <w:rPr>
          <w:rStyle w:val="FootnoteAnchor"/>
          <w:rtl w:val="true"/>
        </w:rPr>
        <w:footnoteReference w:id="102"/>
      </w:r>
      <w:r>
        <w:rPr>
          <w:rFonts w:ascii="IRNazanin" w:hAnsi="IRNazanin" w:eastAsia="IRNazanin"/>
          <w:color w:val="111111"/>
          <w:sz w:val="28"/>
          <w:sz w:val="28"/>
          <w:szCs w:val="28"/>
          <w:rtl w:val="true"/>
          <w:lang w:bidi="fa-IR"/>
        </w:rPr>
        <w:t>أیضاً فی صورة کون الذکور غیر بالغین أو غائبین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للمیّت اُمّ وأولاد ذکور فالاُمّ أولی</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تقدیم الاُمّ نظر، وکذا فی الجَدّة فی الطبقة اللاحقة، کما یأتی فی آخر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دلیل علی أولویة الاُمّ، بل ظاهر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الذکور فی کلّ طبقة مقدّمون علی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خلاف هذا، وکونها أمسّ رحماً من الأولاد غیر معلوم، فالاحتیاط بالاستئذان من الأولاد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یمنع تقدیم الاُمّ علی الأولاد، سواء کانوا ذکوراً أم إناثاً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تقدیم الاُمّ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الأولویة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البروجردی، الحکیم، أحمد الخونساری، عبداللّه الشیرازی، الخوئی،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 مفتی الشیعة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 إذا کانوا کباراً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إذا کانوا کباراً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مع کبرهم ومزاحمتهم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الاستئذان من الأولاد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بعض المراتب إلاّ الصبیّ أو المجنون أو الغائب فالأحوط</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الغائب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الغائب،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استئذان ولیّ القاصر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الأظهر سقوط الولایة، وجواز التصدّی لِکلِّ شخصٍ بلا توقّفٍ علی إذن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إذن الحاکم والمرتبة المتأخّرة، لکنّ انتقال الولایة إلی المرتبة المتأخّرة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لاقوّة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وقد مرّ التفصیل فی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کان للصبیّ ولیّ فالأحوط الاستئذان منه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أهل مرتبة واحدة متعدّدین یشترکون فی الولایة</w:t>
      </w:r>
      <w:r>
        <w:rPr>
          <w:rStyle w:val="FootnoteAnchor"/>
          <w:rtl w:val="true"/>
        </w:rPr>
        <w:footnoteReference w:id="105"/>
      </w:r>
      <w:r>
        <w:rPr>
          <w:rFonts w:ascii="IRNazanin" w:hAnsi="IRNazanin" w:eastAsia="IRNazanin"/>
          <w:color w:val="111111"/>
          <w:sz w:val="28"/>
          <w:sz w:val="28"/>
          <w:szCs w:val="28"/>
          <w:rtl w:val="true"/>
          <w:lang w:bidi="fa-IR"/>
        </w:rPr>
        <w:t>فلابدّ من إذن الجمیع</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إذن أحدهم لاستقلال کلّ واحدٍ منهم فی الولایة لایخلو من قوّة، نعم، فی الأولاد الذکور أکبرهم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إذن البعض إذا لم یمنع 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إذن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ویحتمل</w:t>
      </w:r>
      <w:bookmarkStart w:id="94" w:name="pg13276_136528"/>
    </w:p>
    <w:p>
      <w:pPr>
        <w:pStyle w:val="BookText"/>
        <w:rPr/>
      </w:pPr>
      <w:bookmarkEnd w:id="94"/>
      <w:r>
        <w:rPr>
          <w:rFonts w:ascii="Amiri" w:hAnsi="Amiri" w:eastAsia="Amiri" w:cs="Amiri"/>
          <w:color w:val="111111"/>
          <w:sz w:val="28"/>
          <w:sz w:val="28"/>
          <w:szCs w:val="28"/>
          <w:rtl w:val="true"/>
          <w:lang w:bidi="ar-SA"/>
        </w:rPr>
        <w:t>تقدّم الأسنّ</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بإذنه فیما إذا لم یزاحمه غیره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ما لم یزاحمه أحد من طبقته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ضعیف مع مزاحمة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لاوجه لهذا الاحتمال، والتمسّک بوجوب القضاء علی أسنّ الأولاد قیاس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ینبغی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مع عدم مزاحمة غیره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احتمال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فی کمال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الذی منشؤه الاستحسان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فی غایة الضعف، خصوصاً مع مزاحمة غیره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763606_2322387425"/>
      <w:bookmarkStart w:id="96" w:name="_Toc36"/>
      <w:bookmarkEnd w:id="95"/>
      <w:r>
        <w:rPr>
          <w:rtl w:val="true"/>
        </w:rPr>
        <w:t>وصیّة المیت لغیر الولی</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فی تجهیزه إلی غیر الولیّ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نفوذها إلاّ بإجازة الولیّ، لکنّ الأقوی</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الأقوائیّة ممنوعة، والأحوط الاستئذان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صحّتها</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عدم نفوذها إلاّ بإجازة الولیّ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أدلة الولایة إنّما تدلّ علی أولویة الأقرب من القریب، لاعلی أولویته من المیّت نفسه، فلا یحتاج إلی إجازة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نفوذها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العمل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إذنهما 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وفروعها إشکال، فلا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قبول الوصیّة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حیاة الموصی، وأمّا بعد الموت فلابدّ له من العمل بالوصیّة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موارد وجوب قبول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وجـوب القبول، إلاّ إذا ردّ فی حیاة الموصی وبلغه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أوصی بمباشرة التجهیز من غیر الولی لم یجب علیه القبول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 صورة الوصیّة بالفعل بأن أوصی أن یباشر بتجهیزه شخص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کان الموصی حیّاً وبلغه الردّ، وإلاّ فلا 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قلنا بصحة الوصیّة فالظاهر أنّ حکمها کبقیة الموارد، فعدم الوجوب یتوقف علی الردّ فی حال الحیاة وبلوغ الردّ إلی الموصی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بمباشرة تجهیزه، وأمّا الوصیّة بتولّیه التجهیز فالأحوط قبولها مالم یکن حرجیّاً إلاّ إذا ردّها فی حیاة الموصی وبلغه الردّ وکان متمکّناً من الإیصاء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الغیر وإن</w:t>
      </w:r>
      <w:bookmarkStart w:id="97" w:name="pg13276_136530"/>
    </w:p>
    <w:p>
      <w:pPr>
        <w:pStyle w:val="BookText"/>
        <w:rPr/>
      </w:pPr>
      <w:bookmarkEnd w:id="97"/>
      <w:r>
        <w:rPr>
          <w:rFonts w:ascii="IRNazanin" w:hAnsi="IRNazanin" w:eastAsia="IRNazanin"/>
          <w:color w:val="111111"/>
          <w:sz w:val="28"/>
          <w:sz w:val="28"/>
          <w:szCs w:val="28"/>
          <w:rtl w:val="true"/>
          <w:lang w:bidi="fa-IR"/>
        </w:rPr>
        <w:t>کان أحوط</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الولیّ عن إذنه فی أثناء العمل لایجوز للمأذون الإتمام، وکذا إذا تبدّل الولیّ بأن صار غیر البالغ بالغاً أو الغائب حاضراً أو جُنّ الولیّ</w:t>
      </w:r>
      <w:r>
        <w:rPr>
          <w:rStyle w:val="FootnoteAnchor"/>
          <w:rtl w:val="true"/>
        </w:rPr>
        <w:footnoteReference w:id="111"/>
      </w:r>
      <w:r>
        <w:rPr>
          <w:rFonts w:ascii="IRNazanin" w:hAnsi="IRNazanin" w:eastAsia="IRNazanin"/>
          <w:color w:val="111111"/>
          <w:sz w:val="28"/>
          <w:sz w:val="28"/>
          <w:szCs w:val="28"/>
          <w:rtl w:val="true"/>
          <w:lang w:bidi="fa-IR"/>
        </w:rPr>
        <w:t>أو مات فانتقلت الولایة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الغائب، أو بلغ الصبیّ، أو أفاق المجنون بعد تمام العمل من الغسل أو الصلاة مثلاً لیس له الإلزام</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الأحوط علیه الإلزام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بالإعادة</w:t>
      </w:r>
      <w:r>
        <w:rPr>
          <w:rFonts w:eastAsia="IRNazanin" w:cs="IRNazanin"/>
          <w:color w:val="111111"/>
          <w:sz w:val="28"/>
          <w:szCs w:val="28"/>
          <w:rtl w:val="true"/>
          <w:lang w:bidi="fa-IR"/>
        </w:rPr>
        <w:t>.</w:t>
      </w:r>
    </w:p>
    <w:p>
      <w:pPr>
        <w:pStyle w:val="Heading3"/>
        <w:numPr>
          <w:ilvl w:val="2"/>
          <w:numId w:val="1"/>
        </w:numPr>
        <w:rPr/>
      </w:pPr>
      <w:bookmarkStart w:id="98" w:name="__RefHeading___Toc1763608_2322387425"/>
      <w:bookmarkStart w:id="99" w:name="_Toc37"/>
      <w:bookmarkEnd w:id="98"/>
      <w:r>
        <w:rPr>
          <w:rtl w:val="true"/>
        </w:rPr>
        <w:t>دعوی الولایة علی المیّت</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شخص کونه ولیّاً أو مأذوناً من قبله أو وصیّاً فالظاهر جواز الاکتفاء بقوله</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مدّعی الولایة بالعمل المشروط بالإذن أمکن حمله علی الصحة فیسقط عن الباقین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حصل الاطمئنان بصدقه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 زائداً علیه، أو حصل الاطمئنان بصدقه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المیّت فی تصرّفه، أو حصل الاطمئنان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هناک ظاهر یدلّ علی دعواه،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 بصدقه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 بصدقه فی دعواه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یلی أمر المیّت ویصدّقه ظاهر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قبول دعوی المدّعی الذی هو بلا معارض، ثمّ علی تقدیر المعارض و عدم وجود البینّة لاوجه للاحتیاط، خصوصاً فی صورة ادعاء الإذن، ووجهه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الاطمئنان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نعم إذا کان المیّت فی یده قُبل 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حصل الاطمئنان بقوله أو کون المیّت فی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المیت فی یده، أو کانت قرنیة تدلّ علی صدقه، وإلاّ فلا یکتفی بقوله، نعم، إذا غسّل المیّت هو أو کفنّه أو صلّی علیه حُمِل فعله علی الصحة وسقط عن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المیّت فی تصرفه،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یکون بیده الأمر ظاهراً،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المیّت تحت یده، أو حصل الاطمئنان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الاطمئنان بصدقه، أو کان بمنزلة ذو الید بالنسبة إلی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تثبت الولایة أو الإذن لمن کان متولّیاً لاُموره بحیث یُعدّ ذا الید علیه عرفاً، وکذا لمن أقرّ له بذلک مالم ینفِهِ عن نفسه، ولایتوقف فی الموردین علی الادعاء، کما لاعبرة بقول المعارض مالم یثبته بطریق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یعارضه</w:t>
      </w:r>
    </w:p>
    <w:p>
      <w:pPr>
        <w:pStyle w:val="BookText"/>
        <w:rPr/>
      </w:pPr>
      <w:r>
        <w:rPr>
          <w:rFonts w:ascii="IRNazanin" w:hAnsi="IRNazanin" w:eastAsia="IRNazanin"/>
          <w:color w:val="111111"/>
          <w:sz w:val="28"/>
          <w:sz w:val="28"/>
          <w:szCs w:val="28"/>
          <w:rtl w:val="true"/>
          <w:lang w:bidi="fa-IR"/>
        </w:rPr>
        <w:t>غیره</w:t>
      </w:r>
      <w:r>
        <w:rPr>
          <w:rStyle w:val="FootnoteAnchor"/>
          <w:rtl w:val="true"/>
        </w:rPr>
        <w:footnoteReference w:id="114"/>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احتاج إلی البیّنة، ومع عدمها لابدّ </w:t>
      </w:r>
      <w:bookmarkStart w:id="100" w:name="pg13276_136532"/>
    </w:p>
    <w:p>
      <w:pPr>
        <w:pStyle w:val="BookText"/>
        <w:rPr/>
      </w:pPr>
      <w:bookmarkEnd w:id="100"/>
      <w:r>
        <w:rPr>
          <w:rFonts w:ascii="IRNazanin" w:hAnsi="IRNazanin" w:eastAsia="IRNazanin"/>
          <w:color w:val="111111"/>
          <w:sz w:val="28"/>
          <w:sz w:val="28"/>
          <w:szCs w:val="28"/>
          <w:rtl w:val="true"/>
          <w:lang w:bidi="fa-IR"/>
        </w:rPr>
        <w:t>من الاحتیاط</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763610_2322387425"/>
      <w:bookmarkStart w:id="102" w:name="_Toc38"/>
      <w:bookmarkEnd w:id="101"/>
      <w:r>
        <w:rPr>
          <w:rtl w:val="true"/>
        </w:rPr>
        <w:t>إذا غسّل المیّت أو صلّی علیه عن إجبار</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أکرَهَ الولیّ أو غیرُه</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یعتبر فیها إذن الولیّ فیما إذا کان المکرِه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رضا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إذن الولیّ بناءً علی شرطیته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إذنه من الولیّ لو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بإذن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المأمور من قبل الولیّ إن کان، والتعلیل الآتی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المأذون من قبل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شخصاً علی التغسیل أو الصلاة</w:t>
      </w:r>
    </w:p>
    <w:p>
      <w:pPr>
        <w:pStyle w:val="BookText"/>
        <w:rPr/>
      </w:pPr>
      <w:r>
        <w:rPr>
          <w:rFonts w:ascii="IRNazanin" w:hAnsi="IRNazanin" w:eastAsia="IRNazanin"/>
          <w:color w:val="111111"/>
          <w:sz w:val="28"/>
          <w:sz w:val="28"/>
          <w:szCs w:val="28"/>
          <w:rtl w:val="true"/>
          <w:lang w:bidi="fa-IR"/>
        </w:rPr>
        <w:t>علی المیّت فالظاهر صحّة العمل</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الولیّ هو المکرِه أو المکرَه، وإلاّ ففی الصحّة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إذن الولیّ فیما إذا کان المکره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أذن الولیّ لو کان المکره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فی صحة عمله ـ إذا کان المکره غیر الولیّ ـ إذن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حصل منه قصد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کیف یحصل منه قصد القربة مع فرض تحقق الإکراه؟ ولو کان الأمر الشرعی داعیاً علی العمل فلا یکون إکراه الغیر سبباً وداعیاً فعلاً، فصدق الإکراه مع حصول القربة متنافیان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لایعقل اجتماع قصده مع الإکراه، إلاّ أن تطرأ علیه الغفلة حین الشروع فی الفعل وکان غیر متوجّه إلی أمر المکرِه، وفیه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الشأن فی إمکان تحقّق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تحقّقها مع الإکراه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w:t>
      </w:r>
    </w:p>
    <w:p>
      <w:pPr>
        <w:pStyle w:val="BookText"/>
        <w:rPr/>
      </w:pPr>
      <w:r>
        <w:rPr>
          <w:rFonts w:ascii="Amiri" w:hAnsi="Amiri" w:eastAsia="Amiri" w:cs="Amiri"/>
          <w:color w:val="111111"/>
          <w:sz w:val="28"/>
          <w:sz w:val="28"/>
          <w:szCs w:val="28"/>
          <w:rtl w:val="true"/>
          <w:lang w:bidi="ar-SA"/>
        </w:rPr>
        <w:t>أیضاً مکلّف کالمکره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مقتضی الاحتیاط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الأولیاء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بعضها، والأحوط فی الجدّة والأخ إذنهما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تقدّم بعضهم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یراجع فیه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ولایبعد ولایة مجموع الورثة فی طبقة واحدة، إلاّ فی الزوج فهو وحده ولیّ، و الزوجة فلا ولایة لها، وعدول المؤمنین فیکفی الثقة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هذا الترتیب إشکالُ تقدّمِ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المنع فی بعض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ملاحظة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الحال فی بعضه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مقدّم علی غیره، ثمّ المالک، ثمّ الأب، ثمّ الاُمّ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الاُمّ علی الذکور من الأولاد محلّ نظر، ولایبعد التساوی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الاُمّ علی الذکور من الأولاد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قوّة لزوم الاستئذان من الأولاد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تقدّمها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الاحتیاط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تقدّم الاُمّ علی الذکور من الأولاد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الترتیب المذکور بعد الأب محلّ تأمّل، فلا یُترک الاحتیاط بالاستئذان من المجتمعین فی طبقة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یزاحمها غیرها ممّن یکون فی طبقتها، ویجزی إذن واحد من المتعدّدین فی الطبقة الواحدة مع عدم مزاحمة البقیة، وأمّا معها فالأحوط الاستئذان من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الأمّ علی ذکور الأولاد محلّ نظر،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الذکور</w:t>
      </w:r>
      <w:r>
        <w:rPr>
          <w:rStyle w:val="FootnoteAnchor"/>
          <w:rtl w:val="true"/>
        </w:rPr>
        <w:footnoteReference w:id="119"/>
      </w:r>
      <w:r>
        <w:rPr>
          <w:rFonts w:ascii="Amiri" w:hAnsi="Amiri" w:eastAsia="Amiri" w:cs="Amiri"/>
          <w:color w:val="111111"/>
          <w:sz w:val="28"/>
          <w:sz w:val="28"/>
          <w:szCs w:val="28"/>
          <w:rtl w:val="true"/>
          <w:lang w:bidi="ar-SA"/>
        </w:rPr>
        <w:t>من الأولاد البالغین، ثمّ الإناث البالغات، ثمّ أولاد الأولاد، ثمّ الجَدّ، ثمّ الجدّة، ثمّ الأخ</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تقدّم الجَدّة علی الأخ إشکال، بل لا یبعد تقدّمه علیها، وقد تقدّم المنع فی بعض ما ذکر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الاُخت، ثمّ أولادهما، ثمّ الأعمام، ثمّ الأخوال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أولادهما، ثمّ المولی المعتق، ثمّ ضامن الجریرة، ثمّ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عدول الموءمنین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ولایتهم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3276_136535"/>
    </w:p>
    <w:p>
      <w:pPr>
        <w:pStyle w:val="Heading2"/>
        <w:numPr>
          <w:ilvl w:val="1"/>
          <w:numId w:val="1"/>
        </w:numPr>
        <w:rPr/>
      </w:pPr>
      <w:bookmarkStart w:id="104" w:name="__RefHeading___Toc1763612_2322387425"/>
      <w:bookmarkStart w:id="105" w:name="_Toc39"/>
      <w:bookmarkEnd w:id="103"/>
      <w:bookmarkEnd w:id="104"/>
      <w:r>
        <w:rPr>
          <w:rtl w:val="true"/>
        </w:rPr>
        <w:t>فصل</w:t>
      </w:r>
      <w:r>
        <w:rPr>
          <w:rtl w:val="true"/>
        </w:rPr>
        <w:t xml:space="preserve">: </w:t>
      </w:r>
      <w:r>
        <w:rPr>
          <w:rtl w:val="true"/>
        </w:rPr>
        <w:t>فی تغسیل المیّت</w:t>
      </w:r>
      <w:bookmarkEnd w:id="105"/>
    </w:p>
    <w:p>
      <w:pPr>
        <w:pStyle w:val="Heading3"/>
        <w:numPr>
          <w:ilvl w:val="2"/>
          <w:numId w:val="1"/>
        </w:numPr>
        <w:rPr/>
      </w:pPr>
      <w:bookmarkStart w:id="106" w:name="__RefHeading___Toc1763614_2322387425"/>
      <w:bookmarkStart w:id="107" w:name="_Toc40"/>
      <w:bookmarkEnd w:id="106"/>
      <w:r>
        <w:rPr>
          <w:rtl w:val="true"/>
        </w:rPr>
        <w:t>وجوب تغسیل کلّ مسلم</w:t>
      </w:r>
      <w:bookmarkEnd w:id="107"/>
    </w:p>
    <w:p>
      <w:pPr>
        <w:pStyle w:val="Heading4"/>
        <w:numPr>
          <w:ilvl w:val="3"/>
          <w:numId w:val="1"/>
        </w:numPr>
        <w:rPr/>
      </w:pPr>
      <w:bookmarkStart w:id="108" w:name="__RefHeading___Toc1763616_2322387425"/>
      <w:bookmarkStart w:id="109" w:name="_Toc41"/>
      <w:bookmarkEnd w:id="108"/>
      <w:r>
        <w:rPr>
          <w:rtl w:val="true"/>
        </w:rPr>
        <w:t>کیفیة تغسیل المخالف</w:t>
      </w:r>
      <w:bookmarkEnd w:id="109"/>
    </w:p>
    <w:p>
      <w:pPr>
        <w:pStyle w:val="BookText"/>
        <w:rPr/>
      </w:pPr>
      <w:r>
        <w:rPr>
          <w:rFonts w:ascii="Amiri" w:hAnsi="Amiri" w:eastAsia="Amiri" w:cs="Amiri"/>
          <w:color w:val="111111"/>
          <w:sz w:val="28"/>
          <w:sz w:val="28"/>
          <w:szCs w:val="28"/>
          <w:rtl w:val="true"/>
          <w:lang w:bidi="ar-SA"/>
        </w:rPr>
        <w:t xml:space="preserve">یجب کفایةً </w:t>
      </w:r>
      <w:r>
        <w:rPr>
          <w:rStyle w:val="FootnoteAnchor"/>
          <w:rtl w:val="true"/>
        </w:rPr>
        <w:footnoteReference w:id="121"/>
      </w:r>
      <w:r>
        <w:rPr>
          <w:rFonts w:ascii="IRNazanin" w:hAnsi="IRNazanin" w:eastAsia="IRNazanin"/>
          <w:color w:val="111111"/>
          <w:sz w:val="28"/>
          <w:sz w:val="28"/>
          <w:szCs w:val="28"/>
          <w:rtl w:val="true"/>
          <w:lang w:bidi="fa-IR"/>
        </w:rPr>
        <w:t>تغسیل کلّ مسلم، سواء کان اثنی عشریّاً أو غیره</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أنّ الأحوط الجمع بین طریقتنا وطریقتهم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إذا غسّل غیر الاثنی عشری مثله علی طریقته سقط الوجوب عن الاثنی عشری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غسّله مشارِکُهُ فی المذهب علی طریقتهم سقط التکلیف 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وإذا غسّله أهل مذهبه علی طریقتهم سقط الوجوب بذلک، بل عدم الوجوب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غسّله مثله علی طریقته یسقط عن الاثنی عشری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تغسیل غیر الاثنی عشری، و علی فرض القول بالوجوب الأقوی سقوطه إذا غُسّل غسلهم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التعمیم أمر مسلّم، والتشکیک فی العموم غیر مرضیٍّ عند الفقهاء، ومنافٍ لسیرة المتشرّعة القطعیة المؤیدة بالأحادیث الصحیحة، ولو غسّل أهل السنّة والجماعة علی طبق مذهبهم سقط التکلیف، ولایجب علی الإمامی إعادته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بطریق المذهب</w:t>
      </w:r>
      <w:bookmarkStart w:id="110" w:name="pg13276_136536"/>
    </w:p>
    <w:p>
      <w:pPr>
        <w:pStyle w:val="BookText"/>
        <w:rPr/>
      </w:pPr>
      <w:bookmarkEnd w:id="110"/>
      <w:r>
        <w:rPr>
          <w:rFonts w:ascii="IRNazanin" w:hAnsi="IRNazanin" w:eastAsia="IRNazanin"/>
          <w:color w:val="111111"/>
          <w:sz w:val="28"/>
          <w:sz w:val="28"/>
          <w:szCs w:val="28"/>
          <w:rtl w:val="true"/>
          <w:lang w:bidi="fa-IR"/>
        </w:rPr>
        <w:t>الاثنی عشریّ</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غسّل المخالف مثله علی مذهبه یحکم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مورد التقیّة، ومعها یکفی طریقتهم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لو غسّلوا أمواتهم بطریق مذهبهم یسقط عنّا، وکذا سائر التجهیزات، وافقت مذهبنا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تغسیل المخالف لایبعد التخییر بین الطریقتین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الاثنی عشری إذا غسّل مثله علی طریقتة یسقط عن الاثنی عشری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763618_2322387425"/>
      <w:bookmarkStart w:id="112" w:name="_Toc42"/>
      <w:bookmarkEnd w:id="111"/>
      <w:r>
        <w:rPr>
          <w:rtl w:val="true"/>
        </w:rPr>
        <w:t>حرمة تجهیز الکافر وما اُلحق به</w:t>
      </w:r>
      <w:bookmarkEnd w:id="112"/>
    </w:p>
    <w:p>
      <w:pPr>
        <w:pStyle w:val="BookText"/>
        <w:rPr/>
      </w:pPr>
      <w:r>
        <w:rPr>
          <w:rFonts w:ascii="IRNazanin" w:hAnsi="IRNazanin" w:eastAsia="IRNazanin"/>
          <w:color w:val="111111"/>
          <w:sz w:val="28"/>
          <w:sz w:val="28"/>
          <w:szCs w:val="28"/>
          <w:rtl w:val="true"/>
          <w:lang w:bidi="fa-IR"/>
        </w:rPr>
        <w:t>ولا یجوز تغسیل الکافر</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تشریعاً، وأمّا ذاتاً ففیه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وتکفینه ودفنه بجمیع أقسامه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الکتابیّ، والمشرک، والحربیّ، والغالی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والناصبیّ، والخارجیّ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والمرتدّ</w:t>
      </w:r>
      <w:bookmarkStart w:id="113" w:name="pg13276_136537"/>
    </w:p>
    <w:p>
      <w:pPr>
        <w:pStyle w:val="BookText"/>
        <w:rPr/>
      </w:pPr>
      <w:bookmarkEnd w:id="113"/>
      <w:r>
        <w:rPr>
          <w:rFonts w:ascii="Amiri" w:hAnsi="Amiri" w:eastAsia="Amiri" w:cs="Amiri"/>
          <w:color w:val="111111"/>
          <w:sz w:val="28"/>
          <w:sz w:val="28"/>
          <w:szCs w:val="28"/>
          <w:rtl w:val="true"/>
          <w:lang w:bidi="ar-SA"/>
        </w:rPr>
        <w:t>الفطریّ</w:t>
      </w:r>
      <w:r>
        <w:rPr>
          <w:rStyle w:val="FootnoteAnchor"/>
          <w:rtl w:val="true"/>
        </w:rPr>
        <w:footnoteReference w:id="125"/>
      </w:r>
      <w:r>
        <w:rPr>
          <w:rFonts w:ascii="IRNazanin" w:hAnsi="IRNazanin" w:eastAsia="IRNazanin"/>
          <w:color w:val="111111"/>
          <w:sz w:val="28"/>
          <w:sz w:val="28"/>
          <w:szCs w:val="28"/>
          <w:rtl w:val="true"/>
          <w:lang w:bidi="fa-IR"/>
        </w:rPr>
        <w:t>، والملّیّ إذا مات بلا توبة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763620_2322387425"/>
      <w:bookmarkStart w:id="115" w:name="_Toc43"/>
      <w:bookmarkEnd w:id="114"/>
      <w:r>
        <w:rPr>
          <w:rtl w:val="true"/>
        </w:rPr>
        <w:t>حکم أطفال المسلمین وأطفال غیرهم</w:t>
      </w:r>
      <w:bookmarkEnd w:id="115"/>
    </w:p>
    <w:p>
      <w:pPr>
        <w:pStyle w:val="BookText"/>
        <w:rPr/>
      </w:pPr>
      <w:r>
        <w:rPr>
          <w:rFonts w:ascii="IRNazanin" w:hAnsi="IRNazanin" w:eastAsia="IRNazanin"/>
          <w:color w:val="111111"/>
          <w:sz w:val="28"/>
          <w:sz w:val="28"/>
          <w:szCs w:val="28"/>
          <w:rtl w:val="true"/>
          <w:lang w:bidi="fa-IR"/>
        </w:rPr>
        <w:t>وأطفال المسلمین بحکمهم</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الطفل ممیّزاً واختار الکفر أو الإسلام کان محکوماً به أصالةً، کما تقدّم فی المطهّرات، ومنه یظهر الحال فی بعض ما ذکره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وأطفال الکفّار بحکمهم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الزنا</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صغره و إلاّ فهو مستقلٌّ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صغره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دلیل نفی الولد یختصّ بباب الإرث، و لیس له إطلاق یشمل هذه الأحکام، فإطلاق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 إسلام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الجهاد،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إسلامه إسلام لنفسه وولده الصغار وهم 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بحکمه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فیغسّل ولا تُرَتب آثار الطهارة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الکافر بحکمه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والمجنون إن وصف الإسلام بعد بلوغه مسلم، وإن وصف الکفر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اتّصل جنونه بصغره فحکمه حکم الطفل فی لحوقه بأبیه أو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والطفل الأسیر</w:t>
      </w:r>
      <w:r>
        <w:rPr>
          <w:rStyle w:val="FootnoteAnchor"/>
          <w:rtl w:val="true"/>
        </w:rPr>
        <w:footnoteReference w:id="129"/>
      </w:r>
      <w:bookmarkStart w:id="116" w:name="pg13276_136538"/>
    </w:p>
    <w:p>
      <w:pPr>
        <w:pStyle w:val="BookText"/>
        <w:rPr/>
      </w:pPr>
      <w:bookmarkEnd w:id="116"/>
      <w:r>
        <w:rPr>
          <w:rFonts w:ascii="IRNazanin" w:hAnsi="IRNazanin" w:eastAsia="IRNazanin"/>
          <w:color w:val="111111"/>
          <w:sz w:val="28"/>
          <w:sz w:val="28"/>
          <w:szCs w:val="28"/>
          <w:rtl w:val="true"/>
          <w:lang w:bidi="fa-IR"/>
        </w:rPr>
        <w:t>تابع</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أحوطه ذلک، وأقواه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لقیط دارالکفر إن کان فیها مسلم احتُمِل تولّده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لا یُترک معه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 مفتی الشیعة،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لایخلو من تأمّل وإشکال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لقیط دار الکفر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لقیط دار الکفر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التبعیّة لا یخلو من قوّة، وإن کان الأحوط هاهنا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التبعیّة إشکال، ودعوی السیرة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کان الآسر مسلماً فیغسّل الطفل الأسیر إذا مات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لآسره إن لم یکن معه أبوه أو اُمّه، بل أو جدّه أو جَدّته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63622_2322387425"/>
      <w:bookmarkStart w:id="118" w:name="_Toc44"/>
      <w:bookmarkEnd w:id="117"/>
      <w:r>
        <w:rPr>
          <w:rtl w:val="true"/>
        </w:rPr>
        <w:t>تجهیز الأسیر واللّقیط والسقط</w:t>
      </w:r>
      <w:bookmarkEnd w:id="118"/>
    </w:p>
    <w:p>
      <w:pPr>
        <w:pStyle w:val="BookText"/>
        <w:rPr/>
      </w:pPr>
      <w:r>
        <w:rPr>
          <w:rFonts w:ascii="IRNazanin" w:hAnsi="IRNazanin" w:eastAsia="IRNazanin"/>
          <w:color w:val="111111"/>
          <w:sz w:val="28"/>
          <w:sz w:val="28"/>
          <w:szCs w:val="28"/>
          <w:rtl w:val="true"/>
          <w:lang w:bidi="fa-IR"/>
        </w:rPr>
        <w:t>ولقیط</w:t>
      </w:r>
      <w:r>
        <w:rPr>
          <w:rStyle w:val="FootnoteAnchor"/>
          <w:rtl w:val="true"/>
        </w:rPr>
        <w:footnoteReference w:id="131"/>
      </w:r>
      <w:r>
        <w:rPr>
          <w:rFonts w:ascii="IRNazanin" w:hAnsi="IRNazanin" w:eastAsia="IRNazanin"/>
          <w:color w:val="111111"/>
          <w:sz w:val="28"/>
          <w:sz w:val="28"/>
          <w:szCs w:val="28"/>
          <w:rtl w:val="true"/>
          <w:lang w:bidi="fa-IR"/>
        </w:rPr>
        <w:t>دار الاسلام بحکم المسلم</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لقیط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لعدم دلیل علی إسلامه، أو کونه تابعاً لهم بصرف احتمال تولّده من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لایکفی الاحتمال، نعم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لعدم الدلیل علیه، إلاّ توهّم السیرة وهی ممنوعة، نعم، هی ثابتة فی لقیط دار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الکفر</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الشریعتمداری، الخمینی، محمد رضا الگلپایگانی، السبزواری،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فیها مسلم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تولّده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وجوب تغسیل المسلم بین الصغیر والکبیر، حتّی السقط إذا تمّ له أربعة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استوت خلقته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تتمّ له إذا کان مستوی الخلقة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 تکفینه ودفنه علی المتعارف، لکن لا یجب الصلاة علیه، بل لا 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غسله إن لم تلجه الروح، وإلاّ فیکون مثل ما إذا تمّ له أربعة أشهر علی الأحوط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وإذا کان للسقط أقلّ من أربعة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یجب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یُلفّ فی خرقة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اللّف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اللّف بالخرقة والدفن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ویدفن</w:t>
      </w:r>
      <w:r>
        <w:rPr>
          <w:rFonts w:eastAsia="IRNazanin" w:cs="IRNazanin"/>
          <w:color w:val="111111"/>
          <w:sz w:val="28"/>
          <w:szCs w:val="28"/>
          <w:rtl w:val="true"/>
          <w:lang w:bidi="fa-IR"/>
        </w:rPr>
        <w:t>.</w:t>
      </w:r>
      <w:bookmarkStart w:id="119" w:name="pg13276_136540"/>
    </w:p>
    <w:p>
      <w:pPr>
        <w:pStyle w:val="Heading2"/>
        <w:numPr>
          <w:ilvl w:val="1"/>
          <w:numId w:val="1"/>
        </w:numPr>
        <w:rPr/>
      </w:pPr>
      <w:bookmarkStart w:id="120" w:name="__RefHeading___Toc1763624_2322387425"/>
      <w:bookmarkStart w:id="121" w:name="_Toc45"/>
      <w:bookmarkEnd w:id="119"/>
      <w:bookmarkEnd w:id="120"/>
      <w:r>
        <w:rPr>
          <w:rtl w:val="true"/>
        </w:rPr>
        <w:t>فصل</w:t>
      </w:r>
      <w:r>
        <w:rPr>
          <w:rtl w:val="true"/>
        </w:rPr>
        <w:t xml:space="preserve">: </w:t>
      </w:r>
      <w:r>
        <w:rPr>
          <w:rtl w:val="true"/>
        </w:rPr>
        <w:t>فی ما یتعلق بالنیّة فی تغسیل المیّت</w:t>
      </w:r>
      <w:bookmarkEnd w:id="121"/>
    </w:p>
    <w:p>
      <w:pPr>
        <w:pStyle w:val="Heading3"/>
        <w:numPr>
          <w:ilvl w:val="2"/>
          <w:numId w:val="1"/>
        </w:numPr>
        <w:rPr/>
      </w:pPr>
      <w:bookmarkStart w:id="122" w:name="__RefHeading___Toc1763626_2322387425"/>
      <w:bookmarkStart w:id="123" w:name="_Toc46"/>
      <w:bookmarkEnd w:id="122"/>
      <w:r>
        <w:rPr>
          <w:rtl w:val="true"/>
        </w:rPr>
        <w:t>وجوب قصد القربة فی غسل المیّت</w:t>
      </w:r>
      <w:bookmarkEnd w:id="123"/>
    </w:p>
    <w:p>
      <w:pPr>
        <w:pStyle w:val="BookText"/>
        <w:rPr/>
      </w:pPr>
      <w:r>
        <w:rPr>
          <w:rFonts w:ascii="IRNazanin" w:hAnsi="IRNazanin" w:eastAsia="IRNazanin"/>
          <w:color w:val="111111"/>
          <w:sz w:val="28"/>
          <w:sz w:val="28"/>
          <w:szCs w:val="28"/>
          <w:rtl w:val="true"/>
          <w:lang w:bidi="fa-IR"/>
        </w:rPr>
        <w:t>یجب فی الغسل نیّة القربة</w:t>
      </w:r>
      <w:r>
        <w:rPr>
          <w:rStyle w:val="FootnoteAnchor"/>
          <w:rtl w:val="true"/>
        </w:rPr>
        <w:footnoteReference w:id="134"/>
      </w:r>
      <w:r>
        <w:rPr>
          <w:rFonts w:ascii="IRNazanin" w:hAnsi="IRNazanin" w:eastAsia="IRNazanin"/>
          <w:color w:val="111111"/>
          <w:sz w:val="28"/>
          <w:sz w:val="28"/>
          <w:szCs w:val="28"/>
          <w:rtl w:val="true"/>
          <w:lang w:bidi="fa-IR"/>
        </w:rPr>
        <w:t>علی نحو ما مرّ فی الوضوء،</w:t>
      </w:r>
    </w:p>
    <w:p>
      <w:pPr>
        <w:pStyle w:val="Heading3"/>
        <w:numPr>
          <w:ilvl w:val="2"/>
          <w:numId w:val="1"/>
        </w:numPr>
        <w:rPr/>
      </w:pPr>
      <w:bookmarkStart w:id="124" w:name="__RefHeading___Toc1763628_2322387425"/>
      <w:bookmarkStart w:id="125" w:name="_Toc47"/>
      <w:bookmarkEnd w:id="124"/>
      <w:r>
        <w:rPr>
          <w:rtl w:val="true"/>
        </w:rPr>
        <w:t>کفایة نیة واحدة للأغسال الثلاثة</w:t>
      </w:r>
      <w:bookmarkEnd w:id="125"/>
    </w:p>
    <w:p>
      <w:pPr>
        <w:pStyle w:val="BookText"/>
        <w:rPr/>
      </w:pPr>
      <w:r>
        <w:rPr>
          <w:rFonts w:ascii="IRNazanin" w:hAnsi="IRNazanin" w:eastAsia="IRNazanin"/>
          <w:color w:val="111111"/>
          <w:sz w:val="28"/>
          <w:sz w:val="28"/>
          <w:szCs w:val="28"/>
          <w:rtl w:val="true"/>
          <w:lang w:bidi="fa-IR"/>
        </w:rPr>
        <w:t>والأقوی کفایة</w:t>
      </w:r>
      <w:r>
        <w:rPr>
          <w:rStyle w:val="FootnoteAnchor"/>
          <w:rtl w:val="true"/>
        </w:rPr>
        <w:footnoteReference w:id="135"/>
      </w:r>
      <w:r>
        <w:rPr>
          <w:rFonts w:ascii="Amiri" w:hAnsi="Amiri" w:eastAsia="Amiri" w:cs="Amiri"/>
          <w:color w:val="111111"/>
          <w:sz w:val="28"/>
          <w:sz w:val="28"/>
          <w:szCs w:val="28"/>
          <w:rtl w:val="true"/>
          <w:lang w:bidi="ar-SA"/>
        </w:rPr>
        <w:t>نیّة واحدة</w:t>
      </w:r>
      <w:r>
        <w:rPr>
          <w:rStyle w:val="FootnoteAnchor"/>
          <w:rtl w:val="true"/>
        </w:rPr>
        <w:footnoteReference w:id="136"/>
      </w:r>
      <w:r>
        <w:rPr>
          <w:rFonts w:ascii="IRNazanin" w:hAnsi="IRNazanin" w:eastAsia="IRNazanin"/>
          <w:color w:val="111111"/>
          <w:sz w:val="28"/>
          <w:sz w:val="28"/>
          <w:szCs w:val="28"/>
          <w:rtl w:val="true"/>
          <w:lang w:bidi="fa-IR"/>
        </w:rPr>
        <w:t>للأغسال الثلاثة، وإن کان الأحوط</w:t>
      </w:r>
      <w:r>
        <w:rPr>
          <w:rStyle w:val="FootnoteAnchor"/>
          <w:rtl w:val="true"/>
        </w:rPr>
        <w:footnoteReference w:id="137"/>
      </w:r>
      <w:r>
        <w:rPr>
          <w:rFonts w:ascii="IRNazanin" w:hAnsi="IRNazanin" w:eastAsia="IRNazanin"/>
          <w:color w:val="111111"/>
          <w:sz w:val="28"/>
          <w:sz w:val="28"/>
          <w:szCs w:val="28"/>
          <w:rtl w:val="true"/>
          <w:lang w:bidi="fa-IR"/>
        </w:rPr>
        <w:t>تجدیدها</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لکن بقصد القربة المطلقة من دون قصد الجزئیة وعدمها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النیّة بمعنی الداعی لا مجال لفرض التجدید إلاّ بمعنی تجدید الاستحضار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بأنّ النیّة هی الداعی لایتصور التجدید إلاّ برفع الید عن الغسل، ثم البناء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جدّاً، بل لایبعد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 بأن ینوی أوّلاً جمیعها، ثمّ عند کلِّ واحدٍ منها، والخطب هیّن، فإنّ النیّة هی الداعی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تجدیدها بمعنی الالتفات إلی کونها أغسالاً متعددة لها أثر واحد، و إلاّ فکفایة بقاء الداعی القربی لأعمال متعددة کنیّة صوم الشهر واضح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وقع لهذا الاحتیاط، بناءً علی ما هو الأقوی من أنّ النیّة هی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إن اعتبر الإخطار، و لکن قد مرّ أنّ الداعی کافٍ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لایتصور التجدید علی مسلک کون النیّة بمعنی الداعی، و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نیّة التکلیف الفعلّی الأعمّ من الاستقلال و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الداعی لاوجه للتجدید، و مع عدمه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النیّة عبارة عن الداعی فکل واحد من الأجزاء یصدر عن الداعی و یستند إلیه، فلا یحتاج إلی تجدیدها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126" w:name="pg13276_136541"/>
    </w:p>
    <w:p>
      <w:pPr>
        <w:pStyle w:val="BookText"/>
        <w:rPr/>
      </w:pPr>
      <w:bookmarkEnd w:id="126"/>
      <w:r>
        <w:rPr>
          <w:rFonts w:ascii="Amiri" w:hAnsi="Amiri" w:eastAsia="Amiri" w:cs="Amiri"/>
          <w:color w:val="111111"/>
          <w:sz w:val="28"/>
          <w:sz w:val="28"/>
          <w:szCs w:val="28"/>
          <w:rtl w:val="true"/>
          <w:lang w:bidi="ar-SA"/>
        </w:rPr>
        <w:t>عند کلّ غسل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763630_2322387425"/>
      <w:bookmarkStart w:id="128" w:name="_Toc48"/>
      <w:bookmarkEnd w:id="127"/>
      <w:r>
        <w:rPr>
          <w:rtl w:val="true"/>
        </w:rPr>
        <w:t>جواز تعدّد من یغسّل المیت</w:t>
      </w:r>
      <w:bookmarkEnd w:id="12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اشترک اثنان یجب علی کلٍّ منهما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أحدهما مُعیناً والآخر مغسّلاً وجب علی المغسّل النیّة، وإن کان الأحوط نیّة المُعِین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اتّحاد المغسّل، فیجوز توزیع الثلاثة علی ثلاثة، بل یجوز فی الغسل الواحد التوزیع مع مراعاة الترتیب، ویجب حینئذٍ النیّة علی کلٍّ منهم</w:t>
      </w:r>
      <w:r>
        <w:rPr>
          <w:rFonts w:eastAsia="IRNazanin" w:cs="IRNazanin"/>
          <w:color w:val="111111"/>
          <w:sz w:val="28"/>
          <w:szCs w:val="28"/>
          <w:rtl w:val="true"/>
          <w:lang w:bidi="fa-IR"/>
        </w:rPr>
        <w:t xml:space="preserve">. </w:t>
      </w:r>
      <w:bookmarkStart w:id="129" w:name="pg13276_136542"/>
    </w:p>
    <w:p>
      <w:pPr>
        <w:pStyle w:val="Heading2"/>
        <w:numPr>
          <w:ilvl w:val="1"/>
          <w:numId w:val="1"/>
        </w:numPr>
        <w:rPr/>
      </w:pPr>
      <w:bookmarkStart w:id="130" w:name="__RefHeading___Toc1763632_2322387425"/>
      <w:bookmarkStart w:id="131" w:name="_Toc49"/>
      <w:bookmarkEnd w:id="129"/>
      <w:bookmarkEnd w:id="130"/>
      <w:r>
        <w:rPr>
          <w:rtl w:val="true"/>
        </w:rPr>
        <w:t>فصل</w:t>
      </w:r>
      <w:r>
        <w:rPr>
          <w:rtl w:val="true"/>
        </w:rPr>
        <w:t xml:space="preserve">: </w:t>
      </w:r>
      <w:r>
        <w:rPr>
          <w:rtl w:val="true"/>
        </w:rPr>
        <w:t>فی اعتبار المماثلة بین المغسّل والمیّت</w:t>
      </w:r>
      <w:bookmarkEnd w:id="131"/>
    </w:p>
    <w:p>
      <w:pPr>
        <w:pStyle w:val="Heading3"/>
        <w:numPr>
          <w:ilvl w:val="2"/>
          <w:numId w:val="1"/>
        </w:numPr>
        <w:rPr/>
      </w:pPr>
      <w:bookmarkStart w:id="132" w:name="__RefHeading___Toc1763634_2322387425"/>
      <w:bookmarkStart w:id="133" w:name="_Toc50"/>
      <w:bookmarkEnd w:id="132"/>
      <w:r>
        <w:rPr>
          <w:rtl w:val="true"/>
        </w:rPr>
        <w:t>اعتبار المماثلة فی الذکوریة والاُنوثیة إلاّ فی موارد</w:t>
      </w:r>
      <w:bookmarkEnd w:id="133"/>
    </w:p>
    <w:p>
      <w:pPr>
        <w:pStyle w:val="BookText"/>
        <w:rPr/>
      </w:pPr>
      <w:r>
        <w:rPr>
          <w:rFonts w:ascii="IRNazanin" w:hAnsi="IRNazanin" w:eastAsia="IRNazanin"/>
          <w:color w:val="111111"/>
          <w:sz w:val="28"/>
          <w:sz w:val="28"/>
          <w:szCs w:val="28"/>
          <w:rtl w:val="true"/>
          <w:lang w:bidi="fa-IR"/>
        </w:rPr>
        <w:t>یجب المماثلة</w:t>
      </w:r>
      <w:r>
        <w:rPr>
          <w:rStyle w:val="FootnoteAnchor"/>
          <w:rtl w:val="true"/>
        </w:rPr>
        <w:footnoteReference w:id="139"/>
      </w:r>
      <w:r>
        <w:rPr>
          <w:rFonts w:ascii="IRNazanin" w:hAnsi="IRNazanin" w:eastAsia="IRNazanin"/>
          <w:color w:val="111111"/>
          <w:sz w:val="28"/>
          <w:sz w:val="28"/>
          <w:szCs w:val="28"/>
          <w:rtl w:val="true"/>
          <w:lang w:bidi="fa-IR"/>
        </w:rPr>
        <w:t>بین الغاسل والمیّت فی الذکوریّة والاُنوثیّة، فلا یجوز تغسیل الرجل للمرأة</w:t>
      </w:r>
      <w:r>
        <w:rPr>
          <w:rStyle w:val="FootnoteAnchor"/>
          <w:rtl w:val="true"/>
        </w:rPr>
        <w:footnoteReference w:id="140"/>
      </w:r>
      <w:r>
        <w:rPr>
          <w:rFonts w:ascii="IRNazanin" w:hAnsi="IRNazanin" w:eastAsia="IRNazanin"/>
          <w:color w:val="111111"/>
          <w:sz w:val="28"/>
          <w:sz w:val="28"/>
          <w:szCs w:val="28"/>
          <w:rtl w:val="true"/>
          <w:lang w:bidi="fa-IR"/>
        </w:rPr>
        <w:t>، ولا العکس، ولو کان من فوق اللباس ولم یلزم لمس</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یجوز فی حال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 فی موارد</w:t>
      </w:r>
      <w:r>
        <w:rPr>
          <w:rFonts w:eastAsia="IRNazanin" w:cs="IRNazanin"/>
          <w:color w:val="111111"/>
          <w:sz w:val="28"/>
          <w:szCs w:val="28"/>
          <w:rtl w:val="true"/>
          <w:lang w:bidi="fa-IR"/>
        </w:rPr>
        <w:t>:</w:t>
      </w:r>
    </w:p>
    <w:p>
      <w:pPr>
        <w:pStyle w:val="Heading3"/>
        <w:numPr>
          <w:ilvl w:val="2"/>
          <w:numId w:val="1"/>
        </w:numPr>
        <w:rPr/>
      </w:pPr>
      <w:bookmarkStart w:id="134" w:name="__RefHeading___Toc1763636_2322387425"/>
      <w:bookmarkStart w:id="135" w:name="_Toc51"/>
      <w:bookmarkEnd w:id="134"/>
      <w:r>
        <w:rPr>
          <w:rtl w:val="true"/>
        </w:rPr>
        <w:t>الأوّل</w:t>
      </w:r>
      <w:r>
        <w:rPr>
          <w:rtl w:val="true"/>
        </w:rPr>
        <w:t xml:space="preserve">: </w:t>
      </w:r>
      <w:r>
        <w:rPr>
          <w:rtl w:val="true"/>
        </w:rPr>
        <w:t>الطفل الذی لم یتجاوز الثلاث سنین</w:t>
      </w:r>
      <w:bookmarkEnd w:id="135"/>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w:t>
      </w:r>
      <w:r>
        <w:rPr>
          <w:rStyle w:val="FootnoteAnchor"/>
          <w:rtl w:val="true"/>
        </w:rPr>
        <w:footnoteReference w:id="142"/>
      </w:r>
      <w:r>
        <w:rPr>
          <w:rFonts w:ascii="Amiri" w:hAnsi="Amiri" w:eastAsia="Amiri" w:cs="Amiri"/>
          <w:color w:val="111111"/>
          <w:sz w:val="28"/>
          <w:sz w:val="28"/>
          <w:szCs w:val="28"/>
          <w:rtl w:val="true"/>
          <w:lang w:bidi="ar-SA"/>
        </w:rPr>
        <w:t>الذی لا یزید سنُّهُ عن ثلاث سنین</w:t>
      </w:r>
      <w:r>
        <w:rPr>
          <w:rStyle w:val="FootnoteAnchor"/>
          <w:rtl w:val="true"/>
        </w:rPr>
        <w:footnoteReference w:id="143"/>
      </w:r>
      <w:r>
        <w:rPr>
          <w:rFonts w:ascii="IRNazanin" w:hAnsi="IRNazanin" w:eastAsia="IRNazanin"/>
          <w:color w:val="111111"/>
          <w:sz w:val="28"/>
          <w:sz w:val="28"/>
          <w:szCs w:val="28"/>
          <w:rtl w:val="true"/>
          <w:lang w:bidi="fa-IR"/>
        </w:rPr>
        <w:t>، فیجوز لکلّ منهما</w:t>
      </w:r>
      <w:r>
        <w:rPr>
          <w:rStyle w:val="FootnoteAnchor"/>
          <w:rtl w:val="true"/>
        </w:rPr>
        <w:footnoteReference w:id="144"/>
      </w:r>
      <w:r>
        <w:rPr>
          <w:rFonts w:ascii="IRNazanin" w:hAnsi="IRNazanin" w:eastAsia="IRNazanin"/>
          <w:color w:val="111111"/>
          <w:sz w:val="28"/>
          <w:sz w:val="28"/>
          <w:szCs w:val="28"/>
          <w:rtl w:val="true"/>
          <w:lang w:bidi="fa-IR"/>
        </w:rPr>
        <w:t>تغسیل مخالفه ولو مع التجرّد، ومع وجود المماثل، وإن کان الأحوط</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الصبیّة العاریة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صورة فقد المماثل</w:t>
      </w:r>
      <w:r>
        <w:rPr>
          <w:rFonts w:eastAsia="IRNazanin" w:cs="IRNazanin"/>
          <w:color w:val="111111"/>
          <w:sz w:val="28"/>
          <w:szCs w:val="28"/>
          <w:rtl w:val="true"/>
          <w:lang w:bidi="fa-IR"/>
        </w:rPr>
        <w:t>.</w:t>
      </w:r>
      <w:bookmarkStart w:id="136" w:name="pg13276_136543"/>
    </w:p>
    <w:p>
      <w:pPr>
        <w:pStyle w:val="Heading3"/>
        <w:numPr>
          <w:ilvl w:val="2"/>
          <w:numId w:val="1"/>
        </w:numPr>
        <w:rPr/>
      </w:pPr>
      <w:bookmarkStart w:id="137" w:name="__RefHeading___Toc1763638_2322387425"/>
      <w:bookmarkStart w:id="138" w:name="_Toc52"/>
      <w:bookmarkEnd w:id="136"/>
      <w:bookmarkEnd w:id="137"/>
      <w:r>
        <w:rPr>
          <w:rtl w:val="true"/>
        </w:rPr>
        <w:t>الثانی</w:t>
      </w:r>
      <w:r>
        <w:rPr>
          <w:rtl w:val="true"/>
        </w:rPr>
        <w:t xml:space="preserve">: </w:t>
      </w:r>
      <w:r>
        <w:rPr>
          <w:rtl w:val="true"/>
        </w:rPr>
        <w:t>تغسیل الزوج زوجته وبالعکس</w:t>
      </w:r>
      <w:bookmarkEnd w:id="1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والزوجة، فیجوز لکلٍّ منهما تغسیل الآخر، ولو مع وجود المماثل ومع التجرّد، وإن کان الأحوط الاقتصار</w:t>
      </w:r>
      <w:r>
        <w:rPr>
          <w:rStyle w:val="FootnoteAnchor"/>
          <w:rtl w:val="true"/>
        </w:rPr>
        <w:footnoteReference w:id="146"/>
      </w:r>
      <w:r>
        <w:rPr>
          <w:rFonts w:ascii="IRNazanin" w:hAnsi="IRNazanin" w:eastAsia="IRNazanin"/>
          <w:color w:val="111111"/>
          <w:sz w:val="28"/>
          <w:sz w:val="28"/>
          <w:szCs w:val="28"/>
          <w:rtl w:val="true"/>
          <w:lang w:bidi="fa-IR"/>
        </w:rPr>
        <w:t>علی صورة فقد المماثل، وکونه</w:t>
      </w:r>
      <w:r>
        <w:rPr>
          <w:rStyle w:val="FootnoteAnchor"/>
          <w:rtl w:val="true"/>
        </w:rPr>
        <w:footnoteReference w:id="147"/>
      </w:r>
      <w:r>
        <w:rPr>
          <w:rFonts w:ascii="IRNazanin" w:hAnsi="IRNazanin" w:eastAsia="IRNazanin"/>
          <w:color w:val="111111"/>
          <w:sz w:val="28"/>
          <w:sz w:val="28"/>
          <w:szCs w:val="28"/>
          <w:rtl w:val="true"/>
          <w:lang w:bidi="fa-IR"/>
        </w:rPr>
        <w:t>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w:t>
      </w:r>
      <w:r>
        <w:rPr>
          <w:rStyle w:val="FootnoteAnchor"/>
          <w:rtl w:val="true"/>
        </w:rPr>
        <w:footnoteReference w:id="148"/>
      </w:r>
      <w:r>
        <w:rPr>
          <w:rFonts w:ascii="Amiri" w:hAnsi="Amiri" w:eastAsia="Amiri" w:cs="Amiri"/>
          <w:color w:val="111111"/>
          <w:sz w:val="28"/>
          <w:sz w:val="28"/>
          <w:szCs w:val="28"/>
          <w:rtl w:val="true"/>
          <w:lang w:bidi="ar-SA"/>
        </w:rPr>
        <w:t>لکلّ منهما</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النظر اختیاراً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الجواز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عورة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یکره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763640_2322387425"/>
      <w:bookmarkStart w:id="140" w:name="_Toc53"/>
      <w:bookmarkEnd w:id="139"/>
      <w:r>
        <w:rPr>
          <w:rtl w:val="true"/>
        </w:rPr>
        <w:t>إلحاق المنقطعة ونحوها بالدائمة</w:t>
      </w:r>
      <w:bookmarkEnd w:id="140"/>
    </w:p>
    <w:p>
      <w:pPr>
        <w:pStyle w:val="BookText"/>
        <w:rPr/>
      </w:pPr>
      <w:r>
        <w:rPr>
          <w:rFonts w:ascii="IRNazanin" w:hAnsi="IRNazanin" w:eastAsia="IRNazanin"/>
          <w:color w:val="111111"/>
          <w:sz w:val="28"/>
          <w:sz w:val="28"/>
          <w:szCs w:val="28"/>
          <w:rtl w:val="true"/>
          <w:lang w:bidi="fa-IR"/>
        </w:rPr>
        <w:t>ولا فرق فی الزوجة بین الحرّة والأمة، والدائمة والمنقطعة</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والمطلّقة الرجعیّة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تغسیل المطلّقة للمطلّق وعکسه کلاهما محلّ إشکال، خصوصاً الأوّل، وخصوصاً إذا کان بعد انقضاء عدّة الطلاق، وأمّا بعد انقضاء العدّتین فلا إشکال فی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عدّة الطلاق، وأمّا مع انقضائها فلا یُترک الاحتیاط، بل عدم الجواز أقوی، وأمّا بعد العدّتین فلا إشکال فی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انقضاء عدّة الطلاق، وأمّا بعد انقضاء العدّة الاُولی فلا یُترک الاحتیاط، وبعد الثانیة فعدم الجواز ممّا لاریب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الموت فی زمان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41" w:name="__RefHeading___Toc1763642_2322387425"/>
      <w:bookmarkStart w:id="142" w:name="_Toc54"/>
      <w:bookmarkEnd w:id="141"/>
      <w:r>
        <w:rPr>
          <w:rtl w:val="true"/>
        </w:rPr>
        <w:t>تغسیل المطلق مطلقته وبالعکس</w:t>
      </w:r>
      <w:bookmarkEnd w:id="14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w:t>
      </w:r>
      <w:bookmarkStart w:id="143" w:name="pg13276_136544"/>
    </w:p>
    <w:p>
      <w:pPr>
        <w:pStyle w:val="BookText"/>
        <w:rPr/>
      </w:pPr>
      <w:bookmarkEnd w:id="143"/>
      <w:r>
        <w:rPr>
          <w:rFonts w:ascii="IRNazanin" w:hAnsi="IRNazanin" w:eastAsia="IRNazanin"/>
          <w:color w:val="111111"/>
          <w:sz w:val="28"/>
          <w:sz w:val="28"/>
          <w:szCs w:val="28"/>
          <w:rtl w:val="true"/>
          <w:lang w:bidi="fa-IR"/>
        </w:rPr>
        <w:t>کان الأحوط</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فیها فی العدّة، وأمّا بعد العدّة فلا یجوز قطعاً، وکذا لا یُترک فی المنقطعة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فیه وفی عکسه، خصوصاً إذا کان بعد انقضاء عدّة الطلاق، وأمّا بعد انقضاء العدّتین فلا شبهة فی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تغسیل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فیها مطلقاً وفی المنقطعة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وجود المماثل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خصوصاً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کلتا الخصوصیتین، 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هذه الصورة، خصوصاً إذا تزوّجت بغیره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التغسیل بعد انقضاء العدة وبعد التزوج بالغیر لایخلو من قوّة، وإن کان الموت فی أثناء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تغسیلها له بعد انقضاء عدّتها؛ لصیرورتها أجنبیّة عنه بعد ذلک، خصوصاً إذا کان بعد عدّة الوفاة، وبالأخصّ بعد ما تزوّجت،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جواز تغسیل کلِّ واحد من الزوجین الآخر منصرف إلی من کانت زوجة حال الوفاة، أو تکون بمنزلة الزوجة بشرط عدم انقضاء عدّتها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 هذه الصورة وفی المنقطعة التی انتهت مدّتها قبل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Heading3"/>
        <w:numPr>
          <w:ilvl w:val="2"/>
          <w:numId w:val="1"/>
        </w:numPr>
        <w:rPr/>
      </w:pPr>
      <w:bookmarkStart w:id="144" w:name="__RefHeading___Toc1763644_2322387425"/>
      <w:bookmarkStart w:id="145" w:name="_Toc55"/>
      <w:bookmarkEnd w:id="144"/>
      <w:r>
        <w:rPr>
          <w:rtl w:val="true"/>
        </w:rPr>
        <w:t>حکم التغسیل بعد انقضاء العدة</w:t>
      </w:r>
      <w:bookmarkEnd w:id="14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انقضاء </w:t>
      </w:r>
      <w:bookmarkStart w:id="146" w:name="pg13276_136545"/>
    </w:p>
    <w:p>
      <w:pPr>
        <w:pStyle w:val="BookText"/>
        <w:rPr/>
      </w:pPr>
      <w:bookmarkEnd w:id="146"/>
      <w:r>
        <w:rPr>
          <w:rFonts w:ascii="Amiri" w:hAnsi="Amiri" w:eastAsia="Amiri" w:cs="Amiri"/>
          <w:color w:val="111111"/>
          <w:sz w:val="28"/>
          <w:sz w:val="28"/>
          <w:szCs w:val="28"/>
          <w:rtl w:val="true"/>
          <w:lang w:bidi="ar-SA"/>
        </w:rPr>
        <w:t>العدّة</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بعد الانقضاء عدم تغسیلها؛ لعدم إجراء حکم الزوجة علیها، فیشمله عموم اعتبار المماثل الحاکم علی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الجواز فی هذه الصورة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التغسیل، وأمّا الموت فیجب أن یکون 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التغسیل فی هذا الفرض؛ لانقضاء الزوجیّة، فیشمله اعتبار عموم المماثلة الحاکم علی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وخصوصاً إذا تزوّجت بغیره إن فرض بقاء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الاحتیاط فی هذه الصورة والصورة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تغسیل إلی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المطلّقة بائناً فلا إشکال فی عدم الجواز فیها</w:t>
      </w:r>
      <w:r>
        <w:rPr>
          <w:rFonts w:eastAsia="IRNazanin" w:cs="IRNazanin"/>
          <w:color w:val="111111"/>
          <w:sz w:val="28"/>
          <w:szCs w:val="28"/>
          <w:rtl w:val="true"/>
          <w:lang w:bidi="fa-IR"/>
        </w:rPr>
        <w:t>.</w:t>
      </w:r>
    </w:p>
    <w:p>
      <w:pPr>
        <w:pStyle w:val="Heading3"/>
        <w:numPr>
          <w:ilvl w:val="2"/>
          <w:numId w:val="1"/>
        </w:numPr>
        <w:rPr/>
      </w:pPr>
      <w:bookmarkStart w:id="147" w:name="__RefHeading___Toc1763646_2322387425"/>
      <w:bookmarkStart w:id="148" w:name="_Toc56"/>
      <w:bookmarkEnd w:id="147"/>
      <w:r>
        <w:rPr>
          <w:rtl w:val="true"/>
        </w:rPr>
        <w:t>الثالث</w:t>
      </w:r>
      <w:r>
        <w:rPr>
          <w:rtl w:val="true"/>
        </w:rPr>
        <w:t xml:space="preserve">: </w:t>
      </w:r>
      <w:r>
        <w:rPr>
          <w:rtl w:val="true"/>
        </w:rPr>
        <w:t>المحارم بنسب أو رضاع أو مصاهرة</w:t>
      </w:r>
      <w:bookmarkEnd w:id="14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 بنسب أو رضاع</w:t>
      </w:r>
      <w:r>
        <w:rPr>
          <w:rStyle w:val="FootnoteAnchor"/>
          <w:rtl w:val="true"/>
        </w:rPr>
        <w:footnoteReference w:id="153"/>
      </w:r>
      <w:r>
        <w:rPr>
          <w:rFonts w:ascii="IRNazanin" w:hAnsi="IRNazanin" w:eastAsia="IRNazanin"/>
          <w:color w:val="111111"/>
          <w:sz w:val="28"/>
          <w:sz w:val="28"/>
          <w:szCs w:val="28"/>
          <w:rtl w:val="true"/>
          <w:lang w:bidi="fa-IR"/>
        </w:rPr>
        <w:t>، لکنّ الأحوط</w:t>
      </w:r>
      <w:r>
        <w:rPr>
          <w:rStyle w:val="FootnoteAnchor"/>
          <w:rtl w:val="true"/>
        </w:rPr>
        <w:footnoteReference w:id="154"/>
      </w:r>
      <w:r>
        <w:rPr>
          <w:rFonts w:ascii="IRNazanin" w:hAnsi="IRNazanin" w:eastAsia="IRNazanin"/>
          <w:color w:val="111111"/>
          <w:sz w:val="28"/>
          <w:sz w:val="28"/>
          <w:szCs w:val="28"/>
          <w:rtl w:val="true"/>
          <w:lang w:bidi="fa-IR"/>
        </w:rPr>
        <w:t>بل الأقوی</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لم‌یثبت کونه أقوی،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لاقوّة فی الثانی،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غیر ثابتة،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تأمّل، نعم،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بالنسبة إلی کونه من وراء الثیاب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و ینبغی أن لایُترک الاحتیاط فی الشرطین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فیالأقوائیّة تأمّل، نعم، لایُترک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الأقوائیّة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و الأظهر عدم اعتبار کونه من وراء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تثبت الأقوائیّة، نعم، هو أحوط،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149" w:name="pg13276_136546"/>
    </w:p>
    <w:p>
      <w:pPr>
        <w:pStyle w:val="Heading3"/>
        <w:numPr>
          <w:ilvl w:val="2"/>
          <w:numId w:val="1"/>
        </w:numPr>
        <w:rPr/>
      </w:pPr>
      <w:bookmarkStart w:id="150" w:name="__RefHeading___Toc1763648_2322387425"/>
      <w:bookmarkStart w:id="151" w:name="_Toc57"/>
      <w:bookmarkEnd w:id="149"/>
      <w:bookmarkEnd w:id="150"/>
      <w:r>
        <w:rPr>
          <w:rtl w:val="true"/>
        </w:rPr>
        <w:t>ماقیل باشتراطه فی تغسیل المحارم</w:t>
      </w:r>
      <w:bookmarkEnd w:id="151"/>
    </w:p>
    <w:p>
      <w:pPr>
        <w:pStyle w:val="BookText"/>
        <w:rPr/>
      </w:pPr>
      <w:r>
        <w:rPr>
          <w:rFonts w:ascii="IRNazanin" w:hAnsi="IRNazanin" w:eastAsia="IRNazanin"/>
          <w:color w:val="111111"/>
          <w:sz w:val="28"/>
          <w:sz w:val="28"/>
          <w:szCs w:val="28"/>
          <w:rtl w:val="true"/>
          <w:lang w:bidi="fa-IR"/>
        </w:rPr>
        <w:t>اعتبار فقد المماثل وکونه من وراء الثیاب</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لزوم کونه من وراء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ستر العورة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لزومه، لظهور النصّ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ذلک إشکال، أحوطه ذلک، وأقواه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ستر العورتین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العورة استحبابه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الکراهة بدونه، نعم، یجب ستر عورته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ترک العورتین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3276_136547"/>
    </w:p>
    <w:p>
      <w:pPr>
        <w:pStyle w:val="Heading3"/>
        <w:numPr>
          <w:ilvl w:val="2"/>
          <w:numId w:val="1"/>
        </w:numPr>
        <w:rPr/>
      </w:pPr>
      <w:bookmarkStart w:id="153" w:name="__RefHeading___Toc1763650_2322387425"/>
      <w:bookmarkStart w:id="154" w:name="_Toc58"/>
      <w:bookmarkEnd w:id="152"/>
      <w:bookmarkEnd w:id="153"/>
      <w:r>
        <w:rPr>
          <w:rtl w:val="true"/>
        </w:rPr>
        <w:t>الرابع</w:t>
      </w:r>
      <w:r>
        <w:rPr>
          <w:rtl w:val="true"/>
        </w:rPr>
        <w:t xml:space="preserve">: </w:t>
      </w:r>
      <w:r>
        <w:rPr>
          <w:rtl w:val="true"/>
        </w:rPr>
        <w:t>المولی والأمة علی إشکال</w:t>
      </w:r>
      <w:bookmarkEnd w:id="15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والأمة، فیجوز للمولی تغسیل أمته</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لاوجه له یرکن إلیه إلاّ ما اُدّعی من الإجماع، فلا یُترک الاحتیاط فی هذه الصورة، وأمّا فی صورة کون المیّت هو المولی فالأقوی عدم جواز تغسیلها له، لعدم الدلیل علیه، حتی ذلک الإجماع الّذی اُدّعی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مع وجود المماثل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تکن مزوّجة، ولا فی عدّة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مبعّضـة ولا مکاتبة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تغسیل الأمة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مع إذن مالکها، وإن کان ترکه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والمنع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 وروایة وصیّة السجاد علیه‌السلام بتغسیل اُمّ الولد ضعیفة صدوراً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جوّزه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بشرط إذن الورثة، فالأحوط 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الأحوط 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لضعف المستند من التعدّی عن الزوج إلی المولی، فیرجع إلی قاعدة اعتبار المماثلة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 صورة وجود المماثل، ومع عدمه یغسّلها رجاءً من غیر لَمسٍ ولا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لضعف المستند للتعدّی من الزوج إلی الولی، فترجع إلی قاعدة المماثلة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مع وجود المماثل، ومع عدمه یغسّلها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 السیستانی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تغسیل المولی أمته أیضاً</w:t>
      </w:r>
      <w:r>
        <w:rPr>
          <w:rFonts w:eastAsia="IRNazanin" w:cs="IRNazanin"/>
          <w:color w:val="111111"/>
          <w:sz w:val="28"/>
          <w:szCs w:val="28"/>
          <w:rtl w:val="true"/>
          <w:lang w:bidi="fa-IR"/>
        </w:rPr>
        <w:t>.</w:t>
      </w:r>
      <w:bookmarkStart w:id="155" w:name="pg13276_136548"/>
    </w:p>
    <w:p>
      <w:pPr>
        <w:pStyle w:val="Heading3"/>
        <w:numPr>
          <w:ilvl w:val="2"/>
          <w:numId w:val="1"/>
        </w:numPr>
        <w:rPr/>
      </w:pPr>
      <w:bookmarkStart w:id="156" w:name="__RefHeading___Toc1763652_2322387425"/>
      <w:bookmarkStart w:id="157" w:name="_Toc59"/>
      <w:bookmarkEnd w:id="155"/>
      <w:bookmarkEnd w:id="156"/>
      <w:r>
        <w:rPr>
          <w:rtl w:val="true"/>
        </w:rPr>
        <w:t>حکم الخنثی المشکل</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إذا لم یکن عمرها أزید من ثلاث سنین</w:t>
      </w:r>
      <w:r>
        <w:rPr>
          <w:rStyle w:val="FootnoteAnchor"/>
          <w:rtl w:val="true"/>
        </w:rPr>
        <w:footnoteReference w:id="158"/>
      </w:r>
      <w:r>
        <w:rPr>
          <w:rFonts w:ascii="IRNazanin" w:hAnsi="IRNazanin" w:eastAsia="IRNazanin"/>
          <w:color w:val="111111"/>
          <w:sz w:val="28"/>
          <w:sz w:val="28"/>
          <w:szCs w:val="28"/>
          <w:rtl w:val="true"/>
          <w:lang w:bidi="fa-IR"/>
        </w:rPr>
        <w:t>فلا إشکال فیها، وإلاّ فإن کان لها محرم</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مماثل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تقدّم من اعتبار فقد المماثل فی جواز تغسیل المحارم لابدّ من أن یکون المغسّل رجلاً وامرأة من محارم الخنثی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الأقوی وجوب تغسیل الخنثی مرة واحدة من قبل الرجال أو النساء المحارم، وإلاّ فمن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اشتراط المماثلة فالمستفاد من دلیلها أنّها إنّما اعتبرت فی الغسل شرعاً من حیث حرمة النظر واللمس إذا غسّله غیر المماثل، ومن الواضح أنّ حرمة النظر واللمس إنّما تؤثّر ذلک إذا کانت منجّزة علی المکلّف؛ ولذلک یحکم بصحة الغسل إذا غسّله باعتقاد أنّه مماثل، أو أنّه من المحارم ثمّ انکشف بعد الغسل خلاف ذلک، ومن الواضح کذلک أنّ حرمة النظر واللمس للخنثی غیر منجّزة علیه؛ لعدم العلم بأنّه غیر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تغسیل کلٍّ من الرجل والمرأة إیّاها من وراء الثیاب فی المحارم، وفی غیر المحارم، مع فقدها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الاحتیاط بالجمع فی هذه الصورة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أمة ـ بناءً علی</w:t>
      </w:r>
    </w:p>
    <w:p>
      <w:pPr>
        <w:pStyle w:val="BookText"/>
        <w:rPr/>
      </w:pPr>
      <w:r>
        <w:rPr>
          <w:rFonts w:ascii="IRNazanin" w:hAnsi="IRNazanin" w:eastAsia="IRNazanin"/>
          <w:color w:val="111111"/>
          <w:sz w:val="28"/>
          <w:sz w:val="28"/>
          <w:szCs w:val="28"/>
          <w:rtl w:val="true"/>
          <w:lang w:bidi="fa-IR"/>
        </w:rPr>
        <w:t>جواز تغسیل الأمة مولاها ـ فکذلک</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بتغسیل کلٍّ من الرجل والمرأة من محارمها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وإن کان له محرم أو 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حتی فی صورة وجود المحرم والأمة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جواز نظر کلٍّ من الرجل والمرأة إلی الخنثی یکفی غسل واحد من أحدهما علی الأقوی، وتغسیل کلّ واحد منهما احتیاط، وأمّا لو قیل بعدم جواز نظرهما إلیه فحکمه حکم صورة فقد المماثل، وسیأتی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کفایة غسل أحدهما له من وراء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والرجوع إلی القرعة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هو المقرّر عندهم من تنجّز العلم الإجمالی، ومّما ذکره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والرجوع إلی القرعة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جواز نظر کلّ من الرجل والمرأة إلیها یکفی غسل واحد، وبناءً علی العدم یجری علیه حکم فقد المماثل الذی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تغسیل کلّ من</w:t>
      </w:r>
    </w:p>
    <w:p>
      <w:pPr>
        <w:pStyle w:val="BookText"/>
        <w:rPr/>
      </w:pPr>
      <w:r>
        <w:rPr>
          <w:rFonts w:ascii="Amiri" w:hAnsi="Amiri" w:eastAsia="Amiri" w:cs="Amiri"/>
          <w:color w:val="111111"/>
          <w:sz w:val="28"/>
          <w:sz w:val="28"/>
          <w:szCs w:val="28"/>
          <w:rtl w:val="true"/>
          <w:lang w:bidi="ar-SA"/>
        </w:rPr>
        <w:t>الرجل والمرأة</w:t>
      </w:r>
      <w:r>
        <w:rPr>
          <w:rStyle w:val="FootnoteAnchor"/>
          <w:rtl w:val="true"/>
        </w:rPr>
        <w:footnoteReference w:id="161"/>
      </w:r>
      <w:r>
        <w:rPr>
          <w:rFonts w:ascii="IRNazanin" w:hAnsi="IRNazanin" w:eastAsia="IRNazanin"/>
          <w:color w:val="111111"/>
          <w:sz w:val="28"/>
          <w:sz w:val="28"/>
          <w:szCs w:val="28"/>
          <w:rtl w:val="true"/>
          <w:lang w:bidi="fa-IR"/>
        </w:rPr>
        <w:t>إیّاها من وراء الثیاب</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لایعتبر ذلک علی الأظهر،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لاوجه للرجوع إلی القرعة مع عدم عمل الأصحاب بها فی مورد الخنثی و فی إرثه، و قد حُقِّق فی مقدار حجّیة هذه القاعدة أنّه لایجوز الأخذ بعمومها، إلاّ فیما عمل الأصحاب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الرجوع إلی القرعة فی أمثال المقام؛ لعدم الجبر بعد کثرة التخصیص فی عموماتها، فلابدّ من الجمع بین القرعة و التغسیل من وراء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بعید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القرعة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تغسیل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أمثال المقام مصبّ القرعة، فلا یُترک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ما أفاده فی المتن، ولکنّ طریقَتی الجمع أو القرعة یتمّان بناءً علی عدم کونها طبیعة ثالثة، وإلاّ فلا مساغ لهذین الوجهین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ولا بدّ من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3276_136551"/>
    </w:p>
    <w:p>
      <w:pPr>
        <w:pStyle w:val="Heading3"/>
        <w:numPr>
          <w:ilvl w:val="2"/>
          <w:numId w:val="1"/>
        </w:numPr>
        <w:rPr/>
      </w:pPr>
      <w:bookmarkStart w:id="159" w:name="__RefHeading___Toc1763654_2322387425"/>
      <w:bookmarkStart w:id="160" w:name="_Toc60"/>
      <w:bookmarkEnd w:id="158"/>
      <w:bookmarkEnd w:id="159"/>
      <w:r>
        <w:rPr>
          <w:rtl w:val="true"/>
        </w:rPr>
        <w:t>حکم المیت أو عضوه المشتبه بین الذکر والانثی</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میّت أو عضو من میّت مشتبهاً بین الذکر والاُنثی</w:t>
      </w:r>
      <w:r>
        <w:rPr>
          <w:rStyle w:val="FootnoteAnchor"/>
          <w:rtl w:val="true"/>
        </w:rPr>
        <w:footnoteReference w:id="163"/>
      </w:r>
      <w:r>
        <w:rPr>
          <w:rFonts w:ascii="Amiri" w:hAnsi="Amiri" w:eastAsia="Amiri" w:cs="Amiri"/>
          <w:color w:val="111111"/>
          <w:sz w:val="28"/>
          <w:sz w:val="28"/>
          <w:szCs w:val="28"/>
          <w:rtl w:val="true"/>
          <w:lang w:bidi="ar-SA"/>
        </w:rPr>
        <w:t>فیغسّله کلّ من الرجل</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 فی الخنثی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الخُنثی المذکور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وراء الثیاب</w:t>
      </w:r>
      <w:r>
        <w:rPr>
          <w:rFonts w:eastAsia="IRNazanin" w:cs="IRNazanin"/>
          <w:color w:val="111111"/>
          <w:sz w:val="28"/>
          <w:szCs w:val="28"/>
          <w:rtl w:val="true"/>
          <w:lang w:bidi="fa-IR"/>
        </w:rPr>
        <w:t>.</w:t>
      </w:r>
    </w:p>
    <w:p>
      <w:pPr>
        <w:pStyle w:val="Heading3"/>
        <w:numPr>
          <w:ilvl w:val="2"/>
          <w:numId w:val="1"/>
        </w:numPr>
        <w:rPr/>
      </w:pPr>
      <w:bookmarkStart w:id="161" w:name="__RefHeading___Toc1763656_2322387425"/>
      <w:bookmarkStart w:id="162" w:name="_Toc61"/>
      <w:bookmarkEnd w:id="161"/>
      <w:r>
        <w:rPr>
          <w:rtl w:val="true"/>
        </w:rPr>
        <w:t>تغسیل الکتابی المماثل للمسلم</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w:t>
      </w:r>
      <w:r>
        <w:rPr>
          <w:rStyle w:val="FootnoteAnchor"/>
          <w:rtl w:val="true"/>
        </w:rPr>
        <w:footnoteReference w:id="165"/>
      </w:r>
      <w:r>
        <w:rPr>
          <w:rFonts w:ascii="IRNazanin" w:hAnsi="IRNazanin" w:eastAsia="IRNazanin"/>
          <w:color w:val="111111"/>
          <w:sz w:val="28"/>
          <w:sz w:val="28"/>
          <w:szCs w:val="28"/>
          <w:rtl w:val="true"/>
          <w:lang w:bidi="fa-IR"/>
        </w:rPr>
        <w:t>المماثل فی الکافر أو الکافرة من أهل الکتاب، أمر المسلم المرأة</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تغسیل الکافر عندی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لاموضوعیة للأمربالاغتسال مطلقاً، ولاللأمر بالتغسیل إذا لم یکن المسلم هو الولیّ، وفی اعتبار قصد القربة فی تغسیل الکتابی إشکال، بل منع، والأحوط الأولی أن یقصد کلّ من المغسّل إذا تمشّی منه والآمر إن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الکتابیّة، أو المسلمة الرجل الکتابیّ أن یغتسل أوّلاً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ویغسّل المیّت بعده، والآمر ینوی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الأقوی اعتبار نیّة المأمور، والأحوط تولّیهما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نیّه کلٍّ من الآمر والمأمور، وإن کان لا یبعد الاکتفاء بنیّة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تولّیهما، وإن کان فی تحقق النیّة الصحیحة من الکافر إشکال؛ لعدم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تمشّی النیّة من المباشر، وإلاّ فالظاهر کفایة نیّته، والأحوط الجمع بینهما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نیّتهما إن تمشّی القصد من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وکذلک المغسّل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163" w:name="pg13276_136552"/>
    </w:p>
    <w:p>
      <w:pPr>
        <w:pStyle w:val="BookText"/>
        <w:rPr/>
      </w:pPr>
      <w:bookmarkEnd w:id="163"/>
      <w:r>
        <w:rPr>
          <w:rFonts w:ascii="Amiri" w:hAnsi="Amiri" w:eastAsia="Amiri" w:cs="Amiri"/>
          <w:color w:val="111111"/>
          <w:sz w:val="28"/>
          <w:sz w:val="28"/>
          <w:szCs w:val="28"/>
          <w:rtl w:val="true"/>
          <w:lang w:bidi="ar-SA"/>
        </w:rPr>
        <w:t>النیّة</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نیّة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بأنّ ظاهر النصّ والفتوی أنّ المغسّل هو الکافر، والمعتبر نیّة الفاعل لاغیره، والآمر لو نوی التقرّب ینوی بأمره، لابالغسل الصادر من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حضوره فضلاً عن وجوب نیّته، إلاّ کونه میسوراً من کون الغاسل مسلماً، ولایخفی ما فیه، فالأحوط نیّة الآمر والمأمور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ینوی المغسّل وإن کان کافراً، والأحوط نیتهما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نیّة کلّ من الآمر والمأمور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نیّة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وجوباً أن ینوی کلّ من الآمر والمغسّل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أمکن أن لا یمسّ الماء وبدن المیّت تعیّن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مباشرة الکتابی لماء الغسل، والتحرّز عن مباشرة بدن المیّت بعد الغسل مع الرطوبة، وفی حال غسله أیضاً بأن یکون المقلّب مسلمةً أو مسلماً من وراء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وکذلک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تعیّن تغسیله فی الکرّ أو الجاری مبنیّ علی الاحتیاط، ولو قلنا بطهارة أهل الکتاب فلا موجب لتعیّن الماء المعتصم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نجاسة الکتابی، کما هو المشهور، وقد تقدم أنّ الأقرب طهارته، ومنه یظهر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763658_2322387425"/>
      <w:bookmarkStart w:id="165" w:name="_Toc62"/>
      <w:bookmarkEnd w:id="164"/>
      <w:r>
        <w:rPr>
          <w:rtl w:val="true"/>
        </w:rPr>
        <w:t>إذا حضر المسلم المماثل بعد تغسیل الکتابی</w:t>
      </w:r>
      <w:bookmarkEnd w:id="1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 نّه لو أمکن </w:t>
      </w:r>
      <w:bookmarkStart w:id="166" w:name="pg13276_136553"/>
    </w:p>
    <w:p>
      <w:pPr>
        <w:pStyle w:val="BookText"/>
        <w:rPr/>
      </w:pPr>
      <w:bookmarkEnd w:id="166"/>
      <w:r>
        <w:rPr>
          <w:rFonts w:ascii="IRNazanin" w:hAnsi="IRNazanin" w:eastAsia="IRNazanin"/>
          <w:color w:val="111111"/>
          <w:sz w:val="28"/>
          <w:sz w:val="28"/>
          <w:szCs w:val="28"/>
          <w:rtl w:val="true"/>
          <w:lang w:bidi="fa-IR"/>
        </w:rPr>
        <w:t>التغسیل فی الکرّ أو الجاری تعیّن</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والأحوط أن یکون التغسیل فیهما ترتیباً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المماثل بعد ذلک أعاد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عبدالهادی الشیرازی، أحمد الخونساری، الخمینی، محمدرضا الگلپایگانی، الأراکی،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67" w:name="__RefHeading___Toc1763660_2322387425"/>
      <w:bookmarkStart w:id="168" w:name="_Toc63"/>
      <w:bookmarkEnd w:id="167"/>
      <w:r>
        <w:rPr>
          <w:rtl w:val="true"/>
        </w:rPr>
        <w:t>انحصار التغسیل بالمخالف المماثل</w:t>
      </w:r>
      <w:bookmarkEnd w:id="168"/>
    </w:p>
    <w:p>
      <w:pPr>
        <w:pStyle w:val="BookText"/>
        <w:rPr/>
      </w:pPr>
      <w:r>
        <w:rPr>
          <w:rFonts w:ascii="IRNazanin" w:hAnsi="IRNazanin" w:eastAsia="IRNazanin"/>
          <w:color w:val="111111"/>
          <w:sz w:val="28"/>
          <w:sz w:val="28"/>
          <w:szCs w:val="28"/>
          <w:rtl w:val="true"/>
          <w:lang w:bidi="fa-IR"/>
        </w:rPr>
        <w:t>وإذا انحصر فی المخالف</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المحکوم بالکفر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لکن لا یحتاج إلی اغتساله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إلی عدم مسّ الماء وبدن المیت، ولا إلی الاغتسال بالکر والجاری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باغتساله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التغسیل، وهو مقدّم علی الکتابیّ علی تقدیر وجوده</w:t>
      </w:r>
      <w:r>
        <w:rPr>
          <w:rFonts w:eastAsia="IRNazanin" w:cs="IRNazanin"/>
          <w:color w:val="111111"/>
          <w:sz w:val="28"/>
          <w:szCs w:val="28"/>
          <w:rtl w:val="true"/>
          <w:lang w:bidi="fa-IR"/>
        </w:rPr>
        <w:t>.</w:t>
      </w:r>
      <w:bookmarkStart w:id="169" w:name="pg13276_136554"/>
    </w:p>
    <w:p>
      <w:pPr>
        <w:pStyle w:val="Heading3"/>
        <w:numPr>
          <w:ilvl w:val="2"/>
          <w:numId w:val="1"/>
        </w:numPr>
        <w:rPr/>
      </w:pPr>
      <w:bookmarkStart w:id="170" w:name="__RefHeading___Toc1763662_2322387425"/>
      <w:bookmarkStart w:id="171" w:name="_Toc64"/>
      <w:bookmarkEnd w:id="169"/>
      <w:bookmarkEnd w:id="170"/>
      <w:r>
        <w:rPr>
          <w:rtl w:val="true"/>
        </w:rPr>
        <w:t>إذا فقد المماثل فی غیر موارد الاستثناء المتقدمة</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w:t>
      </w:r>
      <w:r>
        <w:rPr>
          <w:rStyle w:val="FootnoteAnchor"/>
          <w:rtl w:val="true"/>
        </w:rPr>
        <w:footnoteReference w:id="170"/>
      </w:r>
      <w:r>
        <w:rPr>
          <w:rFonts w:ascii="IRNazanin" w:hAnsi="IRNazanin" w:eastAsia="IRNazanin"/>
          <w:color w:val="111111"/>
          <w:sz w:val="28"/>
          <w:sz w:val="28"/>
          <w:szCs w:val="28"/>
          <w:rtl w:val="true"/>
          <w:lang w:bidi="fa-IR"/>
        </w:rPr>
        <w:t>مماثل حتّی الکتابی والکتابیّة سقط الغسل، لکنّ الأحوط</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الأحوط ترک الغسل ودفنه بثیابه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فیما لم یستلزم تغسیله اللمس، وإلاّ فیدفن بلاغسل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تغسیل 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المماثل من غیر لمس ونظر من وراء الثیاب، ثمّ تنشیف بدنه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التکفین؛ لاحتمال بقاء نجاسته</w:t>
      </w:r>
      <w:r>
        <w:rPr>
          <w:rFonts w:eastAsia="IRNazanin" w:cs="IRNazanin"/>
          <w:color w:val="111111"/>
          <w:sz w:val="28"/>
          <w:szCs w:val="28"/>
          <w:rtl w:val="true"/>
          <w:lang w:bidi="fa-IR"/>
        </w:rPr>
        <w:t>.</w:t>
      </w:r>
    </w:p>
    <w:p>
      <w:pPr>
        <w:pStyle w:val="Heading3"/>
        <w:numPr>
          <w:ilvl w:val="2"/>
          <w:numId w:val="1"/>
        </w:numPr>
        <w:rPr/>
      </w:pPr>
      <w:bookmarkStart w:id="172" w:name="__RefHeading___Toc1763664_2322387425"/>
      <w:bookmarkStart w:id="173" w:name="_Toc65"/>
      <w:bookmarkEnd w:id="172"/>
      <w:r>
        <w:rPr>
          <w:rtl w:val="true"/>
        </w:rPr>
        <w:t>شرائط المُغسّل</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یشترط فی المغسّل أن یکون مسلماً بالغاً عاقلاً اثنی عشریّاً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یجزی تغسیل الصبیّ ـ وإن کان ممیّزاً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وقلنا بصحّة عباداته ـ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قوی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بإتیانه</w:t>
      </w:r>
    </w:p>
    <w:p>
      <w:pPr>
        <w:pStyle w:val="BookText"/>
        <w:rPr/>
      </w:pPr>
      <w:r>
        <w:rPr>
          <w:rFonts w:ascii="IRNazanin" w:hAnsi="IRNazanin" w:eastAsia="IRNazanin"/>
          <w:color w:val="111111"/>
          <w:sz w:val="28"/>
          <w:sz w:val="28"/>
          <w:szCs w:val="28"/>
          <w:rtl w:val="true"/>
          <w:lang w:bidi="fa-IR"/>
        </w:rPr>
        <w:t>علی الوجه الصحیح، ولا تغسیل الکافر، إلاّ إذا کان کتابیّاً</w:t>
      </w:r>
      <w:r>
        <w:rPr>
          <w:rStyle w:val="FootnoteAnchor"/>
          <w:rtl w:val="true"/>
        </w:rPr>
        <w:footnoteReference w:id="173"/>
      </w:r>
      <w:r>
        <w:rPr>
          <w:rFonts w:ascii="IRNazanin" w:hAnsi="IRNazanin" w:eastAsia="IRNazanin"/>
          <w:color w:val="111111"/>
          <w:sz w:val="28"/>
          <w:sz w:val="28"/>
          <w:szCs w:val="28"/>
          <w:rtl w:val="true"/>
          <w:lang w:bidi="fa-IR"/>
        </w:rPr>
        <w:t>فی الصورة المتقدّمة، ویشترط أن یکون عارفاً</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صدور العمل صحیحاً، سواء کان عارفاً أم صدر بتعلیم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هو الغسل الصحیح ولو بتعلیم غیر المغسّل حین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تغسیله غسلاً صحیحاً ولو بتعلیم غیره تدریجاً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تغسیل غیر العارف إذا أوقعه صحیحاً، کما إذا علّمه العارف تدریجاً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کما أ نّه یشترط المماثلة، إلاّ فی الصور المتقدّمة</w:t>
      </w:r>
      <w:r>
        <w:rPr>
          <w:rFonts w:eastAsia="IRNazanin" w:cs="IRNazanin"/>
          <w:color w:val="111111"/>
          <w:sz w:val="28"/>
          <w:szCs w:val="28"/>
          <w:rtl w:val="true"/>
          <w:lang w:bidi="fa-IR"/>
        </w:rPr>
        <w:t>.</w:t>
      </w:r>
      <w:bookmarkStart w:id="174" w:name="pg13276_136556"/>
    </w:p>
    <w:p>
      <w:pPr>
        <w:pStyle w:val="Heading2"/>
        <w:numPr>
          <w:ilvl w:val="1"/>
          <w:numId w:val="1"/>
        </w:numPr>
        <w:rPr/>
      </w:pPr>
      <w:bookmarkStart w:id="175" w:name="__RefHeading___Toc1763666_2322387425"/>
      <w:bookmarkStart w:id="176" w:name="_Toc66"/>
      <w:bookmarkEnd w:id="174"/>
      <w:bookmarkEnd w:id="175"/>
      <w:r>
        <w:rPr>
          <w:rtl w:val="true"/>
        </w:rPr>
        <w:t>فصل</w:t>
      </w:r>
      <w:r>
        <w:rPr>
          <w:rtl w:val="true"/>
        </w:rPr>
        <w:t xml:space="preserve">: </w:t>
      </w:r>
      <w:r>
        <w:rPr>
          <w:rtl w:val="true"/>
        </w:rPr>
        <w:t>فی موارد سقوط غسل المیّت</w:t>
      </w:r>
      <w:bookmarkEnd w:id="176"/>
    </w:p>
    <w:p>
      <w:pPr>
        <w:pStyle w:val="Heading3"/>
        <w:numPr>
          <w:ilvl w:val="2"/>
          <w:numId w:val="1"/>
        </w:numPr>
        <w:rPr/>
      </w:pPr>
      <w:bookmarkStart w:id="177" w:name="__RefHeading___Toc1763668_2322387425"/>
      <w:bookmarkStart w:id="178" w:name="_Toc67"/>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قد عرفت سابقاً وجوب تغسیل کلّ مسلم، لکن یستثنی من ذلک طائفتان</w:t>
      </w:r>
      <w:r>
        <w:rPr>
          <w:rFonts w:eastAsia="IRNazanin" w:cs="IRNazanin"/>
          <w:color w:val="111111"/>
          <w:sz w:val="28"/>
          <w:szCs w:val="28"/>
          <w:rtl w:val="true"/>
          <w:lang w:bidi="fa-IR"/>
        </w:rPr>
        <w:t>:</w:t>
      </w:r>
    </w:p>
    <w:p>
      <w:pPr>
        <w:pStyle w:val="Heading3"/>
        <w:numPr>
          <w:ilvl w:val="2"/>
          <w:numId w:val="1"/>
        </w:numPr>
        <w:rPr/>
      </w:pPr>
      <w:bookmarkStart w:id="179" w:name="__RefHeading___Toc1763670_2322387425"/>
      <w:bookmarkStart w:id="180" w:name="_Toc68"/>
      <w:bookmarkEnd w:id="179"/>
      <w:r>
        <w:rPr>
          <w:rtl w:val="true"/>
        </w:rPr>
        <w:t>الأول</w:t>
      </w:r>
      <w:r>
        <w:rPr>
          <w:rtl w:val="true"/>
        </w:rPr>
        <w:t xml:space="preserve">: </w:t>
      </w:r>
      <w:r>
        <w:rPr>
          <w:rtl w:val="true"/>
        </w:rPr>
        <w:t>الشهید ومن قتل فی حفظ بیضة الإسلام</w:t>
      </w:r>
      <w:bookmarkEnd w:id="180"/>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المقتول فی المعرکة عند الجهاد مع الإمام علیه‌السلام </w:t>
      </w:r>
      <w:r>
        <w:rPr>
          <w:rStyle w:val="FootnoteAnchor"/>
          <w:rtl w:val="true"/>
        </w:rPr>
        <w:footnoteReference w:id="175"/>
      </w:r>
      <w:r>
        <w:rPr>
          <w:rFonts w:ascii="IRNazanin" w:hAnsi="IRNazanin" w:eastAsia="IRNazanin"/>
          <w:color w:val="111111"/>
          <w:sz w:val="28"/>
          <w:sz w:val="28"/>
          <w:szCs w:val="28"/>
          <w:rtl w:val="true"/>
          <w:lang w:bidi="fa-IR"/>
        </w:rPr>
        <w:t>أو نائبه الخاصّ، ویلحق به کلّ من قتل فی حفظ بیضة الإسلام فی حال الغیبة، من غیر فرق بین الحرّ والعبد، والمقتول بالحدید أو غیره، عمداً أو خطأً، رجلاً کان أو امرأةً أو صبیّاً أو مجنوناً، إذا کان الجهاد</w:t>
      </w:r>
      <w:r>
        <w:rPr>
          <w:rStyle w:val="FootnoteAnchor"/>
          <w:rtl w:val="true"/>
        </w:rPr>
        <w:footnoteReference w:id="176"/>
      </w:r>
      <w:r>
        <w:rPr>
          <w:rFonts w:ascii="IRNazanin" w:hAnsi="IRNazanin" w:eastAsia="IRNazanin"/>
          <w:color w:val="111111"/>
          <w:sz w:val="28"/>
          <w:sz w:val="28"/>
          <w:szCs w:val="28"/>
          <w:rtl w:val="true"/>
          <w:lang w:bidi="fa-IR"/>
        </w:rPr>
        <w:t>واجباً علیهم</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 المسلمین، وأمّا الشهید فیکفی لسقوط الغسل عنه صدق المقتول فی سبیل اللّه علیه وإن کان رضیعاً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أن یکون فی جهاد شرعی کما تقدم، ولایشترط أن یکون الجهاد واجباً علی المقتول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ذلک، فالمجنون والرضیع المقتولان فی سبیل اللّه فی ساحة الحرب أیضاً یسقط الغسل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به غیر ظاهر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یجب تغسیلهم، بل یدفنون کذلک بثیابهم، إلاّ إذا کانوا عراةً فیکفّنون ویدفنون</w:t>
      </w:r>
      <w:r>
        <w:rPr>
          <w:rFonts w:eastAsia="IRNazanin" w:cs="IRNazanin"/>
          <w:color w:val="111111"/>
          <w:sz w:val="28"/>
          <w:szCs w:val="28"/>
          <w:rtl w:val="true"/>
          <w:lang w:bidi="fa-IR"/>
        </w:rPr>
        <w:t>.</w:t>
      </w:r>
      <w:bookmarkStart w:id="181" w:name="pg13276_136557"/>
    </w:p>
    <w:p>
      <w:pPr>
        <w:pStyle w:val="Heading3"/>
        <w:numPr>
          <w:ilvl w:val="2"/>
          <w:numId w:val="1"/>
        </w:numPr>
        <w:rPr/>
      </w:pPr>
      <w:bookmarkStart w:id="182" w:name="__RefHeading___Toc1763672_2322387425"/>
      <w:bookmarkStart w:id="183" w:name="_Toc69"/>
      <w:bookmarkEnd w:id="181"/>
      <w:bookmarkEnd w:id="182"/>
      <w:r>
        <w:rPr>
          <w:rtl w:val="true"/>
        </w:rPr>
        <w:t>المدار فی سقوط التغسیل وعدمه فی الشهید</w:t>
      </w:r>
      <w:bookmarkEnd w:id="183"/>
    </w:p>
    <w:p>
      <w:pPr>
        <w:pStyle w:val="BookText"/>
        <w:rPr/>
      </w:pPr>
      <w:r>
        <w:rPr>
          <w:rFonts w:ascii="IRNazanin" w:hAnsi="IRNazanin" w:eastAsia="IRNazanin"/>
          <w:color w:val="111111"/>
          <w:sz w:val="28"/>
          <w:sz w:val="28"/>
          <w:szCs w:val="28"/>
          <w:rtl w:val="true"/>
          <w:lang w:bidi="fa-IR"/>
        </w:rPr>
        <w:t>ویشترط</w:t>
      </w:r>
      <w:r>
        <w:rPr>
          <w:rStyle w:val="FootnoteAnchor"/>
          <w:rtl w:val="true"/>
        </w:rPr>
        <w:footnoteReference w:id="178"/>
      </w:r>
      <w:r>
        <w:rPr>
          <w:rFonts w:ascii="IRNazanin" w:hAnsi="IRNazanin" w:eastAsia="IRNazanin"/>
          <w:color w:val="111111"/>
          <w:sz w:val="28"/>
          <w:sz w:val="28"/>
          <w:szCs w:val="28"/>
          <w:rtl w:val="true"/>
          <w:lang w:bidi="fa-IR"/>
        </w:rPr>
        <w:t>فیه</w:t>
      </w:r>
      <w:r>
        <w:rPr>
          <w:rStyle w:val="FootnoteAnchor"/>
          <w:rtl w:val="true"/>
        </w:rPr>
        <w:footnoteReference w:id="179"/>
      </w:r>
      <w:r>
        <w:rPr>
          <w:rFonts w:ascii="IRNazanin" w:hAnsi="IRNazanin" w:eastAsia="IRNazanin"/>
          <w:color w:val="111111"/>
          <w:sz w:val="28"/>
          <w:sz w:val="28"/>
          <w:szCs w:val="28"/>
          <w:rtl w:val="true"/>
          <w:lang w:bidi="fa-IR"/>
        </w:rPr>
        <w:t>أن یکون</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یشترط أن لا یدرکه المسلمون وفیه رمق، وإلاّ وجب تغسیله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روحه قبل إخراجه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قبل أن یدرکه المسلمون، وإلاّ فإن أدرکوه وبه رمق ثمّ مات فالأوجه أنّه یغسّل ویکفّن ویحنّط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أن یدرکه المسلمون وبه رمق، أمّا إذا أدرکه وبه رمق فمات قبل إخراجه ففی سقوط غسله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أن یدرکه المسلمون وبه رمق، وإلاّ ففی السقوط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یشترط أن لا یدرکه المسلمون وبه رمق الحیاة، وهذا هو المیزان فی وجوب الغسل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المعرکة،أو بعد إخراجه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 هذه الصورة ثبوت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ثبوت الغسل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حکم الشهید علیه فی هذه الصورة خلاف ظاهر الأدلة، فمراعاة الاحتیاط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والظاهر لزوم الغسل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بقاء الحرب وخروج روحه بعد الإخراج بلا</w:t>
      </w:r>
      <w:bookmarkStart w:id="184" w:name="pg13276_136558"/>
    </w:p>
    <w:p>
      <w:pPr>
        <w:pStyle w:val="BookText"/>
        <w:rPr/>
      </w:pPr>
      <w:bookmarkEnd w:id="184"/>
      <w:r>
        <w:rPr>
          <w:rFonts w:ascii="IRNazanin" w:hAnsi="IRNazanin" w:eastAsia="IRNazanin"/>
          <w:color w:val="111111"/>
          <w:sz w:val="28"/>
          <w:sz w:val="28"/>
          <w:szCs w:val="28"/>
          <w:rtl w:val="true"/>
          <w:lang w:bidi="fa-IR"/>
        </w:rPr>
        <w:t>فصل، وأمّا إذا خرجت روحه بعد انقضاء الحرب</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إذا کان خروج روحه فی المعرکة، کما فی قصة سعد 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بمدّة 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تغسیله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وتکفینه</w:t>
      </w:r>
      <w:r>
        <w:rPr>
          <w:rFonts w:eastAsia="IRNazanin" w:cs="IRNazanin"/>
          <w:color w:val="111111"/>
          <w:sz w:val="28"/>
          <w:szCs w:val="28"/>
          <w:rtl w:val="true"/>
          <w:lang w:bidi="fa-IR"/>
        </w:rPr>
        <w:t>.</w:t>
      </w:r>
    </w:p>
    <w:p>
      <w:pPr>
        <w:pStyle w:val="Heading3"/>
        <w:numPr>
          <w:ilvl w:val="2"/>
          <w:numId w:val="1"/>
        </w:numPr>
        <w:rPr/>
      </w:pPr>
      <w:bookmarkStart w:id="185" w:name="__RefHeading___Toc1763674_2322387425"/>
      <w:bookmarkStart w:id="186" w:name="_Toc70"/>
      <w:bookmarkEnd w:id="185"/>
      <w:r>
        <w:rPr>
          <w:rtl w:val="true"/>
        </w:rPr>
        <w:t>الثانی</w:t>
      </w:r>
      <w:r>
        <w:rPr>
          <w:rtl w:val="true"/>
        </w:rPr>
        <w:t xml:space="preserve">: </w:t>
      </w:r>
      <w:r>
        <w:rPr>
          <w:rtl w:val="true"/>
        </w:rPr>
        <w:t>من وجب قتله برجم أو قصاص</w:t>
      </w:r>
      <w:bookmarkEnd w:id="186"/>
    </w:p>
    <w:p>
      <w:pPr>
        <w:pStyle w:val="Heading4"/>
        <w:numPr>
          <w:ilvl w:val="3"/>
          <w:numId w:val="1"/>
        </w:numPr>
        <w:rPr/>
      </w:pPr>
      <w:bookmarkStart w:id="187" w:name="__RefHeading___Toc1763676_2322387425"/>
      <w:bookmarkStart w:id="188" w:name="_Toc71"/>
      <w:bookmarkEnd w:id="187"/>
      <w:r>
        <w:rPr>
          <w:rtl w:val="true"/>
        </w:rPr>
        <w:t>الأمر بالاغتسال للقصاص والرجم قبلهما</w:t>
      </w:r>
      <w:bookmarkEnd w:id="188"/>
    </w:p>
    <w:p>
      <w:pPr>
        <w:pStyle w:val="BookText"/>
        <w:rPr/>
      </w:pPr>
      <w:r>
        <w:rPr>
          <w:rFonts w:ascii="IRNazanin" w:hAnsi="IRNazanin" w:eastAsia="IRNazanin"/>
          <w:color w:val="111111"/>
          <w:sz w:val="28"/>
          <w:sz w:val="28"/>
          <w:szCs w:val="28"/>
          <w:rtl w:val="true"/>
          <w:lang w:bidi="fa-IR"/>
        </w:rPr>
        <w:t>الثانیة</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قتله برجمٍ أو قِصاص، فإنّ الإمام علیه‌السلام أو نائبه ـ الخاصّ أو العامّ ـ یأمره أن یغتسل</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الأمر فی صحّة الغسل وکون غسله کغسل المیّت مبنیّان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عدم وجوب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من باب إرشاد الجاهل أو الأمر بالمعروف إذا تحقّق موضوعهما، ولا یختصّ بالإمام أو نائبه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لزوم الأمر وکون غسله کغسل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المیِّت مرّة بماء</w:t>
      </w:r>
      <w:bookmarkStart w:id="189" w:name="pg13276_136559"/>
    </w:p>
    <w:p>
      <w:pPr>
        <w:pStyle w:val="BookText"/>
        <w:rPr/>
      </w:pPr>
      <w:bookmarkEnd w:id="189"/>
      <w:r>
        <w:rPr>
          <w:rFonts w:ascii="IRNazanin" w:hAnsi="IRNazanin" w:eastAsia="IRNazanin"/>
          <w:color w:val="111111"/>
          <w:sz w:val="28"/>
          <w:sz w:val="28"/>
          <w:szCs w:val="28"/>
          <w:rtl w:val="true"/>
          <w:lang w:bidi="fa-IR"/>
        </w:rPr>
        <w:t>السدر</w:t>
      </w:r>
      <w:r>
        <w:rPr>
          <w:rStyle w:val="FootnoteAnchor"/>
          <w:rtl w:val="true"/>
        </w:rPr>
        <w:footnoteReference w:id="184"/>
      </w:r>
      <w:r>
        <w:rPr>
          <w:rFonts w:ascii="IRNazanin" w:hAnsi="IRNazanin" w:eastAsia="IRNazanin"/>
          <w:color w:val="111111"/>
          <w:sz w:val="28"/>
          <w:sz w:val="28"/>
          <w:szCs w:val="28"/>
          <w:rtl w:val="true"/>
          <w:lang w:bidi="fa-IR"/>
        </w:rPr>
        <w:t>، ومرّة بماء الکافور</w:t>
      </w:r>
      <w:r>
        <w:rPr>
          <w:rStyle w:val="FootnoteAnchor"/>
          <w:rtl w:val="true"/>
        </w:rPr>
        <w:footnoteReference w:id="185"/>
      </w:r>
      <w:r>
        <w:rPr>
          <w:rFonts w:ascii="Amiri" w:hAnsi="Amiri" w:eastAsia="Amiri" w:cs="Amiri"/>
          <w:color w:val="111111"/>
          <w:sz w:val="28"/>
          <w:sz w:val="28"/>
          <w:szCs w:val="28"/>
          <w:rtl w:val="true"/>
          <w:lang w:bidi="ar-SA"/>
        </w:rPr>
        <w:t>، ومرّة بالماء القراح،</w:t>
      </w:r>
    </w:p>
    <w:p>
      <w:pPr>
        <w:pStyle w:val="Heading3"/>
        <w:numPr>
          <w:ilvl w:val="2"/>
          <w:numId w:val="1"/>
        </w:numPr>
        <w:rPr/>
      </w:pPr>
      <w:bookmarkStart w:id="190" w:name="__RefHeading___Toc1763678_2322387425"/>
      <w:bookmarkStart w:id="191" w:name="_Toc72"/>
      <w:bookmarkEnd w:id="190"/>
      <w:r>
        <w:rPr>
          <w:rtl w:val="true"/>
        </w:rPr>
        <w:t>ما یعتبر فی غسل وتکفین المرجوم والمقتص منه</w:t>
      </w:r>
      <w:bookmarkEnd w:id="191"/>
    </w:p>
    <w:p>
      <w:pPr>
        <w:pStyle w:val="BookText"/>
        <w:rPr/>
      </w:pPr>
      <w:r>
        <w:rPr>
          <w:rFonts w:ascii="Amiri" w:hAnsi="Amiri" w:eastAsia="Amiri" w:cs="Amiri"/>
          <w:color w:val="111111"/>
          <w:sz w:val="28"/>
          <w:sz w:val="28"/>
          <w:szCs w:val="28"/>
          <w:rtl w:val="true"/>
          <w:lang w:bidi="ar-SA"/>
        </w:rPr>
        <w:t>ثمَّ یکفّن کتکفین المیّت، إلاّ أنّه یلبس وصلتین</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هذه الخصوصیّة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تمام القطعات الثلاث، نعم،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 منه یُترک موضع القصاص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یلبس الثلاث بنحو لا ینافی الحدّ أو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الثلاث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لترک الوصلة الثالثة ـ أی اللفّافة ـ إلاّ منافاته للقصاص أو الرجم، ومعلوم أنّه لا تنافی بینها وبینهما، وعلی فرض وجوده کما هو المحتمل فی القصاص یُترک موضع المنافاة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 المرجوم أن یلبّس بالثلاثة، بل فی المقتصّ أیضاً، إلاّ أنّه یُترک موضع القصاص، ثمّ یلفّ بعد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یلبس جمیع الکفن، وإن کان لما ذکره وجه غیر معتدّ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لبسه تمام الوصلات مانعاً من القصاص، وإلاّ فالأقوی وجوب لبسه 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تمام القطعات الثلاث علی نحو لاینافی الحدّ أو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تمام القطعات ویُترک موضع الاقتصاص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یلبس الکفن الواجب کلّه علی نحو لا یمنع من الحدّ أو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یلبس الثلاث بنحو لا ینافی الحدّ أو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الوصلات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92" w:name="pg13276_136560"/>
    </w:p>
    <w:p>
      <w:pPr>
        <w:pStyle w:val="BookText"/>
        <w:rPr/>
      </w:pPr>
      <w:bookmarkEnd w:id="192"/>
      <w:r>
        <w:rPr>
          <w:rFonts w:ascii="IRNazanin" w:hAnsi="IRNazanin" w:eastAsia="IRNazanin"/>
          <w:color w:val="111111"/>
          <w:sz w:val="28"/>
          <w:sz w:val="28"/>
          <w:szCs w:val="28"/>
          <w:rtl w:val="true"/>
          <w:lang w:bidi="fa-IR"/>
        </w:rPr>
        <w:t>منه</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الوصلات الثلاث، نعم، فی المقتصّ یکشف موضع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الثلاث کلّها ویُترک موضع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یکفّن کتکفین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تمام القطعات الثلاث، نعم، فی المقتصّ منه یُترک موضع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93" w:name="__RefHeading___Toc1763680_2322387425"/>
      <w:bookmarkStart w:id="194" w:name="_Toc73"/>
      <w:bookmarkEnd w:id="193"/>
      <w:r>
        <w:rPr>
          <w:rtl w:val="true"/>
        </w:rPr>
        <w:t>اعتبار استناد الموت إلی الرجم أو القصاص</w:t>
      </w:r>
      <w:bookmarkEnd w:id="194"/>
    </w:p>
    <w:p>
      <w:pPr>
        <w:pStyle w:val="BookText"/>
        <w:rPr/>
      </w:pP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والثوب قبل القتل، واللفّافة بعده</w:t>
      </w:r>
      <w:r>
        <w:rPr>
          <w:rStyle w:val="FootnoteAnchor"/>
          <w:rtl w:val="true"/>
        </w:rPr>
        <w:footnoteReference w:id="188"/>
      </w:r>
      <w:r>
        <w:rPr>
          <w:rFonts w:ascii="IRNazanin" w:hAnsi="IRNazanin" w:eastAsia="IRNazanin"/>
          <w:color w:val="111111"/>
          <w:sz w:val="28"/>
          <w:sz w:val="28"/>
          <w:szCs w:val="28"/>
          <w:rtl w:val="true"/>
          <w:lang w:bidi="fa-IR"/>
        </w:rPr>
        <w:t>، ویحنّط قبل القتل کحنوط المیت، ثمّ یقتل فیصلّی علیه ویدفن بلا تغسیل، ولا یلزم غسل</w:t>
      </w:r>
      <w:r>
        <w:rPr>
          <w:rStyle w:val="FootnoteAnchor"/>
          <w:rtl w:val="true"/>
        </w:rPr>
        <w:footnoteReference w:id="189"/>
      </w:r>
      <w:r>
        <w:rPr>
          <w:rFonts w:ascii="IRNazanin" w:hAnsi="IRNazanin" w:eastAsia="IRNazanin"/>
          <w:color w:val="111111"/>
          <w:sz w:val="28"/>
          <w:sz w:val="28"/>
          <w:szCs w:val="28"/>
          <w:rtl w:val="true"/>
          <w:lang w:bidi="fa-IR"/>
        </w:rPr>
        <w:t>الدم من کفنه، ولو أحدث قبل القتل لا یلزم إعادة الغسل</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الحدث فی أثناء الغسل أم بعده، وسواء کان بالحدث الأصغر أم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لایصح له الإتیان بعمل مشروط بالطهارة حتی یتوضّأ فی الأول ویغتسل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ویلزم أن یکون موته بذلک السبب، فلو مات أو قتل</w:t>
      </w:r>
    </w:p>
    <w:p>
      <w:pPr>
        <w:pStyle w:val="BookText"/>
        <w:rPr/>
      </w:pPr>
      <w:r>
        <w:rPr>
          <w:rFonts w:ascii="IRNazanin" w:hAnsi="IRNazanin" w:eastAsia="IRNazanin"/>
          <w:color w:val="111111"/>
          <w:sz w:val="28"/>
          <w:sz w:val="28"/>
          <w:szCs w:val="28"/>
          <w:rtl w:val="true"/>
          <w:lang w:bidi="fa-IR"/>
        </w:rPr>
        <w:t>بسبب آخر یلزم تغسیله، ونیّة الغسل من الآمر</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منهما معاً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بل الأحوط أن ینوی الآمر والمأمور کلاهما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المغتسل علی الأقوی، وإن کان 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الروحانی،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وإن کان الأقوی کفایة نیّة المغتسل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لکون النیّة منه أصلاً، بل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یحتاج إلی الآمر إذا أقدم هو من عند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ما تقدّم من أنّ المعتبر نیّة الفاعل وهو المغتسل دون الآمر، فلا یکفی نیّة الآمر، مع أنّه لو صحّ ما ذکره لم تکفِ النیّة من المقتول، وقد أفتی فیه بالکفایة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المغتسل، وإذا احتاط الآمر کان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المأمور، والأحوط نیّة الآمر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أنّها من المأمور المباشر للفعل،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من المأمور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المأمور، والأحوط أن ینویا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المأمور، ونیّة الآمر أیضاً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المغتسل، والأحوط أن ینویا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المغتسل والأحوط نیّتهما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المأمور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المأمور، والأحوط أن یکون من الآمر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المغتسل،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نوی</w:t>
      </w:r>
      <w:bookmarkStart w:id="195" w:name="pg13276_136562"/>
    </w:p>
    <w:p>
      <w:pPr>
        <w:pStyle w:val="BookText"/>
        <w:rPr/>
      </w:pPr>
      <w:bookmarkEnd w:id="195"/>
      <w:r>
        <w:rPr>
          <w:rFonts w:ascii="IRNazanin" w:hAnsi="IRNazanin" w:eastAsia="IRNazanin"/>
          <w:color w:val="111111"/>
          <w:sz w:val="28"/>
          <w:sz w:val="28"/>
          <w:szCs w:val="28"/>
          <w:rtl w:val="true"/>
          <w:lang w:bidi="fa-IR"/>
        </w:rPr>
        <w:t>هو</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من المغتسل، وإن کان الأحوط تولّیهما، والإشکال السابق لا یکون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بنیّته ولو نوی الآمر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یجب أن ینوی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لو اغتسل من غیر أمر الإمام علیه‌السلام أو نائبه کفی، وإن کان الأحوط إعادته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763682_2322387425"/>
      <w:bookmarkStart w:id="197" w:name="_Toc74"/>
      <w:bookmarkEnd w:id="196"/>
      <w:r>
        <w:rPr>
          <w:rtl w:val="true"/>
        </w:rPr>
        <w:t>الحکم بجواز تکفین الشهید فوق الثیاب</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الغسل عن الشهید والمقتول بالرجم أو القصاص من باب العزیمة لا الرخصة، وأمّا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الشهید عاریاً وجب تکفینه، وإن کان علیه ثیابه فلا یبعـد</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حسن القمّی،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فلا یُترک الاحتیاط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 ومقتضی الاحتیاط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Heading3"/>
        <w:numPr>
          <w:ilvl w:val="2"/>
          <w:numId w:val="1"/>
        </w:numPr>
        <w:rPr/>
      </w:pPr>
      <w:bookmarkStart w:id="198" w:name="__RefHeading___Toc1763684_2322387425"/>
      <w:bookmarkStart w:id="199" w:name="_Toc75"/>
      <w:bookmarkEnd w:id="198"/>
      <w:r>
        <w:rPr>
          <w:rtl w:val="true"/>
        </w:rPr>
        <w:t>الحکم بجواز تکفین الشهید فوق الثیاب</w:t>
      </w:r>
      <w:bookmarkEnd w:id="199"/>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التکفین من مال الصغار، 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وإشکال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مع کبر الوارث وإذنه إذا کان من 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مشروعیته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استرضاء الورثة فی هذه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مشروعیته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bookmarkStart w:id="200" w:name="pg13276_136563"/>
    </w:p>
    <w:p>
      <w:pPr>
        <w:pStyle w:val="BookText"/>
        <w:rPr/>
      </w:pPr>
      <w:bookmarkEnd w:id="200"/>
      <w:r>
        <w:rPr>
          <w:rFonts w:ascii="IRNazanin" w:hAnsi="IRNazanin" w:eastAsia="IRNazanin"/>
          <w:color w:val="111111"/>
          <w:sz w:val="28"/>
          <w:sz w:val="28"/>
          <w:szCs w:val="28"/>
          <w:rtl w:val="true"/>
          <w:lang w:bidi="fa-IR"/>
        </w:rPr>
        <w:t>تکفینه</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تبرّعاً أو من ماله مع إذن الوارث الکبیر فی حصة من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تکفینه بعنوان الورود تشریع، کما أنّه لو کان إسرافاً وتضییعاً للمال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من الإسراف، ومع ذلک یحتاج إلی إذن کبار الورثة من سهامهم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والأظهر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هنا غرض عقلائی ولم ینطبق علیه عنوان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کالإسراف أو عدم رضا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نعم، لا بأس بتغطیته برداء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ثیاب الشهادة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جواز ذلک، بل یمنع، إلاّ إذا کانت ثیابه لا تکفی لستر بدنه فیتمّ ستره حین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01" w:name="__RefHeading___Toc1763686_2322387425"/>
      <w:bookmarkStart w:id="202" w:name="_Toc76"/>
      <w:bookmarkEnd w:id="201"/>
      <w:r>
        <w:rPr>
          <w:rtl w:val="true"/>
        </w:rPr>
        <w:t>ما یجوز وما لا یجوز نزعه من الشهید</w:t>
      </w:r>
      <w:bookmarkEnd w:id="2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نزع</w:t>
      </w:r>
      <w:r>
        <w:rPr>
          <w:rStyle w:val="FootnoteAnchor"/>
          <w:rtl w:val="true"/>
        </w:rPr>
        <w:footnoteReference w:id="196"/>
      </w:r>
      <w:r>
        <w:rPr>
          <w:rFonts w:ascii="IRNazanin" w:hAnsi="IRNazanin" w:eastAsia="IRNazanin"/>
          <w:color w:val="111111"/>
          <w:sz w:val="28"/>
          <w:sz w:val="28"/>
          <w:szCs w:val="28"/>
          <w:rtl w:val="true"/>
          <w:lang w:bidi="fa-IR"/>
        </w:rPr>
        <w:t xml:space="preserve">ثیابه وتکفینه، </w:t>
      </w:r>
    </w:p>
    <w:p>
      <w:pPr>
        <w:pStyle w:val="BookText"/>
        <w:rPr/>
      </w:pPr>
      <w:r>
        <w:rPr>
          <w:rFonts w:ascii="IRNazanin" w:hAnsi="IRNazanin" w:eastAsia="IRNazanin"/>
          <w:color w:val="111111"/>
          <w:sz w:val="28"/>
          <w:sz w:val="28"/>
          <w:szCs w:val="28"/>
          <w:rtl w:val="true"/>
          <w:lang w:bidi="fa-IR"/>
        </w:rPr>
        <w:t>ویستثنی</w:t>
      </w:r>
      <w:r>
        <w:rPr>
          <w:rStyle w:val="FootnoteAnchor"/>
          <w:rtl w:val="true"/>
        </w:rPr>
        <w:footnoteReference w:id="197"/>
      </w:r>
      <w:r>
        <w:rPr>
          <w:rFonts w:ascii="IRNazanin" w:hAnsi="IRNazanin" w:eastAsia="IRNazanin"/>
          <w:color w:val="111111"/>
          <w:sz w:val="28"/>
          <w:sz w:val="28"/>
          <w:szCs w:val="28"/>
          <w:rtl w:val="true"/>
          <w:lang w:bidi="fa-IR"/>
        </w:rPr>
        <w:t>من عدم جواز نزع ما علیه، أشیاء یجوز نزعها</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إذا کان دفنه سَرَفاً وتضییعاً للمال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یجب؛ لعدم رضا الورثة، أو کونهم صغاراً، وإن کان الأحسن رضا الکبار بدفنه علی ما علیه من أمثال تلک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یجب إن کان الترک إسرافاً وکان الورثة صغاراً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معتبر علیه، بل المیزان فی الجواز وعدمه عدم صدق الثوب وصدقه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کالخُفّ والنَعل والحِزام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ممّا لا یُعدّ من الثیاب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إذا لم یُعدّ من ثیابه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وأسلحة الحرب، واستثنی بعضهم الفرو، ولا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ینزع عنه، سواء أصابه دم أم لا، وکذا مطلق الجلود والخاتم، 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یبقی علیه ما صدق علیه أنّه من الثیاب، سواء أصابه دم أم لا، وینزع عنه غیر الثیاب، سواء أصابه دم أم لا، بل ویجب نزع غیر الثیاب إذا کان فیه تضییع للمال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w:t>
      </w:r>
      <w:r>
        <w:rPr>
          <w:rStyle w:val="FootnoteAnchor"/>
          <w:rtl w:val="true"/>
        </w:rPr>
        <w:footnoteReference w:id="199"/>
      </w:r>
      <w:r>
        <w:rPr>
          <w:rFonts w:ascii="IRNazanin" w:hAnsi="IRNazanin" w:eastAsia="IRNazanin"/>
          <w:color w:val="111111"/>
          <w:sz w:val="28"/>
          <w:sz w:val="28"/>
          <w:szCs w:val="28"/>
          <w:rtl w:val="true"/>
          <w:lang w:bidi="fa-IR"/>
        </w:rPr>
        <w:t>إذا أصابه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واستثنی بعضهم مطلق الجلود</w:t>
      </w:r>
      <w:r>
        <w:rPr>
          <w:rStyle w:val="FootnoteAnchor"/>
          <w:rtl w:val="true"/>
        </w:rPr>
        <w:footnoteReference w:id="200"/>
      </w:r>
      <w:r>
        <w:rPr>
          <w:rFonts w:ascii="IRNazanin" w:hAnsi="IRNazanin" w:eastAsia="IRNazanin"/>
          <w:color w:val="111111"/>
          <w:sz w:val="28"/>
          <w:sz w:val="28"/>
          <w:szCs w:val="28"/>
          <w:rtl w:val="true"/>
          <w:lang w:bidi="fa-IR"/>
        </w:rPr>
        <w:t>، وبعضهم استثنی الخاتم</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أمیر الموءمنین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یُنزَع من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 والخُفّ والقُلُنسوة والعِمامة والحِزام والسَراویل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غسل المیت، ح</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والمشهور لم یعملوا بتمام الخبر</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 فی الخبر یجوز نزعه، وغیر ذلک إن صدق علیه الثوب فلا یجوز نزعه، وإلاّ جاز، بل قد یجب إذا کان مصداقاً للترف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والمسألة محلّ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عدم وجود دلیل معتبر، 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أصابه دم یُترک ولاینزع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نزع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الأقوی، کما أنّ الأقوی وجوب نزع مالا یصدق علیه الثیاب؛ حذراً من التبذیر والإتلاف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الأحوط للوارث أن یرضی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مایصدق علیه</w:t>
      </w:r>
      <w:bookmarkStart w:id="203" w:name="pg13276_136566"/>
    </w:p>
    <w:p>
      <w:pPr>
        <w:pStyle w:val="BookText"/>
        <w:rPr/>
      </w:pPr>
      <w:bookmarkEnd w:id="203"/>
      <w:r>
        <w:rPr>
          <w:rFonts w:ascii="IRNazanin" w:hAnsi="IRNazanin" w:eastAsia="IRNazanin"/>
          <w:color w:val="111111"/>
          <w:sz w:val="28"/>
          <w:sz w:val="28"/>
          <w:szCs w:val="28"/>
          <w:rtl w:val="true"/>
          <w:lang w:bidi="fa-IR"/>
        </w:rPr>
        <w:t>الثوب</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المذکورات</w:t>
      </w:r>
      <w:r>
        <w:rPr>
          <w:rFonts w:eastAsia="IRNazanin" w:cs="IRNazanin"/>
          <w:color w:val="111111"/>
          <w:sz w:val="28"/>
          <w:szCs w:val="28"/>
          <w:rtl w:val="true"/>
          <w:lang w:bidi="fa-IR"/>
        </w:rPr>
        <w:t>.</w:t>
      </w:r>
    </w:p>
    <w:p>
      <w:pPr>
        <w:pStyle w:val="Heading3"/>
        <w:numPr>
          <w:ilvl w:val="2"/>
          <w:numId w:val="1"/>
        </w:numPr>
        <w:rPr/>
      </w:pPr>
      <w:bookmarkStart w:id="204" w:name="__RefHeading___Toc1763688_2322387425"/>
      <w:bookmarkStart w:id="205" w:name="_Toc77"/>
      <w:bookmarkEnd w:id="204"/>
      <w:r>
        <w:rPr>
          <w:rtl w:val="true"/>
        </w:rPr>
        <w:t>الشک فی شهادة من وجد میتاً فی المعرکة</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ثیاب الشهید للغیر ولم یرضَ بإبقائها تُنزع</w:t>
      </w:r>
      <w:r>
        <w:rPr>
          <w:rStyle w:val="FootnoteAnchor"/>
          <w:rtl w:val="true"/>
        </w:rPr>
        <w:footnoteReference w:id="204"/>
      </w:r>
      <w:r>
        <w:rPr>
          <w:rFonts w:ascii="IRNazanin" w:hAnsi="IRNazanin" w:eastAsia="IRNazanin"/>
          <w:color w:val="111111"/>
          <w:sz w:val="28"/>
          <w:sz w:val="28"/>
          <w:szCs w:val="28"/>
          <w:rtl w:val="true"/>
          <w:lang w:bidi="fa-IR"/>
        </w:rPr>
        <w:t>، وکذا إذا کانت للمیّت لکن کانت مرهونة</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إمکان الفکّ وجوبه وعدم جواز النزع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الغیر ولم یرضَ بإبقائها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فی المعرکة میّت لم یعلم أ نّه قتل شهیداً أم لا، فالأحوط</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أمارات القتل کالجرح فالظاهر وجوب تغسیله وتکفینه، ومعها لا یبعد إجراء حکم الشهید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لم یکن علیه أمارة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تغسیله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وجوبهما إذا لم یوجد فیه أثر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فی صورة الاطمئنان بشهادته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الأقوی ذلک، سیّما إذا لم توجد به جراحة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إلاّ إذا کان علیه أثر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206" w:name="pg13276_136567"/>
    </w:p>
    <w:p>
      <w:pPr>
        <w:pStyle w:val="BookText"/>
        <w:rPr/>
      </w:pPr>
      <w:bookmarkEnd w:id="206"/>
      <w:r>
        <w:rPr>
          <w:rFonts w:ascii="IRNazanin" w:hAnsi="IRNazanin" w:eastAsia="IRNazanin"/>
          <w:color w:val="111111"/>
          <w:sz w:val="28"/>
          <w:sz w:val="28"/>
          <w:szCs w:val="28"/>
          <w:rtl w:val="true"/>
          <w:lang w:bidi="fa-IR"/>
        </w:rPr>
        <w:t>وتکفینه</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إلاّ إذا قامت أمارة علی شهادته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علیه أثر القتل لا یغسّل، وإلاّ فیجب تغسیله وتکفینه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یکن فیه جراحة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فیه أثر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إلاّ أن یوجد فیه أثر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علیه أثر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إجراء حکم الشهید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763690_2322387425"/>
      <w:bookmarkStart w:id="208" w:name="_Toc78"/>
      <w:bookmarkEnd w:id="207"/>
      <w:r>
        <w:rPr>
          <w:rtl w:val="true"/>
        </w:rPr>
        <w:t>من لایجری علیه حکم الشهید</w:t>
      </w:r>
      <w:bookmarkEnd w:id="2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اُطلق علیه الشهید</w:t>
      </w:r>
      <w:r>
        <w:rPr>
          <w:rStyle w:val="FootnoteAnchor"/>
          <w:rtl w:val="true"/>
        </w:rPr>
        <w:footnoteReference w:id="208"/>
      </w:r>
      <w:r>
        <w:rPr>
          <w:rFonts w:ascii="IRNazanin" w:hAnsi="IRNazanin" w:eastAsia="IRNazanin"/>
          <w:color w:val="111111"/>
          <w:sz w:val="28"/>
          <w:sz w:val="28"/>
          <w:szCs w:val="28"/>
          <w:rtl w:val="true"/>
          <w:lang w:bidi="fa-IR"/>
        </w:rPr>
        <w:t>فی الأخبار من المطعون، والمبطون، والغریق، والمهدوم علیه، ومَن ماتت عند الطلق، والمدافع عن أهله وماله لا یجری علیه حکم الشهید؛ إذ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 فی الثواب</w:t>
      </w:r>
      <w:r>
        <w:rPr>
          <w:rFonts w:eastAsia="IRNazanin" w:cs="IRNazanin"/>
          <w:color w:val="111111"/>
          <w:sz w:val="28"/>
          <w:szCs w:val="28"/>
          <w:rtl w:val="true"/>
          <w:lang w:bidi="fa-IR"/>
        </w:rPr>
        <w:t xml:space="preserve">. </w:t>
      </w:r>
      <w:bookmarkStart w:id="209" w:name="pg13276_136568"/>
    </w:p>
    <w:p>
      <w:pPr>
        <w:pStyle w:val="Heading3"/>
        <w:numPr>
          <w:ilvl w:val="2"/>
          <w:numId w:val="1"/>
        </w:numPr>
        <w:rPr/>
      </w:pPr>
      <w:bookmarkStart w:id="210" w:name="__RefHeading___Toc1763692_2322387425"/>
      <w:bookmarkStart w:id="211" w:name="_Toc79"/>
      <w:bookmarkEnd w:id="209"/>
      <w:bookmarkEnd w:id="210"/>
      <w:r>
        <w:rPr>
          <w:rtl w:val="true"/>
        </w:rPr>
        <w:t>اذا اشتبه المسلم بالکافر</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w:t>
      </w:r>
      <w:r>
        <w:rPr>
          <w:rStyle w:val="FootnoteAnchor"/>
          <w:rtl w:val="true"/>
        </w:rPr>
        <w:footnoteReference w:id="209"/>
      </w:r>
      <w:r>
        <w:rPr>
          <w:rFonts w:ascii="IRNazanin" w:hAnsi="IRNazanin" w:eastAsia="IRNazanin"/>
          <w:color w:val="111111"/>
          <w:sz w:val="28"/>
          <w:sz w:val="28"/>
          <w:szCs w:val="28"/>
          <w:rtl w:val="true"/>
          <w:lang w:bidi="fa-IR"/>
        </w:rPr>
        <w:t>الـمسلم بـالکافر</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المسلم غیر الشهید؛ إذْ لو کان المفروض الشهید لم یکن وجه فی الاحتیاط بالتغسیل والتکفین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مورد المقتولین فی المعرکة، وإلاّ فلا أمر بالتغسیل والتکفین علی أیّ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غیر الشهید، بقرینة ذکر التغسیل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الاشتباه بین الشهید المسلم والکافر فمع عدم التجرّد لایجب الغسل والتکفین، ویجب باقی التجهیزات مع العلم الإجمالی بوجود المسلم، ومع التجرّد وجب التکفین أیضاً، ولا یجب شیء مع عدم العلم الإجمالی، وإن کان الاشتباه بین المسلم غیر الشهید والکافر فمع العلم الإجمالی بالمسلم وجب الاحتیاط بتمام التجهیزات، ومع عدمه لایجب شیء، وأمّا التمییز بما فی المتن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اشتبه الشهید المسلم فی المعرکة بالقتیل الکافر ولم یتمیّز ـ سواء کان واحداً أم أکثر ـ لم یجب تغسیل الجمیع ولا تکفینهم، سواء علم بوجود الشهید المسلم فیهم أم لا، فإن علم بوجود الشهید المسلم فیهم وجبت الصلاة علی الجمیع ومواراتهم، وینوی بصلاته علی الجمیع الصلاة علی المسلم الموجود فیهم، والأولی أن یجمع الجمیع فی صلاة واحدة وینوی بها الصلاة علی المسلم، وإذا لم یعلم بوجود المسلم فیهم لم تجب الصلاة ولا المواراة، ولا اعتبار بصغر الآلة و کبرها، وإذا اشتبه المیّت المسلم غیر الشهید بالمیّت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إجمالاً بوجود المسلم فیهم فالحکم کما فی المتن وجوب تجهیز الجمیع والصلاة علیهم ودفنهم، والأمر فی الصلاة کما تقدم، وإن لم یعلم إجمالاً بوجود المسلم فیهم لم یجب شیء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غیر الشهید، وإلاّ فلا مجال للتغسیل والتکفین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المسلم فی مفروض المسألة هو المسلم غیر الشهید،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 العلم</w:t>
      </w:r>
    </w:p>
    <w:p>
      <w:pPr>
        <w:pStyle w:val="BookText"/>
        <w:rPr/>
      </w:pPr>
      <w:r>
        <w:rPr>
          <w:rFonts w:ascii="IRNazanin" w:hAnsi="IRNazanin" w:eastAsia="IRNazanin"/>
          <w:color w:val="111111"/>
          <w:sz w:val="28"/>
          <w:sz w:val="28"/>
          <w:szCs w:val="28"/>
          <w:rtl w:val="true"/>
          <w:lang w:bidi="fa-IR"/>
        </w:rPr>
        <w:t>الإجمالیّ بوجود مسلم فی البین</w:t>
      </w:r>
      <w:r>
        <w:rPr>
          <w:rStyle w:val="FootnoteAnchor"/>
          <w:rtl w:val="true"/>
        </w:rPr>
        <w:footnoteReference w:id="211"/>
      </w:r>
      <w:r>
        <w:rPr>
          <w:rFonts w:ascii="IRNazanin" w:hAnsi="IRNazanin" w:eastAsia="IRNazanin"/>
          <w:color w:val="111111"/>
          <w:sz w:val="28"/>
          <w:sz w:val="28"/>
          <w:szCs w:val="28"/>
          <w:rtl w:val="true"/>
          <w:lang w:bidi="fa-IR"/>
        </w:rPr>
        <w:t>وجب</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هو المقرّر عندهم من تنجیز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فی المعرکة، وأمّا فیها مع التردّد بین الشهادة والقتل، فلا وجه للاحتیاط بالنسبة إلی غیر الدفن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بالتغسیل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کون المسلم شهیداً لاوجه للتغسیل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مفروض المسألة، وهو دوران أمر من وجد فی المعرکة بین المسلم والکافر یتعین الصلاة والدفن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کون المسلم شهیداً لاوجه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الکلام غیر صورة کون المسلم المحتمل شهیداً، وإلاّ فلا وجه للتغسیل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فرض کون المسلم شهیداً لاوجه للتغسیل والتکفین والتحنیط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والتکفین وغیرهما للجمیع، وإن لم یعلم ذلک لا یجب شیء من ذلک</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ولا اعتبار بصغر الآلة وکبرها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علیه أمارة الإسلام، ولم یکن فی بلاد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من لم تکن أمارة علی إسلامه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روایة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معتبرة، ولکنّها مجملة من جهاتٍ شتّی فیقتصر فی العمل علی موردها، بل الأولی العمل بالاحتیاط فی صورة عدم العلم الإجمالی أیضاً بالتغسیل والتکفین فی الأفراد المشتبهة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لاعبرة بهذه الروایة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یُمیّز بین المسلم والکافر بصغر الآلة وکبرها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بأس بالعمل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ولا یرتّب آثار الطهارة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حجّة فیجب العمل بها حتی فی مورد العلم الإجمالی، وإلاّ فلا وجه للعمل بها ولو فی غیر مورده، والظاهر أنّها لیست بحجّة للاطمئنان بکذب مضمونها خصوصاً فی ذلک الوقت، فإنّ بعض الإخوة فی ذلک الزمان کانوا مسلمین، وبعضهم الآخر لم یسلموا، فالفرق بینهما بما ذکر فی الروایة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فإنّ حکم الروایة الواردة قضیة فی 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جاز العمل بها لجاز فی مورده أیضاً، لکنّه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غیر صالحة للاعتماد علیها، فهی مطروحة أو مؤوّلة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العلم الإجمالیّ، والأحوط</w:t>
      </w:r>
      <w:bookmarkStart w:id="212" w:name="pg13276_136571"/>
    </w:p>
    <w:p>
      <w:pPr>
        <w:pStyle w:val="BookText"/>
        <w:rPr/>
      </w:pPr>
      <w:bookmarkEnd w:id="212"/>
      <w:r>
        <w:rPr>
          <w:rFonts w:ascii="IRNazanin" w:hAnsi="IRNazanin" w:eastAsia="IRNazanin"/>
          <w:color w:val="111111"/>
          <w:sz w:val="28"/>
          <w:sz w:val="28"/>
          <w:szCs w:val="28"/>
          <w:rtl w:val="true"/>
          <w:lang w:bidi="fa-IR"/>
        </w:rPr>
        <w:t>إجراء</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مطلقاً بعنوان الاحتمال، وبرجاء کونه مسلماً</w:t>
      </w:r>
      <w:r>
        <w:rPr>
          <w:rFonts w:eastAsia="IRNazanin" w:cs="IRNazanin"/>
          <w:color w:val="111111"/>
          <w:sz w:val="28"/>
          <w:szCs w:val="28"/>
          <w:rtl w:val="true"/>
          <w:lang w:bidi="fa-IR"/>
        </w:rPr>
        <w:t>.</w:t>
      </w:r>
    </w:p>
    <w:p>
      <w:pPr>
        <w:pStyle w:val="Heading3"/>
        <w:numPr>
          <w:ilvl w:val="2"/>
          <w:numId w:val="1"/>
        </w:numPr>
        <w:rPr/>
      </w:pPr>
      <w:bookmarkStart w:id="213" w:name="__RefHeading___Toc1763694_2322387425"/>
      <w:bookmarkStart w:id="214" w:name="_Toc80"/>
      <w:bookmarkEnd w:id="213"/>
      <w:r>
        <w:rPr>
          <w:rtl w:val="true"/>
        </w:rPr>
        <w:t>حکم مسّ الشهید والمقتول بالقصاص</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الشهید</w:t>
      </w:r>
      <w:r>
        <w:rPr>
          <w:rStyle w:val="FootnoteAnchor"/>
          <w:rtl w:val="true"/>
        </w:rPr>
        <w:footnoteReference w:id="215"/>
      </w:r>
      <w:r>
        <w:rPr>
          <w:rFonts w:ascii="IRNazanin" w:hAnsi="IRNazanin" w:eastAsia="IRNazanin"/>
          <w:color w:val="111111"/>
          <w:sz w:val="28"/>
          <w:sz w:val="28"/>
          <w:szCs w:val="28"/>
          <w:rtl w:val="true"/>
          <w:lang w:bidi="fa-IR"/>
        </w:rPr>
        <w:t>والمقتول بالقصاص</w:t>
      </w:r>
      <w:r>
        <w:rPr>
          <w:rStyle w:val="FootnoteAnchor"/>
          <w:rtl w:val="true"/>
        </w:rPr>
        <w:footnoteReference w:id="216"/>
      </w:r>
      <w:r>
        <w:rPr>
          <w:rFonts w:ascii="IRNazanin" w:hAnsi="IRNazanin" w:eastAsia="IRNazanin"/>
          <w:color w:val="111111"/>
          <w:sz w:val="28"/>
          <w:sz w:val="28"/>
          <w:szCs w:val="28"/>
          <w:rtl w:val="true"/>
          <w:lang w:bidi="fa-IR"/>
        </w:rPr>
        <w:t>بعد العمل بالکیفیّة السابقة لا یوجب الغسل</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أحوط بالنسبة إلی المقتول قصاصاً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یوجبه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3276_136572"/>
    </w:p>
    <w:p>
      <w:pPr>
        <w:pStyle w:val="Heading3"/>
        <w:numPr>
          <w:ilvl w:val="2"/>
          <w:numId w:val="1"/>
        </w:numPr>
        <w:rPr/>
      </w:pPr>
      <w:bookmarkStart w:id="216" w:name="__RefHeading___Toc1763696_2322387425"/>
      <w:bookmarkStart w:id="217" w:name="_Toc81"/>
      <w:bookmarkEnd w:id="215"/>
      <w:bookmarkEnd w:id="216"/>
      <w:r>
        <w:rPr>
          <w:rtl w:val="true"/>
        </w:rPr>
        <w:t>حکم القطعة المبانة من المیت</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Style w:val="FootnoteAnchor"/>
          <w:rtl w:val="true"/>
        </w:rPr>
        <w:footnoteReference w:id="218"/>
      </w:r>
      <w:r>
        <w:rPr>
          <w:rFonts w:ascii="IRNazanin" w:hAnsi="IRNazanin" w:eastAsia="IRNazanin"/>
          <w:color w:val="111111"/>
          <w:sz w:val="28"/>
          <w:sz w:val="28"/>
          <w:szCs w:val="28"/>
          <w:rtl w:val="true"/>
          <w:lang w:bidi="fa-IR"/>
        </w:rPr>
        <w:t>المبانة من المیّت</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أکثر ما ذکر فی هذه المسألة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فیها عظم لا یجب غسلها، ولا غیره، بل تُلفّ فی خرقة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الشرائط المقرّرة فی الکفن فیها سوی الإباحة، وإن کانت الرعایة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أکثر ما ذکر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اللفّ بها فیه وفیما بعده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وتدفن، وإن کان فیها عظم وکان غیر الصدر تُغسّل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إذا کان عظماً مجرّداً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الغسل فیه وفی العظم المجرّد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جزم به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فیه ما ذکرناه فی الحاشیة السابقة، بل فی کلّ مورد اکتُفی فیه بالخرقة اللفّافة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خرقة وتدفن،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تکفینها بقدر ما بقی من محلّ القطعات الثلاث، وکذا إن کان عظماً مجرّداً</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کانت مشتملة علی الصدر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فی وجوب الغسل والتکفین والصلاة بوجود القسم الفوقانی من البدن، أی الصدر وما یوازیه من الظهر، سواء وجد معه غیره أم لا، ویلحق به فی ذلک ما إذا وجد جمیع عظام هذا القسم، أو معظمه علی الأحوط لزوماً، وأمّا فی غیر ذلک فلا تجب الأمور المذکورة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الصدر وحده فتغسَّل وتکفّن ویصلّی علیها وتدفن، وکذا بعض الصدر إذا کان مشتملاً علی القلب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 عظم الصدر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لم یکن معه 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الکفن یجوز الاقتصار علی الثوب واللفّافة، إلاّ إذا کان بعض محلّ المئزر أیضاً موجوداً</w:t>
      </w:r>
      <w:r>
        <w:rPr>
          <w:rStyle w:val="FootnoteAnchor"/>
          <w:rtl w:val="true"/>
        </w:rPr>
        <w:footnoteReference w:id="221"/>
      </w:r>
      <w:r>
        <w:rPr>
          <w:rFonts w:ascii="IRNazanin" w:hAnsi="IRNazanin" w:eastAsia="IRNazanin"/>
          <w:color w:val="111111"/>
          <w:sz w:val="28"/>
          <w:sz w:val="28"/>
          <w:szCs w:val="28"/>
          <w:rtl w:val="true"/>
          <w:lang w:bidi="fa-IR"/>
        </w:rPr>
        <w:t>، والأحوط القطعات</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 مطلقاً، ویجب حنوطها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فیها شیء من المساجد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فیها موضع الحنوط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مشتملة علی مواضع السجود أو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بعض المساجد معها فیجب ذلک البعض، وإلاّ فهو الأحوط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فالأحوط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 من موضع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معها بعض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بعض المحالّ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بقیت تمام محالّه وموارده أو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مواضع الحنوط، وإلاّ فغیر معلوم،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بقی محلّ الحنوط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موضعاً للحنوط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فیها شیء من مواضع التحنیط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موضع الحنوط موجوداً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فیما إذا وجد بعض محالّه، والحکم فیه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bookmarkStart w:id="218" w:name="pg13276_136574"/>
    </w:p>
    <w:p>
      <w:pPr>
        <w:pStyle w:val="Heading3"/>
        <w:numPr>
          <w:ilvl w:val="2"/>
          <w:numId w:val="1"/>
        </w:numPr>
        <w:rPr/>
      </w:pPr>
      <w:bookmarkStart w:id="219" w:name="__RefHeading___Toc1763698_2322387425"/>
      <w:bookmarkStart w:id="220" w:name="_Toc82"/>
      <w:bookmarkEnd w:id="218"/>
      <w:bookmarkEnd w:id="219"/>
      <w:r>
        <w:rPr>
          <w:rtl w:val="true"/>
        </w:rPr>
        <w:t>جریان أحکام المیت لو بقی عظاماً بلا لحم</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بقی جمیع عظام المیّت</w:t>
      </w:r>
      <w:r>
        <w:rPr>
          <w:rStyle w:val="FootnoteAnchor"/>
          <w:rtl w:val="true"/>
        </w:rPr>
        <w:footnoteReference w:id="223"/>
      </w:r>
      <w:r>
        <w:rPr>
          <w:rFonts w:ascii="IRNazanin" w:hAnsi="IRNazanin" w:eastAsia="IRNazanin"/>
          <w:color w:val="111111"/>
          <w:sz w:val="28"/>
          <w:sz w:val="28"/>
          <w:szCs w:val="28"/>
          <w:rtl w:val="true"/>
          <w:lang w:bidi="fa-IR"/>
        </w:rPr>
        <w:t>بلا لحم وجب</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الحنوط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التحنیط، لکن بشرط صدق تحنیط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إجراء جمیع الأعمال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3276_136575"/>
    </w:p>
    <w:p>
      <w:pPr>
        <w:pStyle w:val="Heading3"/>
        <w:numPr>
          <w:ilvl w:val="2"/>
          <w:numId w:val="1"/>
        </w:numPr>
        <w:rPr/>
      </w:pPr>
      <w:bookmarkStart w:id="222" w:name="__RefHeading___Toc1763700_2322387425"/>
      <w:bookmarkStart w:id="223" w:name="_Toc83"/>
      <w:bookmarkEnd w:id="221"/>
      <w:bookmarkEnd w:id="222"/>
      <w:r>
        <w:rPr>
          <w:rtl w:val="true"/>
        </w:rPr>
        <w:t>حکم العضو المردد بین الذکر والأنثی</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القطعة مشتبهة</w:t>
      </w:r>
      <w:r>
        <w:rPr>
          <w:rStyle w:val="FootnoteAnchor"/>
          <w:rtl w:val="true"/>
        </w:rPr>
        <w:footnoteReference w:id="225"/>
      </w:r>
      <w:r>
        <w:rPr>
          <w:rFonts w:ascii="IRNazanin" w:hAnsi="IRNazanin" w:eastAsia="IRNazanin"/>
          <w:color w:val="111111"/>
          <w:sz w:val="28"/>
          <w:sz w:val="28"/>
          <w:szCs w:val="28"/>
          <w:rtl w:val="true"/>
          <w:lang w:bidi="fa-IR"/>
        </w:rPr>
        <w:t>بین الذکر والاُنثی الأحـوط</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هو المقرّر عندهم من تنجّز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علیها حکم الخنثی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یغسّلها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الاکتفاء بغسل أحدهما من وراء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وراء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غسله بترک النظر واللمس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هذه المسألة وما تقدم من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الثانیة أعمّ من أن یکون المشتبه میّتاً أو عضو میّت، فقال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یغسّله کلّ من الرجل والمرأة من وراء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فی المقام،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أن یغسّلها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وراء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الرجل والمرأة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ما قدّمناه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الخنثی جارٍ هنا،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وراء الثیاب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 والیأس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3276_136576"/>
    </w:p>
    <w:p>
      <w:pPr>
        <w:pStyle w:val="Heading2"/>
        <w:numPr>
          <w:ilvl w:val="1"/>
          <w:numId w:val="1"/>
        </w:numPr>
        <w:rPr/>
      </w:pPr>
      <w:bookmarkStart w:id="225" w:name="__RefHeading___Toc1763702_2322387425"/>
      <w:bookmarkStart w:id="226" w:name="_Toc84"/>
      <w:bookmarkEnd w:id="224"/>
      <w:bookmarkEnd w:id="225"/>
      <w:r>
        <w:rPr>
          <w:rtl w:val="true"/>
        </w:rPr>
        <w:t>فصل</w:t>
      </w:r>
      <w:r>
        <w:rPr>
          <w:rtl w:val="true"/>
        </w:rPr>
        <w:t xml:space="preserve">: </w:t>
      </w:r>
      <w:r>
        <w:rPr>
          <w:rtl w:val="true"/>
        </w:rPr>
        <w:t>فی کیفیّة غسل المیّت</w:t>
      </w:r>
      <w:bookmarkEnd w:id="226"/>
    </w:p>
    <w:p>
      <w:pPr>
        <w:pStyle w:val="Heading3"/>
        <w:numPr>
          <w:ilvl w:val="2"/>
          <w:numId w:val="1"/>
        </w:numPr>
        <w:rPr/>
      </w:pPr>
      <w:bookmarkStart w:id="227" w:name="__RefHeading___Toc1763704_2322387425"/>
      <w:bookmarkStart w:id="228" w:name="_Toc85"/>
      <w:bookmarkEnd w:id="227"/>
      <w:r>
        <w:rPr>
          <w:rtl w:val="true"/>
        </w:rPr>
        <w:t>ما یُعتبر فی غسل المیت</w:t>
      </w:r>
      <w:bookmarkEnd w:id="228"/>
    </w:p>
    <w:p>
      <w:pPr>
        <w:pStyle w:val="BookText"/>
        <w:rPr/>
      </w:pPr>
      <w:r>
        <w:rPr>
          <w:rFonts w:ascii="IRNazanin" w:hAnsi="IRNazanin" w:eastAsia="IRNazanin"/>
          <w:color w:val="111111"/>
          <w:sz w:val="28"/>
          <w:sz w:val="28"/>
          <w:szCs w:val="28"/>
          <w:rtl w:val="true"/>
          <w:lang w:bidi="fa-IR"/>
        </w:rPr>
        <w:t>یجب تغسیله ثلاثة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الکافور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هذا الترتیب، ولو خولف اُعید علی وجه یحصل الترتیب</w:t>
      </w:r>
      <w:r>
        <w:rPr>
          <w:rFonts w:eastAsia="IRNazanin" w:cs="IRNazanin"/>
          <w:color w:val="111111"/>
          <w:sz w:val="28"/>
          <w:szCs w:val="28"/>
          <w:rtl w:val="true"/>
          <w:lang w:bidi="fa-IR"/>
        </w:rPr>
        <w:t>.</w:t>
      </w:r>
    </w:p>
    <w:p>
      <w:pPr>
        <w:pStyle w:val="Heading3"/>
        <w:numPr>
          <w:ilvl w:val="2"/>
          <w:numId w:val="1"/>
        </w:numPr>
        <w:rPr/>
      </w:pPr>
      <w:bookmarkStart w:id="229" w:name="__RefHeading___Toc1763706_2322387425"/>
      <w:bookmarkStart w:id="230" w:name="_Toc86"/>
      <w:bookmarkEnd w:id="229"/>
      <w:r>
        <w:rPr>
          <w:rtl w:val="true"/>
        </w:rPr>
        <w:t>غسل المیت کغسل الجنابة علی کلام فی الارتماسی</w:t>
      </w:r>
      <w:bookmarkEnd w:id="230"/>
    </w:p>
    <w:p>
      <w:pPr>
        <w:pStyle w:val="BookText"/>
        <w:rPr/>
      </w:pPr>
      <w:r>
        <w:rPr>
          <w:rFonts w:ascii="IRNazanin" w:hAnsi="IRNazanin" w:eastAsia="IRNazanin"/>
          <w:color w:val="111111"/>
          <w:sz w:val="28"/>
          <w:sz w:val="28"/>
          <w:szCs w:val="28"/>
          <w:rtl w:val="true"/>
          <w:lang w:bidi="fa-IR"/>
        </w:rPr>
        <w:t>وکیفیة کلّ من الأغسال المذکورة کما ذکر فی الجنابة</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یجب فی تغسیل المیّت تقدیم الجانب الأیمن علی الأیسر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أوّلاً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غسل الرأس والرقبة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وبعده الطرف الأیمن، وبعده الأیسر، والعورة تنصّف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الاکتفاء بغسلها مع أیّ الطرفین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تغسّل مع کلٍّ من الطرفین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وکذا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یکفی الارتماسی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کفایته لایخلو من قوّة، 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الارتماس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 حتّی مع عدم التمکّن من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الأغسال الثلاثة مع</w:t>
      </w:r>
      <w:bookmarkStart w:id="231" w:name="pg13276_136577"/>
    </w:p>
    <w:p>
      <w:pPr>
        <w:pStyle w:val="BookText"/>
        <w:rPr/>
      </w:pPr>
      <w:bookmarkEnd w:id="231"/>
      <w:r>
        <w:rPr>
          <w:rFonts w:ascii="Amiri" w:hAnsi="Amiri" w:eastAsia="Amiri" w:cs="Amiri"/>
          <w:color w:val="111111"/>
          <w:sz w:val="28"/>
          <w:sz w:val="28"/>
          <w:szCs w:val="28"/>
          <w:rtl w:val="true"/>
          <w:lang w:bidi="ar-SA"/>
        </w:rPr>
        <w:t>التمکّن</w:t>
      </w:r>
      <w:r>
        <w:rPr>
          <w:rStyle w:val="FootnoteAnchor"/>
          <w:rtl w:val="true"/>
        </w:rPr>
        <w:footnoteReference w:id="228"/>
      </w:r>
      <w:r>
        <w:rPr>
          <w:rFonts w:ascii="IRNazanin" w:hAnsi="IRNazanin" w:eastAsia="IRNazanin"/>
          <w:color w:val="111111"/>
          <w:sz w:val="28"/>
          <w:sz w:val="28"/>
          <w:szCs w:val="28"/>
          <w:rtl w:val="true"/>
          <w:lang w:bidi="fa-IR"/>
        </w:rPr>
        <w:t>من الترتیب،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229"/>
      </w:r>
      <w:r>
        <w:rPr>
          <w:rFonts w:ascii="IRNazanin" w:hAnsi="IRNazanin" w:eastAsia="IRNazanin"/>
          <w:color w:val="111111"/>
          <w:sz w:val="28"/>
          <w:sz w:val="28"/>
          <w:szCs w:val="28"/>
          <w:rtl w:val="true"/>
          <w:lang w:bidi="fa-IR"/>
        </w:rPr>
        <w:t>فی کلّ غسلٍ رمسُ کلٍّ من الأعضاء الثلاثة مع مراعاة‌الترتیب فی الماء الکثیر</w:t>
      </w:r>
      <w:r>
        <w:rPr>
          <w:rFonts w:eastAsia="IRNazanin" w:cs="IRNazanin"/>
          <w:color w:val="111111"/>
          <w:sz w:val="28"/>
          <w:szCs w:val="28"/>
          <w:rtl w:val="true"/>
          <w:lang w:bidi="fa-IR"/>
        </w:rPr>
        <w:t>.</w:t>
      </w:r>
    </w:p>
    <w:p>
      <w:pPr>
        <w:pStyle w:val="Heading3"/>
        <w:numPr>
          <w:ilvl w:val="2"/>
          <w:numId w:val="1"/>
        </w:numPr>
        <w:rPr/>
      </w:pPr>
      <w:bookmarkStart w:id="232" w:name="__RefHeading___Toc1763708_2322387425"/>
      <w:bookmarkStart w:id="233" w:name="_Toc87"/>
      <w:bookmarkEnd w:id="232"/>
      <w:r>
        <w:rPr>
          <w:rtl w:val="true"/>
        </w:rPr>
        <w:t>إزاله النجاسة عن بدن المیت قبل التغسیل</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230"/>
      </w:r>
      <w:r>
        <w:rPr>
          <w:rFonts w:ascii="Amiri" w:hAnsi="Amiri" w:eastAsia="Amiri" w:cs="Amiri"/>
          <w:color w:val="111111"/>
          <w:sz w:val="28"/>
          <w:sz w:val="28"/>
          <w:szCs w:val="28"/>
          <w:rtl w:val="true"/>
          <w:lang w:bidi="ar-SA"/>
        </w:rPr>
        <w:t>إزالة النجاسة</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 کما تقدّم فی الوضوء وسائر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جمیع جسده قبل الشروع فی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کفایة إزالتها عن کلّ عضو قبل الشروع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763710_2322387425"/>
      <w:bookmarkStart w:id="235" w:name="_Toc88"/>
      <w:bookmarkEnd w:id="234"/>
      <w:r>
        <w:rPr>
          <w:rtl w:val="true"/>
        </w:rPr>
        <w:t>ما یعتبر فی السدر والکافور</w:t>
      </w:r>
      <w:bookmarkEnd w:id="23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کلّ</w:t>
      </w:r>
      <w:r>
        <w:rPr>
          <w:rStyle w:val="FootnoteAnchor"/>
          <w:rtl w:val="true"/>
        </w:rPr>
        <w:footnoteReference w:id="232"/>
      </w:r>
      <w:r>
        <w:rPr>
          <w:rFonts w:ascii="IRNazanin" w:hAnsi="IRNazanin" w:eastAsia="IRNazanin"/>
          <w:color w:val="111111"/>
          <w:sz w:val="28"/>
          <w:sz w:val="28"/>
          <w:szCs w:val="28"/>
          <w:rtl w:val="true"/>
          <w:lang w:bidi="fa-IR"/>
        </w:rPr>
        <w:t xml:space="preserve">من السدر والکافور أن لا یکون فی طرف الکثرة بمقدار یوجب إضافته وخروجه عن الإطلاق، وفی طرف </w:t>
      </w:r>
      <w:bookmarkStart w:id="236" w:name="pg13276_136578"/>
    </w:p>
    <w:p>
      <w:pPr>
        <w:pStyle w:val="BookText"/>
        <w:rPr/>
      </w:pPr>
      <w:bookmarkEnd w:id="236"/>
      <w:r>
        <w:rPr>
          <w:rFonts w:ascii="IRNazanin" w:hAnsi="IRNazanin" w:eastAsia="IRNazanin"/>
          <w:color w:val="111111"/>
          <w:sz w:val="28"/>
          <w:sz w:val="28"/>
          <w:szCs w:val="28"/>
          <w:rtl w:val="true"/>
          <w:lang w:bidi="fa-IR"/>
        </w:rPr>
        <w:t>القلّة یعتبر أن یکون بمقدار یصدق</w:t>
      </w:r>
      <w:r>
        <w:rPr>
          <w:rStyle w:val="FootnoteAnchor"/>
          <w:rtl w:val="true"/>
        </w:rPr>
        <w:footnoteReference w:id="233"/>
      </w:r>
      <w:r>
        <w:rPr>
          <w:rFonts w:ascii="IRNazanin" w:hAnsi="IRNazanin" w:eastAsia="IRNazanin"/>
          <w:color w:val="111111"/>
          <w:sz w:val="28"/>
          <w:sz w:val="28"/>
          <w:szCs w:val="28"/>
          <w:rtl w:val="true"/>
          <w:lang w:bidi="fa-IR"/>
        </w:rPr>
        <w:t>أ نّه مخلوط بالسدر</w:t>
      </w:r>
      <w:r>
        <w:rPr>
          <w:rStyle w:val="FootnoteAnchor"/>
          <w:rtl w:val="true"/>
        </w:rPr>
        <w:footnoteReference w:id="234"/>
      </w:r>
      <w:r>
        <w:rPr>
          <w:rFonts w:ascii="IRNazanin" w:hAnsi="IRNazanin" w:eastAsia="IRNazanin"/>
          <w:color w:val="111111"/>
          <w:sz w:val="28"/>
          <w:sz w:val="28"/>
          <w:szCs w:val="28"/>
          <w:rtl w:val="true"/>
          <w:lang w:bidi="fa-IR"/>
        </w:rPr>
        <w:t>أو الکافور</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بأس أن یکون شیء منهما إذا لم یصدق الخلط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الماء القراح یعتبر صدق الخلوص منهما، وقدّر بعضهم السدر برطل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والکافور بنصف مثقال تقریباً، لکنّ المناط ما ذکرنا</w:t>
      </w:r>
      <w:r>
        <w:rPr>
          <w:rFonts w:eastAsia="IRNazanin" w:cs="IRNazanin"/>
          <w:color w:val="111111"/>
          <w:sz w:val="28"/>
          <w:szCs w:val="28"/>
          <w:rtl w:val="true"/>
          <w:lang w:bidi="fa-IR"/>
        </w:rPr>
        <w:t>.</w:t>
      </w:r>
    </w:p>
    <w:p>
      <w:pPr>
        <w:pStyle w:val="Heading3"/>
        <w:numPr>
          <w:ilvl w:val="2"/>
          <w:numId w:val="1"/>
        </w:numPr>
        <w:rPr/>
      </w:pPr>
      <w:bookmarkStart w:id="237" w:name="__RefHeading___Toc1763712_2322387425"/>
      <w:bookmarkStart w:id="238" w:name="_Toc89"/>
      <w:bookmarkEnd w:id="237"/>
      <w:r>
        <w:rPr>
          <w:rtl w:val="true"/>
        </w:rPr>
        <w:t>الوضوء مع غسل المیّت</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مع غسل المیّت الوضوء</w:t>
      </w:r>
      <w:r>
        <w:rPr>
          <w:rStyle w:val="FootnoteAnchor"/>
          <w:rtl w:val="true"/>
        </w:rPr>
        <w:footnoteReference w:id="236"/>
      </w:r>
      <w:r>
        <w:rPr>
          <w:rFonts w:ascii="IRNazanin" w:hAnsi="IRNazanin" w:eastAsia="IRNazanin"/>
          <w:color w:val="111111"/>
          <w:sz w:val="28"/>
          <w:sz w:val="28"/>
          <w:szCs w:val="28"/>
          <w:rtl w:val="true"/>
          <w:lang w:bidi="fa-IR"/>
        </w:rPr>
        <w:t>قبله أو بعده وإن کان مستحبّاً</w:t>
      </w:r>
      <w:r>
        <w:rPr>
          <w:rStyle w:val="FootnoteAnchor"/>
          <w:rtl w:val="true"/>
        </w:rPr>
        <w:footnoteReference w:id="237"/>
      </w:r>
      <w:r>
        <w:rPr>
          <w:rFonts w:ascii="IRNazanin" w:hAnsi="IRNazanin" w:eastAsia="IRNazanin"/>
          <w:color w:val="111111"/>
          <w:sz w:val="28"/>
          <w:sz w:val="28"/>
          <w:szCs w:val="28"/>
          <w:rtl w:val="true"/>
          <w:lang w:bidi="fa-IR"/>
        </w:rPr>
        <w:t>، والأولی أن یکون قبله</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ذلک، وإن کان أصل الوضوء مستحبّاً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Heading3"/>
        <w:numPr>
          <w:ilvl w:val="2"/>
          <w:numId w:val="1"/>
        </w:numPr>
        <w:rPr/>
      </w:pPr>
      <w:bookmarkStart w:id="239" w:name="__RefHeading___Toc1763714_2322387425"/>
      <w:bookmarkStart w:id="240" w:name="_Toc90"/>
      <w:bookmarkEnd w:id="239"/>
      <w:r>
        <w:rPr>
          <w:rtl w:val="true"/>
        </w:rPr>
        <w:t>مقدار الماء الذی یغسل به المیّت</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لماء غسل المیّت حدّ</w:t>
      </w:r>
      <w:r>
        <w:rPr>
          <w:rStyle w:val="FootnoteAnchor"/>
          <w:rtl w:val="true"/>
        </w:rPr>
        <w:footnoteReference w:id="239"/>
      </w:r>
      <w:r>
        <w:rPr>
          <w:rFonts w:ascii="IRNazanin" w:hAnsi="IRNazanin" w:eastAsia="IRNazanin"/>
          <w:color w:val="111111"/>
          <w:sz w:val="28"/>
          <w:sz w:val="28"/>
          <w:szCs w:val="28"/>
          <w:rtl w:val="true"/>
          <w:lang w:bidi="fa-IR"/>
        </w:rPr>
        <w:t>، بل المناط کونه بمقدار یفی بالواجبات أو مع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أوصی إلی أمیر الموءمنین علیه‌السلام أن یغسّله بستّ قِرَب</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والتأسّی به صلی‌الله‌علیه‌و‌آله حسن مستحسن</w:t>
      </w:r>
      <w:r>
        <w:rPr>
          <w:rFonts w:eastAsia="IRNazanin" w:cs="IRNazanin"/>
          <w:color w:val="111111"/>
          <w:sz w:val="28"/>
          <w:szCs w:val="28"/>
          <w:rtl w:val="true"/>
          <w:lang w:bidi="fa-IR"/>
        </w:rPr>
        <w:t>.</w:t>
      </w:r>
      <w:bookmarkStart w:id="241" w:name="pg13276_136579"/>
    </w:p>
    <w:p>
      <w:pPr>
        <w:pStyle w:val="Heading3"/>
        <w:numPr>
          <w:ilvl w:val="2"/>
          <w:numId w:val="1"/>
        </w:numPr>
        <w:rPr/>
      </w:pPr>
      <w:bookmarkStart w:id="242" w:name="__RefHeading___Toc1763716_2322387425"/>
      <w:bookmarkStart w:id="243" w:name="_Toc91"/>
      <w:bookmarkEnd w:id="241"/>
      <w:bookmarkEnd w:id="242"/>
      <w:r>
        <w:rPr>
          <w:rtl w:val="true"/>
        </w:rPr>
        <w:t>حکم تعذّر أحد الخلیطین أو کلیهما</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أحد الخلیطین سقط اعتباره، واکتفی بالماء القراح</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والأحوط ضمّ التیمّم إلیه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أن یتیمّم أیضاً بعد کلٍّ من الغسلین البدلین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عند تعذّر أحد الخلیطین أو کلیهما أن یجمع بین التیمّم والتغسیل بالماء القراح بدل المتعذّر، کما أنّ الأحوط عند تعذّر الماء القراح أن یجمع بین التیمّم والتغسیل بماء السدر أو الکافور بدل التغسیل بالماء القراح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 مع ضمّ التیمّم بدلاً عن المتعذّر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یقتضی الجمع بین المحتملات، بأن یأتی بالغسل بالمقدار الممکن والتیمّم بدلاً عن الغسل، وممّا ذکرنا یظهر الحال فی المسألة السابعة، وطریق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والأحوط الجمع بین ما ذکره وبین تیمّم واحد فی جمیع الصور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بدله، ویأتی بالآخَرَین، وإن تعذّر کلاهما سقطا، وغسّل بالقراح ثلاثة أغسال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الاکتفاء بغسل واحد إذا تعذّر الخلیطان، وإن تعذّر أحدهما اکتفی بغسلین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ونوی بالأوّل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لایعتبر قصد البدلیّة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قصد التکلیف الواقعی الفعلی، دون البدلیّة فی الجمیع، ویقصد فی الثالث علی الأحوط التکلیف الفعلی الأعمّ من الثالث، أو ما هو تمام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بدل السدر، وبالثانی ما هو بدل الکافور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3276_136580"/>
    </w:p>
    <w:p>
      <w:pPr>
        <w:pStyle w:val="Heading3"/>
        <w:numPr>
          <w:ilvl w:val="2"/>
          <w:numId w:val="1"/>
        </w:numPr>
        <w:rPr/>
      </w:pPr>
      <w:bookmarkStart w:id="245" w:name="__RefHeading___Toc1763718_2322387425"/>
      <w:bookmarkStart w:id="246" w:name="_Toc92"/>
      <w:bookmarkEnd w:id="244"/>
      <w:bookmarkEnd w:id="245"/>
      <w:r>
        <w:rPr>
          <w:rtl w:val="true"/>
        </w:rPr>
        <w:t>بدلیّة التیمّم عن تغسیل المیت</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الماء یتیمّم ثلاث تیمّمات</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یبعد الاکتفاء بتیمّم واحد بدلاً عن غسل المیّت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الواحد، ولکنّ الاحتیاط بالثلاث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الاکتفاء بتیمّم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کفایة تیمّم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 عن الأغسال علی الترتیب،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أحد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لکن یکفی قصد ما فی الذمّة فی واحد من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مع الرجاء فی الثلاثة بقصد البدلیّة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تیمّم آخر بقصد بدلیّة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المجموع، وإن نوی فی التیمّم الثالث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إن نوی فی کلٍّ من الأوّلین ما فی الذمّة کفی 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اختصاص لذلک بالأخیر،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یختصّ ذلک بالثالث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کیفیّة الاحتیاط أن یتیمّم أوّلاً بدلاً عن مجموع الأغسال، ثمّ الإتیان بالثلاث بدلاً عن الأغسال علی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اختصاص فی حصول الاحتیاط فیما إذا نوی کذلک بالتیّمم الثالث،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 الأوّل بقصد ما فی الذمّة من بدلیة المجموع، أو ماء السدر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لافرق بین الأوّلین والثالث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أحد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فی الأولین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ویجزی فی الاحتیاط نیّة التکلیف الفعلی فی أحد التیمّمات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المسألة، ویکفی فی حصوله أن یأتی بأحد التیمّمات الثلاثة بقصد الأمر الفعلی المتوجّه إلیه بذلک التیمّم، ولا یختصّ بالثالث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لافرق فی ذلک بین التیمّم الثالث والأوّلین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یختصّ ذلک بالثالث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اختصاص للتیمّم بذلک، بل یجری فی أحد الأوّلین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w:t>
      </w:r>
      <w:bookmarkStart w:id="247" w:name="pg13276_136581"/>
    </w:p>
    <w:p>
      <w:pPr>
        <w:pStyle w:val="BookText"/>
        <w:rPr/>
      </w:pPr>
      <w:bookmarkEnd w:id="247"/>
      <w:r>
        <w:rPr>
          <w:rFonts w:ascii="Amiri" w:hAnsi="Amiri" w:eastAsia="Amiri" w:cs="Amiri"/>
          <w:color w:val="111111"/>
          <w:sz w:val="28"/>
          <w:sz w:val="28"/>
          <w:szCs w:val="28"/>
          <w:rtl w:val="true"/>
          <w:lang w:bidi="ar-SA"/>
        </w:rPr>
        <w:t>الذمّة</w:t>
      </w:r>
      <w:r>
        <w:rPr>
          <w:rStyle w:val="FootnoteAnchor"/>
          <w:rtl w:val="true"/>
        </w:rPr>
        <w:footnoteReference w:id="243"/>
      </w:r>
      <w:r>
        <w:rPr>
          <w:rFonts w:ascii="IRNazanin" w:hAnsi="IRNazanin" w:eastAsia="IRNazanin"/>
          <w:color w:val="111111"/>
          <w:sz w:val="28"/>
          <w:sz w:val="28"/>
          <w:szCs w:val="28"/>
          <w:rtl w:val="true"/>
          <w:lang w:bidi="fa-IR"/>
        </w:rPr>
        <w:t>من بدلیّة الجمیع، أو خصوص الماء القراح کفی فی الاحتیاط</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یکفی فیه قصد ما فی الذمّة فی أحد التیمّمین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اختصاص بالأخیر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763720_2322387425"/>
      <w:bookmarkStart w:id="249" w:name="_Toc93"/>
      <w:bookmarkEnd w:id="248"/>
      <w:r>
        <w:rPr>
          <w:rtl w:val="true"/>
        </w:rPr>
        <w:t>کفایة الماء لغسل واحد</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حوله فی المسألة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بمقدار 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عنده الخلیطان</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الإتیان بالغُسل بنیّة ما فی الذمّة، وبالتیمّم مرّتین قبله ومرّتین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أن یبتدئ بالتیمّمین بدلاً عن الخلیطین، ثمّ یغسّله ثمّ یعیدهما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فَقَدَ الخلیطین معاً فالأحوط له أن یُیمّم المیّت مرّتین بدلاً عن السدر، ثمّ عن الکافور، ویغسّله بعد ذلک بقصد ما فی الذمّة، ثمّ یُیمّمه مرّتین بدلاً عن الکافور ثمّ عن القراح، وإذا وجد الخلیطین معاً فالأقوی التخییر فی صرف الماء بین الأغسال الثلاثة، والأحوط أن یصرفه فی السدر ویُیمّمه للکافور والقراح، إذا وجد السدر وحده تخیّر فی صرف الماء فی غسل السدر أو فی القراح،الأحوط أن یغسّله بالسدر ویُیمّمه للآخَرَین، وإذا وجد الکافور وحده یمّمه بدلاً عن السدر، وتخیّر فی صرف الماء إمّا فی الکافور أو فی القراح ویُیمّمه للآخَر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الإتیان بالغسل بنیّة ما فی الذمّة، وبالتیمّم مرّتین قبله ومرّتین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کلاهما أو السدر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فی الغسل</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الصورتین الأخیرتین، وأمّا فی الاُولی فلا یبعد تعیّن صرفه فی الثالث، والتیمّم بدلاً عن الأول 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فیما إذا لم یکن عنده الخلیطان أن یأتی بالغسل بقصد الأمر الفعلی، ویُیمّمه تیمّمین قبله عن السدر والکافور، وتیمّمین بعده عن الکافور والقراح احتیاطاً فی الجمیع، وإن کان عنده السدر تعیّن صرفه فی الأوّل علی الأقوی، ویأتی بالتیمّم بدلاً عن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الصورتین الأخیرتین لایخلو من قرب، وأمّا فی الصورة الاُولی ففیه إشکال، ولا یبعد لزوم صرفه فی الثالث بعد التیمّم أوّلاً، بدلاً عن الأوّل 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عنده الخلیطان أو السدر فقط، وأمّا لو کان عنده الکافور فقط صرفه فیه بعد التیمّم عن الأوّل، ومع فقدهما یصرفه فی الأخیر ویُیمّمه عن الأوّلین، والأحوط فی الصورة الأخیرة الإتیان بتیمّمین ثمّ الغسل بقصد ما فی الذمّة فی الجمیع، ثمّ بتیمّمین بدلاً عن الکافور والقراح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المتیقّن، خصوصاً مع وجود السدر فقط، کما أنّ مع وجود الکافور فالأحوط إدخاله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هذه المسألة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الخلیطین، وعدمهما، ووجود السدر فقط، ووجود الکافور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صرفه فی غسل السدر، ولا وجه للتخییر؛ لأنّه عند التزاحم المقدّم فی الوجود مقدّم إذا کان الترتیب شرعیّاً، فیتیمّم بدلاً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صرفه فی غسل بعنوان ما فی ذمّته؛ لأنّ ثبوت بدلیّة الخالی عن الخلیط عمّا هو مع الخلیط مع بقاء الترتیب الشرعیّ، حتی تکون نتیجته صرفه فی ما هو البدل عن غسل السدر، لایخلو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الاُولی، ولا وجه للتخییر، وسقوط الترتیب، فیتیمّم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صرفه فی الغسل الثانی؛ لأنّ الأمر یدور بین صرفه فیما هو بدل عن الغسل الأول حفظاً للترتیب، أو فی الثانی لوجود الخلیط، ولکن حیث إنّ ثبوت البدلیّة لا یخلو من إشکال ـ کما تقدم ـ فالأولی صرفه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الأخیرتین، وأمّا فی الاُولی فالأحوط أن یتیمّم مرّتین بقصد رجاء البدلیّة عن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یأتی بالغسل بقصد ما فی الذمّة عن الأوّل والثالث، ثمّ بالتیمّم مرّتین بقصد الرجاء عن الثانی والثالث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فی تمام الصور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الصورتین الأخیرتین، ولا یبعد وجوب صرفه فی الصورة الاُولی فی الغسل الأخیر ویتیمّم للأوّلین، والأحوط أن یقصد به ما فی الذمّة، مع تقدیم تیمّمین علیه وتأخیر تیمّمین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الصورة الاُولی، وأمّا فیها فلا یُترک الاحتیاط بقصد ما فی الذمّة من الأوّل والثالث، بل لا یخلو الثالث من وجه؛ لأنّ الأوّلین هما المتعذّران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یقصد التکلیف الواقعی فی الجمیع، ویستعمل الخلیط فی الأخیرین بما لایوجب سلب صدق الخلوص عن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فی صورة فقد الخلیطین یتعیّن صرفه فی الأخیر، وأمّا فی صورة وجودهما، أو وجود السدر فقط فیحتمل التخییر فی صرفه فی کلٍّ من الثلاثة فی الاُولی، وفی کلٍّ من الاثنین فی الثانیة، ویحتمل تعیّن صرفه فی الأوّل فیهما، ولعلّ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التیمّم فی شیء من الصور، وبه یظهر حکم ما إذا کان عنده الکافور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ویأتی بالتیمّم بدلاً عن کلٍّ 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الآخَرَین</w:t>
      </w:r>
      <w:r>
        <w:rPr>
          <w:rStyle w:val="FootnoteAnchor"/>
          <w:rtl w:val="true"/>
        </w:rPr>
        <w:footnoteReference w:id="248"/>
      </w:r>
      <w:r>
        <w:rPr>
          <w:rFonts w:ascii="IRNazanin" w:hAnsi="IRNazanin" w:eastAsia="IRNazanin"/>
          <w:color w:val="111111"/>
          <w:sz w:val="28"/>
          <w:sz w:val="28"/>
          <w:szCs w:val="28"/>
          <w:rtl w:val="true"/>
          <w:lang w:bidi="fa-IR"/>
        </w:rPr>
        <w:t>علی الترتیب</w:t>
      </w:r>
      <w:r>
        <w:rPr>
          <w:rStyle w:val="FootnoteAnchor"/>
          <w:rtl w:val="true"/>
        </w:rPr>
        <w:footnoteReference w:id="249"/>
      </w:r>
      <w:r>
        <w:rPr>
          <w:rFonts w:ascii="IRNazanin" w:hAnsi="IRNazanin" w:eastAsia="IRNazanin"/>
          <w:color w:val="111111"/>
          <w:sz w:val="28"/>
          <w:sz w:val="28"/>
          <w:szCs w:val="28"/>
          <w:rtl w:val="true"/>
          <w:lang w:bidi="fa-IR"/>
        </w:rPr>
        <w:t>، ویحتمل التخییر</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التخییر فی صرفه فی کلٍّ من الثلاثة هو الأقوی فی الصورة الثانیة، والأحوط فی الاُولی صرفه فی الأخیر، وفی الثالثة یتخیّر بین صرفه فی الأوّل والأخیر، وفی الرابعة یتخیّر بین صرفه فی الثانی والأخیر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صرفه فی الغسل الأوّل؛ لدوران الأمر بین التعیین والتخییر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الصورتین الاُولَیَین فی صرفه فی کلٍّ من الثلاثة فی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کلٍّ من الأول والثانی فی الثانیة، وإن کان عنده الکافور فقط فیحتمل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کذلک، ویحتمل أن یجب 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الاحتمال قوی جداً، بل متعیّن بناءً علی اعتبار قصد عنوان الغسل بالسدر والکافور تفصیلاً، فیتیمّم أوّلاً عن الغسل بماء السدر، ثمّ یغسّل بماء الکافور، ثمّ یتیمّم بدلاً عن الغسل بالماء القراح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الماء فی الغسل</w:t>
      </w:r>
      <w:bookmarkStart w:id="250" w:name="pg13276_136586"/>
    </w:p>
    <w:p>
      <w:pPr>
        <w:pStyle w:val="BookText"/>
        <w:rPr/>
      </w:pPr>
      <w:bookmarkEnd w:id="250"/>
      <w:r>
        <w:rPr>
          <w:rFonts w:ascii="IRNazanin" w:hAnsi="IRNazanin" w:eastAsia="IRNazanin"/>
          <w:color w:val="111111"/>
          <w:sz w:val="28"/>
          <w:sz w:val="28"/>
          <w:szCs w:val="28"/>
          <w:rtl w:val="true"/>
          <w:lang w:bidi="fa-IR"/>
        </w:rPr>
        <w:t>الثانی</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ذلک بقصد ما فی الذمّة؛ لضعف مستند الترجیح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الکافور، ویأتی بالتیمّم بدل الأوّل والثالث، فییمّمه أوّلاً، ثمّ یغسّله بماء الکافور، ثمَّ ییمّمه بدل القراح</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763722_2322387425"/>
      <w:bookmarkStart w:id="252" w:name="_Toc94"/>
      <w:bookmarkEnd w:id="251"/>
      <w:r>
        <w:rPr>
          <w:rtl w:val="true"/>
        </w:rPr>
        <w:t>حکم من تعذّر تغسیله لجرح أو حرق ونحو ذلک</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مجروحاً أو محروقاً أو مجدوراً أو نحو ذلک ممّا یخاف معه تناثر جلده یُیَمَّم ـ کما فی صورة فقد الماء ـ ثلاث تیمّمات</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الاحتیاط المتقدّم فی صورة تعذّر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أن ینوی فی الثالثة بدلَ ما فی الذمّة، کماتقدم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قاصداً بأحدها ما فی الذمّة،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ویحتمل قریباً الاکتفاء بواحد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 علی ما مرّ فی بحث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تیمّم آخر بقصد بدلیّة المجموع، ویکفی أن ینوی فی التیمّم الثالث ما فی الذمّة من بدلیّة الجمیع، أو خصوص ماء القراح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الاحتیاط بضمّ الرابع، أو القصد فی الثالث إلی ما فی الذمّة،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الاحتیاط المتقدم فی 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الاحتیاط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وأحوط من هذا أن یأتی برابع بدلاً عن المجموع، أو ینوی ما فی الذمّة فی أحد الثلاثة، وذلک من جهة احتمال الاکتفاء بواحد؛ لإطلاق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غسل المیّت،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الثانی لاحتمال الاحتیاج إلی قصده البدلیّة عن المجموع؛ لکونه غسلاً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الاحتیاط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یضمّ الرابع بقصد ما فی الذمّة، أو یقصد فی الثالث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الاحتیاط بضمّ الرابع، أو القصد فی أحدهما ما فی الذمّة،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الاحتیاط بقصد ما فی الذمّة فی إحداها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بأحد التیمّمات الثلاثة بقصد الأمر الفعلی المتوجّه إلیه بذلک التیمم،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الاحتیاط المتقدم عند تعذّر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تیمّم واحد بدلاً عن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غسل المیّت جبیرة، بل هی غیر مشروعة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کفایة تیمّم واحد،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3276_136587"/>
    </w:p>
    <w:p>
      <w:pPr>
        <w:pStyle w:val="Heading3"/>
        <w:numPr>
          <w:ilvl w:val="2"/>
          <w:numId w:val="1"/>
        </w:numPr>
        <w:rPr/>
      </w:pPr>
      <w:bookmarkStart w:id="254" w:name="__RefHeading___Toc1763724_2322387425"/>
      <w:bookmarkStart w:id="255" w:name="_Toc95"/>
      <w:bookmarkEnd w:id="253"/>
      <w:bookmarkEnd w:id="254"/>
      <w:r>
        <w:rPr>
          <w:rtl w:val="true"/>
        </w:rPr>
        <w:t>المیت المحرم لا یُمسُّ بالکافور</w:t>
      </w:r>
      <w:bookmarkEnd w:id="25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المیّت مُحرِماً لا یُجعل الکافور</w:t>
      </w:r>
      <w:r>
        <w:rPr>
          <w:rStyle w:val="FootnoteAnchor"/>
          <w:rtl w:val="true"/>
        </w:rPr>
        <w:footnoteReference w:id="253"/>
      </w:r>
      <w:r>
        <w:rPr>
          <w:rFonts w:ascii="IRNazanin" w:hAnsi="IRNazanin" w:eastAsia="IRNazanin"/>
          <w:color w:val="111111"/>
          <w:sz w:val="28"/>
          <w:sz w:val="28"/>
          <w:szCs w:val="28"/>
          <w:rtl w:val="true"/>
          <w:lang w:bidi="fa-IR"/>
        </w:rPr>
        <w:t xml:space="preserve">فی ماء غسله </w:t>
      </w:r>
    </w:p>
    <w:p>
      <w:pPr>
        <w:pStyle w:val="BookText"/>
        <w:rPr/>
      </w:pPr>
      <w:r>
        <w:rPr>
          <w:rFonts w:ascii="IRNazanin" w:hAnsi="IRNazanin" w:eastAsia="IRNazanin"/>
          <w:color w:val="111111"/>
          <w:sz w:val="28"/>
          <w:sz w:val="28"/>
          <w:szCs w:val="28"/>
          <w:rtl w:val="true"/>
          <w:lang w:bidi="fa-IR"/>
        </w:rPr>
        <w:t>فی الغسل الثانی، إلاّ أن یکون موته</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الجواز خروجه عن الإحرام، وهو فی العمرة یحصل بالتقصیر وفی الحجّ یحصل بالسعی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طواف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فی الحجّ، والتقصیر فی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فی الحجّ بأقسامه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فی الحجّ، وأمّا العمرة فلا استثناء فیها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فی الحجّ، وبعد التقصیر فی العمرة، وعلی هذا یجب استعمال الکافور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السعی فی الحجّ، والتقصیر فی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صلاة الطواف والسعی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یحلّ للمعتمر الطِیب إلاّ بالتقصیر، وحینئذٍ یحلّ من إحرامه فلا یکون ممّا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وذلک لتقیید إطلاق ما یدل علی جواز استعمال الطِیب بعد الطواف بالروایة التی تدلّ علی عدم الجواز إلاّ بعد السعی، وقد عمل جمع من الأصحاب بالمقیّد، والأحوط فی العمرة أن یکون استعماله بعد التقصیر؛ لأنّ شمول الروایات للعمرة لایخلو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أنّه لا یحلّ الطِیب للمعتمر إلی أن یقصّر، وبه یخرج عن الاعتمار، فلا استثناء فی العمرة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وفی العمرة لا یحلّ إلاّ بالتقصیر، وحینئذٍ یغسل بالکافور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فی الحجّ، والإتمام فی العمرة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فی الحجّ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الحلق فی حجّ الإفراد والقِران، وبعد الطواف وصلاته والسعی فی حجّ التمتع، وأمّا العمرة فلا استثناء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56" w:name="pg13276_136589"/>
    </w:p>
    <w:p>
      <w:pPr>
        <w:pStyle w:val="BookText"/>
        <w:rPr/>
      </w:pPr>
      <w:bookmarkEnd w:id="256"/>
      <w:r>
        <w:rPr>
          <w:rFonts w:ascii="IRNazanin" w:hAnsi="IRNazanin" w:eastAsia="IRNazanin"/>
          <w:color w:val="111111"/>
          <w:sz w:val="28"/>
          <w:sz w:val="28"/>
          <w:szCs w:val="28"/>
          <w:rtl w:val="true"/>
          <w:lang w:bidi="fa-IR"/>
        </w:rPr>
        <w:t>وکذلک لا یحنّط بالکافور، بل لا یقرّب إلیه طِیب آخر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763726_2322387425"/>
      <w:bookmarkStart w:id="258" w:name="_Toc96"/>
      <w:bookmarkEnd w:id="257"/>
      <w:r>
        <w:rPr>
          <w:rtl w:val="true"/>
        </w:rPr>
        <w:t>حکم ارتفاع العذر عن الغسل أو الخلیط</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العذر عن الغسل، أو عن خلط الخلیطین، أو أحدهما بعد التیمّم أو بعد الغسل بالقراح قبل الدفن تجب الإعادة</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ما إذا غسّل بالقراح، وعلی الأقوی فیما إذا 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بعد الدفن إذا اتّفق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خروجه بعده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763728_2322387425"/>
      <w:bookmarkStart w:id="260" w:name="_Toc97"/>
      <w:bookmarkEnd w:id="259"/>
      <w:r>
        <w:rPr>
          <w:rtl w:val="true"/>
        </w:rPr>
        <w:t>کیفیة التیمّم بالمیّت</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257"/>
      </w:r>
      <w:r>
        <w:rPr>
          <w:rFonts w:ascii="IRNazanin" w:hAnsi="IRNazanin" w:eastAsia="IRNazanin"/>
          <w:color w:val="111111"/>
          <w:sz w:val="28"/>
          <w:sz w:val="28"/>
          <w:szCs w:val="28"/>
          <w:rtl w:val="true"/>
          <w:lang w:bidi="fa-IR"/>
        </w:rPr>
        <w:t>أن یکون التیمّم بید الحیّ</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بید المیّت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بید المیّت،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الخوئی، حسن القمّی،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 علی فرض إمکانه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الإصطهباناتی، الآملی،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 هذا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لأنّ الظاهر أنّ حقیقة التیمّم عبارة عن مسح الوجه، وظاهر الکفّین بباطن کفّ نفس المتیمّم، لا شخص آخر، نعم، مع عدم الإمکان لیبوسة ید المیّت أو لجهةٍ اُخری لا بأس بما ذکره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ترکه، والأولی فی کیفیته أن یجلس الحیّ وراء المیّت بحیث یکون جسده متّکئاً علی صدر الحیّ، ویضرب الحیّ یدی المیّت برفق علی ما یصحّ علیه التیمّم، ویمسح بهما جبهته، ثمّ یمسح یدیه إن أمکن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وثمرة رعایة هذا النحو غیر خفیّة؛ إذْ یلاصق باطن کفّه الیمنی الطرف الأیمن من جبهته، وباطن الیسری علی الأیسر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تیمّم آخر بید</w:t>
      </w:r>
      <w:bookmarkStart w:id="261" w:name="pg13276_136590"/>
    </w:p>
    <w:p>
      <w:pPr>
        <w:pStyle w:val="BookText"/>
        <w:rPr/>
      </w:pPr>
      <w:bookmarkEnd w:id="261"/>
      <w:r>
        <w:rPr>
          <w:rFonts w:ascii="Amiri" w:hAnsi="Amiri" w:eastAsia="Amiri" w:cs="Amiri"/>
          <w:color w:val="111111"/>
          <w:sz w:val="28"/>
          <w:sz w:val="28"/>
          <w:szCs w:val="28"/>
          <w:rtl w:val="true"/>
          <w:lang w:bidi="ar-SA"/>
        </w:rPr>
        <w:t>المیّت</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هذا 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أمکن، والأقوی 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والأحوط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للوجه والیدین، وإن کان الأحوط التعدّد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أن یمسح بالضربة الأولی وجهه ویدیه، ثمّ یضرب الثانیة للیدین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763730_2322387425"/>
      <w:bookmarkStart w:id="263" w:name="_Toc98"/>
      <w:bookmarkEnd w:id="262"/>
      <w:r>
        <w:rPr>
          <w:rtl w:val="true"/>
        </w:rPr>
        <w:t>حکم مسّ المیّت المیمّم</w:t>
      </w:r>
      <w:bookmarkEnd w:id="2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المغسّل بالقراح لفقد الخلیطین أو أحدهما، أو </w:t>
      </w:r>
    </w:p>
    <w:p>
      <w:pPr>
        <w:pStyle w:val="BookText"/>
        <w:rPr/>
      </w:pPr>
      <w:r>
        <w:rPr>
          <w:rFonts w:ascii="IRNazanin" w:hAnsi="IRNazanin" w:eastAsia="IRNazanin"/>
          <w:color w:val="111111"/>
          <w:sz w:val="28"/>
          <w:sz w:val="28"/>
          <w:szCs w:val="28"/>
          <w:rtl w:val="true"/>
          <w:lang w:bidi="fa-IR"/>
        </w:rPr>
        <w:t>المیمّم لفقد الماء، أو نحوه من الأعذار لا یجب الغسل بمسّه</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 الأظهر وجوبه عند مسّ المیّت المیمّم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وجوبه فی خصوص المتیمّم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سقوط غسل المسّ بعد الأغسال الاضطراریة أو تیمّمه إشکال، کما تقدم فی أوّل فصل غسل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لأنّ سقوط التکلیف بالاضطرار لا یجعل المیّت طاهراً علی وجه لا یجب الغسل بمسّه، بل الاستصحاب یقتضیه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الحکم فی غسل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 المیمّم،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أحمد الخونساری، عبداللّه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أیضاً لایُترک، خصوصاً فی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 لِما تقدّم فی مسّ المیت إذا کان میمّماً لأحد الأعذار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البجنوردی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 خصوصاً فی التیمّم؛ إذ سقوط التکلیف بالاضطرار لایجعل المیّت طاهراً علی حسب جمیع الآثار؛ کی لا یجب الغسل بمسّه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 فی المیمّم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 المیمّم،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3276_136592"/>
    </w:p>
    <w:p>
      <w:pPr>
        <w:pStyle w:val="Heading2"/>
        <w:numPr>
          <w:ilvl w:val="1"/>
          <w:numId w:val="1"/>
        </w:numPr>
        <w:rPr/>
      </w:pPr>
      <w:bookmarkStart w:id="265" w:name="__RefHeading___Toc1763732_2322387425"/>
      <w:bookmarkStart w:id="266" w:name="_Toc99"/>
      <w:bookmarkEnd w:id="264"/>
      <w:bookmarkEnd w:id="265"/>
      <w:r>
        <w:rPr>
          <w:rtl w:val="true"/>
        </w:rPr>
        <w:t>فصل</w:t>
      </w:r>
      <w:r>
        <w:rPr>
          <w:rtl w:val="true"/>
        </w:rPr>
        <w:t xml:space="preserve">: </w:t>
      </w:r>
      <w:r>
        <w:rPr>
          <w:rtl w:val="true"/>
        </w:rPr>
        <w:t>فی شرائط الغسل</w:t>
      </w:r>
      <w:bookmarkEnd w:id="266"/>
    </w:p>
    <w:p>
      <w:pPr>
        <w:pStyle w:val="Heading3"/>
        <w:numPr>
          <w:ilvl w:val="2"/>
          <w:numId w:val="1"/>
        </w:numPr>
        <w:rPr/>
      </w:pPr>
      <w:bookmarkStart w:id="267" w:name="__RefHeading___Toc1763734_2322387425"/>
      <w:bookmarkStart w:id="268" w:name="_Toc100"/>
      <w:bookmarkEnd w:id="267"/>
      <w:r>
        <w:rPr>
          <w:rtl w:val="true"/>
        </w:rPr>
        <w:t>اشتراط الغسل بما اشترط فی الوضوء</w:t>
      </w:r>
      <w:bookmarkEnd w:id="268"/>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القربة، علی ما مرّ فی باب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کلّ عضو قبل الشروع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غسله، بل الأحوط إزالتها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جمیع الأعضاء قبل الشروع فی أصل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الحواجب</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من الشرائط لیس فی محلّه؛ لأنّها من المقدّمات الخارجیة، إلاّ أن یراد من الشرط المعنی الأعمّ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 هذا من الشرائط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وصول الماء إلی البشرة،</w:t>
      </w:r>
    </w:p>
    <w:p>
      <w:pPr>
        <w:pStyle w:val="BookText"/>
        <w:rPr/>
      </w:pPr>
      <w:r>
        <w:rPr>
          <w:rFonts w:ascii="IRNazanin" w:hAnsi="IRNazanin" w:eastAsia="IRNazanin"/>
          <w:color w:val="111111"/>
          <w:sz w:val="28"/>
          <w:sz w:val="28"/>
          <w:szCs w:val="28"/>
          <w:rtl w:val="true"/>
          <w:lang w:bidi="fa-IR"/>
        </w:rPr>
        <w:t>وتخلیل الشعر</w:t>
      </w:r>
      <w:r>
        <w:rPr>
          <w:rStyle w:val="FootnoteAnchor"/>
          <w:rtl w:val="true"/>
        </w:rPr>
        <w:footnoteReference w:id="263"/>
      </w:r>
      <w:r>
        <w:rPr>
          <w:rFonts w:ascii="IRNazanin" w:hAnsi="IRNazanin" w:eastAsia="IRNazanin"/>
          <w:color w:val="111111"/>
          <w:sz w:val="28"/>
          <w:sz w:val="28"/>
          <w:szCs w:val="28"/>
          <w:rtl w:val="true"/>
          <w:lang w:bidi="fa-IR"/>
        </w:rPr>
        <w:t>، والفحص عن المانع إذا شکّ فی وجوده</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کان معرضاً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هذا شرطاً زائداً محلّ تأمّل، والظاهر کفایة الوثوق والاطمئنان بوصول الماء إلی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هذا المورد وأمثاله من عموم ما اتّفقوا علیه من أنّ الفحص فی الشبهات الموضوعیة غیر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هو الأقوی فی الوضوء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اعتبارها فیما عدا السدر والکافور والماء والفضاء الذی یقع الغسل فیه مع عدم الانحصار ممنوع،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الوضوء الإشکال فی بعض ما ذکر،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هو الأقوی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وظرفه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هنا کما تقدّم فی باب الوضوء وغسل الجنابة، وحکم السدر والکافور کحکم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الظرف والمصبّ والمجری وموقف الغاسل والمیّت یعلم ممّا ذکرنا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التفصیل المتقدّم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ومصبّه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الانحصار فی هذه الثلاثة، وإلاّ فالغسل بأخذ الماء من الظرف الغصبی صحیح، وکذا مع غصبیة المصبّ ومجری الغسالة إذا لم یکن نفس أفعال الغسل تصرفاً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یفیدک فی هذا المقام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إباحة هذه الاُمور، ماعدا السدر والکافور والماء والفضاء الذی یقع فیه الغسل، إنّما هو مع الانحصار علی التفصیل الذی تقدّم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 هذه الاُمور علی ما تقدّم فی الرابع من شرائط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غسّل فیه، وإلاّ فمرّ تفصیله فی الوضوء فی الفرق بین الانحصار وعدمه، وکذا المصبّ والمجری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تقدّم منّا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اشتراط الإباحة فی غیر الماء والمحلّ والفضاء تأمّل، بل منع، نعم، فی الظرف المغصوب یصحّ الغسل إذا کان بنحو الاغتراف منه وإن کان حراماً، ولا یُترک الاحتیاط بالنسبة إلی السدر والکافور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 هذه الاُمور فی باب الوضوء، فلیراجع، وبالتأمّل یظهر أنّ بعض ما ذکره هاهنا کالخلیطین ملحق بالماء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مرّ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لتفصیل القول فی هذا الشرط وما یتبعه یراجع فصل شرائط الوضوء ومبحث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عرفاً أنّه تصرّف فی الغصب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تفصیل ما ذکر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حکم المقام ممّا ذکرناه فی شرائط الوضوء،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حکم المقام ممّا تقدّم فی باب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 المقام ما تقدّم فی الرابع من شرائط الوضوء، وحکم الخلیطین کحکم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ومجری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غسالته</w:t>
      </w:r>
      <w:r>
        <w:rPr>
          <w:rStyle w:val="FootnoteAnchor"/>
          <w:rtl w:val="true"/>
        </w:rPr>
        <w:footnoteReference w:id="266"/>
      </w:r>
      <w:r>
        <w:rPr>
          <w:rFonts w:ascii="IRNazanin" w:hAnsi="IRNazanin" w:eastAsia="IRNazanin"/>
          <w:color w:val="111111"/>
          <w:sz w:val="28"/>
          <w:sz w:val="28"/>
          <w:szCs w:val="28"/>
          <w:rtl w:val="true"/>
          <w:lang w:bidi="fa-IR"/>
        </w:rPr>
        <w:t>، ومحلّ الغسل والسدّة، والفضاء الذی فیه</w:t>
      </w:r>
      <w:r>
        <w:rPr>
          <w:rStyle w:val="FootnoteAnchor"/>
          <w:rtl w:val="true"/>
        </w:rPr>
        <w:footnoteReference w:id="267"/>
      </w:r>
      <w:r>
        <w:rPr>
          <w:rFonts w:ascii="Amiri" w:hAnsi="Amiri" w:eastAsia="Amiri" w:cs="Amiri"/>
          <w:color w:val="111111"/>
          <w:sz w:val="28"/>
          <w:sz w:val="28"/>
          <w:szCs w:val="28"/>
          <w:rtl w:val="true"/>
          <w:lang w:bidi="ar-SA"/>
        </w:rPr>
        <w:t xml:space="preserve">جسد المیّت، </w:t>
      </w:r>
      <w:bookmarkStart w:id="269" w:name="pg13276_136595"/>
    </w:p>
    <w:p>
      <w:pPr>
        <w:pStyle w:val="BookText"/>
        <w:rPr/>
      </w:pPr>
      <w:bookmarkEnd w:id="269"/>
      <w:r>
        <w:rPr>
          <w:rFonts w:ascii="IRNazanin" w:hAnsi="IRNazanin" w:eastAsia="IRNazanin"/>
          <w:color w:val="111111"/>
          <w:sz w:val="28"/>
          <w:sz w:val="28"/>
          <w:szCs w:val="28"/>
          <w:rtl w:val="true"/>
          <w:lang w:bidi="fa-IR"/>
        </w:rPr>
        <w:t>وإباحة السدروالکافور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جهل بغصبیة أحد المذکورات أو نسیها</w:t>
      </w:r>
      <w:r>
        <w:rPr>
          <w:rStyle w:val="FootnoteAnchor"/>
          <w:rtl w:val="true"/>
        </w:rPr>
        <w:footnoteReference w:id="268"/>
      </w:r>
      <w:r>
        <w:rPr>
          <w:rFonts w:ascii="IRNazanin" w:hAnsi="IRNazanin" w:eastAsia="IRNazanin"/>
          <w:color w:val="111111"/>
          <w:sz w:val="28"/>
          <w:sz w:val="28"/>
          <w:szCs w:val="28"/>
          <w:rtl w:val="true"/>
          <w:lang w:bidi="fa-IR"/>
        </w:rPr>
        <w:t>وعلم بعد الغسل</w:t>
      </w:r>
      <w:r>
        <w:rPr>
          <w:rStyle w:val="FootnoteAnchor"/>
          <w:rtl w:val="true"/>
        </w:rPr>
        <w:footnoteReference w:id="269"/>
      </w:r>
      <w:r>
        <w:rPr>
          <w:rFonts w:ascii="IRNazanin" w:hAnsi="IRNazanin" w:eastAsia="IRNazanin"/>
          <w:color w:val="111111"/>
          <w:sz w:val="28"/>
          <w:sz w:val="28"/>
          <w:szCs w:val="28"/>
          <w:rtl w:val="true"/>
          <w:lang w:bidi="fa-IR"/>
        </w:rPr>
        <w:t>لا تجب إعادته، بخلاف الشروط السابقة فإنّ فقدها یوجب الإعادة، وإن لم یکن عن علم وعمد</w:t>
      </w:r>
      <w:r>
        <w:rPr>
          <w:rFonts w:eastAsia="IRNazanin" w:cs="IRNazanin"/>
          <w:color w:val="111111"/>
          <w:sz w:val="28"/>
          <w:szCs w:val="28"/>
          <w:rtl w:val="true"/>
          <w:lang w:bidi="fa-IR"/>
        </w:rPr>
        <w:t>.</w:t>
      </w:r>
    </w:p>
    <w:p>
      <w:pPr>
        <w:pStyle w:val="Heading3"/>
        <w:numPr>
          <w:ilvl w:val="2"/>
          <w:numId w:val="1"/>
        </w:numPr>
        <w:rPr/>
      </w:pPr>
      <w:bookmarkStart w:id="270" w:name="__RefHeading___Toc1763736_2322387425"/>
      <w:bookmarkStart w:id="271" w:name="_Toc101"/>
      <w:bookmarkEnd w:id="270"/>
      <w:r>
        <w:rPr>
          <w:rtl w:val="true"/>
        </w:rPr>
        <w:t>الغسل بالمغصوب نسیاناً أو جهلاً</w:t>
      </w:r>
      <w:bookmarkEnd w:id="271"/>
    </w:p>
    <w:p>
      <w:pPr>
        <w:pStyle w:val="Heading4"/>
        <w:numPr>
          <w:ilvl w:val="3"/>
          <w:numId w:val="1"/>
        </w:numPr>
        <w:rPr/>
      </w:pPr>
      <w:bookmarkStart w:id="272" w:name="__RefHeading___Toc1763738_2322387425"/>
      <w:bookmarkStart w:id="273" w:name="_Toc102"/>
      <w:bookmarkEnd w:id="272"/>
      <w:r>
        <w:rPr>
          <w:rtl w:val="true"/>
        </w:rPr>
        <w:t>أفضلیة تجرید المیت حین التغسیل أو أفضلیته من وراء الثیاب</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تغسیل المیّت من وراء الثیاب، ولو کان المغسّل مماثلاً،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أفضل</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والتجرد أحوط 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 نعم، لو أتی بجمیع الشرائط ومع ذلک طهّر الثوب بعد کلّ غسل لا یبعد کونه من وراء الثیاب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أن یکون ذلک أفضل من تغسیله مجرداً،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الظاهر ـ کما 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 مع التمکّن من الغسل الکامل من وراء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التجرّد</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 کتاب الجنائز، المسألة </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footnote6-page108"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 کتاب الجنائز، المسألة </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footnote6-page108" style="display:inline-block"&gt;</w:t>
      </w:r>
      <w:r>
        <w:rPr>
          <w:rFonts w:eastAsia="Times New Roman" w:cs="Times New Roman" w:ascii="Times New Roman" w:hAnsi="Times New Roman"/>
          <w:color w:val="111111"/>
          <w:sz w:val="28"/>
          <w:szCs w:val="28"/>
          <w:vertAlign w:val="superscript"/>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footnote6-page108"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 کتاب الجنائز، المسألة </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footnote6-page108"&gt; 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لکن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الأفضل أن یکون من وراء الثوب، 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غسل المیّت،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ذلک،مع معاضدتها بادّعاء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العورة</w:t>
      </w:r>
      <w:bookmarkStart w:id="274" w:name="pg13276_136596"/>
    </w:p>
    <w:p>
      <w:pPr>
        <w:pStyle w:val="BookText"/>
        <w:rPr/>
      </w:pPr>
      <w:bookmarkEnd w:id="274"/>
      <w:r>
        <w:rPr>
          <w:rFonts w:ascii="Amiri" w:hAnsi="Amiri" w:eastAsia="Amiri" w:cs="Amiri"/>
          <w:color w:val="111111"/>
          <w:sz w:val="28"/>
          <w:sz w:val="28"/>
          <w:szCs w:val="28"/>
          <w:rtl w:val="true"/>
          <w:lang w:bidi="ar-SA"/>
        </w:rPr>
        <w:t>مع المماثلة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763740_2322387425"/>
      <w:bookmarkStart w:id="276" w:name="_Toc103"/>
      <w:bookmarkEnd w:id="275"/>
      <w:r>
        <w:rPr>
          <w:rtl w:val="true"/>
        </w:rPr>
        <w:t>إجزاء غسل المیت عن غیره</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غسل المیّت عن الجنابة والحیض، بمعنی أ نّه لو مات جنباً أو حائضاً لا یحتاج إلی غسلهما، بل یجب غسل المیّت فقط، بل ولا رجحان</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أتی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وإن حکی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تغسیل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ویشعر إلیه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بعض الروایات، والأولی الإتیان به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763742_2322387425"/>
      <w:bookmarkStart w:id="278" w:name="_Toc104"/>
      <w:bookmarkEnd w:id="277"/>
      <w:r>
        <w:rPr>
          <w:rtl w:val="true"/>
        </w:rPr>
        <w:t>تغسیل المیّت قبل برده</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غسل المیّت أن یکون بعد برده وإن کان أحوط</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279" w:name="__RefHeading___Toc1763744_2322387425"/>
      <w:bookmarkStart w:id="280" w:name="_Toc105"/>
      <w:bookmarkEnd w:id="279"/>
      <w:r>
        <w:rPr>
          <w:rtl w:val="true"/>
        </w:rPr>
        <w:t>حرمة النظر إلی عورة المیّت</w:t>
      </w:r>
      <w:bookmarkEnd w:id="2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عورة المیّت حرام، لکن لا یوجب بطلان الغسل إذا کان فی حاله</w:t>
      </w:r>
      <w:r>
        <w:rPr>
          <w:rFonts w:eastAsia="IRNazanin" w:cs="IRNazanin"/>
          <w:color w:val="111111"/>
          <w:sz w:val="28"/>
          <w:szCs w:val="28"/>
          <w:rtl w:val="true"/>
          <w:lang w:bidi="fa-IR"/>
        </w:rPr>
        <w:t xml:space="preserve">. </w:t>
      </w:r>
      <w:bookmarkStart w:id="281" w:name="pg13276_136597"/>
    </w:p>
    <w:p>
      <w:pPr>
        <w:pStyle w:val="Heading3"/>
        <w:numPr>
          <w:ilvl w:val="2"/>
          <w:numId w:val="1"/>
        </w:numPr>
        <w:rPr/>
      </w:pPr>
      <w:bookmarkStart w:id="282" w:name="__RefHeading___Toc1763746_2322387425"/>
      <w:bookmarkStart w:id="283" w:name="_Toc106"/>
      <w:bookmarkEnd w:id="281"/>
      <w:bookmarkEnd w:id="282"/>
      <w:r>
        <w:rPr>
          <w:rtl w:val="true"/>
        </w:rPr>
        <w:t>واجبات المیت التی یجوز النبش لأجل تدارکها</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المیّت بلا غسل جاز بل وجب نبشه</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لایکون فیه هتک لحرمته، أوظهور رائحته، أومشقّة بتجهیزه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جدید الدفـن بحیث لا یکون فیه هتک لحرمته، ولا إیـذاء الناس برائحته، ولا مشقّة فی تجهیزه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یوجب هتک حرمته، ولا وقوعاً فی حرج،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بعدم تلاشی الجسد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تطل المدّة بحیث یوجب هتک المیّت، أو إیذاء الناس، أو مشقّة فی تجهیزه من جهة انتشار رائحته أو تناثر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یستلزم محذوراً آخر من هتک المیّت، أو إیذاء الناس برائحته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فی نبشه محذور، کهتک حرمة المیّت بواسطة فساد جثته، أو الحرج علی الأحیاء بواسطة رائحته أو تجهیزه، هذا فی غیر غصبیّة الکفن، وأمّا فیها ففی مثل الفرض إشکال، والأحوط للمغصوب منه أخذ قیمة الکفن، نعم، لو کان المیّت هو الغاصب فالظاهر جواز النبش مع هتکه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استلزامه محذوراً علی المیّت کهتکه، وعلی الأحیاء کالتأذّی من رائحته، وتوجّه حرج أو ضرر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یمضِ زمان یوجب خروجه هتکه بتفرق أجزائه، أو ارتفاع رائحته، أو تناثر لحمه، وإلاّ فلا یبعد لزوم التأخیر حتی یصیر عظماً فیجری علیه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محذور من هتک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یوجب هتکاً لحرمة المیّت، ولم یکن فیه حرج، وکذا فی بقیة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هتکاً للمیت، ولا إیذاءً للناس برائحته، ولا عسراً، وکذا فی الدفن بلا تکفین أو حنوط، ومع الکفن الغصبیّ یراعی أهمّ المحذورین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مالم یستلزم هتکه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فی ذلک فی المستثنیات من حرمة النبش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یستلزم هتک حرمة المیّت، ولا إیذاء الناس برائحته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حرجیّاً ولو من جهة التأذّی برائحته، وإلاّ فلا یجب إلاّ علی مَن تعمّد ذلک، وکذا لا یجب بل لایجوز إذا کان مستلزماً لهتک حرمة المیّت فضلاً عمّا إذا کان موجباً لتقطّع أوصاله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فیه هتک لحرمته، ولا موجباً لإیذاء الناس برائحته، ولم تکن مشقّة فی تجهیزه، وکذا فی الفروع الآتیة، نعم، فی غصبیّة الکفن إذا کان الغاصب هو المیّت یجوز نبشه وإن کان موجباً لهتکه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لتغسیله</w:t>
      </w:r>
      <w:bookmarkStart w:id="284" w:name="pg13276_136598"/>
    </w:p>
    <w:p>
      <w:pPr>
        <w:pStyle w:val="BookText"/>
        <w:rPr/>
      </w:pPr>
      <w:bookmarkEnd w:id="284"/>
      <w:r>
        <w:rPr>
          <w:rFonts w:ascii="IRNazanin" w:hAnsi="IRNazanin" w:eastAsia="IRNazanin"/>
          <w:color w:val="111111"/>
          <w:sz w:val="28"/>
          <w:sz w:val="28"/>
          <w:szCs w:val="28"/>
          <w:rtl w:val="true"/>
          <w:lang w:bidi="fa-IR"/>
        </w:rPr>
        <w:t>أو تیمّمه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ترک بعض الأغسال ولو سهواً، أو تبیّن بطلانها، أو بطلان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دفن بلا تکفین أو مع الکفن الغصبیّ</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سیأتی فی مسوّغات النبش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یصلّ علیه أو تبیّن بطلانها فلا یجوز نبشه لأجلها، بل یصلّی علی قبره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763748_2322387425"/>
      <w:bookmarkStart w:id="286" w:name="_Toc107"/>
      <w:bookmarkEnd w:id="285"/>
      <w:r>
        <w:rPr>
          <w:rtl w:val="true"/>
        </w:rPr>
        <w:t>أخذ الأجرة علی تغسیل المیّت</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276"/>
      </w:r>
      <w:r>
        <w:rPr>
          <w:rFonts w:ascii="Amiri" w:hAnsi="Amiri" w:eastAsia="Amiri" w:cs="Amiri"/>
          <w:color w:val="111111"/>
          <w:sz w:val="28"/>
          <w:sz w:val="28"/>
          <w:szCs w:val="28"/>
          <w:rtl w:val="true"/>
          <w:lang w:bidi="ar-SA"/>
        </w:rPr>
        <w:t>أخذ الاُجرة</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تترتب علیه فائدة راجعة إلی المیّت أو المستأجر، ولو کان نفس سقوط التکلیف فی بعض الأوقات، أو صار متعیّناً علیه، وإلاّ ففی جوازه وجه قوی، وإن کان 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وإن کان خلاف الاحتیاط الراجح، فینبغی أن تُجعل الاُجرة بإزاء مقدمات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الروحانی،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القاعدة تقتضی الجواز، لکنّ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تغسیل المیّت، بل لو</w:t>
      </w:r>
    </w:p>
    <w:p>
      <w:pPr>
        <w:pStyle w:val="BookText"/>
        <w:rPr/>
      </w:pPr>
      <w:r>
        <w:rPr>
          <w:rFonts w:ascii="IRNazanin" w:hAnsi="IRNazanin" w:eastAsia="IRNazanin"/>
          <w:color w:val="111111"/>
          <w:sz w:val="28"/>
          <w:sz w:val="28"/>
          <w:szCs w:val="28"/>
          <w:rtl w:val="true"/>
          <w:lang w:bidi="fa-IR"/>
        </w:rPr>
        <w:t>کان داعیه علی التغسیل أخذ الاُجرة علی وجه ینافی قصد القربة</w:t>
      </w:r>
      <w:r>
        <w:rPr>
          <w:rStyle w:val="FootnoteAnchor"/>
          <w:rtl w:val="true"/>
        </w:rPr>
        <w:footnoteReference w:id="278"/>
      </w:r>
      <w:r>
        <w:rPr>
          <w:rFonts w:ascii="IRNazanin" w:hAnsi="IRNazanin" w:eastAsia="IRNazanin"/>
          <w:color w:val="111111"/>
          <w:sz w:val="28"/>
          <w:sz w:val="28"/>
          <w:szCs w:val="28"/>
          <w:rtl w:val="true"/>
          <w:lang w:bidi="fa-IR"/>
        </w:rPr>
        <w:t>بطل الغسل أیضاً، نعم ، لو کان داعیه</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مراده هو الداعی علی الداعی الذی صرّح به فی بعض المباحث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القربة وکان الداعی علی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الداعی علی الداعی، أو الالتزام بصحة العمل لو کان الداعی إلی إتیانه أمر الشارع بإباحة أخذ تلک الاُجرة و غیرهما، و فی تحقیق الوجوه المتصورة فی الباب کلام سیأتی، و کذا فی دفع مناقشة أنّ المعتبر فی صحة العبادات کونها علی وجه قربی بحیث یوجب استحقاق فاعلها المثوبة، و أخذ الاُجرة یوجب عدم استحقاقه إیّاها من الباری سبحانه، فکیف یکون هذا العمل قربیّاً وصحیحاً؟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کفایة مطلق قصد القربة وتحققه، وإن کان منشأ حصوله أغراض أُخری، فیکون من قبیل الداعی علی الداعی، فیأتی بالعمل قربةً إلی اللّه وداعیه علی العمل أخذ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والإشکال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 فرضه،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استحقاقه الثواب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بقصد القربة أخذ 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لی معنی محصّل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باب الداعی إلی الداعی، لکن لا یخفی أنّ هذا لایجدی فی التصحیح؛ إذ عروض العناوین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قربیاً عبادیاً، حسناً أو قبیحاً إنّما هو باعتبار الغایة الأخیرة المقصودة من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تصحیحه بنحو الداعی علی الداعی، ولا یبعد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w:t>
      </w:r>
    </w:p>
    <w:p>
      <w:pPr>
        <w:pStyle w:val="BookText"/>
        <w:rPr/>
      </w:pPr>
      <w:r>
        <w:rPr>
          <w:rFonts w:ascii="IRNazanin" w:hAnsi="IRNazanin" w:eastAsia="IRNazanin"/>
          <w:color w:val="111111"/>
          <w:sz w:val="28"/>
          <w:sz w:val="28"/>
          <w:szCs w:val="28"/>
          <w:rtl w:val="true"/>
          <w:lang w:bidi="fa-IR"/>
        </w:rPr>
        <w:t>الغسل</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الإصطهباناتی،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 نعم، لو کان الداعی استحقاق الاُجرة واستحلالها صحّ، نظیر التقرّب بطواف النساء بداعی استحلالها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الاُجرة من قبیل الداعی علی الداعی، فیأتی بالعمل قربةً إلی الله، وداعیه علی العمل القربی أخذ الاُجرة، وفیه ـ علی فرض إمکان ذلک ـ أنّه یعتبر فی صحة العبادة إتیانها بوجه قربی بحیث یستحق الثواب علی العمل عقلاً، وإذا أخذ الاُجرة من الغیر فلا یستحق الثواب من المولی، فلا یکون مقرّباً، والحال أنّه یعتبر فی صحة العبادة إتیانها بحیث توجب القُربَ ویستحق المثوبة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مشکل، وعلی الصحّة لا وجه لحرمة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 فی کلتا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أخذ الاُجرة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 وقد ذکروا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أدلة التجهیز المجانیّة وکون ذلک حقّاً علی المکلفین، ولکنّه لم یعلم فرقه مع سائر الواجبات الکفائیّة، نظیر الصناعات والتجارات وغیرها، واستفادة المجانیة من أدلة المسألة غیر ظاهرة،ربّما یدّعی الإجماع علی حکم المسألة، وهو غیر معلوم، ولکن مع ذلک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لشبهة أنّ ادلّة التجهیز دالة علی أنّه حقّ مملوک للمیّت علی المکلفین، فالمجانیة مأخوذة فیه، فلا مساغ لأخذ الاُجرة علیه، أو غیره من الوجوه التی للنظر فیها 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فی قبال المقدّمات</w:t>
      </w:r>
      <w:bookmarkStart w:id="287" w:name="pg13276_136601"/>
    </w:p>
    <w:p>
      <w:pPr>
        <w:pStyle w:val="BookText"/>
        <w:rPr/>
      </w:pPr>
      <w:bookmarkEnd w:id="287"/>
      <w:r>
        <w:rPr>
          <w:rFonts w:ascii="IRNazanin" w:hAnsi="IRNazanin" w:eastAsia="IRNazanin"/>
          <w:color w:val="111111"/>
          <w:sz w:val="28"/>
          <w:sz w:val="28"/>
          <w:szCs w:val="28"/>
          <w:rtl w:val="true"/>
          <w:lang w:bidi="fa-IR"/>
        </w:rPr>
        <w:t>غیر الواجبة</w:t>
      </w:r>
      <w:r>
        <w:rPr>
          <w:rStyle w:val="FootnoteAnchor"/>
          <w:rtl w:val="true"/>
        </w:rPr>
        <w:footnoteReference w:id="281"/>
      </w:r>
      <w:r>
        <w:rPr>
          <w:rFonts w:ascii="IRNazanin" w:hAnsi="IRNazanin" w:eastAsia="IRNazanin"/>
          <w:color w:val="111111"/>
          <w:sz w:val="28"/>
          <w:sz w:val="28"/>
          <w:szCs w:val="28"/>
          <w:rtl w:val="true"/>
          <w:lang w:bidi="fa-IR"/>
        </w:rPr>
        <w:t>فإنّه لا بأس به</w:t>
      </w:r>
      <w:r>
        <w:rPr>
          <w:rStyle w:val="FootnoteAnchor"/>
          <w:rtl w:val="true"/>
        </w:rPr>
        <w:footnoteReference w:id="282"/>
      </w: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763750_2322387425"/>
      <w:bookmarkStart w:id="289" w:name="_Toc108"/>
      <w:bookmarkEnd w:id="288"/>
      <w:r>
        <w:rPr>
          <w:rtl w:val="true"/>
        </w:rPr>
        <w:t>استعمال المیسور من السدر والکافور عند تعذّره</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السدر أو الکافور قلیلاً جدّاً بأن لم یکن بقدر الکفایة فالأحوط خلط</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عنوانَی ماء السدر وماء الکافور، وإلاّ ففی فرض الاستهلاک وعدم الصدق لا ملزم للخلط،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أیضاً بالتیمّم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بدلاً عن الغسل الأول، ومرّة بدلاً عن الغسل الثانی، بل لایُترک الاحتیاط بتیمّم آخر یقصد به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لم یصدق ماء السدر والکافور من جهة استهلاکه فیه فلا یجب الخلط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مستهلکاً بحیث لایصدق علیه ماء السدر وماء الکافور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المقدار المیسور، وعدم سقوطه بالمعسور</w:t>
      </w:r>
      <w:r>
        <w:rPr>
          <w:rFonts w:eastAsia="IRNazanin" w:cs="IRNazanin"/>
          <w:color w:val="111111"/>
          <w:sz w:val="28"/>
          <w:szCs w:val="28"/>
          <w:rtl w:val="true"/>
          <w:lang w:bidi="fa-IR"/>
        </w:rPr>
        <w:t>.</w:t>
      </w:r>
    </w:p>
    <w:p>
      <w:pPr>
        <w:pStyle w:val="Heading3"/>
        <w:numPr>
          <w:ilvl w:val="2"/>
          <w:numId w:val="1"/>
        </w:numPr>
        <w:rPr/>
      </w:pPr>
      <w:bookmarkStart w:id="290" w:name="__RefHeading___Toc1763752_2322387425"/>
      <w:bookmarkStart w:id="291" w:name="_Toc109"/>
      <w:bookmarkEnd w:id="290"/>
      <w:r>
        <w:rPr>
          <w:rtl w:val="true"/>
        </w:rPr>
        <w:t>تنجّس بدن المیّت بعد الغسل أو أثنائه</w:t>
      </w:r>
      <w:bookmarkEnd w:id="29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بدن المیّت بعد الغسل أو فی أثنائه بخروج نجاسة أو نجاسة خارجة لا یجب معه إعادة الغسل، بل وکذا لو خرج منه </w:t>
      </w:r>
      <w:bookmarkStart w:id="292" w:name="pg13276_136602"/>
    </w:p>
    <w:p>
      <w:pPr>
        <w:pStyle w:val="BookText"/>
        <w:rPr/>
      </w:pPr>
      <w:bookmarkEnd w:id="292"/>
      <w:r>
        <w:rPr>
          <w:rFonts w:ascii="IRNazanin" w:hAnsi="IRNazanin" w:eastAsia="IRNazanin"/>
          <w:color w:val="111111"/>
          <w:sz w:val="28"/>
          <w:sz w:val="28"/>
          <w:szCs w:val="28"/>
          <w:rtl w:val="true"/>
          <w:lang w:bidi="fa-IR"/>
        </w:rPr>
        <w:t>بول</w:t>
      </w:r>
      <w:r>
        <w:rPr>
          <w:rStyle w:val="FootnoteAnchor"/>
          <w:rtl w:val="true"/>
        </w:rPr>
        <w:footnoteReference w:id="284"/>
      </w:r>
      <w:r>
        <w:rPr>
          <w:rFonts w:ascii="IRNazanin" w:hAnsi="IRNazanin" w:eastAsia="IRNazanin"/>
          <w:color w:val="111111"/>
          <w:sz w:val="28"/>
          <w:sz w:val="28"/>
          <w:szCs w:val="28"/>
          <w:rtl w:val="true"/>
          <w:lang w:bidi="fa-IR"/>
        </w:rPr>
        <w:t>أو منیّ، وإن کان الأحوط</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 خصوصاً فی المنیّ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 خصوصاً لو کان الخارج منیّاً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فیما إذا کان الخارج منیّاً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کونهما فی الأثناء إعادته، خصوصاً إذا کان فی أثناء الغسل بالقراح، نعم، یجب إزالة تلک النجاسة عن جسده ولو کان بعد وضعه فی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قبل طَمّه بالتراب أو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أمکن بلا مشقّة ولا هتک</w:t>
      </w:r>
      <w:r>
        <w:rPr>
          <w:rFonts w:eastAsia="IRNazanin" w:cs="IRNazanin"/>
          <w:color w:val="111111"/>
          <w:sz w:val="28"/>
          <w:szCs w:val="28"/>
          <w:rtl w:val="true"/>
          <w:lang w:bidi="fa-IR"/>
        </w:rPr>
        <w:t>.</w:t>
      </w:r>
    </w:p>
    <w:p>
      <w:pPr>
        <w:pStyle w:val="Heading3"/>
        <w:numPr>
          <w:ilvl w:val="2"/>
          <w:numId w:val="1"/>
        </w:numPr>
        <w:rPr/>
      </w:pPr>
      <w:bookmarkStart w:id="293" w:name="__RefHeading___Toc1763754_2322387425"/>
      <w:bookmarkStart w:id="294" w:name="_Toc110"/>
      <w:bookmarkEnd w:id="293"/>
      <w:r>
        <w:rPr>
          <w:rtl w:val="true"/>
        </w:rPr>
        <w:t>طهارة الآلات بعد کل غسل</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أو السریر</w:t>
      </w:r>
      <w:r>
        <w:rPr>
          <w:rStyle w:val="FootnoteAnchor"/>
          <w:rtl w:val="true"/>
        </w:rPr>
        <w:footnoteReference w:id="286"/>
      </w:r>
      <w:r>
        <w:rPr>
          <w:rFonts w:ascii="Amiri" w:hAnsi="Amiri" w:eastAsia="Amiri" w:cs="Amiri"/>
          <w:color w:val="111111"/>
          <w:sz w:val="28"/>
          <w:sz w:val="28"/>
          <w:szCs w:val="28"/>
          <w:rtl w:val="true"/>
          <w:lang w:bidi="ar-SA"/>
        </w:rPr>
        <w:t>الّذی یغسّل المیّت علیه لا یجب غسله</w:t>
      </w:r>
      <w:r>
        <w:rPr>
          <w:rStyle w:val="FootnoteAnchor"/>
          <w:rtl w:val="true"/>
        </w:rPr>
        <w:footnoteReference w:id="287"/>
      </w:r>
      <w:r>
        <w:rPr>
          <w:rFonts w:ascii="IRNazanin" w:hAnsi="IRNazanin" w:eastAsia="IRNazanin"/>
          <w:color w:val="111111"/>
          <w:sz w:val="28"/>
          <w:sz w:val="28"/>
          <w:szCs w:val="28"/>
          <w:rtl w:val="true"/>
          <w:lang w:bidi="fa-IR"/>
        </w:rPr>
        <w:t>بعد کلّ غسل من الأغسال الثلاثة، نعم، الأحوط</w:t>
      </w:r>
      <w:r>
        <w:rPr>
          <w:rStyle w:val="FootnoteAnchor"/>
          <w:rtl w:val="true"/>
        </w:rPr>
        <w:footnoteReference w:id="288"/>
      </w:r>
      <w:r>
        <w:rPr>
          <w:rFonts w:ascii="IRNazanin" w:hAnsi="IRNazanin" w:eastAsia="IRNazanin"/>
          <w:color w:val="111111"/>
          <w:sz w:val="28"/>
          <w:sz w:val="28"/>
          <w:szCs w:val="28"/>
          <w:rtl w:val="true"/>
          <w:lang w:bidi="fa-IR"/>
        </w:rPr>
        <w:t>غسله لمیّت آخر</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اللوح والخرقة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طهارته بالتبع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بالتبعیة فیه وفیما بعده محلّ نظر، فلایُترک الاحتیاط حتّی یغسله بعد کلّ 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الحال</w:t>
      </w:r>
      <w:bookmarkStart w:id="295" w:name="pg13276_136603"/>
    </w:p>
    <w:p>
      <w:pPr>
        <w:pStyle w:val="BookText"/>
        <w:rPr/>
      </w:pPr>
      <w:bookmarkEnd w:id="295"/>
      <w:r>
        <w:rPr>
          <w:rFonts w:ascii="IRNazanin" w:hAnsi="IRNazanin" w:eastAsia="IRNazanin"/>
          <w:color w:val="111111"/>
          <w:sz w:val="28"/>
          <w:sz w:val="28"/>
          <w:szCs w:val="28"/>
          <w:rtl w:val="true"/>
          <w:lang w:bidi="fa-IR"/>
        </w:rPr>
        <w:t>فی الخرقة</w:t>
      </w:r>
      <w:r>
        <w:rPr>
          <w:rStyle w:val="FootnoteAnchor"/>
          <w:rtl w:val="true"/>
        </w:rPr>
        <w:footnoteReference w:id="290"/>
      </w:r>
      <w:r>
        <w:rPr>
          <w:rFonts w:ascii="IRNazanin" w:hAnsi="IRNazanin" w:eastAsia="IRNazanin"/>
          <w:color w:val="111111"/>
          <w:sz w:val="28"/>
          <w:sz w:val="28"/>
          <w:szCs w:val="28"/>
          <w:rtl w:val="true"/>
          <w:lang w:bidi="fa-IR"/>
        </w:rPr>
        <w:t>الموضوعة علیه</w:t>
      </w:r>
      <w:r>
        <w:rPr>
          <w:rStyle w:val="FootnoteAnchor"/>
          <w:rtl w:val="true"/>
        </w:rPr>
        <w:footnoteReference w:id="291"/>
      </w:r>
      <w:r>
        <w:rPr>
          <w:rFonts w:ascii="IRNazanin" w:hAnsi="IRNazanin" w:eastAsia="IRNazanin"/>
          <w:color w:val="111111"/>
          <w:sz w:val="28"/>
          <w:sz w:val="28"/>
          <w:szCs w:val="28"/>
          <w:rtl w:val="true"/>
          <w:lang w:bidi="fa-IR"/>
        </w:rPr>
        <w:t>فإنّها أیضاً تطهر بالتبع، والأحوط غسلها</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Heading2"/>
        <w:numPr>
          <w:ilvl w:val="1"/>
          <w:numId w:val="1"/>
        </w:numPr>
        <w:rPr/>
      </w:pPr>
      <w:bookmarkStart w:id="296" w:name="__RefHeading___Toc1763756_2322387425"/>
      <w:bookmarkStart w:id="297" w:name="_Toc111"/>
      <w:bookmarkEnd w:id="296"/>
      <w:r>
        <w:rPr>
          <w:rtl w:val="true"/>
        </w:rPr>
        <w:t>فصل</w:t>
      </w:r>
      <w:r>
        <w:rPr>
          <w:rtl w:val="true"/>
        </w:rPr>
        <w:t xml:space="preserve">: </w:t>
      </w:r>
      <w:r>
        <w:rPr>
          <w:rtl w:val="true"/>
        </w:rPr>
        <w:t>فی آداب غسل المیّت</w:t>
      </w:r>
      <w:bookmarkEnd w:id="297"/>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بعضها غیر ثابت لا بأس بإتیانها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 ممّا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بهذه الاُمور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علی مکانٍ عالٍ من سریر أو دَکّة أو غیرها، والأولی وضعه علی ساجة، وهی السریر المتّخذ من شجر مخصوص فی الهند، وبعده مطلق السریر، وبعده المکان العالی مثل الدَکّة، وینبغی أن یکون مکان رأسه أعلی من مکان رجلیه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یوضع مستقبل القبلة، کحالة الاحتضار، بل هو أحوط</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ینزع قمیصه من طرف رجلیه، وإن استلزم فتقه بشرط الإذن</w:t>
      </w:r>
      <w:r>
        <w:rPr>
          <w:rStyle w:val="FootnoteAnchor"/>
          <w:rtl w:val="true"/>
        </w:rPr>
        <w:footnoteReference w:id="295"/>
      </w:r>
      <w:r>
        <w:rPr>
          <w:rFonts w:ascii="IRNazanin" w:hAnsi="IRNazanin" w:eastAsia="IRNazanin"/>
          <w:color w:val="111111"/>
          <w:sz w:val="28"/>
          <w:sz w:val="28"/>
          <w:szCs w:val="28"/>
          <w:rtl w:val="true"/>
          <w:lang w:bidi="fa-IR"/>
        </w:rPr>
        <w:t>من الوارث</w:t>
      </w:r>
      <w:r>
        <w:rPr>
          <w:rStyle w:val="FootnoteAnchor"/>
          <w:rtl w:val="true"/>
        </w:rPr>
        <w:footnoteReference w:id="296"/>
      </w:r>
      <w:r>
        <w:rPr>
          <w:rFonts w:ascii="IRNazanin" w:hAnsi="IRNazanin" w:eastAsia="IRNazanin"/>
          <w:color w:val="111111"/>
          <w:sz w:val="28"/>
          <w:sz w:val="28"/>
          <w:szCs w:val="28"/>
          <w:rtl w:val="true"/>
          <w:lang w:bidi="fa-IR"/>
        </w:rPr>
        <w:t>البالغ الرشید</w:t>
      </w:r>
      <w:r>
        <w:rPr>
          <w:rStyle w:val="FootnoteAnchor"/>
          <w:rtl w:val="true"/>
        </w:rPr>
        <w:footnoteReference w:id="297"/>
      </w:r>
      <w:r>
        <w:rPr>
          <w:rFonts w:ascii="IRNazanin" w:hAnsi="IRNazanin" w:eastAsia="IRNazanin"/>
          <w:color w:val="111111"/>
          <w:sz w:val="28"/>
          <w:sz w:val="28"/>
          <w:szCs w:val="28"/>
          <w:rtl w:val="true"/>
          <w:lang w:bidi="fa-IR"/>
        </w:rPr>
        <w:t>، والأولی أن یجعل هذا ساتراً لعورته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تحت الظلال من سقف أو خیمة، والأولی الأوّل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یحفر حفیرة لغُسالته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عاریاً</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استحبابه محلّ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الأفضل أن یکون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المسألة الأولی من الفصل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الأفضل تغسیل المیّت من وراء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مستوراً، کما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مستور العورة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عورته، وإن کان الغاسل والحاضرون ممّن یجوز لهم </w:t>
      </w:r>
    </w:p>
    <w:p>
      <w:pPr>
        <w:pStyle w:val="BookText"/>
        <w:rPr/>
      </w:pPr>
      <w:r>
        <w:rPr>
          <w:rFonts w:ascii="IRNazanin" w:hAnsi="IRNazanin" w:eastAsia="IRNazanin"/>
          <w:color w:val="111111"/>
          <w:sz w:val="28"/>
          <w:sz w:val="28"/>
          <w:szCs w:val="28"/>
          <w:rtl w:val="true"/>
          <w:lang w:bidi="fa-IR"/>
        </w:rPr>
        <w:t>النظر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تلیین أصابعه برفق، بل وکذا جمیع</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الاستحباب بالنسبة إلی غیر الأصابع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مفاصله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ذکره بعض أساتذتنا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غیر معلوم وإنّما الثابت تلیین الأصابع، لیس فی محلّه؛ لوجوده فی الروایة المنقولة عن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یتعسّر، وإلاّ ترکت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یدیه قبل التغسیل إلی نصف الذراع</w:t>
      </w:r>
      <w:r>
        <w:rPr>
          <w:rStyle w:val="FootnoteAnchor"/>
          <w:rtl w:val="true"/>
        </w:rPr>
        <w:footnoteReference w:id="302"/>
      </w:r>
      <w:r>
        <w:rPr>
          <w:rFonts w:ascii="IRNazanin" w:hAnsi="IRNazanin" w:eastAsia="IRNazanin"/>
          <w:color w:val="111111"/>
          <w:sz w:val="28"/>
          <w:sz w:val="28"/>
          <w:szCs w:val="28"/>
          <w:rtl w:val="true"/>
          <w:lang w:bidi="fa-IR"/>
        </w:rPr>
        <w:t>فی کلّ غسل ثلاث مرّات، والأولی أن یکون فی الأوّل بماء السدر، وفی الثانی بماء الکافور، وفی الثالث بالقراح</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رأسه</w:t>
      </w:r>
      <w:r>
        <w:rPr>
          <w:rStyle w:val="FootnoteAnchor"/>
          <w:rtl w:val="true"/>
        </w:rPr>
        <w:footnoteReference w:id="304"/>
      </w:r>
      <w:r>
        <w:rPr>
          <w:rFonts w:ascii="IRNazanin" w:hAnsi="IRNazanin" w:eastAsia="IRNazanin"/>
          <w:color w:val="111111"/>
          <w:sz w:val="28"/>
          <w:sz w:val="28"/>
          <w:szCs w:val="28"/>
          <w:rtl w:val="true"/>
          <w:lang w:bidi="fa-IR"/>
        </w:rPr>
        <w:t>برغوة السدر أو الخطمیّ، مع المحافظة علی عدم دخوله فی اُذنه أو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فرجیه</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مماسّة ولا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مماسّة إذا کانت 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بالسدر أو الأشنان ثلاث مرّات قبل التغسیل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الأفضل والأحوط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لو لم یکن الأقوی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أصل اللفّ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مسّ الفرج بالید المجرّدة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غیر الزوج والزوجة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الغاسل علی یده الیسری خرقة ویغسل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بطنه برفق فی الغسلین الأوّلین</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کانت امرأة حاملاً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مات ولدها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فی کلٍّ من الأغسال الثلاثة بالطرف الأیمن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الغاسل إلی جانبه الأیمن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الغاسل یدیه إلی المرفقین، بل إلی المنکبین ثلاث مرّات فی کلٍّ من الأغسال الثلاثة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یمسح بدنه عند التغسیل بیده؛ لزیادة الاستظهار، إلاّ أن یخاف سقوط شیء من أجزاء بدنه، فیکتفی بصبّ الماء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ماء غسله ستّ قِرَب</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 قِرَب، والأولی الإتیان بذلک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الأولی سبع 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سبع، وقد مرّ أنّ الأولی رعایة هذا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قِرَب،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سبع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قِرَب، والأولی الإتیان بذلک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تنشیفه بعد الفراغ بثوب نظیف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یوضّأ</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الأرجح اختصاص هذا المستحبّ بما قبل الغسل الأول، وإن لم یخصّ به فالأرجح استحبابه قبل کلٍّ من الأغسال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قبل الغسل الأوّل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الغسلین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المتیقّن قبل الغسل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الشروع فی الأوّل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الغسل الأوّل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مستحب قبل کلّ غسل، أو قبل الشروع فی الأغسال الثلاثة؛ لاختصاصه بالأوّلین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وضوء</w:t>
      </w:r>
    </w:p>
    <w:p>
      <w:pPr>
        <w:pStyle w:val="BookText"/>
        <w:rPr/>
      </w:pPr>
      <w:r>
        <w:rPr>
          <w:rFonts w:ascii="IRNazanin" w:hAnsi="IRNazanin" w:eastAsia="IRNazanin"/>
          <w:color w:val="111111"/>
          <w:sz w:val="28"/>
          <w:sz w:val="28"/>
          <w:szCs w:val="28"/>
          <w:rtl w:val="true"/>
          <w:lang w:bidi="fa-IR"/>
        </w:rPr>
        <w:t>الصلاة، مضافاً إلی غسل یدیه إلی نصف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یغسّل کلّ عضو من الأعضاء الثلاثة فی کلّ غسل من الأغسال الثلاثة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الغاسل یباشر تکفینه فلیغسّل رجلیه إلی الرکبتین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الغاسل مشغولاً بذکر اللّه، والاستغفار عند</w:t>
      </w:r>
    </w:p>
    <w:p>
      <w:pPr>
        <w:pStyle w:val="BookText"/>
        <w:rPr/>
      </w:pPr>
      <w:r>
        <w:rPr>
          <w:rFonts w:ascii="IRNazanin" w:hAnsi="IRNazanin" w:eastAsia="IRNazanin"/>
          <w:color w:val="111111"/>
          <w:sz w:val="28"/>
          <w:sz w:val="28"/>
          <w:szCs w:val="28"/>
          <w:rtl w:val="true"/>
          <w:lang w:bidi="fa-IR"/>
        </w:rPr>
        <w:t>التغسیل، والأولی أن یقول مکرّراً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عفوکَ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غسل المیّت،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بدنُ عبدِک الموءمن، وقد أخرجت روحه من بدنه، وفرّقتَ بینهما، فعفوک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غسل المیّت،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فی وقت تقلیبه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یُظهِر</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مراعاة هذا الأدب، فلا یُخبِر بما رآه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عَیباً فی بدنه إذا رآه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3276_136609"/>
    </w:p>
    <w:p>
      <w:pPr>
        <w:pStyle w:val="Heading2"/>
        <w:numPr>
          <w:ilvl w:val="1"/>
          <w:numId w:val="1"/>
        </w:numPr>
        <w:rPr/>
      </w:pPr>
      <w:bookmarkStart w:id="299" w:name="__RefHeading___Toc1763758_2322387425"/>
      <w:bookmarkStart w:id="300" w:name="_Toc112"/>
      <w:bookmarkEnd w:id="298"/>
      <w:bookmarkEnd w:id="299"/>
      <w:r>
        <w:rPr>
          <w:rtl w:val="true"/>
        </w:rPr>
        <w:t>فصل</w:t>
      </w:r>
      <w:r>
        <w:rPr>
          <w:rtl w:val="true"/>
        </w:rPr>
        <w:t xml:space="preserve">: </w:t>
      </w:r>
      <w:r>
        <w:rPr>
          <w:rtl w:val="true"/>
        </w:rPr>
        <w:t>فی مکروهات الغسل</w:t>
      </w:r>
      <w:bookmarkEnd w:id="300"/>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إقعاده حال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الغاسل إیّاه بین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رأسه</w:t>
      </w:r>
      <w:r>
        <w:rPr>
          <w:rStyle w:val="FootnoteAnchor"/>
          <w:rtl w:val="true"/>
        </w:rPr>
        <w:footnoteReference w:id="314"/>
      </w:r>
      <w:r>
        <w:rPr>
          <w:rFonts w:ascii="IRNazanin" w:hAnsi="IRNazanin" w:eastAsia="IRNazanin"/>
          <w:color w:val="111111"/>
          <w:sz w:val="28"/>
          <w:sz w:val="28"/>
          <w:szCs w:val="28"/>
          <w:rtl w:val="true"/>
          <w:lang w:bidi="fa-IR"/>
        </w:rPr>
        <w:t>أو 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شعر إبطیه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شاربه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أظفاره، بل الأحوط ترکه</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ملاحظة هذا الاحتیاط،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عبدالهادی الشیرازی، الحکیم، الرفیعی، عبداللّه الشیرازی، الخمینی، الآملی، تقی القمّی، السیستانی،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الثلاثة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لعلّ المنع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 الثلاثة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 فیها جمیعاً، وفی السابع والثامن، نعم، إذا کثر الوَسَخ تحت الظفر حتی منع من جریان الماء الواجب وجب تخلیله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ترجیل شعره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تخلیل ظفره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بالماء الحارّ</w:t>
      </w:r>
      <w:r>
        <w:rPr>
          <w:rStyle w:val="FootnoteAnchor"/>
          <w:rtl w:val="true"/>
        </w:rPr>
        <w:footnoteReference w:id="317"/>
      </w:r>
      <w:r>
        <w:rPr>
          <w:rFonts w:ascii="IRNazanin" w:hAnsi="IRNazanin" w:eastAsia="IRNazanin"/>
          <w:color w:val="111111"/>
          <w:sz w:val="28"/>
          <w:sz w:val="28"/>
          <w:szCs w:val="28"/>
          <w:rtl w:val="true"/>
          <w:lang w:bidi="fa-IR"/>
        </w:rPr>
        <w:t>بالنار، أو مطلقاً</w:t>
      </w:r>
      <w:r>
        <w:rPr>
          <w:rStyle w:val="FootnoteAnchor"/>
          <w:rtl w:val="true"/>
        </w:rPr>
        <w:footnoteReference w:id="318"/>
      </w:r>
      <w:r>
        <w:rPr>
          <w:rFonts w:ascii="IRNazanin" w:hAnsi="IRNazanin" w:eastAsia="IRNazanin"/>
          <w:color w:val="111111"/>
          <w:sz w:val="28"/>
          <w:sz w:val="28"/>
          <w:szCs w:val="28"/>
          <w:rtl w:val="true"/>
          <w:lang w:bidi="fa-IR"/>
        </w:rPr>
        <w:t>، إلاّ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التخطّی علیه حین 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غسالته إلی بیت الخلاء، بل إلی البالوعة، بل یستحبّ أن یحفر لها بالخصوص حفیرة،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بطنه إذا کانت حاملاً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من بدن المیّت شیء من جلد أو شعر أو ظفر أو سنّ یجعل معه فی کفنه</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ویدفن، بل یستفاد من بعض الأخبار استحباب حفظ السنّ الساقط لیدفن معه، کالخبر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الحمّام،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سنّاً من أسنان الباقر علیه‌السلام سقط فأخذه،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أعطاه للصادق علیه‌السلام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ادفنه معی فی قبری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إذاکان المیّت غیر مختون لا یجوز</w:t>
      </w:r>
      <w:r>
        <w:rPr>
          <w:rStyle w:val="FootnoteAnchor"/>
          <w:rtl w:val="true"/>
        </w:rPr>
        <w:footnoteReference w:id="320"/>
      </w:r>
      <w:r>
        <w:rPr>
          <w:rFonts w:ascii="IRNazanin" w:hAnsi="IRNazanin" w:eastAsia="IRNazanin"/>
          <w:color w:val="111111"/>
          <w:sz w:val="28"/>
          <w:sz w:val="28"/>
          <w:szCs w:val="28"/>
          <w:rtl w:val="true"/>
          <w:lang w:bidi="fa-IR"/>
        </w:rPr>
        <w:t>أن یختن 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تحنیط المُحرِم بالکافور، ولا جعله فی ماء غسله، کما مرّ، إلاّ أن یکون موته بعد الطواف</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بعد السعی للحجّ، وأمّا فی العمرة فبعد التقصیر، وحینئذٍ یکون مُحِلاًّ، لا مُحرِماً کما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وأنّ هذا الاستثناء لایصح إلاّ بعد السعیّ فی الحجّ، وبعد التقصیر فی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أنّه بعد السعی فی الحجّ، وبعد التقصیر فی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أنّه بعد السعی فی الحجّ وبعد التقصیر فی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للحج</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الطواف والسعیّ فی تمام أنواع الحجّ، کما تقدّم، وقد مرّ تضعیف ما ذهب إلیه بعضُ مَن جوّز تطییبه بالذریرة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فی الحجّ، وبعد التقصیر فی العمرة، کما تقدّم فی المسألة التاسعة من فصل کیفیة الغسل للمیّت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بعد السّعی فی الحجّ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التقصیر والخروج منها، فلا مورد للاستثناء فیها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السّعی فی الحجّ، والإتمام فی العمرة 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3276_136612"/>
    </w:p>
    <w:p>
      <w:pPr>
        <w:pStyle w:val="Heading2"/>
        <w:numPr>
          <w:ilvl w:val="1"/>
          <w:numId w:val="1"/>
        </w:numPr>
        <w:rPr/>
      </w:pPr>
      <w:bookmarkStart w:id="302" w:name="__RefHeading___Toc1763760_2322387425"/>
      <w:bookmarkStart w:id="303" w:name="_Toc113"/>
      <w:bookmarkEnd w:id="301"/>
      <w:bookmarkEnd w:id="302"/>
      <w:r>
        <w:rPr>
          <w:rtl w:val="true"/>
        </w:rPr>
        <w:t>فصل</w:t>
      </w:r>
      <w:r>
        <w:rPr>
          <w:rtl w:val="true"/>
        </w:rPr>
        <w:t xml:space="preserve">: </w:t>
      </w:r>
      <w:r>
        <w:rPr>
          <w:rtl w:val="true"/>
        </w:rPr>
        <w:t>فی تکفین المیّت</w:t>
      </w:r>
      <w:bookmarkEnd w:id="303"/>
    </w:p>
    <w:p>
      <w:pPr>
        <w:pStyle w:val="Heading3"/>
        <w:numPr>
          <w:ilvl w:val="2"/>
          <w:numId w:val="1"/>
        </w:numPr>
        <w:rPr/>
      </w:pPr>
      <w:bookmarkStart w:id="304" w:name="__RefHeading___Toc1763762_2322387425"/>
      <w:bookmarkStart w:id="305" w:name="_Toc114"/>
      <w:bookmarkEnd w:id="304"/>
      <w:r>
        <w:rPr>
          <w:rtl w:val="true"/>
        </w:rPr>
        <w:t>اشارة</w:t>
      </w:r>
      <w:bookmarkEnd w:id="305"/>
    </w:p>
    <w:p>
      <w:pPr>
        <w:pStyle w:val="BookText"/>
        <w:rPr/>
      </w:pPr>
      <w:r>
        <w:rPr>
          <w:rStyle w:val="FootnoteAnchor"/>
          <w:rtl w:val="true"/>
        </w:rPr>
        <w:footnoteReference w:id="323"/>
      </w:r>
    </w:p>
    <w:p>
      <w:pPr>
        <w:pStyle w:val="Heading3"/>
        <w:numPr>
          <w:ilvl w:val="2"/>
          <w:numId w:val="1"/>
        </w:numPr>
        <w:rPr/>
      </w:pPr>
      <w:bookmarkStart w:id="306" w:name="__RefHeading___Toc1763764_2322387425"/>
      <w:bookmarkStart w:id="307" w:name="_Toc115"/>
      <w:bookmarkEnd w:id="306"/>
      <w:r>
        <w:rPr>
          <w:rtl w:val="true"/>
        </w:rPr>
        <w:t>وجوب التکفین بالأثواب الثلاثة</w:t>
      </w:r>
      <w:r>
        <w:rPr>
          <w:rtl w:val="true"/>
        </w:rPr>
        <w:t xml:space="preserve">: </w:t>
      </w:r>
      <w:r>
        <w:rPr>
          <w:rtl w:val="true"/>
        </w:rPr>
        <w:t>المئزروالقمیص والإزار</w:t>
      </w:r>
      <w:bookmarkEnd w:id="307"/>
    </w:p>
    <w:p>
      <w:pPr>
        <w:pStyle w:val="BookText"/>
        <w:rPr/>
      </w:pPr>
      <w:r>
        <w:rPr>
          <w:rFonts w:ascii="IRNazanin" w:hAnsi="IRNazanin" w:eastAsia="IRNazanin"/>
          <w:color w:val="111111"/>
          <w:sz w:val="28"/>
          <w:sz w:val="28"/>
          <w:szCs w:val="28"/>
          <w:rtl w:val="true"/>
          <w:lang w:bidi="fa-IR"/>
        </w:rPr>
        <w:t>یجب تکفینه بالوجوب الکفائیّ</w:t>
      </w:r>
      <w:r>
        <w:rPr>
          <w:rStyle w:val="FootnoteAnchor"/>
          <w:rtl w:val="true"/>
        </w:rPr>
        <w:footnoteReference w:id="324"/>
      </w:r>
      <w:r>
        <w:rPr>
          <w:rFonts w:ascii="IRNazanin" w:hAnsi="IRNazanin" w:eastAsia="IRNazanin"/>
          <w:color w:val="111111"/>
          <w:sz w:val="28"/>
          <w:sz w:val="28"/>
          <w:szCs w:val="28"/>
          <w:rtl w:val="true"/>
          <w:lang w:bidi="fa-IR"/>
        </w:rPr>
        <w:t>، رجلاً کان أو امرأة أو خنثی أو صغیراً بثلاث قِطعات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ویجب أن یکون</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فیه وفی القمیص کفایة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التحدید المذکور فیه وفیما بعده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السُرّة إلی الرکبة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الواجب فیه وفی القمیص الصدق العرفی، وإن کان الأحوط ما ذکره المصنّف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 المتیقّن من الواجب ما یسمّی فی العرف مئزراً، وکذلک فی القمیص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والأفضل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الصدر إلی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ویجب أن یکون من المنکبین إلی نصف الساق</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المرعشی،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الطرفین، فما هو المتعارف فی بعض البلاد من جعله من طرف الخلف إلی المنکبین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والأفضل</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الحکم لیس موجوداً فی الدلیل،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أفضل، وإنّما الموجود تغطیة الصدر والرجلین بالقمیص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یعبّر عنه فی کلمات الفقهاء والروایات باللفّافة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 أن یغطّی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تغطیة تمام البدن فی حال الاضطجاع أن یکون الطول أزید من طول الجسد؛ للزوم تغطیة باطن الرجلین أیضاً، بخلاف حال القیام أو الجلوس، وأمّا العرض فاللازم أن یکون بمقدار یوضع أحد جانبیه علی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البدن،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حفظاً للساتریة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الطول بحیث یمکن أن یشدَّ طرفاه، وفی</w:t>
      </w:r>
      <w:bookmarkStart w:id="308" w:name="pg13276_136614"/>
    </w:p>
    <w:p>
      <w:pPr>
        <w:pStyle w:val="BookText"/>
        <w:rPr/>
      </w:pPr>
      <w:bookmarkEnd w:id="308"/>
      <w:r>
        <w:rPr>
          <w:rFonts w:ascii="IRNazanin" w:hAnsi="IRNazanin" w:eastAsia="IRNazanin"/>
          <w:color w:val="111111"/>
          <w:sz w:val="28"/>
          <w:sz w:val="28"/>
          <w:szCs w:val="28"/>
          <w:rtl w:val="true"/>
          <w:lang w:bidi="fa-IR"/>
        </w:rPr>
        <w:t>العرض</w:t>
      </w:r>
      <w:r>
        <w:rPr>
          <w:rStyle w:val="FootnoteAnchor"/>
          <w:rtl w:val="true"/>
        </w:rPr>
        <w:footnoteReference w:id="330"/>
      </w:r>
      <w:r>
        <w:rPr>
          <w:rFonts w:ascii="IRNazanin" w:hAnsi="IRNazanin" w:eastAsia="IRNazanin"/>
          <w:color w:val="111111"/>
          <w:sz w:val="28"/>
          <w:sz w:val="28"/>
          <w:szCs w:val="28"/>
          <w:rtl w:val="true"/>
          <w:lang w:bidi="fa-IR"/>
        </w:rPr>
        <w:t>بحیث یوضع أحد جانبیه علی الآخر، والأحوط أن لا یحسب</w:t>
      </w:r>
      <w:r>
        <w:rPr>
          <w:rStyle w:val="FootnoteAnchor"/>
          <w:rtl w:val="true"/>
        </w:rPr>
        <w:footnoteReference w:id="331"/>
      </w:r>
      <w:r>
        <w:rPr>
          <w:rFonts w:ascii="IRNazanin" w:hAnsi="IRNazanin" w:eastAsia="IRNazanin"/>
          <w:color w:val="111111"/>
          <w:sz w:val="28"/>
          <w:sz w:val="28"/>
          <w:szCs w:val="28"/>
          <w:rtl w:val="true"/>
          <w:lang w:bidi="fa-IR"/>
        </w:rPr>
        <w:t>الزائد</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لزوم مراعاة هذا الاحتیاط بین الصغار والکبار، إلاّ فی أنّ رضا الصغار بالزائد لا أثر له، بخلاف الکبار فبرضاهم یرتفع المحذور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احتسابه من أصل الترکة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باحتسابه من أصل المال فی المقدار المتعارف ولو کان زائداً علی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إخراج المقدار المتعارف من أصل الترکة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جواز الاحتساب من الأصل بمقدار یستحبّ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القدر 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الصغار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ویسترضی عن الکبار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علی الکبار الکارهین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ورضا الکبار بالنسبة إلی سهامهم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علی الکبار إلاّ برضاهم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العمل بما تعارف من المستحبّات ـ لا مطلقاً ـ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أوصی به أن یحسب من الثلث</w:t>
      </w:r>
      <w:r>
        <w:rPr>
          <w:rFonts w:eastAsia="IRNazanin" w:cs="IRNazanin"/>
          <w:color w:val="111111"/>
          <w:sz w:val="28"/>
          <w:szCs w:val="28"/>
          <w:rtl w:val="true"/>
          <w:lang w:bidi="fa-IR"/>
        </w:rPr>
        <w:t>.</w:t>
      </w:r>
    </w:p>
    <w:p>
      <w:pPr>
        <w:pStyle w:val="Heading3"/>
        <w:numPr>
          <w:ilvl w:val="2"/>
          <w:numId w:val="1"/>
        </w:numPr>
        <w:rPr/>
      </w:pPr>
      <w:bookmarkStart w:id="309" w:name="__RefHeading___Toc1763766_2322387425"/>
      <w:bookmarkStart w:id="310" w:name="_Toc116"/>
      <w:bookmarkEnd w:id="309"/>
      <w:r>
        <w:rPr>
          <w:rtl w:val="true"/>
        </w:rPr>
        <w:t>حکم تعذّر بعض أثواب الکفن</w:t>
      </w:r>
      <w:bookmarkEnd w:id="310"/>
    </w:p>
    <w:p>
      <w:pPr>
        <w:pStyle w:val="BookText"/>
        <w:rPr/>
      </w:pPr>
      <w:r>
        <w:rPr>
          <w:rFonts w:ascii="IRNazanin" w:hAnsi="IRNazanin" w:eastAsia="IRNazanin"/>
          <w:color w:val="111111"/>
          <w:sz w:val="28"/>
          <w:sz w:val="28"/>
          <w:szCs w:val="28"/>
          <w:rtl w:val="true"/>
          <w:lang w:bidi="fa-IR"/>
        </w:rPr>
        <w:t>وإن لم یتمکّن من ثلاث قطعات یکتفی بالمقدور</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فیه وفی الفروع الآتیة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دار الأمر</w:t>
      </w:r>
      <w:bookmarkStart w:id="311" w:name="pg13276_136615"/>
    </w:p>
    <w:p>
      <w:pPr>
        <w:pStyle w:val="BookText"/>
        <w:rPr/>
      </w:pPr>
      <w:bookmarkEnd w:id="311"/>
      <w:r>
        <w:rPr>
          <w:rFonts w:ascii="IRNazanin" w:hAnsi="IRNazanin" w:eastAsia="IRNazanin"/>
          <w:color w:val="111111"/>
          <w:sz w:val="28"/>
          <w:sz w:val="28"/>
          <w:szCs w:val="28"/>
          <w:rtl w:val="true"/>
          <w:lang w:bidi="fa-IR"/>
        </w:rPr>
        <w:t>بین واحدة من الثلاث تُجعل إزاراً، وإن لم یمکن فثوباً</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قمیصاً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قمیصاً، لا مئزراً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قمیصاً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قمیصاً، فإذا دار الأمر بین المئزر والقمیص یقدّم القمیص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فقمیصاً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یمکن إلاّ مقدار ستر العورة تعیّن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دار بین القُبُل والدُبُر یقدّم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763768_2322387425"/>
      <w:bookmarkStart w:id="313" w:name="_Toc117"/>
      <w:bookmarkEnd w:id="312"/>
      <w:r>
        <w:rPr>
          <w:rtl w:val="true"/>
        </w:rPr>
        <w:t>نیّة التکفین</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التکفین قصد القربة وإن کان أحوط</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763770_2322387425"/>
      <w:bookmarkStart w:id="315" w:name="_Toc118"/>
      <w:bookmarkEnd w:id="314"/>
      <w:r>
        <w:rPr>
          <w:rtl w:val="true"/>
        </w:rPr>
        <w:t>اعتبار حصول الستر بتمام الأثواب أو بکلّ واحدٍ منها</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336"/>
      </w:r>
      <w:r>
        <w:rPr>
          <w:rFonts w:ascii="Amiri" w:hAnsi="Amiri" w:eastAsia="Amiri" w:cs="Amiri"/>
          <w:color w:val="111111"/>
          <w:sz w:val="28"/>
          <w:sz w:val="28"/>
          <w:szCs w:val="28"/>
          <w:rtl w:val="true"/>
          <w:lang w:bidi="ar-SA"/>
        </w:rPr>
        <w:t>فی کلٍّ</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حصول الستر بالمجموع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القطعات أن یکون وحده ساتراً لما تحته، فلا یکتفی بما یکون حاکیاً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حصل الستر بالمجموع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یبعد</w:t>
      </w:r>
      <w:r>
        <w:rPr>
          <w:rStyle w:val="FootnoteAnchor"/>
          <w:rtl w:val="true"/>
        </w:rPr>
        <w:footnoteReference w:id="338"/>
      </w:r>
      <w:r>
        <w:rPr>
          <w:rFonts w:ascii="IRNazanin" w:hAnsi="IRNazanin" w:eastAsia="IRNazanin"/>
          <w:color w:val="111111"/>
          <w:sz w:val="28"/>
          <w:sz w:val="28"/>
          <w:szCs w:val="28"/>
          <w:rtl w:val="true"/>
          <w:lang w:bidi="fa-IR"/>
        </w:rPr>
        <w:t>کفایة ما یکون ساتراً من جهة طلیه بالنشاء ونحوه لا بنفسه، وإن کان الأحوط</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الاحتیاط غیر واضح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کذلک بنفسه</w:t>
      </w:r>
      <w:r>
        <w:rPr>
          <w:rFonts w:eastAsia="IRNazanin" w:cs="IRNazanin"/>
          <w:color w:val="111111"/>
          <w:sz w:val="28"/>
          <w:szCs w:val="28"/>
          <w:rtl w:val="true"/>
          <w:lang w:bidi="fa-IR"/>
        </w:rPr>
        <w:t>.</w:t>
      </w:r>
      <w:bookmarkStart w:id="316" w:name="pg13276_136616"/>
    </w:p>
    <w:p>
      <w:pPr>
        <w:pStyle w:val="Heading3"/>
        <w:numPr>
          <w:ilvl w:val="2"/>
          <w:numId w:val="1"/>
        </w:numPr>
        <w:rPr/>
      </w:pPr>
      <w:bookmarkStart w:id="317" w:name="__RefHeading___Toc1763772_2322387425"/>
      <w:bookmarkStart w:id="318" w:name="_Toc119"/>
      <w:bookmarkEnd w:id="316"/>
      <w:bookmarkEnd w:id="317"/>
      <w:r>
        <w:rPr>
          <w:rtl w:val="true"/>
        </w:rPr>
        <w:t>التکفین بجلد المیتة أو بالمغصوب اضطراراً</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التکفین بجلد المیتة</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مع الانحصار والاضطرار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بالمغصوب ولو فی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الاضطرار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إلی المغصوب، لا إلیه وإلی المیتة؛ لأنّه یجب التکفین بالمیتة فی حال الاضطرار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المغصوب، وأمّا فی جلد المیتة فالأحوط وجوباً التکفین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جلد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جلد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التکفین بجلد المیتة مع صدق الثوب علیه فی حال الاضطرار علی الأحوط، والأحوط ترک التکفین به فی حال الاختیار وإن کان طاهراً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المغصوب، وأمّا فی جلد المیتة فالأحوط التکفین به فی تلک الحال مع صدق الثوب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ولو کُفِّن بالمغصوب وجب نزعه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المباشر، وأمّا وجوبه لغیره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سیأتی فی مسوّغات النبش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bookmarkStart w:id="319" w:name="pg13276_136617"/>
    </w:p>
    <w:p>
      <w:pPr>
        <w:pStyle w:val="Heading3"/>
        <w:numPr>
          <w:ilvl w:val="2"/>
          <w:numId w:val="1"/>
        </w:numPr>
        <w:rPr/>
      </w:pPr>
      <w:bookmarkStart w:id="320" w:name="__RefHeading___Toc1763774_2322387425"/>
      <w:bookmarkStart w:id="321" w:name="_Toc120"/>
      <w:bookmarkEnd w:id="319"/>
      <w:bookmarkEnd w:id="320"/>
      <w:r>
        <w:rPr>
          <w:rtl w:val="true"/>
        </w:rPr>
        <w:t>ما لا یجوز التکفین به اختیاراً</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اختیاراً التکفین بالنجس</w:t>
      </w:r>
      <w:r>
        <w:rPr>
          <w:rStyle w:val="FootnoteAnchor"/>
          <w:rtl w:val="true"/>
        </w:rPr>
        <w:footnoteReference w:id="341"/>
      </w:r>
      <w:r>
        <w:rPr>
          <w:rFonts w:ascii="IRNazanin" w:hAnsi="IRNazanin" w:eastAsia="IRNazanin"/>
          <w:color w:val="111111"/>
          <w:sz w:val="28"/>
          <w:sz w:val="28"/>
          <w:szCs w:val="28"/>
          <w:rtl w:val="true"/>
          <w:lang w:bidi="fa-IR"/>
        </w:rPr>
        <w:t>، حتّی لو کانت النجاسة بما عفی عنها فی الصلاة علی الأحوط</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بالحریر الخالص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إلاّ أن یکون خلیطه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وغیر الخالص، إلاّ بالمخلوط قلیلاً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غیر الخالص إذا کان الحریر أکثر من الخلیط،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 وبعد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المیّت طفلاً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بالمذهّب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أجزاء مالا یؤکل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بما لا یوءکل لحمه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فیهما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جلداً کان أو شعراً أو وبراً</w:t>
      </w:r>
      <w:bookmarkStart w:id="322" w:name="pg13276_136618"/>
    </w:p>
    <w:p>
      <w:pPr>
        <w:pStyle w:val="BookText"/>
        <w:rPr/>
      </w:pPr>
      <w:bookmarkEnd w:id="322"/>
      <w:r>
        <w:rPr>
          <w:rFonts w:ascii="IRNazanin" w:hAnsi="IRNazanin" w:eastAsia="IRNazanin"/>
          <w:color w:val="111111"/>
          <w:sz w:val="28"/>
          <w:sz w:val="28"/>
          <w:szCs w:val="28"/>
          <w:rtl w:val="true"/>
          <w:lang w:bidi="fa-IR"/>
        </w:rPr>
        <w:t>والأحوط</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جلد المأکول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 مع صدق الثوب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الثوب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 مع صدق الثوب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مانع منه مع صدق الثوب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من وبره وشعره فلا بأس، وإن کان الأحوط فیهما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المنع، وأمّا فی حال الاضطرار فیجوز بالجمیع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بالجواز عدم المنع وحصول التکفین، وإلاّ فیجب فی تلک الحالة، لا أنّه یجوز فعله وترکه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 فی الحریر والجلد بل النجس، وأقوی فی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763776_2322387425"/>
      <w:bookmarkStart w:id="324" w:name="_Toc121"/>
      <w:bookmarkEnd w:id="323"/>
      <w:r>
        <w:rPr>
          <w:rtl w:val="true"/>
        </w:rPr>
        <w:t>صور الدوران بین أفراد ما لا یجوز التکفین به اختیاراً</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فی حال الاضطرار</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الدوران لا تخلو من إشکال، ومقتضی العلم الإجمالی وجوب الجمع بین المحتملات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شقوق هذه المسألة محلّ إشکال، فلا یُترک الاحتیاط بالجمع فی صورة الدوران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دار الأمر بین المتنجّس وبقیة المذکورات فالأحوط الجمع، وإذا دار بین الحریر وغیر المتنجّس قدّم الثانی، وفی غیرهما من الصور لایبعد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جمیع صور الدوران الأحوط الجمع بین المحتملات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جلد</w:t>
      </w:r>
    </w:p>
    <w:p>
      <w:pPr>
        <w:pStyle w:val="BookText"/>
        <w:rPr/>
      </w:pPr>
      <w:r>
        <w:rPr>
          <w:rFonts w:ascii="IRNazanin" w:hAnsi="IRNazanin" w:eastAsia="IRNazanin"/>
          <w:color w:val="111111"/>
          <w:sz w:val="28"/>
          <w:sz w:val="28"/>
          <w:szCs w:val="28"/>
          <w:rtl w:val="true"/>
          <w:lang w:bidi="fa-IR"/>
        </w:rPr>
        <w:t>المأکول</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اسم الثوب جاز التکفین به اختیاراً، کما تقدم، و إلاّ فلا یجوز، بل یقدّم غیره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المنع عنه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أحد المذکورات یقدّم الجلد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صدق علیه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تنجّز العلم الإجمالی یکون مقتضی الاحتیاط لزوم الجمع فی الفروض المذکورة بین طرفَی التردید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الحریر یقدّم علیه، وکذا یقدّم علی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الجمیع، وإذا دار بین النجس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ما ذکروه فی وجوه الترجیح فی صور الدوران استحسانات لا اعتبار بها، ومقتضی العلم الإجمالی وإن کان هو الجمع ولکن بعد أن علمنا بأنّ الشارع لم یوجب الجمع، بل لم یجوّز لتضییع المال واکتفی بأحد المحتملات فلا محالة یکون الحکم هو التخییر فی الجمیع، إلاّ أن یکون هناک ما یحتمل تعیّنه من دون تطرّق هذا الاحتمال فی الآخر، وقلنا بعدم وجود إطلاق فی الباب یرفع هذا الاحتمال، فیتعیّن ذلک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 من وجوه الترجیح فی فروض المسألة محلّ تأمّل، فإن أمکن الجمع وجب، وإن لم یمکن تخیّر، إلاّ أن یعلم أهمیة البعض، أو یحتمل فیتعیّن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الدوران الجمع؛ قضاءً لحقّ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والحریر، أو بینه وبین أجزاء</w:t>
      </w:r>
    </w:p>
    <w:p>
      <w:pPr>
        <w:pStyle w:val="BookText"/>
        <w:rPr/>
      </w:pPr>
      <w:r>
        <w:rPr>
          <w:rFonts w:ascii="IRNazanin" w:hAnsi="IRNazanin" w:eastAsia="IRNazanin"/>
          <w:color w:val="111111"/>
          <w:sz w:val="28"/>
          <w:sz w:val="28"/>
          <w:szCs w:val="28"/>
          <w:rtl w:val="true"/>
          <w:lang w:bidi="fa-IR"/>
        </w:rPr>
        <w:t>غیر المأکول لا یبعد تقدیم النجس</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الحریر، خصوصاً إذا کان المیّت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لایبعد تقدیم غیر المأکول، وکذا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مع إمکان الجمع بینهما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تقدیم النجس علی وبر ما لایؤکل فضلاً عن وبر ما یؤکل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تقدیم غیر المأکول أقرب، کما أنّه فی صورة الدوران بین الحریر وغیر المأکول الأقرب تقدیم غیر المأکول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سرایة النجاسة منه إلیه، والأحوط الجمع بینه وبین ما قابله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الترجیح فیه وفیما بعده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التخییر بین الحریر والنجس، وتقدیم غیر المأکول علی النجس والحریر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الحریر فی الفرض الأول، وتقدّم أجزاء غیر المأکول فی الفرض الثانی، وکذا فی الصورة الآتیة، ولو دار الأمر بین النجس والمتنجّس قدّم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الظاهر، وإن کان الأحوط الجمع مع إمکانه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لا یخلو من</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الأظهر یقدّم النجس مع عدم سرایته، ثمّ الحریر، ثمّ أجزاء غیر مأکول اللحم، والإشکال ضعیف، وکذا ما یقال، والأحوط هوالجمع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دار بین الحریر وغیر المأکول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یقدّم الحریر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وسیأتی منه رحمه‌الله فی لباس المصلّی تقدیم غیر المأکول علی الحریر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التخییر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من المصنّف فی لباس المصلّی تقدیم غیر المأکول علی الحریر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ولا یبعد التخییر مع عدم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تقدیم الحریر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الدوران بین الحریر وجلد غیر المأکول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اشکال فی تقدیم الحریر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تقدیم الحریر حینئذٍ؛ لأنّ المنع فی الجلد من وجهین وفی الحریر من وجه واحد، بناءً علی عدم حرمة إلباس المیّت الحریر فی غیر الکفن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دار بین جلد غیر المأکول وسائر أجزائه یقدّم سائر</w:t>
      </w:r>
      <w:bookmarkStart w:id="325" w:name="pg13276_136622"/>
    </w:p>
    <w:p>
      <w:pPr>
        <w:pStyle w:val="BookText"/>
        <w:rPr/>
      </w:pPr>
      <w:bookmarkEnd w:id="325"/>
      <w:r>
        <w:rPr>
          <w:rFonts w:ascii="IRNazanin" w:hAnsi="IRNazanin" w:eastAsia="IRNazanin"/>
          <w:color w:val="111111"/>
          <w:sz w:val="28"/>
          <w:sz w:val="28"/>
          <w:szCs w:val="28"/>
          <w:rtl w:val="true"/>
          <w:lang w:bidi="fa-IR"/>
        </w:rPr>
        <w:t>الأجزاء</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الثوب علی الجلد لا وجه للتقدیم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Heading3"/>
        <w:numPr>
          <w:ilvl w:val="2"/>
          <w:numId w:val="1"/>
        </w:numPr>
        <w:rPr/>
      </w:pPr>
      <w:bookmarkStart w:id="326" w:name="__RefHeading___Toc1763778_2322387425"/>
      <w:bookmarkStart w:id="327" w:name="_Toc122"/>
      <w:bookmarkEnd w:id="326"/>
      <w:r>
        <w:rPr>
          <w:rtl w:val="true"/>
        </w:rPr>
        <w:t>حکم التکفین بالحریر غیر الخالص</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التکفین بالحریر غیر الخالص</w:t>
      </w:r>
      <w:r>
        <w:rPr>
          <w:rStyle w:val="FootnoteAnchor"/>
          <w:rtl w:val="true"/>
        </w:rPr>
        <w:footnoteReference w:id="349"/>
      </w:r>
      <w:r>
        <w:rPr>
          <w:rFonts w:ascii="IRNazanin" w:hAnsi="IRNazanin" w:eastAsia="IRNazanin"/>
          <w:color w:val="111111"/>
          <w:sz w:val="28"/>
          <w:sz w:val="28"/>
          <w:szCs w:val="28"/>
          <w:rtl w:val="true"/>
          <w:lang w:bidi="fa-IR"/>
        </w:rPr>
        <w:t>، بشرط أن یکون الخلیط أزید من الإبریسم علی الأحوط</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328" w:name="__RefHeading___Toc1763780_2322387425"/>
      <w:bookmarkStart w:id="329" w:name="_Toc123"/>
      <w:bookmarkEnd w:id="328"/>
      <w:r>
        <w:rPr>
          <w:rtl w:val="true"/>
        </w:rPr>
        <w:t>یلزم إزالة ما لو تنجّس من الکفن بغسله أو بقرضه</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الکفن بنجاسة خارجة أو بالخروج من المیّت وجب إزالتها</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جمیع الخصوصیات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بعد الوضع فی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طمّه بالتراب أو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بقرض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اختیاره بعد الوضع، بل ربّما یلزم إذا استلزم الإخراج للوهن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w:t>
      </w:r>
      <w:bookmarkStart w:id="330" w:name="pg13276_136623"/>
    </w:p>
    <w:p>
      <w:pPr>
        <w:pStyle w:val="BookText"/>
        <w:rPr/>
      </w:pPr>
      <w:bookmarkEnd w:id="330"/>
      <w:r>
        <w:rPr>
          <w:rFonts w:ascii="IRNazanin" w:hAnsi="IRNazanin" w:eastAsia="IRNazanin"/>
          <w:color w:val="111111"/>
          <w:sz w:val="28"/>
          <w:sz w:val="28"/>
          <w:szCs w:val="28"/>
          <w:rtl w:val="true"/>
          <w:lang w:bidi="fa-IR"/>
        </w:rPr>
        <w:t>یفسد الکفن</w:t>
      </w:r>
      <w:r>
        <w:rPr>
          <w:rStyle w:val="FootnoteAnchor"/>
          <w:rtl w:val="true"/>
        </w:rPr>
        <w:footnoteReference w:id="352"/>
      </w:r>
      <w:r>
        <w:rPr>
          <w:rFonts w:ascii="IRNazanin" w:hAnsi="IRNazanin" w:eastAsia="IRNazanin"/>
          <w:color w:val="111111"/>
          <w:sz w:val="28"/>
          <w:sz w:val="28"/>
          <w:szCs w:val="28"/>
          <w:rtl w:val="true"/>
          <w:lang w:bidi="fa-IR"/>
        </w:rPr>
        <w:t>، وإذا لم یمکن وجب تبدیله</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جواز دفنه کما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p>
    <w:p>
      <w:pPr>
        <w:pStyle w:val="Heading3"/>
        <w:numPr>
          <w:ilvl w:val="2"/>
          <w:numId w:val="1"/>
        </w:numPr>
        <w:rPr/>
      </w:pPr>
      <w:bookmarkStart w:id="331" w:name="__RefHeading___Toc1763782_2322387425"/>
      <w:bookmarkStart w:id="332" w:name="_Toc124"/>
      <w:bookmarkEnd w:id="331"/>
      <w:r>
        <w:rPr>
          <w:rtl w:val="true"/>
        </w:rPr>
        <w:t>حکم تجهیز الزوجة وشرائطه</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الزوجة</w:t>
      </w:r>
      <w:r>
        <w:rPr>
          <w:rStyle w:val="FootnoteAnchor"/>
          <w:rtl w:val="true"/>
        </w:rPr>
        <w:footnoteReference w:id="354"/>
      </w:r>
      <w:r>
        <w:rPr>
          <w:rFonts w:ascii="IRNazanin" w:hAnsi="IRNazanin" w:eastAsia="IRNazanin"/>
          <w:color w:val="111111"/>
          <w:sz w:val="28"/>
          <w:sz w:val="28"/>
          <w:szCs w:val="28"/>
          <w:rtl w:val="true"/>
          <w:lang w:bidi="fa-IR"/>
        </w:rPr>
        <w:t>علی زوجها ولو مع یسارها، من غیر فرق بین کونها</w:t>
      </w:r>
      <w:r>
        <w:rPr>
          <w:rStyle w:val="FootnoteAnchor"/>
          <w:rtl w:val="true"/>
        </w:rPr>
        <w:footnoteReference w:id="355"/>
      </w:r>
      <w:r>
        <w:rPr>
          <w:rFonts w:ascii="IRNazanin" w:hAnsi="IRNazanin" w:eastAsia="IRNazanin"/>
          <w:color w:val="111111"/>
          <w:sz w:val="28"/>
          <w:sz w:val="28"/>
          <w:szCs w:val="28"/>
          <w:rtl w:val="true"/>
          <w:lang w:bidi="fa-IR"/>
        </w:rPr>
        <w:t>کبیرة أو صغیرة، أو مجنونة أو عاقلة، حرّة أو أمة، مدخولة أو غیر مدخولة، دائمة أو منقطعة</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حتی فیما إذا کانت مدّة نکاحها قصیرة جدّاً تأمّل، وکذلک فی المطلّقة الرجعیة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لا سیّما إذا انتهت مدّتها قبل التکفین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کفن المنقطعة والناشزة نظر، أقربه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وفی الناشزة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المنقطعة القصیرة المدّة والناشزة والمطلّقة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إذا کانت المدّة قصیرة، وفی الرجعیّة، بل وفی الناشزة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المنقطعة إذا کانت مدّة نکاحها قصیرة، والناشزة والمطلّقة الرجعیة تأمّل‌إشکال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إشکال إذا کانت مدّتها قصیرة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المنقطعة والناشزة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وإشکال بعضهم فیها مطلقاً أو فی صورة قصر مدّة الانقطاع ضعیف لایُعبأ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المنقطعة خصوصاً إذا کانت مدّتها قصیرة، وکذا فی الناشزة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مع قصر مدّة الانقطاع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فی المنقطعة التی تنقضی مدّتها قبل التکفین، وفی المطلّقة الرجعیة التی تنقضی عدّتها قبل التکفین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الناشزة والرجعیة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إذا قصرت المدّة، أو انتهت قبل التکفین، وکذلک المطلّقة إذا انقضت العدّة قبل التکفین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خصوصاً إذا کانت المدّة 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إشکال، خصوصاً إذا کانت المدّة قصیرة، وکذا فی الناشزة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مطیعة أو</w:t>
      </w:r>
    </w:p>
    <w:p>
      <w:pPr>
        <w:pStyle w:val="BookText"/>
        <w:rPr/>
      </w:pPr>
      <w:r>
        <w:rPr>
          <w:rFonts w:ascii="Amiri" w:hAnsi="Amiri" w:eastAsia="Amiri" w:cs="Amiri"/>
          <w:color w:val="111111"/>
          <w:sz w:val="28"/>
          <w:sz w:val="28"/>
          <w:szCs w:val="28"/>
          <w:rtl w:val="true"/>
          <w:lang w:bidi="ar-SA"/>
        </w:rPr>
        <w:t>ناشزة</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المنقطعة والناشزة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 المنقطعة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المطلّقة الرجعیّة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دون البائنة، وکذا فی الزوج لا فرق بین الصغیر والکبیر، والعاقل والمجنون، فیعطی الولیّ من مال المولّی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کون کفن الزوجة</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ممّا ذکره قدس‌سره إلاّ الثانی، نعم، إذا کان بذل الکفن ـ ولو بالاستدانة أو فکّ الرهن أو نحوه ـ حرجیاً علی الزوج سقط عنه، وکذا إذا عمل بالوصیة فیما إذا أوصت به فیکون کما إذا تبرّع الغیر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یساره</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تمکّنه منه ولو بقرض ونحوه مع عدم الحرج علی الأحوط إن لم یکن أقوی، وعلیه فلا یکون الحجر وتعلّق حقّ الغیر بماله مانعاً من کونه علیه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تمکنّه بدون حرج علی الأظهر، ومنه یظهر النظر فی بعض ما ذکره من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بذله ولو بالاستقراض إذا لم یکن حرجیاً، وکذا عند فقد الشرط الثالث والرابع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أن لا یکون علیه عسر وحرج فی تحصیله ولو بالاستدانة ومنه یتبیّن الحال فی الثالث والرابع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الیسار فی غیر مورد الحرج لا 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علیه بذل کفن زوجته وإن کان معسراً، بالاستقراض ونحوه، إلاّ إذا تعذّر علیه البذل أو لزم الحرج، وکذا إذا کان محجوراً علیه أو کان ماله متعلّقاً لحقّ الغیر من رهن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البذل ولو بالاستقراض غیر الحرجی لیس بعیداً، وکذا الکلام فی الشرطین الثالث والرابع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الثالث والرابع إشکال ما لم یستلزم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الاستقراض مع عدم الیسار، إلاّ إذا تعذّر أو کان حرجیّاً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بأن یکون له ما یفی به أو ببعضه، زائداً</w:t>
      </w:r>
    </w:p>
    <w:p>
      <w:pPr>
        <w:pStyle w:val="BookText"/>
        <w:rPr/>
      </w:pPr>
      <w:r>
        <w:rPr>
          <w:rFonts w:ascii="IRNazanin" w:hAnsi="IRNazanin" w:eastAsia="IRNazanin"/>
          <w:color w:val="111111"/>
          <w:sz w:val="28"/>
          <w:sz w:val="28"/>
          <w:szCs w:val="28"/>
          <w:rtl w:val="true"/>
          <w:lang w:bidi="fa-IR"/>
        </w:rPr>
        <w:t>عن مستثنیات الدین</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تیسّر له الاستقراض وکان واثقاً بأدائه من دون مشقّة أمکن القول بوجوبه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بذله ولو بالاستقراض مالم یکن حرجیاً؛ ضرورة أنّ هذا التکلیف متوجّه إلی الزوج ابتداءً، ولا یکون تحمیلاً من الغیر کی یسقط عند الإعسار، وکذلک الأمر عند فقد الشرط الثالث والرابع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المرتکزات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کفن المرأة نحو حقٍّ علی الزوج، فیکون من قبیل الإنفاقات الواجبة، وعلیه تُنزّل الأدلة الشرعیّة، وحینئذٍ یسقط الشرط الأول والثالث والرابع، فیجب علیه حینئذٍ الاستقراض مع عدم الحرج، وعلی الحاکم إجراؤه إن کان محجوراً علیه، مالم تقسّم أمواله علی الغرماء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فهو، أو البعض الباقی</w:t>
      </w:r>
    </w:p>
    <w:p>
      <w:pPr>
        <w:pStyle w:val="BookText"/>
        <w:rPr/>
      </w:pPr>
      <w:r>
        <w:rPr>
          <w:rFonts w:ascii="IRNazanin" w:hAnsi="IRNazanin" w:eastAsia="IRNazanin"/>
          <w:color w:val="111111"/>
          <w:sz w:val="28"/>
          <w:sz w:val="28"/>
          <w:szCs w:val="28"/>
          <w:rtl w:val="true"/>
          <w:lang w:bidi="fa-IR"/>
        </w:rPr>
        <w:t>فی مالها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تقارن موتهما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محجوریّة الزوج</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کونه من نفقاته الواجبة التی یجریها له الحاکم من أمواله المحجورة، الممنوع من التصرّف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بأنّه من إنفاقاته الواجبة التی یجب علی الحاکم إجراوءها علیه من أمواله، ما لم تقسّم علی غرمائه، وإن کان هو محجوراً عن التصرّف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محجوریّته لاتوجب سقوطه عنه، فینفقه الحاکم من أمواله کسائر إنفاقاته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القول بثبوت الکفن علی الزوج، وکونه من إنفاقاته الواجبة، أو رضیَ الدُیّان أو بعضهم فی حصّته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بأ نّه من إنفاقاته الواجبة، فما لم تقسّم أمواله علی غرمائه یخرج الکفن منها، وإن کان هو محجوراً عن التصرّف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سقوطه بالمحجوریّة إشکال، بل عدم السقوط والتکفین بإذن الحاکم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کونه کسائر إنفاقاته الواجبة، فعلی الحاکم إجراوءها علیه من أمواله قبل قسمة الأموال بین الغرماء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مجرّد المحجوریّة سبباً لسقوط التکلیف أو العهدة محلّ تأمّل وإشکال، نعم، هو لا یتصرف فی المال، بل هو وظیفة الحاکم إن 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إخراجه من ماله بإذن الحاکم قبل تقسیمه بین الغرماء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وجوباً، بل لایخلو من قوة فی صورة فقد أحد الشروط الثلاثة المتقدمة وجوب الاستقراض إذا أمکن بدون عسر ومشقّة؛ لأنّ حقّ الکفن من الحقوق الإنفاقیة، وکذا فی صورة عدم العمل بوصیتها فی الکفن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السقوط بالمحجوریّة، بل هو من الإنفاقات الواجبة علی الحاکم من ماله قبل تقسیمه بین الغرماء، کأصل نفقة الزوجة فی حال 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موتها بسبب الفَلَس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یتعلّق به حقّ الغیر</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فکّه ببعضه، أو کان فی فکّه حرج أو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یمنع عن وجوب البذل إذا تمکّن من الاستقراض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جمیع أمواله مرهونة ولا یمکن فکّ بعضها بنحو من الأنحاء فیدخل حینئذٍ فی شرط 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تعیینها</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سقوطه عن الزوج بمجرّد الوصیّة قبل العمل بها محلّ تأمّل، وإن کانت 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فیمایکون التعیین یترتب علیه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سقوط الموضوع بالعمل بالوصیّة، لاسقوط الحقّ بمجردّها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بالوصیّة</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یسقط بمجرد الوصیّة، إلاّ أن یعمل بها کما لو تبرّع به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بذله علی الزوج إذا لم یعمل بالوصیّة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العمل بها، وإلاّ فلا یسقط عن ذمّة الزوج بصرف التعیین بالوصیّة، والوجه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الوصیّة لا ینافی اشتغال ذمّة الزوج بالکفن، نعم، لو عمل بها سقط عنه؛ لانعدام موضوعه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سقوط حقّها الحادث بالموت بالوصیّة وتقدیمها مع عدم رضا الوارث أو وجود الصغار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العمل بالوصیّة لاینافی اشتغال ذمّة الزوج بالکفن، فإن لم یعمل بالوصیة یجب علی الزوج، الکفن، وإن عمل بالوصیّة فیرتفع شرط الوجوب علی الزوج، ویسقط عن ذمّته بانعدام موضوعه، لا بمجرد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التعیین لا یوجب السقوط، نعم، لو عمل بالوصیّة یسقط بارتفاع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سقوطه عنه بمجرّد الوصیّة مشکل، نعم، بعد العمل ینعدم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السقوط عن ذمّة الزوج بصرف الوصیّة، نعم، فی صورة فرض العمل بها یسقط التکلیف؛ لعدم بقاء المتعلّق حینئذٍ، کما أنّ الحال فی غیر صورة الوصیّة فیما لو تبرّع متبرّع کذلک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السقوط تحقّق تکفینها خارجاً، سواء کان بالوصیّة أم بغیرها، ولا أثر لنفس الوصیّة من حیث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الزوج بذل الکفن، إلاّ إذا عمل بوصیّتها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نفذت الوصیة، لا بمجردها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وعمل بوصیتها، وإلاّ فالأحوط أن یعطی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الوصیّة لا یسقط الوجوب، نعم العمل بها یسقطه؛ لإنعدام الموضوع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عمل بها، وإلاّ فمجرد الوصیّة من الزوجة لا یوجب سقوط الکفن، فإذا کُفِّنت بالوصیّة أو بالتبرّع فحینئذٍ لا یجب الکفن علی الزوج،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المحلّلة علی سیّدها</w:t>
      </w:r>
      <w:r>
        <w:rPr>
          <w:rStyle w:val="FootnoteAnchor"/>
          <w:rtl w:val="true"/>
        </w:rPr>
        <w:footnoteReference w:id="366"/>
      </w:r>
      <w:r>
        <w:rPr>
          <w:rFonts w:ascii="IRNazanin" w:hAnsi="IRNazanin" w:eastAsia="IRNazanin"/>
          <w:color w:val="111111"/>
          <w:sz w:val="28"/>
          <w:sz w:val="28"/>
          <w:szCs w:val="28"/>
          <w:rtl w:val="true"/>
          <w:lang w:bidi="fa-IR"/>
        </w:rPr>
        <w:t>، لا المحلّل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الزوج بعد الزوجة وکان له ما یساوی کفن أحدهما قدّم علیها</w:t>
      </w:r>
      <w:r>
        <w:rPr>
          <w:rStyle w:val="FootnoteAnchor"/>
          <w:rtl w:val="true"/>
        </w:rPr>
        <w:footnoteReference w:id="367"/>
      </w:r>
      <w:r>
        <w:rPr>
          <w:rFonts w:ascii="IRNazanin" w:hAnsi="IRNazanin" w:eastAsia="IRNazanin"/>
          <w:color w:val="111111"/>
          <w:sz w:val="28"/>
          <w:sz w:val="28"/>
          <w:szCs w:val="28"/>
          <w:rtl w:val="true"/>
          <w:lang w:bidi="fa-IR"/>
        </w:rPr>
        <w:t>، حتّی لو کان وضع علیها فینزع منها</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الأقرب عدم النزع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جدّاً، فإنّ کفن المرأة علی الزوج بمنزلة الدین، وتکفینها بمنزلة الوفاء وتعیین الدین، فلا یشمل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شیء یُبدأ به من المال الکفن، ثمّ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ذلک، کما لا یخفی، وجواز تبدیل الزوج الکفن بعد التکفین لو سلّم لا یدلّ علی شیء؛ لجواز أن یکون ذلک من جهة ولایة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واضح؛ لاحتمال کون تکفین الزوج زوجته بمنزلة أداء دینه بالنسبة إلیها، فلا یشمله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شیء یبدأ به من المال الکفن، ثمّ الدین، ثمّ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دعوی الانصراف متوجّهة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کان</w:t>
      </w:r>
      <w:bookmarkStart w:id="333" w:name="pg13276_136630"/>
    </w:p>
    <w:p>
      <w:pPr>
        <w:pStyle w:val="BookText"/>
        <w:rPr/>
      </w:pPr>
      <w:bookmarkEnd w:id="333"/>
      <w:r>
        <w:rPr>
          <w:rFonts w:ascii="IRNazanin" w:hAnsi="IRNazanin" w:eastAsia="IRNazanin"/>
          <w:color w:val="111111"/>
          <w:sz w:val="28"/>
          <w:sz w:val="28"/>
          <w:szCs w:val="28"/>
          <w:rtl w:val="true"/>
          <w:lang w:bidi="fa-IR"/>
        </w:rPr>
        <w:t>بعد الدفن</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قبل الدفن وبعده إلاّ من جهة حرمة النبش، وهو لیس بفارق فی المقام؛ لإمکان انکشاف بدن المیّت بغیره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بعده‌لو فرض خروجها منه بأسباب اختیاریة مجوّزة للإخراج أو قهریّة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تخرج منه اتفاقاً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بکفنها متبرّع سقط عن الزوج</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یسقط عنه إذا کُفّنت بالفعل، وهو مراد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334" w:name="__RefHeading___Toc1763784_2322387425"/>
      <w:bookmarkStart w:id="335" w:name="_Toc125"/>
      <w:bookmarkEnd w:id="334"/>
      <w:r>
        <w:rPr>
          <w:rtl w:val="true"/>
        </w:rPr>
        <w:t>تجهیز غیر الزوجة من واجبی النفقة</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غیر الزوجة من أقارب الشخص لیس علیه</w:t>
      </w:r>
      <w:r>
        <w:rPr>
          <w:rStyle w:val="FootnoteAnchor"/>
          <w:rtl w:val="true"/>
        </w:rPr>
        <w:footnoteReference w:id="371"/>
      </w:r>
      <w:r>
        <w:rPr>
          <w:rFonts w:ascii="IRNazanin" w:hAnsi="IRNazanin" w:eastAsia="IRNazanin"/>
          <w:color w:val="111111"/>
          <w:sz w:val="28"/>
          <w:sz w:val="28"/>
          <w:szCs w:val="28"/>
          <w:rtl w:val="true"/>
          <w:lang w:bidi="fa-IR"/>
        </w:rPr>
        <w:t>، وإن کان ممّن یجب نفقته علیه، بل فی مال المیّت، وإن لم یکن له مال</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البذل ممّن تجب نفقته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واجب النفقة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یدفن</w:t>
      </w:r>
      <w:bookmarkStart w:id="336" w:name="pg13276_136631"/>
    </w:p>
    <w:p>
      <w:pPr>
        <w:pStyle w:val="BookText"/>
        <w:rPr/>
      </w:pPr>
      <w:bookmarkEnd w:id="336"/>
      <w:r>
        <w:rPr>
          <w:rFonts w:ascii="Amiri" w:hAnsi="Amiri" w:eastAsia="Amiri" w:cs="Amiri"/>
          <w:color w:val="111111"/>
          <w:sz w:val="28"/>
          <w:sz w:val="28"/>
          <w:szCs w:val="28"/>
          <w:rtl w:val="true"/>
          <w:lang w:bidi="ar-SA"/>
        </w:rPr>
        <w:t>عاریاً</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بذل الکفن فی هذه الصورة علی الذی کان یجب الإنفاق علیه لو کان حیّاً، فإنّ العرف یفهم ذلک من أدلة وجوب الإنفاق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واجب النفقة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ببذل الکفن ممّن یجب علیه الإنفاق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لزوم بذله علی من یجب علیه نفقته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علی المنفق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خلاف الاحتیاط والإنصاف بالنسبة إلی مَن وجبت نفقته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المنفق فی هذه الصورة، وإن کان الاحتیاط فی غیرها أیضاً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تکفینه من الزکاة إن کان ممکناً، فإنّه من مصادیق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علی من وجبت نفقته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المسلمین بذل کفنه علی الأحوط، ویجوز احتسابه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بذله ممّن تجب علیه نفقته فی هذا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763786_2322387425"/>
      <w:bookmarkStart w:id="338" w:name="_Toc126"/>
      <w:bookmarkEnd w:id="337"/>
      <w:r>
        <w:rPr>
          <w:rtl w:val="true"/>
        </w:rPr>
        <w:t>القول فی مالکیة الکفن</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الکفن عن ملک الزوج بتکفین المرأة، فلو أکلها السَبُع أو ذهب بها السیل وبقی الکفن رجع إلیه ولو کان بعد دفنها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w:t>
      </w:r>
      <w:r>
        <w:rPr>
          <w:rStyle w:val="FootnoteAnchor"/>
          <w:rtl w:val="true"/>
        </w:rPr>
        <w:footnoteReference w:id="374"/>
      </w:r>
      <w:r>
        <w:rPr>
          <w:rFonts w:ascii="IRNazanin" w:hAnsi="IRNazanin" w:eastAsia="IRNazanin"/>
          <w:color w:val="111111"/>
          <w:sz w:val="28"/>
          <w:sz w:val="28"/>
          <w:szCs w:val="28"/>
          <w:rtl w:val="true"/>
          <w:lang w:bidi="fa-IR"/>
        </w:rPr>
        <w:t>معسراً کان کفنها</w:t>
      </w:r>
      <w:r>
        <w:rPr>
          <w:rStyle w:val="FootnoteAnchor"/>
          <w:rtl w:val="true"/>
        </w:rPr>
        <w:footnoteReference w:id="375"/>
      </w:r>
      <w:r>
        <w:rPr>
          <w:rFonts w:ascii="IRNazanin" w:hAnsi="IRNazanin" w:eastAsia="IRNazanin"/>
          <w:color w:val="111111"/>
          <w:sz w:val="28"/>
          <w:sz w:val="28"/>
          <w:szCs w:val="28"/>
          <w:rtl w:val="true"/>
          <w:lang w:bidi="fa-IR"/>
        </w:rPr>
        <w:t>فی ترکتها</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صرفه مستلزماً للعسر والحرج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یراجع الشرط الأول فی المسألة التاسعة من هذا الفصل، وعلی أیّ حال فإذا تعذّر علیه البذل، أو لزم منه الحرج، أو ترک الاستقراض له عصیاناً کان الحکم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w:t>
      </w:r>
      <w:bookmarkStart w:id="339" w:name="pg13276_136632"/>
    </w:p>
    <w:p>
      <w:pPr>
        <w:pStyle w:val="BookText"/>
        <w:rPr/>
      </w:pPr>
      <w:bookmarkEnd w:id="339"/>
      <w:r>
        <w:rPr>
          <w:rFonts w:ascii="IRNazanin" w:hAnsi="IRNazanin" w:eastAsia="IRNazanin"/>
          <w:color w:val="111111"/>
          <w:sz w:val="28"/>
          <w:sz w:val="28"/>
          <w:szCs w:val="28"/>
          <w:rtl w:val="true"/>
          <w:lang w:bidi="fa-IR"/>
        </w:rPr>
        <w:t>أیسر بعد ذلک</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شرطیّة الیسار، وإذا تیسّر للزوج بذل الکفن قبل الدفن فللورثة انتزاع الکفن منها، فیجب علی الزوج تکفینها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للورثة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قبل 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مطالبة قیمته</w:t>
      </w:r>
      <w:r>
        <w:rPr>
          <w:rFonts w:eastAsia="IRNazanin" w:cs="IRNazanin"/>
          <w:color w:val="111111"/>
          <w:sz w:val="28"/>
          <w:szCs w:val="28"/>
          <w:rtl w:val="true"/>
          <w:lang w:bidi="fa-IR"/>
        </w:rPr>
        <w:t>.</w:t>
      </w:r>
    </w:p>
    <w:p>
      <w:pPr>
        <w:pStyle w:val="Heading3"/>
        <w:numPr>
          <w:ilvl w:val="2"/>
          <w:numId w:val="1"/>
        </w:numPr>
        <w:rPr/>
      </w:pPr>
      <w:bookmarkStart w:id="340" w:name="__RefHeading___Toc1763788_2322387425"/>
      <w:bookmarkStart w:id="341" w:name="_Toc127"/>
      <w:bookmarkEnd w:id="340"/>
      <w:r>
        <w:rPr>
          <w:rtl w:val="true"/>
        </w:rPr>
        <w:t>فروع فی التجهیز</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کفّنها الزوج فسرقه سارق وجب</w:t>
      </w:r>
      <w:r>
        <w:rPr>
          <w:rStyle w:val="FootnoteAnchor"/>
          <w:rtl w:val="true"/>
        </w:rPr>
        <w:footnoteReference w:id="378"/>
      </w:r>
      <w:r>
        <w:rPr>
          <w:rFonts w:ascii="IRNazanin" w:hAnsi="IRNazanin" w:eastAsia="IRNazanin"/>
          <w:color w:val="111111"/>
          <w:sz w:val="28"/>
          <w:sz w:val="28"/>
          <w:szCs w:val="28"/>
          <w:rtl w:val="true"/>
          <w:lang w:bidi="fa-IR"/>
        </w:rPr>
        <w:t>علیه مرّة اُخری، بل وکذا إذا کان بعد الدفن علی الأحوط</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الکفن من مُوءَن تجهیز الزوجة لیس علی الزوج</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فی الزوج الکبیر شبهة الإلحاق، نعم، فی الصغیر مقتضی الاحتیاط أن لایخرج من ماله؛ لحرمة التصرف فی ماله زائداً عن مقدار ثبوت حق الغیر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بل لا یخلو من قوة علی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الکبیر؛ لشبهة الإلحاق بعدم الفصل، وإن کان مثل هذا المعنی لا یجری فی الصغیر، بل الاحتیاط علی خلافه؛ لحرمة التصرّف فی ماله فی الزائد عن مقدار ثبوت حق الغیر فیه، کما لا یخفی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الحکیم،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عبدالهادی الشیرازی، عبداللّه الشیرازی، الشریعتمداری، محمد رضا الگلپایگانی، السبزواری، الأراکی، حسن القمّی،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لما تقدم من أنّ العرف یفهم ذلک من أدلة وجوب الإنفاق علیها، وأیضاً من دلیل کون کفن المرأة علی زوجها، وأنّه لیس للکفن خصوصیة من بین سائر مؤن التجهیز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المملوک علی سیّده</w:t>
      </w:r>
      <w:r>
        <w:rPr>
          <w:rStyle w:val="FootnoteAnchor"/>
          <w:rtl w:val="true"/>
        </w:rPr>
        <w:footnoteReference w:id="381"/>
      </w:r>
      <w:r>
        <w:rPr>
          <w:rFonts w:ascii="IRNazanin" w:hAnsi="IRNazanin" w:eastAsia="IRNazanin"/>
          <w:color w:val="111111"/>
          <w:sz w:val="28"/>
          <w:sz w:val="28"/>
          <w:szCs w:val="28"/>
          <w:rtl w:val="true"/>
          <w:lang w:bidi="fa-IR"/>
        </w:rPr>
        <w:t>، وکذا سائر مُوءَن تجهیزه، إلاّ إذا کانت مملوکة مزوّجة</w:t>
      </w:r>
      <w:r>
        <w:rPr>
          <w:rStyle w:val="FootnoteAnchor"/>
          <w:rtl w:val="true"/>
        </w:rPr>
        <w:footnoteReference w:id="382"/>
      </w:r>
      <w:r>
        <w:rPr>
          <w:rFonts w:ascii="IRNazanin" w:hAnsi="IRNazanin" w:eastAsia="IRNazanin"/>
          <w:color w:val="111111"/>
          <w:sz w:val="28"/>
          <w:sz w:val="28"/>
          <w:szCs w:val="28"/>
          <w:rtl w:val="true"/>
          <w:lang w:bidi="fa-IR"/>
        </w:rPr>
        <w:t>فعلی زوجها</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الکفن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علی الزوج هو الکفن، وغیره علی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صرف الکفن، وأمّا بقیّة المؤن فعلی مالکها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علی زوج الحرّة، وأمّا سائر الموءن فعلی مولاها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کفنها، وعلی الأحوط فی سائر المؤن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الکفن من سائر مؤن التجهیز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أقسام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المبعّض یبعّض، وفی المشترک یشترک</w:t>
      </w:r>
      <w:r>
        <w:rPr>
          <w:rFonts w:eastAsia="IRNazanin" w:cs="IRNazanin"/>
          <w:color w:val="111111"/>
          <w:sz w:val="28"/>
          <w:szCs w:val="28"/>
          <w:rtl w:val="true"/>
          <w:lang w:bidi="fa-IR"/>
        </w:rPr>
        <w:t>.</w:t>
      </w:r>
      <w:bookmarkStart w:id="342" w:name="pg13276_136634"/>
    </w:p>
    <w:p>
      <w:pPr>
        <w:pStyle w:val="Heading3"/>
        <w:numPr>
          <w:ilvl w:val="2"/>
          <w:numId w:val="1"/>
        </w:numPr>
        <w:rPr/>
      </w:pPr>
      <w:bookmarkStart w:id="343" w:name="__RefHeading___Toc1763790_2322387425"/>
      <w:bookmarkStart w:id="344" w:name="_Toc128"/>
      <w:bookmarkEnd w:id="342"/>
      <w:bookmarkEnd w:id="343"/>
      <w:r>
        <w:rPr>
          <w:rtl w:val="true"/>
        </w:rPr>
        <w:t>خروج مؤنة التجهیز من الترکة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الواجب</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خروج ما هو المتعارف اللائق بشأنه، وإن لم یکن الأقلّ هتکاً له، نعم، مقتضی الاحتیاط فی هذه الصورة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الکفن یوءخذ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أصل الترکة فی غیر الزوجة والمملوک مقدّماً علی الدیون والوصایا، وکذا القدر 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سائر الموءن من السدر والکافور وماء الغسل وقیمة الأرض، بل وما یوءخذ من الدفن فی الأرض المباحة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فی خروج مثل هذه المؤن من الأصل، فالأحوط أن تخرج من حصة کبار الورثة برضاهم أو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واُجرة الحمّال والحفّار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ونحوها فی صورة الحاجة إلی المال، وأمّا الزائد عـن القـدر 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جمیع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فموقوف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کونه زائداً علی المقدار المتعارف فی حقّ مثل ذلک المیّت حسب شأنه وخصوصیّاته، ولو لم یعدّ ترکه هتکاً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موقوفیّة ما کان متعارفاً، وکذا فی المسألة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ربّما یجوز ولو بالتصرف فی حق الصغار مع إجازة القیّم أو الحاکم وتشخیص الموارد موکول إلی نظر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الورثة فی</w:t>
      </w:r>
      <w:bookmarkStart w:id="345" w:name="pg13276_136635"/>
    </w:p>
    <w:p>
      <w:pPr>
        <w:pStyle w:val="BookText"/>
        <w:rPr/>
      </w:pPr>
      <w:bookmarkEnd w:id="345"/>
      <w:r>
        <w:rPr>
          <w:rFonts w:ascii="Amiri" w:hAnsi="Amiri" w:eastAsia="Amiri" w:cs="Amiri"/>
          <w:color w:val="111111"/>
          <w:sz w:val="28"/>
          <w:sz w:val="28"/>
          <w:szCs w:val="28"/>
          <w:rtl w:val="true"/>
          <w:lang w:bidi="ar-SA"/>
        </w:rPr>
        <w:t>حصّتهم</w:t>
      </w:r>
      <w:r>
        <w:rPr>
          <w:rStyle w:val="FootnoteAnchor"/>
          <w:rtl w:val="true"/>
        </w:rPr>
        <w:footnoteReference w:id="385"/>
      </w:r>
      <w:r>
        <w:rPr>
          <w:rFonts w:ascii="IRNazanin" w:hAnsi="IRNazanin" w:eastAsia="IRNazanin"/>
          <w:color w:val="111111"/>
          <w:sz w:val="28"/>
          <w:sz w:val="28"/>
          <w:szCs w:val="28"/>
          <w:rtl w:val="true"/>
          <w:lang w:bidi="fa-IR"/>
        </w:rPr>
        <w:t>، إلاّ مع وصیّة المیّت بالزائد مع خروجه من الثلث</w:t>
      </w:r>
      <w:r>
        <w:rPr>
          <w:rStyle w:val="FootnoteAnchor"/>
          <w:rtl w:val="true"/>
        </w:rPr>
        <w:footnoteReference w:id="386"/>
      </w:r>
      <w:r>
        <w:rPr>
          <w:rFonts w:ascii="IRNazanin" w:hAnsi="IRNazanin" w:eastAsia="IRNazanin"/>
          <w:color w:val="111111"/>
          <w:sz w:val="28"/>
          <w:sz w:val="28"/>
          <w:szCs w:val="28"/>
          <w:rtl w:val="true"/>
          <w:lang w:bidi="fa-IR"/>
        </w:rPr>
        <w:t>، أو وصیّته بالثلث من دون تعیین المصرف کُلاًّ أو بعضاً، فیجوز صرفه فی الزائد من القدر الواجب</w:t>
      </w:r>
      <w:r>
        <w:rPr>
          <w:rFonts w:eastAsia="IRNazanin" w:cs="IRNazanin"/>
          <w:color w:val="111111"/>
          <w:sz w:val="28"/>
          <w:szCs w:val="28"/>
          <w:rtl w:val="true"/>
          <w:lang w:bidi="fa-IR"/>
        </w:rPr>
        <w:t>.</w:t>
      </w:r>
    </w:p>
    <w:p>
      <w:pPr>
        <w:pStyle w:val="Heading3"/>
        <w:numPr>
          <w:ilvl w:val="2"/>
          <w:numId w:val="1"/>
        </w:numPr>
        <w:rPr/>
      </w:pPr>
      <w:bookmarkStart w:id="346" w:name="__RefHeading___Toc1763792_2322387425"/>
      <w:bookmarkStart w:id="347" w:name="_Toc129"/>
      <w:bookmarkEnd w:id="346"/>
      <w:r>
        <w:rPr>
          <w:rtl w:val="true"/>
        </w:rPr>
        <w:t>حکم الزائد عن الواجب فی التجهیز</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الاقتصار</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یجوز المتعارف فی حقّ المیّت، وإن لم یکن الأقل هتکاً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احتساب ما یؤخذ للدفن واُجرة الحفّار، والحمّال من الأصل لایخلو من إشکال، نعم، ثمن الأرض المشتراة للدفن فی صورة الانحصار یؤخذ من أصل الترکة، وأمّا ما تأخذه الحکومة أو غیرها بغیر حق فالأحوط احتسابه من الثلث، أو من الأصل مع إجازة الورثة الکبار مع التمکّن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المتعارف، وإن لم یکن ترکه هتکاً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فی المسألة السابقة أنّ المدار علی کون الکفن وسائر المؤن لائقاً بحال المیّت، فلا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خروج ما هو المتعارف اللائق بشأنه من الکفن وسائر التجهیزات من الأصل، وإن کان الاحتیاط لا ینبغی ترکه فی الزائد علی الواجب، مع التحفّظ علی عدم الإهانة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القدر الواجب علی ما هوأقلّ</w:t>
      </w:r>
    </w:p>
    <w:p>
      <w:pPr>
        <w:pStyle w:val="BookText"/>
        <w:rPr/>
      </w:pPr>
      <w:r>
        <w:rPr>
          <w:rFonts w:ascii="IRNazanin" w:hAnsi="IRNazanin" w:eastAsia="IRNazanin"/>
          <w:color w:val="111111"/>
          <w:sz w:val="28"/>
          <w:sz w:val="28"/>
          <w:szCs w:val="28"/>
          <w:rtl w:val="true"/>
          <w:lang w:bidi="fa-IR"/>
        </w:rPr>
        <w:t>قیمة</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خلاف المتعارف، وإلاّ فلا وجه لمراعاة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 المتعارف بالنسبة إلی ذلک المیّت، ویخرج من الأصل‌إن کان أغلی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أفراد المتعارف اللائق بشأنه، وکذا الحال فی المستحبات 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أرادوا ما هو أغلی قیمة یحتاج الزائد إلی إمضاء الکبار فی حصّتهم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فی سائر الموءن، فلو کان هناک مکان مباح لایحتاج إلی بذل مال أو یحتاج إلی قلیل لا یجوز اختیار الأرض الّتی مصرفها أزید إلاّ بإمضائهم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أن یکون ما هو الأقلّ قیمة أو مصرفاً هتکاً لحرمة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فحینئذ لا یبعد خروجه من 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بالنسبة إلی مستحبّات الکفن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یؤخذ من أصل الترکة إذا کان ترکها موجباً لإهانة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فرضنا أنّ الاقتصار علی أقلّ الواجب هتک لحرمة المیّت توءخذ المستحبّات أیضاً من أصل الترکة</w:t>
      </w:r>
      <w:r>
        <w:rPr>
          <w:rFonts w:eastAsia="IRNazanin" w:cs="IRNazanin"/>
          <w:color w:val="111111"/>
          <w:sz w:val="28"/>
          <w:szCs w:val="28"/>
          <w:rtl w:val="true"/>
          <w:lang w:bidi="fa-IR"/>
        </w:rPr>
        <w:t>.</w:t>
      </w:r>
      <w:bookmarkStart w:id="348" w:name="pg13276_136637"/>
    </w:p>
    <w:p>
      <w:pPr>
        <w:pStyle w:val="Heading3"/>
        <w:numPr>
          <w:ilvl w:val="2"/>
          <w:numId w:val="1"/>
        </w:numPr>
        <w:rPr/>
      </w:pPr>
      <w:bookmarkStart w:id="349" w:name="__RefHeading___Toc1763794_2322387425"/>
      <w:bookmarkStart w:id="350" w:name="_Toc130"/>
      <w:bookmarkEnd w:id="348"/>
      <w:bookmarkEnd w:id="349"/>
      <w:r>
        <w:rPr>
          <w:rtl w:val="true"/>
        </w:rPr>
        <w:t>هل یقدّم الکفن علی الحقوق المتعلّقة بالترکة کحق الرهن؟</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ترکة المیّت متعلّقاً لحقّ الغیر</w:t>
      </w:r>
      <w:r>
        <w:rPr>
          <w:rStyle w:val="FootnoteAnchor"/>
          <w:rtl w:val="true"/>
        </w:rPr>
        <w:footnoteReference w:id="389"/>
      </w:r>
      <w:r>
        <w:rPr>
          <w:rFonts w:ascii="Amiri" w:hAnsi="Amiri" w:eastAsia="Amiri" w:cs="Amiri"/>
          <w:color w:val="111111"/>
          <w:sz w:val="28"/>
          <w:sz w:val="28"/>
          <w:szCs w:val="28"/>
          <w:rtl w:val="true"/>
          <w:lang w:bidi="ar-SA"/>
        </w:rPr>
        <w:t>ـ مثل حقّ الغرماء فی الفَلَس</w:t>
      </w:r>
      <w:r>
        <w:rPr>
          <w:rStyle w:val="FootnoteAnchor"/>
          <w:rtl w:val="true"/>
        </w:rPr>
        <w:footnoteReference w:id="390"/>
      </w:r>
      <w:r>
        <w:rPr>
          <w:rFonts w:ascii="IRNazanin" w:hAnsi="IRNazanin" w:eastAsia="IRNazanin"/>
          <w:color w:val="111111"/>
          <w:sz w:val="28"/>
          <w:sz w:val="28"/>
          <w:szCs w:val="28"/>
          <w:rtl w:val="true"/>
          <w:lang w:bidi="fa-IR"/>
        </w:rPr>
        <w:t>، وحقّ الرهانة، وحقّ الجنایة ـ ففی تقدیمه</w:t>
      </w:r>
      <w:r>
        <w:rPr>
          <w:rStyle w:val="FootnoteAnchor"/>
          <w:rtl w:val="true"/>
        </w:rPr>
        <w:footnoteReference w:id="391"/>
      </w:r>
      <w:r>
        <w:rPr>
          <w:rFonts w:ascii="IRNazanin" w:hAnsi="IRNazanin" w:eastAsia="IRNazanin"/>
          <w:color w:val="111111"/>
          <w:sz w:val="28"/>
          <w:sz w:val="28"/>
          <w:szCs w:val="28"/>
          <w:rtl w:val="true"/>
          <w:lang w:bidi="fa-IR"/>
        </w:rPr>
        <w:t>أو تقدیم</w:t>
      </w:r>
      <w:r>
        <w:rPr>
          <w:rStyle w:val="FootnoteAnchor"/>
          <w:rtl w:val="true"/>
        </w:rPr>
        <w:footnoteReference w:id="392"/>
      </w:r>
      <w:r>
        <w:rPr>
          <w:rFonts w:ascii="IRNazanin" w:hAnsi="IRNazanin" w:eastAsia="IRNazanin"/>
          <w:color w:val="111111"/>
          <w:sz w:val="28"/>
          <w:sz w:val="28"/>
          <w:szCs w:val="28"/>
          <w:rtl w:val="true"/>
          <w:lang w:bidi="fa-IR"/>
        </w:rPr>
        <w:t>الکفن إشکال</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الکفن فی غیر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تقدّم الکفن علی حقّ الغرماء فی الفَلَس، وتقدّم الرهن علی الکفن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تقدّم الکفن علی حقوق الغرماء فی الفَلَس، وتقدّم حَقَّی الرهانة والجنایة علی الکفن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تقدیمه علی حقّ الغرماء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تقدّم الکفن فی غیر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تقدیم الکفن إلاّ فی حق الجنایة إذا کانت عن عمد؛ لعدم شمول الدلیل لمثله، بخلاف الحقوق المتعلقة بنفس رقبة المال فیکون مقدماً علیها للدلیل المفقود فی الجنایة العمدیة، 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تقدیمه علی حقّ الغرماء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تقدیم الکفن من جهة تقدیمه علی الدَین الذی یکون وجوب أدائه منشأً لتلک الحقوق، نعم، فی خصوص حق الجنایة حیث إنّه لیس منشؤه وجوب أداء الدین، بل یتعلق ابتداءً بالعبد الجانی، فلا وجه لتقدّم الکفن علیه، بل الظاهر تقدّمه علی الکفن؛ لاستصحاب بقاء الحق بعد سقوط دلیل کون الکفن من أصل المال، ودلیل الحقّ بالمعارضة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تقدیم الکفن علی حقّ الغرماء، وتقدیم حقَّی الرهانة والجنایة علی الکفن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تقدیم الکفن علی کلّ دَین وحقّ مالیّ، حتّی حقّ الجنایة فی مورد العمد؛ إذ حقّ الاستملاک لا یکون إلاّ مع بقاء العبد علی ملک مالکه، والمالک مات عن مال، والمفروض مخرجیة کلّ مال وإن کان محقوقاً للکفن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تقدیم الکفن فی غیر الأخیر، وأمّا فیه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تقدم الکفن علی حقّ الغرماء، وأمّا فی حقّ الرهانة والجنایة خصوصاً العمدی منها احتمال تقدّمهما علی حقّه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تقدیم الکفن علی حقّ الغرماء وحقّ الرهانة، وأمّا فی حقّ الجنایة فإن أمکن البیع مع بقاء الحقّ فلا إشکال، وإلاّ قدّم حقّ الجنایة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الکفن علی حق الغرماء وحقّ الرهانة، وأمّا فی حقّ الجنایة فالأمر 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غیر الأخیر تقدیم الکفن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یقدّم الکفن علی حقّ الغرماء وحقّ الرهانة، ویقدّم حقّ الجنایة علی الکفن سواء کانت عن عمدٍ أم عن 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الکفن مطلقاً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تقدیم الکفن علی جمیع الحقوق غیر حقّ الجنایة، وتقدیم ذلک الحقّ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تقدیم الکفن علی الحقوق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تقدّم الکفن علی الأول، وتقدم الثالث علیه مع المزاحمة، وأمّا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المال رهناً لدَین المیّت قُدّم الکفن علیه، وإن کان رهناً لدَین غیره قُدّم علی الکفن مع المزاحمة بینهما، والعبرة باستیعاب ما یفی بالدَین لجمیع المال، ولا یکفی تعلّق الحق بجمیعه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تقدّم الکفن علی حقّ الغرماء، کما مرّ فی الزوجة، بل الظاهر تقدّمه علی حقّ الرهانة، وأمّا تقدّمه علی حقّ الجنایة فمحلّ إشکال، خصوصاً فی الجنایة العمدیّة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یترک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3276_136639"/>
      <w:bookmarkStart w:id="352" w:name="pg13276_136639"/>
      <w:bookmarkEnd w:id="352"/>
    </w:p>
    <w:p>
      <w:pPr>
        <w:pStyle w:val="BookText"/>
        <w:rPr/>
      </w:pPr>
      <w:bookmarkStart w:id="353" w:name="pg13276_136639"/>
      <w:bookmarkEnd w:id="353"/>
      <w:r>
        <w:rPr>
          <w:rFonts w:ascii="Amiri" w:hAnsi="Amiri" w:eastAsia="Amiri" w:cs="Amiri"/>
          <w:color w:val="111111"/>
          <w:sz w:val="28"/>
          <w:sz w:val="28"/>
          <w:szCs w:val="28"/>
          <w:rtl w:val="true"/>
          <w:lang w:bidi="ar-SA"/>
        </w:rPr>
        <w:t>مراعاة</w:t>
      </w:r>
      <w:r>
        <w:rPr>
          <w:rStyle w:val="FootnoteAnchor"/>
          <w:rtl w:val="true"/>
        </w:rPr>
        <w:footnoteReference w:id="394"/>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p>
    <w:p>
      <w:pPr>
        <w:pStyle w:val="Heading3"/>
        <w:numPr>
          <w:ilvl w:val="2"/>
          <w:numId w:val="1"/>
        </w:numPr>
        <w:rPr/>
      </w:pPr>
      <w:bookmarkStart w:id="354" w:name="__RefHeading___Toc1763796_2322387425"/>
      <w:bookmarkStart w:id="355" w:name="_Toc131"/>
      <w:bookmarkEnd w:id="354"/>
      <w:r>
        <w:rPr>
          <w:rtl w:val="true"/>
        </w:rPr>
        <w:t>هل یجب علی المسلمین بذل الکفن؟</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ترکة بمقدار الکفن فالظاهر عدم وجوبه علی المسلمین</w:t>
      </w:r>
      <w:r>
        <w:rPr>
          <w:rStyle w:val="FootnoteAnchor"/>
          <w:rtl w:val="true"/>
        </w:rPr>
        <w:footnoteReference w:id="395"/>
      </w:r>
      <w:r>
        <w:rPr>
          <w:rFonts w:ascii="IRNazanin" w:hAnsi="IRNazanin" w:eastAsia="IRNazanin"/>
          <w:color w:val="111111"/>
          <w:sz w:val="28"/>
          <w:sz w:val="28"/>
          <w:szCs w:val="28"/>
          <w:rtl w:val="true"/>
          <w:lang w:bidi="fa-IR"/>
        </w:rPr>
        <w:t>لأنّ الواجب الکفائیّ هو التکفین، لا إعطاء الکفن، لکنّه أحوط</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کان هناک من سهم سبیل اللّه من الزکاة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من الزکاة ممکناً، وإلاّ فالأحوط وجوباً أن یکفّن 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یعطی</w:t>
      </w:r>
      <w:bookmarkStart w:id="356" w:name="pg13276_136640"/>
    </w:p>
    <w:p>
      <w:pPr>
        <w:pStyle w:val="BookText"/>
        <w:rPr/>
      </w:pPr>
      <w:bookmarkEnd w:id="356"/>
      <w:r>
        <w:rPr>
          <w:rFonts w:ascii="IRNazanin" w:hAnsi="IRNazanin" w:eastAsia="IRNazanin"/>
          <w:color w:val="111111"/>
          <w:sz w:val="28"/>
          <w:sz w:val="28"/>
          <w:szCs w:val="28"/>
          <w:rtl w:val="true"/>
          <w:lang w:bidi="fa-IR"/>
        </w:rPr>
        <w:t>لورثته</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کانوا 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استحقاقهم للزکاة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استحقاقهم للزکاة لو کان المبذول من سهم الفقراء والمساکین، وأمّا لوکان بعنوان سبیل اللّه فلا، وظاهر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التکفین،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الأوّل؛ ولعلّ حکمة هذا الإعطاء أن لا یتوجّه إلیهم الذلّ والمهانة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کانوا مستحقّین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کانوا ممّن یستحقّ الزکاة، ولا یعتبر حینئذٍ أن یکون من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استحقاقهم للزکاة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یکفّنوه من مالهم إذا کان تکفین الغیر لمیّتهم صعباً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763798_2322387425"/>
      <w:bookmarkStart w:id="358" w:name="_Toc132"/>
      <w:bookmarkEnd w:id="357"/>
      <w:r>
        <w:rPr>
          <w:rtl w:val="true"/>
        </w:rPr>
        <w:t>تکفین المحرم کغیره</w:t>
      </w:r>
      <w:bookmarkEnd w:id="35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 المحرم کغیره، فلا بأس بتغطیة رأسه ووجهه، فلیس حالهما حال الطیب فی حرمة تقریبه إلی المیّت المُحرِم</w:t>
      </w:r>
      <w:r>
        <w:rPr>
          <w:rFonts w:eastAsia="IRNazanin" w:cs="IRNazanin"/>
          <w:color w:val="111111"/>
          <w:sz w:val="28"/>
          <w:szCs w:val="28"/>
          <w:rtl w:val="true"/>
          <w:lang w:bidi="fa-IR"/>
        </w:rPr>
        <w:t xml:space="preserve">. </w:t>
      </w:r>
      <w:bookmarkStart w:id="359" w:name="pg13276_136641"/>
    </w:p>
    <w:p>
      <w:pPr>
        <w:pStyle w:val="Heading2"/>
        <w:numPr>
          <w:ilvl w:val="1"/>
          <w:numId w:val="1"/>
        </w:numPr>
        <w:rPr/>
      </w:pPr>
      <w:bookmarkStart w:id="360" w:name="__RefHeading___Toc1763800_2322387425"/>
      <w:bookmarkStart w:id="361" w:name="_Toc133"/>
      <w:bookmarkEnd w:id="359"/>
      <w:bookmarkEnd w:id="360"/>
      <w:r>
        <w:rPr>
          <w:rtl w:val="true"/>
        </w:rPr>
        <w:t>فصل</w:t>
      </w:r>
      <w:r>
        <w:rPr>
          <w:rtl w:val="true"/>
        </w:rPr>
        <w:t xml:space="preserve">: </w:t>
      </w:r>
      <w:r>
        <w:rPr>
          <w:rtl w:val="true"/>
        </w:rPr>
        <w:t>فی مستحبّات الکفن</w:t>
      </w:r>
      <w:bookmarkEnd w:id="361"/>
    </w:p>
    <w:p>
      <w:pPr>
        <w:pStyle w:val="BookText"/>
        <w:rPr/>
      </w:pP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اُمور</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فی المذکورات فی الفصلین، بل الأحوط فی عدّة منها أن یؤتی فیها بقصد الرجاء؛ لعدم الظفر بالدلیل المطابق لجمیعها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 ممّا أورده هنا، وظهور الأمر فی عدّة منها فی الإرشاد غیر خفیّ علی المتدرّب فی کلماتهم علیه‌السلام ، ومن اُوتی فقه الحدیث کما أشرنا إلیه مراراً، فالأولی رعایتها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یأتی بالمستحبات ویُترک المکروهات المذکورات رجاءً؛ لعدم ثبوت بعضها وإن ثبت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للرجل، ویکفی فیها المسمّی طولاً وعرضاً، والأولی أن تکون بمقدار یدار علی رأسه، ویجعل طرفاها تحت حنکه علی صدره، الأیمن علی الأیسر، والأیسر علی الأیمن من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للامرأة بدل العمامة، ویکفی فیها أیضاً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لفّافة لثدییها یشدّان بها إلی ظهرها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یُعصَّب بها</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یقصد الرجاء بهذا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 رجلاً کان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اُخری للفخذین تلفُّ علیهما، والأولی أن یکون طولها ثلاثة أذرع ونصف، وعرضها شبراً أو أزید</w:t>
      </w:r>
      <w:r>
        <w:rPr>
          <w:rStyle w:val="FootnoteAnchor"/>
          <w:rtl w:val="true"/>
        </w:rPr>
        <w:footnoteReference w:id="401"/>
      </w:r>
      <w:r>
        <w:rPr>
          <w:rFonts w:ascii="IRNazanin" w:hAnsi="IRNazanin" w:eastAsia="IRNazanin"/>
          <w:color w:val="111111"/>
          <w:sz w:val="28"/>
          <w:sz w:val="28"/>
          <w:szCs w:val="28"/>
          <w:rtl w:val="true"/>
          <w:lang w:bidi="fa-IR"/>
        </w:rPr>
        <w:t>، تشدّ من الحقوین، ثمّ تلفّ علی فخذیه لفّاً شدیداً علی وجه لا یظهر منهما شیء إلی الرکبتین، ثمَّ یخرج رأسها من تحت رجلیه إلی الجانب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لفّافة اُخری فوق اللفّافة الواجبة</w:t>
      </w:r>
      <w:r>
        <w:rPr>
          <w:rStyle w:val="FootnoteAnchor"/>
          <w:rtl w:val="true"/>
        </w:rPr>
        <w:footnoteReference w:id="402"/>
      </w:r>
      <w:r>
        <w:rPr>
          <w:rFonts w:ascii="Amiri" w:hAnsi="Amiri" w:eastAsia="Amiri" w:cs="Amiri"/>
          <w:color w:val="111111"/>
          <w:sz w:val="28"/>
          <w:sz w:val="28"/>
          <w:szCs w:val="28"/>
          <w:rtl w:val="true"/>
          <w:lang w:bidi="ar-SA"/>
        </w:rPr>
        <w:t>، والأولی کونها بُرداً یمانیّاً</w:t>
      </w:r>
      <w:r>
        <w:rPr>
          <w:rStyle w:val="FootnoteAnchor"/>
          <w:rtl w:val="true"/>
        </w:rPr>
        <w:footnoteReference w:id="403"/>
      </w:r>
      <w:r>
        <w:rPr>
          <w:rFonts w:ascii="Amiri" w:hAnsi="Amiri" w:eastAsia="Amiri" w:cs="Amiri"/>
          <w:color w:val="111111"/>
          <w:sz w:val="28"/>
          <w:sz w:val="28"/>
          <w:szCs w:val="28"/>
          <w:rtl w:val="true"/>
          <w:lang w:bidi="ar-SA"/>
        </w:rPr>
        <w:t>، بل یستحبّ لفّافة ثالثة</w:t>
      </w:r>
      <w:r>
        <w:rPr>
          <w:rStyle w:val="FootnoteAnchor"/>
          <w:rtl w:val="true"/>
        </w:rPr>
        <w:footnoteReference w:id="404"/>
      </w:r>
      <w:r>
        <w:rPr>
          <w:rFonts w:ascii="Amiri" w:hAnsi="Amiri" w:eastAsia="Amiri" w:cs="Amiri"/>
          <w:color w:val="111111"/>
          <w:sz w:val="28"/>
          <w:sz w:val="28"/>
          <w:szCs w:val="28"/>
          <w:rtl w:val="true"/>
          <w:lang w:bidi="ar-SA"/>
        </w:rPr>
        <w:t>أیضاً خصوصاً فی الامرأة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شیء من القطن أو نحوه بین رجلیه</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ألیَیه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یستر العورتین، ویوضع علیه شیء من الحنوط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خیف خروج شیء من دبره یجعل فیه شیء من القطن، وکذا لو خیف خروج الدم من منخریه، وکذا بالنسبة إلی قُبل الامرأة، وکذا ما أشبه ذلک</w:t>
      </w:r>
      <w:r>
        <w:rPr>
          <w:rFonts w:eastAsia="IRNazanin" w:cs="IRNazanin"/>
          <w:color w:val="111111"/>
          <w:sz w:val="28"/>
          <w:szCs w:val="28"/>
          <w:rtl w:val="true"/>
          <w:lang w:bidi="fa-IR"/>
        </w:rPr>
        <w:t>.</w:t>
      </w:r>
      <w:bookmarkStart w:id="362" w:name="pg13276_136643"/>
    </w:p>
    <w:p>
      <w:pPr>
        <w:pStyle w:val="Heading2"/>
        <w:numPr>
          <w:ilvl w:val="1"/>
          <w:numId w:val="1"/>
        </w:numPr>
        <w:rPr/>
      </w:pPr>
      <w:bookmarkStart w:id="363" w:name="__RefHeading___Toc1763802_2322387425"/>
      <w:bookmarkStart w:id="364" w:name="_Toc134"/>
      <w:bookmarkEnd w:id="362"/>
      <w:bookmarkEnd w:id="363"/>
      <w:r>
        <w:rPr>
          <w:rtl w:val="true"/>
        </w:rPr>
        <w:t>فصل</w:t>
      </w:r>
      <w:r>
        <w:rPr>
          <w:rtl w:val="true"/>
        </w:rPr>
        <w:t xml:space="preserve">: </w:t>
      </w:r>
      <w:r>
        <w:rPr>
          <w:rtl w:val="true"/>
        </w:rPr>
        <w:t>فی بقیة المستحبّات</w:t>
      </w:r>
      <w:bookmarkEnd w:id="364"/>
    </w:p>
    <w:p>
      <w:pPr>
        <w:pStyle w:val="BookText"/>
        <w:rPr/>
      </w:pPr>
      <w:r>
        <w:rPr>
          <w:rFonts w:ascii="Amiri" w:hAnsi="Amiri" w:eastAsia="Amiri" w:cs="Amiri"/>
          <w:color w:val="111111"/>
          <w:sz w:val="28"/>
          <w:sz w:val="28"/>
          <w:szCs w:val="28"/>
          <w:rtl w:val="true"/>
          <w:lang w:bidi="ar-SA"/>
        </w:rPr>
        <w:t>وهی أیضاً اُمور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إجادة الکفن، فإنّ الأموات یتباهون یوم القیامة بأکفانهم، ویحشرون بها، وقد کُفّن موسی بن جعفر علیهماالسلام بکفن قیمته ألفا دینار</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ألفان وخمسمائة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تمام القرآن مکتوباً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التکفین،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کفنه کان بقیمة ألفی دینار وخمسمائة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أبیض، بل یکره المصبوغ</w:t>
      </w:r>
      <w:r>
        <w:rPr>
          <w:rStyle w:val="FootnoteAnchor"/>
          <w:rtl w:val="true"/>
        </w:rPr>
        <w:footnoteReference w:id="408"/>
      </w:r>
      <w:r>
        <w:rPr>
          <w:rFonts w:ascii="IRNazanin" w:hAnsi="IRNazanin" w:eastAsia="IRNazanin"/>
          <w:color w:val="111111"/>
          <w:sz w:val="28"/>
          <w:sz w:val="28"/>
          <w:szCs w:val="28"/>
          <w:rtl w:val="true"/>
          <w:lang w:bidi="fa-IR"/>
        </w:rPr>
        <w:t>ما عدا الحَبْرة، ففی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کُفِّن فی حَبرة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التکفین،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خالص المال</w:t>
      </w:r>
      <w:r>
        <w:rPr>
          <w:rStyle w:val="FootnoteAnchor"/>
          <w:rtl w:val="true"/>
        </w:rPr>
        <w:footnoteReference w:id="409"/>
      </w:r>
      <w:r>
        <w:rPr>
          <w:rFonts w:ascii="IRNazanin" w:hAnsi="IRNazanin" w:eastAsia="IRNazanin"/>
          <w:color w:val="111111"/>
          <w:sz w:val="28"/>
          <w:sz w:val="28"/>
          <w:szCs w:val="28"/>
          <w:rtl w:val="true"/>
          <w:lang w:bidi="fa-IR"/>
        </w:rPr>
        <w:t>وطهوره، لا من المشتبهات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الثوب الّذی أحرم فیه أو صلّی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یلقی علیه</w:t>
      </w:r>
      <w:r>
        <w:rPr>
          <w:rStyle w:val="FootnoteAnchor"/>
          <w:rtl w:val="true"/>
        </w:rPr>
        <w:footnoteReference w:id="410"/>
      </w:r>
      <w:r>
        <w:rPr>
          <w:rFonts w:ascii="IRNazanin" w:hAnsi="IRNazanin" w:eastAsia="IRNazanin"/>
          <w:color w:val="111111"/>
          <w:sz w:val="28"/>
          <w:sz w:val="28"/>
          <w:szCs w:val="28"/>
          <w:rtl w:val="true"/>
          <w:lang w:bidi="fa-IR"/>
        </w:rPr>
        <w:t>شیء من الکافور والذَریرة</w:t>
      </w:r>
      <w:r>
        <w:rPr>
          <w:rStyle w:val="FootnoteAnchor"/>
          <w:rtl w:val="true"/>
        </w:rPr>
        <w:footnoteReference w:id="411"/>
      </w:r>
      <w:r>
        <w:rPr>
          <w:rFonts w:ascii="Amiri" w:hAnsi="Amiri" w:eastAsia="Amiri" w:cs="Amiri"/>
          <w:color w:val="111111"/>
          <w:sz w:val="28"/>
          <w:sz w:val="28"/>
          <w:szCs w:val="28"/>
          <w:rtl w:val="true"/>
          <w:lang w:bidi="ar-SA"/>
        </w:rPr>
        <w:t>، وهی 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یشبه حبّ الحنطة له ریح طیّب إذا دُقَّ، وتسمّی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قمحة</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ولعلّها کانت تسمّی بالذَریرة سابقاً، ولا یبعد استحباب التبرّک</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کانت سیرة سلفنا الصالحین، ولکن بحیث تکون مأمونة من التلوث والانتهاک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الرجاء والتوسّل إلی اللّه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بتربة قبر الحسین علیه‌السلام ومسحه بالضریح المقدّس، أو بضرائح سائر الأئمة علیهم‌السلام بعد غسله بماء الفرات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بماء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الطرف الأیمن</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سهو؛ فإنّ ما رأیناه من العبائر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اللفّافة علی أیسر المیّت، والأیسر منها علی أیمنه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یخاط الکفن</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بخیوطه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احتاج إلی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المباشر للتکفین علی طهارة من الحدث</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دلیل علی استحبابها للتکفین، سواء کانت من الحدث الأصغر أم الأکبر، نعم، یستحب تقدیمها من باب المسارعة إلی الخیر إذا لم یعارض ذلک استحباب تعجیل تجهیز المیت، ومنه غسل مسّ المیت قبل تکفینه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هو الغاسل له فیستحبّ أن یغسل یدیه إلی المرفقین بل المنکبین</w:t>
      </w:r>
      <w:r>
        <w:rPr>
          <w:rStyle w:val="FootnoteAnchor"/>
          <w:rtl w:val="true"/>
        </w:rPr>
        <w:footnoteReference w:id="417"/>
      </w:r>
      <w:r>
        <w:rPr>
          <w:rFonts w:ascii="IRNazanin" w:hAnsi="IRNazanin" w:eastAsia="IRNazanin"/>
          <w:color w:val="111111"/>
          <w:sz w:val="28"/>
          <w:sz w:val="28"/>
          <w:szCs w:val="28"/>
          <w:rtl w:val="true"/>
          <w:lang w:bidi="fa-IR"/>
        </w:rPr>
        <w:t>ثلاث مرّات، ویغسل رجلیه إلی الرکبتین، والأولی</w:t>
      </w:r>
      <w:r>
        <w:rPr>
          <w:rStyle w:val="FootnoteAnchor"/>
          <w:rtl w:val="true"/>
        </w:rPr>
        <w:footnoteReference w:id="418"/>
      </w:r>
      <w:r>
        <w:rPr>
          <w:rFonts w:ascii="IRNazanin" w:hAnsi="IRNazanin" w:eastAsia="IRNazanin"/>
          <w:color w:val="111111"/>
          <w:sz w:val="28"/>
          <w:sz w:val="28"/>
          <w:szCs w:val="28"/>
          <w:rtl w:val="true"/>
          <w:lang w:bidi="fa-IR"/>
        </w:rPr>
        <w:t>أن یغسل کلّ ما تنجّس من بدنه، وأن یغتسل غسل المسّ قبل التکفین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الرجاء والتوسّل إلی اللّه علی طبق سیرة المؤمنین المتشرّعین المتمسّکین بما فیه نجاتهم، وبما یرجی فیه الخیر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حاشیة جمیع قطع الکفن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الواجب والمستحبّ حتّی العمامة اسمه واسم أبیه، بأن یکتب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ابن فلان یشهد أن لا إله إلاّ اللّه وحده لا شریک له، وأنّ محمّداً رسول اللّه صلی‌الله‌علیه‌و‌آله ، وأنّ علیّاً والحسن والحسین وعلیّاً ومحمّداً وجعفراً وموسی وعلیّاً ومحمّداً وعلیّاً والحسن والحجّة القائم أولیاء اللّه وأوصیاء رسول اللّه وأئمّتی، وأنّ البعث والثواب والعقاب حقّ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علی کفنه تمام القرآن ودعاء جوشن الصغیر والکبیر</w:t>
      </w:r>
      <w:r>
        <w:rPr>
          <w:rStyle w:val="FootnoteAnchor"/>
          <w:rtl w:val="true"/>
        </w:rPr>
        <w:footnoteReference w:id="421"/>
      </w:r>
      <w:r>
        <w:rPr>
          <w:rFonts w:ascii="IRNazanin" w:hAnsi="IRNazanin" w:eastAsia="IRNazanin"/>
          <w:color w:val="111111"/>
          <w:sz w:val="28"/>
          <w:sz w:val="28"/>
          <w:szCs w:val="28"/>
          <w:rtl w:val="true"/>
          <w:lang w:bidi="fa-IR"/>
        </w:rPr>
        <w:t xml:space="preserve">، ویستحبّ کتابة </w:t>
      </w:r>
    </w:p>
    <w:p>
      <w:pPr>
        <w:pStyle w:val="BookText"/>
        <w:rPr/>
      </w:pPr>
      <w:r>
        <w:rPr>
          <w:rFonts w:ascii="IRNazanin" w:hAnsi="IRNazanin" w:eastAsia="IRNazanin"/>
          <w:color w:val="111111"/>
          <w:sz w:val="28"/>
          <w:sz w:val="28"/>
          <w:szCs w:val="28"/>
          <w:rtl w:val="true"/>
          <w:lang w:bidi="fa-IR"/>
        </w:rPr>
        <w:t>الأخیر</w:t>
      </w:r>
      <w:r>
        <w:rPr>
          <w:rStyle w:val="FootnoteAnchor"/>
          <w:rtl w:val="true"/>
        </w:rPr>
        <w:footnoteReference w:id="422"/>
      </w:r>
      <w:r>
        <w:rPr>
          <w:rFonts w:ascii="IRNazanin" w:hAnsi="IRNazanin" w:eastAsia="IRNazanin"/>
          <w:color w:val="111111"/>
          <w:sz w:val="28"/>
          <w:sz w:val="28"/>
          <w:szCs w:val="28"/>
          <w:rtl w:val="true"/>
          <w:lang w:bidi="fa-IR"/>
        </w:rPr>
        <w:t xml:space="preserve">فی جام بکافور أو مسک ثمّ غَسله ورَشّه علی الکفن، فعن أبی عبداللّه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أوصانی بحفظ هذا الدعاء، وأن أکتبه علی کفنه، وأن اُعلّمه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الکفن،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أیضاً أن یکتب علیه البیتان اللذان کتبهما أمیرالموءمنین علیه‌السلام علی کفن سلمان،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علی الکریمِ بغیرِ زادٍ من الحسناتِ والقلبِ السلیمِ</w:t>
      </w:r>
    </w:p>
    <w:p>
      <w:pPr>
        <w:pStyle w:val="BookText"/>
        <w:rPr/>
      </w:pPr>
      <w:r>
        <w:rPr>
          <w:rFonts w:ascii="Amiri" w:hAnsi="Amiri" w:eastAsia="Amiri" w:cs="Amiri"/>
          <w:color w:val="111111"/>
          <w:sz w:val="28"/>
          <w:sz w:val="28"/>
          <w:szCs w:val="28"/>
          <w:rtl w:val="true"/>
          <w:lang w:bidi="ar-SA"/>
        </w:rPr>
        <w:t>وحَملُ الزادِ أقبحُ کلِّ شیءٍ إذا کان الوفودُ علی الکریمِ</w:t>
      </w:r>
    </w:p>
    <w:p>
      <w:pPr>
        <w:pStyle w:val="BookText"/>
        <w:rPr/>
      </w:pPr>
      <w:r>
        <w:rPr>
          <w:rFonts w:ascii="IRNazanin" w:hAnsi="IRNazanin" w:eastAsia="IRNazanin"/>
          <w:color w:val="111111"/>
          <w:sz w:val="28"/>
          <w:sz w:val="28"/>
          <w:szCs w:val="28"/>
          <w:rtl w:val="true"/>
          <w:lang w:bidi="fa-IR"/>
        </w:rPr>
        <w:t>ویناسب أیضاً کتابة السند المعروف</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کتابة سند المعصومین علیهم‌السلام منه، لاجمیع الحدیث، وکذا الحدیث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بسلسلة الذهب،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یوسف بن عقیل، عن إسحاق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 أبوالحسن الرضا علیه‌السلام نیشابور وأراد أن یرتحل إلی المأمون اجتمع علیه أصحاب الحدیث،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صلی‌الله‌علیه‌و‌آله ، تدخل علینا ولا تحدّثنا بحدیث فنستفیده منک؟ وقد کان قعد فی العماریة، فأطلع رأسه فقال علیه‌السلام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موسی بن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بن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الحسین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أمیر الموءمنین علیّ بن أبی طالب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فمن دخل </w:t>
      </w:r>
    </w:p>
    <w:p>
      <w:pPr>
        <w:pStyle w:val="BookText"/>
        <w:rPr/>
      </w:pPr>
      <w:r>
        <w:rPr>
          <w:rFonts w:ascii="IRNazanin" w:hAnsi="IRNazanin" w:eastAsia="IRNazanin"/>
          <w:color w:val="111111"/>
          <w:sz w:val="28"/>
          <w:sz w:val="28"/>
          <w:szCs w:val="28"/>
          <w:rtl w:val="true"/>
          <w:lang w:bidi="fa-IR"/>
        </w:rPr>
        <w:t>حصنی أمن من عذابی، فلمّا مرّت الراحلة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بشروطها، وأنا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کتب السند الآخر أیضاً فأحسن،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عبدالکریم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یحیی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بلال، عن علیّ بن موسی الرضا علیه‌السلام ، عن موسی بن جعفر علیه‌السلام ، عن جعفر بن محمّد علیه‌السلام ، عن محمّد بن علیّ علیه‌السلام ، عن علیّ بن الحسین علیه‌السلام ، عن الحسین بن علیّ علیه‌السلام ، عن علیّ بن أبی طالب علیه‌السلام ، عن رسول اللّه صلی‌الله‌علیه‌و‌آله ، عن جبرئیل، عن میکائیل، عن إسرافیل علیهم‌السلام ، عن اللوح والقلم،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حِصنی، فمَن دخل حِصنی أمِن من 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عنه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39/246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کتب علی فصّ الخاتم</w:t>
      </w:r>
      <w:r>
        <w:rPr>
          <w:rStyle w:val="FootnoteAnchor"/>
          <w:rtl w:val="true"/>
        </w:rPr>
        <w:footnoteReference w:id="424"/>
      </w:r>
      <w:r>
        <w:rPr>
          <w:rFonts w:ascii="IRNazanin" w:hAnsi="IRNazanin" w:eastAsia="IRNazanin"/>
          <w:color w:val="111111"/>
          <w:sz w:val="28"/>
          <w:sz w:val="28"/>
          <w:szCs w:val="28"/>
          <w:rtl w:val="true"/>
          <w:lang w:bidi="fa-IR"/>
        </w:rPr>
        <w:t xml:space="preserve">العقیق الشهادتان وأسماء الأئمّة والإقرار بإمامتهم کان حسناً، بل یحسن کتابة کلّ ما یرجی منه النفع من </w:t>
      </w:r>
    </w:p>
    <w:p>
      <w:pPr>
        <w:pStyle w:val="BookText"/>
        <w:rPr/>
      </w:pPr>
      <w:r>
        <w:rPr>
          <w:rFonts w:ascii="IRNazanin" w:hAnsi="IRNazanin" w:eastAsia="IRNazanin"/>
          <w:color w:val="111111"/>
          <w:sz w:val="28"/>
          <w:sz w:val="28"/>
          <w:szCs w:val="28"/>
          <w:rtl w:val="true"/>
          <w:lang w:bidi="fa-IR"/>
        </w:rPr>
        <w:t>غیر أن یقصد</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یقصد به الرجاء لأمن الخوف والتحفّظ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یکتب الأدعیة المذکورة بتربة قبر الحسین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یجعل فی المداد شیء منها، أو بتربة سائر الأئمّة علیهم‌السلام ، ویجوز أن یکتب بالطین وبالماء، بل بالإصبع من غیر 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یهیّئ کفنه قبل موته، وکذا السدر والکافور</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طالت مدّة ادّخارهما لکن بشرط بقاء اسمهما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علی دلیل استحباب تهیئة السدر والکافور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تهیئة سائر الاُمور المرغّب إلیها للمیّت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هیّأ کفنه لم یکتب من الغافلین، وکلّما نظر إلیه کتبت له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التکفین،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مع اختلاف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المیّت حال التکفین مستقبل القبلة، مثل حال الاحتضار أو بنحو حال الصلاة</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بعض النصوص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أن یکون حال الصلاة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تکتب الأدعیّة المذکورة والقرآن علی الکفن بل علی وصلة اُخری وجعلت علی صدره أو فوق رأسه للأمن من التلویث کان أحسن</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بعدم التنجّس والتلوّث؛ لکونه من الباطن 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365" w:name="pg13276_136649"/>
    </w:p>
    <w:p>
      <w:pPr>
        <w:pStyle w:val="Heading2"/>
        <w:numPr>
          <w:ilvl w:val="1"/>
          <w:numId w:val="1"/>
        </w:numPr>
        <w:rPr/>
      </w:pPr>
      <w:bookmarkStart w:id="366" w:name="__RefHeading___Toc1763804_2322387425"/>
      <w:bookmarkStart w:id="367" w:name="_Toc135"/>
      <w:bookmarkEnd w:id="365"/>
      <w:bookmarkEnd w:id="366"/>
      <w:r>
        <w:rPr>
          <w:rtl w:val="true"/>
        </w:rPr>
        <w:t>فصل</w:t>
      </w:r>
      <w:r>
        <w:rPr>
          <w:rtl w:val="true"/>
        </w:rPr>
        <w:t xml:space="preserve">: </w:t>
      </w:r>
      <w:r>
        <w:rPr>
          <w:rtl w:val="true"/>
        </w:rPr>
        <w:t>فی مکروهات الکفن</w:t>
      </w:r>
      <w:bookmarkEnd w:id="367"/>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الاُمور المذکورة فی هذا الفصل لا دلیل علی کراهته، فیُترک برجاء مطلوبیة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بالحدید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الأکمام والزرور له إذا کان جدیداً، ولو کفّن فی قمیصه الملبوس له حال حیاته قطّع أزراره ولا بأس بأکمامه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الخیوط الّتی یخاط بها بریقه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تبخیره بدخان الأشیاء الطیّبة الریح، بل تطییبه ولو بغیر البخور، نعم، یستحبّ</w:t>
      </w:r>
      <w:r>
        <w:rPr>
          <w:rStyle w:val="FootnoteAnchor"/>
          <w:rtl w:val="true"/>
        </w:rPr>
        <w:footnoteReference w:id="432"/>
      </w:r>
      <w:r>
        <w:rPr>
          <w:rFonts w:ascii="IRNazanin" w:hAnsi="IRNazanin" w:eastAsia="IRNazanin"/>
          <w:color w:val="111111"/>
          <w:sz w:val="28"/>
          <w:sz w:val="28"/>
          <w:szCs w:val="28"/>
          <w:rtl w:val="true"/>
          <w:lang w:bidi="fa-IR"/>
        </w:rPr>
        <w:t>تطییبه بالکافور والذَریرة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أسود</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المصبوغ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علیه بالسواد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الکتّان</w:t>
      </w:r>
      <w:r>
        <w:rPr>
          <w:rStyle w:val="FootnoteAnchor"/>
          <w:rtl w:val="true"/>
        </w:rPr>
        <w:footnoteReference w:id="435"/>
      </w:r>
      <w:r>
        <w:rPr>
          <w:rFonts w:ascii="Amiri" w:hAnsi="Amiri" w:eastAsia="Amiri" w:cs="Amiri"/>
          <w:color w:val="111111"/>
          <w:sz w:val="28"/>
          <w:sz w:val="28"/>
          <w:szCs w:val="28"/>
          <w:rtl w:val="true"/>
          <w:lang w:bidi="ar-SA"/>
        </w:rPr>
        <w:t>ولو ممزوجاً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ممزوجاً</w:t>
      </w:r>
      <w:r>
        <w:rPr>
          <w:rStyle w:val="FootnoteAnchor"/>
          <w:rtl w:val="true"/>
        </w:rPr>
        <w:footnoteReference w:id="436"/>
      </w:r>
      <w:r>
        <w:rPr>
          <w:rFonts w:ascii="IRNazanin" w:hAnsi="IRNazanin" w:eastAsia="IRNazanin"/>
          <w:color w:val="111111"/>
          <w:sz w:val="28"/>
          <w:sz w:val="28"/>
          <w:szCs w:val="28"/>
          <w:rtl w:val="true"/>
          <w:lang w:bidi="fa-IR"/>
        </w:rPr>
        <w:t>بالإبریسم، بل الأحوط ترکه</w:t>
      </w:r>
      <w:r>
        <w:rPr>
          <w:rStyle w:val="FootnoteAnchor"/>
          <w:rtl w:val="true"/>
        </w:rPr>
        <w:footnoteReference w:id="437"/>
      </w:r>
      <w:r>
        <w:rPr>
          <w:rFonts w:ascii="IRNazanin" w:hAnsi="IRNazanin" w:eastAsia="IRNazanin"/>
          <w:color w:val="111111"/>
          <w:sz w:val="28"/>
          <w:sz w:val="28"/>
          <w:szCs w:val="28"/>
          <w:rtl w:val="true"/>
          <w:lang w:bidi="fa-IR"/>
        </w:rPr>
        <w:t>، إلاّ أن یکون خلیطه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المماکسة فی 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عمامته بلا حَنَک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وسخاً غیر نظیف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مخیطاً، بل یستحبّ کون کلّ قطعة منه وصلة واحدة بلا خیاطة علی ما ذکره بعض العلماء، ولا بأس به</w:t>
      </w:r>
      <w:r>
        <w:rPr>
          <w:rFonts w:eastAsia="IRNazanin" w:cs="IRNazanin"/>
          <w:color w:val="111111"/>
          <w:sz w:val="28"/>
          <w:szCs w:val="28"/>
          <w:rtl w:val="true"/>
          <w:lang w:bidi="fa-IR"/>
        </w:rPr>
        <w:t xml:space="preserve">. </w:t>
      </w:r>
      <w:bookmarkStart w:id="368" w:name="pg13276_136651"/>
    </w:p>
    <w:p>
      <w:pPr>
        <w:pStyle w:val="Heading2"/>
        <w:numPr>
          <w:ilvl w:val="1"/>
          <w:numId w:val="1"/>
        </w:numPr>
        <w:rPr/>
      </w:pPr>
      <w:bookmarkStart w:id="369" w:name="__RefHeading___Toc1763806_2322387425"/>
      <w:bookmarkStart w:id="370" w:name="_Toc136"/>
      <w:bookmarkEnd w:id="368"/>
      <w:bookmarkEnd w:id="369"/>
      <w:r>
        <w:rPr>
          <w:rtl w:val="true"/>
        </w:rPr>
        <w:t>فصل</w:t>
      </w:r>
      <w:r>
        <w:rPr>
          <w:rtl w:val="true"/>
        </w:rPr>
        <w:t xml:space="preserve">: </w:t>
      </w:r>
      <w:r>
        <w:rPr>
          <w:rtl w:val="true"/>
        </w:rPr>
        <w:t>فی الحنوط</w:t>
      </w:r>
      <w:bookmarkEnd w:id="370"/>
    </w:p>
    <w:p>
      <w:pPr>
        <w:pStyle w:val="Heading3"/>
        <w:numPr>
          <w:ilvl w:val="2"/>
          <w:numId w:val="1"/>
        </w:numPr>
        <w:rPr/>
      </w:pPr>
      <w:bookmarkStart w:id="371" w:name="__RefHeading___Toc1763808_2322387425"/>
      <w:bookmarkStart w:id="372" w:name="_Toc137"/>
      <w:bookmarkEnd w:id="371"/>
      <w:r>
        <w:rPr>
          <w:rtl w:val="true"/>
        </w:rPr>
        <w:t>اشارة</w:t>
      </w:r>
      <w:bookmarkEnd w:id="372"/>
    </w:p>
    <w:p>
      <w:pPr>
        <w:pStyle w:val="BookText"/>
        <w:rPr/>
      </w:pPr>
      <w:r>
        <w:rPr>
          <w:rStyle w:val="FootnoteAnchor"/>
          <w:rtl w:val="true"/>
        </w:rPr>
        <w:footnoteReference w:id="438"/>
      </w:r>
    </w:p>
    <w:p>
      <w:pPr>
        <w:pStyle w:val="Heading3"/>
        <w:numPr>
          <w:ilvl w:val="2"/>
          <w:numId w:val="1"/>
        </w:numPr>
        <w:rPr/>
      </w:pPr>
      <w:bookmarkStart w:id="373" w:name="__RefHeading___Toc1763810_2322387425"/>
      <w:bookmarkStart w:id="374" w:name="_Toc138"/>
      <w:bookmarkEnd w:id="373"/>
      <w:r>
        <w:rPr>
          <w:rtl w:val="true"/>
        </w:rPr>
        <w:t>تحنیط المساجد السبعة بالکافور</w:t>
      </w:r>
      <w:bookmarkEnd w:id="374"/>
    </w:p>
    <w:p>
      <w:pPr>
        <w:pStyle w:val="BookText"/>
        <w:rPr/>
      </w:pPr>
      <w:r>
        <w:rPr>
          <w:rFonts w:ascii="IRNazanin" w:hAnsi="IRNazanin" w:eastAsia="IRNazanin"/>
          <w:color w:val="111111"/>
          <w:sz w:val="28"/>
          <w:sz w:val="28"/>
          <w:szCs w:val="28"/>
          <w:rtl w:val="true"/>
          <w:lang w:bidi="fa-IR"/>
        </w:rPr>
        <w:t>وهو مسح</w:t>
      </w:r>
      <w:r>
        <w:rPr>
          <w:rStyle w:val="FootnoteAnchor"/>
          <w:rtl w:val="true"/>
        </w:rPr>
        <w:footnoteReference w:id="439"/>
      </w:r>
      <w:r>
        <w:rPr>
          <w:rFonts w:ascii="IRNazanin" w:hAnsi="IRNazanin" w:eastAsia="IRNazanin"/>
          <w:color w:val="111111"/>
          <w:sz w:val="28"/>
          <w:sz w:val="28"/>
          <w:szCs w:val="28"/>
          <w:rtl w:val="true"/>
          <w:lang w:bidi="fa-IR"/>
        </w:rPr>
        <w:t>الکافور</w:t>
      </w:r>
      <w:r>
        <w:rPr>
          <w:rStyle w:val="FootnoteAnchor"/>
          <w:rtl w:val="true"/>
        </w:rPr>
        <w:footnoteReference w:id="440"/>
      </w:r>
      <w:r>
        <w:rPr>
          <w:rFonts w:ascii="IRNazanin" w:hAnsi="IRNazanin" w:eastAsia="IRNazanin"/>
          <w:color w:val="111111"/>
          <w:sz w:val="28"/>
          <w:sz w:val="28"/>
          <w:szCs w:val="28"/>
          <w:rtl w:val="true"/>
          <w:lang w:bidi="fa-IR"/>
        </w:rPr>
        <w:t>علی بدن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مسحه</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المسح بما هو مسح تأمّل، بل الأظهر کفایة مطلق الإمساس مع بقاء شیءٍ فی 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المساجد السبعة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بحیث یبقی علیها منه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بقاء شیء منه علی المحالّ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یکون المسح بحیث یبقی منه شیء ما علی المواضع الممسوحة، و حُکی عن بعض الأصحاب إضافة المسامع علی المساجد، وفیه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المسح احتیاط لایُترک، ولابدّ من بقاء شیء علی الممسوح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والیدان والرکبتان وإبهاما الرِجلَین، ویستحبّ إضافة طرف الأنف إلیها أیضاً، بل هو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ملزم له بعد ضعف خبر 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الکفن،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استحباباً، ففی کفایة مجرد الوضع تأمّل، ولا دلیل علی المسح بالراحة إلاّ المتعارف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375" w:name="pg13276_136652"/>
    </w:p>
    <w:p>
      <w:pPr>
        <w:pStyle w:val="Heading3"/>
        <w:numPr>
          <w:ilvl w:val="2"/>
          <w:numId w:val="1"/>
        </w:numPr>
        <w:rPr/>
      </w:pPr>
      <w:bookmarkStart w:id="376" w:name="__RefHeading___Toc1763812_2322387425"/>
      <w:bookmarkStart w:id="377" w:name="_Toc139"/>
      <w:bookmarkEnd w:id="375"/>
      <w:bookmarkEnd w:id="376"/>
      <w:r>
        <w:rPr>
          <w:rtl w:val="true"/>
        </w:rPr>
        <w:t>ما یستحب مسحه بالکافور من أعضاء المیّت</w:t>
      </w:r>
      <w:bookmarkEnd w:id="377"/>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یجب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المسح بالید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تعتبر مراعاته، لا سیّما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تلزم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بالراحة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إلاّ دعوی انصراف المسح إلی المسح بالید، بل الراحة، وهو کما تری، فیجوز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للتخصیص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فیأتی به رجاءً، والظاهر أنّ المراد من الکفّ غیر ما یجب مسحه من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استحباب مسح غیر الکفّین منها، نعم، لا بأس به رجاءً، وأمّا الکفّان فهما من المساجد ومسحهما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إبطیه</w:t>
      </w:r>
      <w:bookmarkStart w:id="378" w:name="pg13276_136653"/>
    </w:p>
    <w:p>
      <w:pPr>
        <w:pStyle w:val="BookText"/>
        <w:rPr/>
      </w:pPr>
      <w:bookmarkEnd w:id="378"/>
      <w:r>
        <w:rPr>
          <w:rFonts w:ascii="Amiri" w:hAnsi="Amiri" w:eastAsia="Amiri" w:cs="Amiri"/>
          <w:color w:val="111111"/>
          <w:sz w:val="28"/>
          <w:sz w:val="28"/>
          <w:szCs w:val="28"/>
          <w:rtl w:val="true"/>
          <w:lang w:bidi="ar-SA"/>
        </w:rPr>
        <w:t>ولُبّته</w:t>
      </w:r>
      <w:r>
        <w:rPr>
          <w:rStyle w:val="FootnoteAnchor"/>
          <w:rtl w:val="true"/>
        </w:rPr>
        <w:footnoteReference w:id="443"/>
      </w:r>
      <w:r>
        <w:rPr>
          <w:rFonts w:ascii="IRNazanin" w:hAnsi="IRNazanin" w:eastAsia="IRNazanin"/>
          <w:color w:val="111111"/>
          <w:sz w:val="28"/>
          <w:sz w:val="28"/>
          <w:szCs w:val="28"/>
          <w:rtl w:val="true"/>
          <w:lang w:bidi="fa-IR"/>
        </w:rPr>
        <w:t>ومغابنه ومفاصله وباطن قدمیه وکفّیه</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ظاهرهما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معطوف علی إبطیه، لا علی قدمیه، والمراد به هنا ظاهرهما، وإلاّ فمسح باطنهما واجب؛ لکونهما من المساجد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ظهرهما بقرینة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ظاهرهما، أو حواشی الراحتین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یرید ظاهر الکفّین، فإنّ الباطن منهما یجب مسحه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ظاهرها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وجوب مسح الباطن منهما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ظاهرهما، أمّا باطنهما فهو من المساجد الواجبة التحنیط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ظاهرهما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ظاهرهما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ظاهرهما، وأمّا باطنهما فیجب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کلّ موضع من بدنه فیه رائحة کریهة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763814_2322387425"/>
      <w:bookmarkStart w:id="380" w:name="_Toc140"/>
      <w:bookmarkEnd w:id="379"/>
      <w:r>
        <w:rPr>
          <w:rtl w:val="true"/>
        </w:rPr>
        <w:t>محلّ التحنیط</w:t>
      </w:r>
      <w:bookmarkEnd w:id="380"/>
    </w:p>
    <w:p>
      <w:pPr>
        <w:pStyle w:val="Heading4"/>
        <w:numPr>
          <w:ilvl w:val="3"/>
          <w:numId w:val="1"/>
        </w:numPr>
        <w:rPr/>
      </w:pPr>
      <w:bookmarkStart w:id="381" w:name="__RefHeading___Toc1763816_2322387425"/>
      <w:bookmarkStart w:id="382" w:name="_Toc141"/>
      <w:bookmarkEnd w:id="381"/>
      <w:r>
        <w:rPr>
          <w:rtl w:val="true"/>
        </w:rPr>
        <w:t>شروط الکافور</w:t>
      </w:r>
      <w:bookmarkEnd w:id="382"/>
    </w:p>
    <w:p>
      <w:pPr>
        <w:pStyle w:val="BookText"/>
        <w:rPr/>
      </w:pPr>
      <w:r>
        <w:rPr>
          <w:rFonts w:ascii="IRNazanin" w:hAnsi="IRNazanin" w:eastAsia="IRNazanin"/>
          <w:color w:val="111111"/>
          <w:sz w:val="28"/>
          <w:sz w:val="28"/>
          <w:szCs w:val="28"/>
          <w:rtl w:val="true"/>
          <w:lang w:bidi="fa-IR"/>
        </w:rPr>
        <w:t>ویشترط أن یکون بعد الغسل أو التیمّم، فلا یجوز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قبل التکفین وبعده وفی أثنائه، والأولی أن یکون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 الکافور أن یکون طاهراً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لم یوجب تنجّس بدن المیّت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383" w:name="pg13276_136654"/>
    </w:p>
    <w:p>
      <w:pPr>
        <w:pStyle w:val="BookText"/>
        <w:rPr/>
      </w:pPr>
      <w:bookmarkEnd w:id="383"/>
      <w:r>
        <w:rPr>
          <w:rFonts w:ascii="Amiri" w:hAnsi="Amiri" w:eastAsia="Amiri" w:cs="Amiri"/>
          <w:color w:val="111111"/>
          <w:sz w:val="28"/>
          <w:sz w:val="28"/>
          <w:szCs w:val="28"/>
          <w:rtl w:val="true"/>
          <w:lang w:bidi="ar-SA"/>
        </w:rPr>
        <w:t>مباحاً</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یتمکّن من الشرائط المذکورة سقط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اشتراط الإباحة فی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جدیداً، فلا یجزی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العتیق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زال ریحه، وأن یکون مسحوقاً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763818_2322387425"/>
      <w:bookmarkStart w:id="385" w:name="_Toc142"/>
      <w:bookmarkEnd w:id="384"/>
      <w:r>
        <w:rPr>
          <w:rtl w:val="true"/>
        </w:rPr>
        <w:t>یجب تحنیط کل میّت ماعدا المحرم</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الحنوط بین الصغیر والکبیر، والاُنثی والخنثی والذکر، والحرّ والعبد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تحنیط المُحرِم قبل إتیانه بالطواف</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وأنّه لا یجوز تطییب المیت المحرِم قبل السَعی فی الحجّ، وقبل التقصیر فی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بالسعی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والسعی فی المحرم بالحجّ، وقبل التقصیر فی المحرِم بالعمرة،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بالسعی إذا کان حاجّاً، وقبل الإتمام إذا کان معتمراً،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إتمام السَعی فی الحجّ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حکمه فی المسألة التاسعة من فصل کیفیة غسل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من أنّ الجواز بعد السعی فی الحجّ، وبعد التقصیر فی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بالسعی فی الحجّ، وبالتقصیر فی العمرة،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386" w:name="pg13276_136655"/>
    </w:p>
    <w:p>
      <w:pPr>
        <w:pStyle w:val="BookText"/>
        <w:rPr/>
      </w:pPr>
      <w:bookmarkEnd w:id="386"/>
      <w:r>
        <w:rPr>
          <w:rFonts w:ascii="Amiri" w:hAnsi="Amiri" w:eastAsia="Amiri" w:cs="Amiri"/>
          <w:color w:val="111111"/>
          <w:sz w:val="28"/>
          <w:sz w:val="28"/>
          <w:szCs w:val="28"/>
          <w:rtl w:val="true"/>
          <w:lang w:bidi="ar-SA"/>
        </w:rPr>
        <w:t>کما مرّ</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یلحق به الّتی فی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بها المعتدّة للوفاة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المعتکِف، وإن کان یحرم علیهما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استعمال الطیب حال الحیاة</w:t>
      </w:r>
      <w:r>
        <w:rPr>
          <w:rFonts w:eastAsia="IRNazanin" w:cs="IRNazanin"/>
          <w:color w:val="111111"/>
          <w:sz w:val="28"/>
          <w:szCs w:val="28"/>
          <w:rtl w:val="true"/>
          <w:lang w:bidi="fa-IR"/>
        </w:rPr>
        <w:t>.</w:t>
      </w:r>
    </w:p>
    <w:p>
      <w:pPr>
        <w:pStyle w:val="Heading3"/>
        <w:numPr>
          <w:ilvl w:val="2"/>
          <w:numId w:val="1"/>
        </w:numPr>
        <w:rPr/>
      </w:pPr>
      <w:bookmarkStart w:id="387" w:name="__RefHeading___Toc1763820_2322387425"/>
      <w:bookmarkStart w:id="388" w:name="_Toc143"/>
      <w:bookmarkEnd w:id="387"/>
      <w:r>
        <w:rPr>
          <w:rtl w:val="true"/>
        </w:rPr>
        <w:t>نیّة التحنیط</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التحنیط قصد القربة، فیجوز</w:t>
      </w:r>
      <w:r>
        <w:rPr>
          <w:rStyle w:val="FootnoteAnchor"/>
          <w:rtl w:val="true"/>
        </w:rPr>
        <w:footnoteReference w:id="449"/>
      </w:r>
      <w:r>
        <w:rPr>
          <w:rFonts w:ascii="IRNazanin" w:hAnsi="IRNazanin" w:eastAsia="IRNazanin"/>
          <w:color w:val="111111"/>
          <w:sz w:val="28"/>
          <w:sz w:val="28"/>
          <w:szCs w:val="28"/>
          <w:rtl w:val="true"/>
          <w:lang w:bidi="fa-IR"/>
        </w:rPr>
        <w:t>أن یباشره الصبیّ</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ملازمة بین عدم اعتبار قصد القربة وجواز مباشرة الصبی، ولذا استشکل علی الجواز جماعة من الفقهاء، وإن کان الجواز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763822_2322387425"/>
      <w:bookmarkStart w:id="390" w:name="_Toc144"/>
      <w:bookmarkEnd w:id="389"/>
      <w:r>
        <w:rPr>
          <w:rtl w:val="true"/>
        </w:rPr>
        <w:t>مقدار الحنوط الواجب والمستحب</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مقدار کافور الحنوط</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أن لا یکون أقلّ من مثقال شرعیّ، وهو ثلاثة أرباع المثقال الصیرفی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والأفضل أن</w:t>
      </w:r>
    </w:p>
    <w:p>
      <w:pPr>
        <w:pStyle w:val="BookText"/>
        <w:rPr/>
      </w:pPr>
      <w:r>
        <w:rPr>
          <w:rFonts w:ascii="IRNazanin" w:hAnsi="IRNazanin" w:eastAsia="IRNazanin"/>
          <w:color w:val="111111"/>
          <w:sz w:val="28"/>
          <w:sz w:val="28"/>
          <w:szCs w:val="28"/>
          <w:rtl w:val="true"/>
          <w:lang w:bidi="fa-IR"/>
        </w:rPr>
        <w:t>یکون ثلاثة عشر درهماً وثلث، تصیر بحسب المثاقیل الصیرفیّة سبع مثاقیل وحمّصتین</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السبعة من غیر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السّبعة من دون الزیادة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سبعة مثاقیل تماماً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سبعة مثاقیل صیرفیة تماماً، المعادل ثلاثة عشر درهماً وثلث الدرهم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کون کلّ عشرة دراهم سبعة مثاقیل شرعیّة، وکون المثقال الشرعی ثلاثة أرباع الصیرفی أن یکون المقدار الأفضل سبعة مثاقیل صیرفیّة بلا زیادة ولا نقصان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الزیادة غیر 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سبعة مثاقیل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تصیر بحسب المثاقیل الصیرفیّة سبعة مثاقیل بلا زیادة ولا نقصان، کما نصّ علیه فی الحدائق وطهارة الشیخ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سبعة مثاقیل بلا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سبعة مثاقیل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هذا المقدار لخصوص الحنوط، لا له وللغسل، وأقلّ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مثقال 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أقلّ ما یجزی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وأقلّ منه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وأقلّ منه درهم، کما فی المعتبر، مع دعوی عدم الخلاف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أنّه أقلّ ما یجزی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أن لا یکون أقلّ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91" w:name="pg13276_136657"/>
    </w:p>
    <w:p>
      <w:pPr>
        <w:pStyle w:val="BookText"/>
        <w:rPr/>
      </w:pPr>
      <w:bookmarkEnd w:id="391"/>
      <w:r>
        <w:rPr>
          <w:rFonts w:ascii="Amiri" w:hAnsi="Amiri" w:eastAsia="Amiri" w:cs="Amiri"/>
          <w:color w:val="111111"/>
          <w:sz w:val="28"/>
          <w:sz w:val="28"/>
          <w:szCs w:val="28"/>
          <w:rtl w:val="true"/>
          <w:lang w:bidi="ar-SA"/>
        </w:rPr>
        <w:t>والأفضل منه أربعة دراهم</w:t>
      </w:r>
      <w:r>
        <w:rPr>
          <w:rStyle w:val="FootnoteAnchor"/>
          <w:rtl w:val="true"/>
        </w:rPr>
        <w:footnoteReference w:id="453"/>
      </w:r>
      <w:r>
        <w:rPr>
          <w:rFonts w:ascii="IRNazanin" w:hAnsi="IRNazanin" w:eastAsia="IRNazanin"/>
          <w:color w:val="111111"/>
          <w:sz w:val="28"/>
          <w:sz w:val="28"/>
          <w:szCs w:val="28"/>
          <w:rtl w:val="true"/>
          <w:lang w:bidi="fa-IR"/>
        </w:rPr>
        <w:t>، والأفضل منه أربعة مثاقیل شرعیّة</w:t>
      </w:r>
      <w:r>
        <w:rPr>
          <w:rFonts w:eastAsia="IRNazanin" w:cs="IRNazanin"/>
          <w:color w:val="111111"/>
          <w:sz w:val="28"/>
          <w:szCs w:val="28"/>
          <w:rtl w:val="true"/>
          <w:lang w:bidi="fa-IR"/>
        </w:rPr>
        <w:t>.</w:t>
      </w:r>
    </w:p>
    <w:p>
      <w:pPr>
        <w:pStyle w:val="Heading3"/>
        <w:numPr>
          <w:ilvl w:val="2"/>
          <w:numId w:val="1"/>
        </w:numPr>
        <w:rPr/>
      </w:pPr>
      <w:bookmarkStart w:id="392" w:name="__RefHeading___Toc1763824_2322387425"/>
      <w:bookmarkStart w:id="393" w:name="_Toc145"/>
      <w:bookmarkEnd w:id="392"/>
      <w:r>
        <w:rPr>
          <w:rtl w:val="true"/>
        </w:rPr>
        <w:t>سقوط الحنوط بتعذّر الکافور</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الکافور سقط وجوب الحنوط، ولا یقوم مقامه طیب آخر</w:t>
      </w:r>
      <w:r>
        <w:rPr>
          <w:rStyle w:val="FootnoteAnchor"/>
          <w:rtl w:val="true"/>
        </w:rPr>
        <w:footnoteReference w:id="454"/>
      </w:r>
      <w:r>
        <w:rPr>
          <w:rFonts w:ascii="IRNazanin" w:hAnsi="IRNazanin" w:eastAsia="IRNazanin"/>
          <w:color w:val="111111"/>
          <w:sz w:val="28"/>
          <w:sz w:val="28"/>
          <w:szCs w:val="28"/>
          <w:rtl w:val="true"/>
          <w:lang w:bidi="fa-IR"/>
        </w:rPr>
        <w:t>، نعم، یجوز تطییبه بالذَریرة</w:t>
      </w:r>
      <w:r>
        <w:rPr>
          <w:rStyle w:val="FootnoteAnchor"/>
          <w:rtl w:val="true"/>
        </w:rPr>
        <w:footnoteReference w:id="455"/>
      </w:r>
      <w:r>
        <w:rPr>
          <w:rFonts w:ascii="IRNazanin" w:hAnsi="IRNazanin" w:eastAsia="IRNazanin"/>
          <w:color w:val="111111"/>
          <w:sz w:val="28"/>
          <w:sz w:val="28"/>
          <w:szCs w:val="28"/>
          <w:rtl w:val="true"/>
          <w:lang w:bidi="fa-IR"/>
        </w:rPr>
        <w:t>، لکنّها لیست من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تطییبه بالمسک والعنبر والعُود ونحوها ولو بمزجها بالکافور فمکروه، بل الأحوط ترکه</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جوازه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وفعله مشهور بین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لیس بلازم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763826_2322387425"/>
      <w:bookmarkStart w:id="395" w:name="_Toc146"/>
      <w:bookmarkEnd w:id="394"/>
      <w:r>
        <w:rPr>
          <w:rtl w:val="true"/>
        </w:rPr>
        <w:t>فروع فی مکروهات التحنیط ومستحبّاته</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إدخال الکافور فی عین المیّت أو أنفه أو اُذنه</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زاد بعد مسح المساجد علی المشهور، ویحتمل أن یکون الزائد بعد مسح المفاصل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الکافور یوضع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صدره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سَحق</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الاستحباب الشرعی فیه وفی الخلط بالتربة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الشرعی غیر معلوم، فیؤتی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نظفر علیه بدلیل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باستحبابه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الشرعیّ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له علی 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الاستحباب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الکافور بالید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بالهاون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ذکروه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یسند إلی خبر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وضع الکافور علی النعش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خلط الکافور</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بمقدار لا یخرج عن صدق اسم الکافور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تربة قبر الحسین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لا یمسح به المواضع المنافیة للاحترام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إتباع النعش بالمجمرة</w:t>
      </w:r>
      <w:r>
        <w:rPr>
          <w:rStyle w:val="FootnoteAnchor"/>
          <w:rtl w:val="true"/>
        </w:rPr>
        <w:footnoteReference w:id="462"/>
      </w:r>
      <w:r>
        <w:rPr>
          <w:rFonts w:ascii="IRNazanin" w:hAnsi="IRNazanin" w:eastAsia="IRNazanin"/>
          <w:color w:val="111111"/>
          <w:sz w:val="28"/>
          <w:sz w:val="28"/>
          <w:szCs w:val="28"/>
          <w:rtl w:val="true"/>
          <w:lang w:bidi="fa-IR"/>
        </w:rPr>
        <w:t>، وکذا فی حال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w:t>
      </w:r>
      <w:r>
        <w:rPr>
          <w:rStyle w:val="FootnoteAnchor"/>
          <w:rtl w:val="true"/>
        </w:rPr>
        <w:footnoteReference w:id="463"/>
      </w:r>
      <w:r>
        <w:rPr>
          <w:rFonts w:ascii="IRNazanin" w:hAnsi="IRNazanin" w:eastAsia="IRNazanin"/>
          <w:color w:val="111111"/>
          <w:sz w:val="28"/>
          <w:sz w:val="28"/>
          <w:szCs w:val="28"/>
          <w:rtl w:val="true"/>
          <w:lang w:bidi="fa-IR"/>
        </w:rPr>
        <w:t>فی التحنیط</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احتیاطاً واستحباباً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 الآملی، محمد رضا الگلپایگانی، السبزواری، حسن القمّی،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الوجوب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وهکذا بالنسبة إلی تقدیم وضع الکافور فی ماء الغسل علی التحنیط، وفی تقدیم الجبهة علی سائر المواضع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ظاهراً إلاّ ما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التکفین،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فالجزم بوجوبه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 رعایة هذه البدأة، ولکن لیس بواجب؛ لضعف مستنده إن کان منحصراً فی الرضویّ الثابت عدم اعتباره لدی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استفادته من بعض الروایات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محمد الشیرازی،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ذلک،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لزوم ذلک، والأظهر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احتیاطاً استحبابیّاً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بالجبهة، وفی سائر المساجد مخیّر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3276_136660"/>
    </w:p>
    <w:p>
      <w:pPr>
        <w:pStyle w:val="Heading3"/>
        <w:numPr>
          <w:ilvl w:val="2"/>
          <w:numId w:val="1"/>
        </w:numPr>
        <w:rPr/>
      </w:pPr>
      <w:bookmarkStart w:id="397" w:name="__RefHeading___Toc1763828_2322387425"/>
      <w:bookmarkStart w:id="398" w:name="_Toc147"/>
      <w:bookmarkEnd w:id="396"/>
      <w:bookmarkEnd w:id="397"/>
      <w:r>
        <w:rPr>
          <w:rtl w:val="true"/>
        </w:rPr>
        <w:t>تقدیم التغسیل بالکافور علی التحنیط فی مورد التزاحم</w:t>
      </w:r>
      <w:bookmarkEnd w:id="398"/>
    </w:p>
    <w:p>
      <w:pPr>
        <w:pStyle w:val="Heading4"/>
        <w:numPr>
          <w:ilvl w:val="3"/>
          <w:numId w:val="1"/>
        </w:numPr>
        <w:rPr/>
      </w:pPr>
      <w:bookmarkStart w:id="399" w:name="__RefHeading___Toc1763830_2322387425"/>
      <w:bookmarkStart w:id="400" w:name="_Toc148"/>
      <w:bookmarkEnd w:id="399"/>
      <w:r>
        <w:rPr>
          <w:rtl w:val="true"/>
        </w:rPr>
        <w:t>تقدیم الجبهة علی سائر المواضع فی التحنیط</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وضع الکافور فی ماء الغسل أو یصرف فی التحنیط یقدّم الأول</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لی وجه للتقدّم، فلا یبعد التخییر، وکذا الکلام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التخییر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دار فی الحنوط بین الجبهة وسائر المواضع تُقدّم الجبهة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المرعشی، حسن القمّی، تقی القمّی،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محمد الشیرازی،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1" w:name="__RefHeading___Toc1763832_2322387425"/>
      <w:bookmarkStart w:id="402" w:name="_Toc149"/>
      <w:bookmarkEnd w:id="401"/>
      <w:r>
        <w:rPr>
          <w:rtl w:val="true"/>
        </w:rPr>
        <w:t>فصل</w:t>
      </w:r>
      <w:r>
        <w:rPr>
          <w:rtl w:val="true"/>
        </w:rPr>
        <w:t xml:space="preserve">: </w:t>
      </w:r>
      <w:r>
        <w:rPr>
          <w:rtl w:val="true"/>
        </w:rPr>
        <w:t>فی الجریدتین</w:t>
      </w:r>
      <w:bookmarkEnd w:id="402"/>
    </w:p>
    <w:p>
      <w:pPr>
        <w:pStyle w:val="Heading3"/>
        <w:numPr>
          <w:ilvl w:val="2"/>
          <w:numId w:val="1"/>
        </w:numPr>
        <w:rPr/>
      </w:pPr>
      <w:bookmarkStart w:id="403" w:name="__RefHeading___Toc1763834_2322387425"/>
      <w:bookmarkStart w:id="404" w:name="_Toc150"/>
      <w:bookmarkEnd w:id="403"/>
      <w:r>
        <w:rPr>
          <w:rtl w:val="true"/>
        </w:rPr>
        <w:t>استحباب وضعهما مع کل میّت</w:t>
      </w:r>
      <w:bookmarkEnd w:id="404"/>
    </w:p>
    <w:p>
      <w:pPr>
        <w:pStyle w:val="BookText"/>
        <w:rPr/>
      </w:pPr>
      <w:r>
        <w:rPr>
          <w:rFonts w:ascii="IRNazanin" w:hAnsi="IRNazanin" w:eastAsia="IRNazanin"/>
          <w:color w:val="111111"/>
          <w:sz w:val="28"/>
          <w:sz w:val="28"/>
          <w:szCs w:val="28"/>
          <w:rtl w:val="true"/>
          <w:lang w:bidi="fa-IR"/>
        </w:rPr>
        <w:t>من المستحبّات الأکیدة عند الشیعة وضعهما مع المیّت، صغیراً</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یوضع معه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فیه مشکل، فالأولی فیه 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کبیراً، ذکراً أو اُنثی، محسِناً أو مُسیئاً، کان ممّن یخاف علیه من عذاب القبر أو لا، ففی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الجریدة تنفع الموءمن والکافر، والمحسن</w:t>
      </w:r>
      <w:bookmarkStart w:id="405" w:name="pg13276_136661"/>
    </w:p>
    <w:p>
      <w:pPr>
        <w:pStyle w:val="BookText"/>
        <w:rPr/>
      </w:pPr>
      <w:bookmarkEnd w:id="405"/>
      <w:r>
        <w:rPr>
          <w:rFonts w:ascii="IRNazanin" w:hAnsi="IRNazanin" w:eastAsia="IRNazanin"/>
          <w:color w:val="111111"/>
          <w:sz w:val="28"/>
          <w:sz w:val="28"/>
          <w:szCs w:val="28"/>
          <w:rtl w:val="true"/>
          <w:lang w:bidi="fa-IR"/>
        </w:rPr>
        <w:t>والمسیء، وما دامت رطبة یرفع عن المیّت عذاب القبر</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مرّ علی قبر یعذّب صاحبه، فطلب جریدة فشقّها نصفین، فوضع أحدهما فوق رأسه، والآخر عند 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یخفّف عنه العذاب ماداما رطبین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علیه‌السلام أوصی بوضع جریدتین فی کفنه لاُنسه، وکان هذا معمولاً بین الأنبیاء، وتُرک فی زمان الجاهلیة فأحیاه النبیّ صلی‌الله‌علیه‌و‌آله </w:t>
      </w:r>
      <w:r>
        <w:rPr>
          <w:rFonts w:eastAsia="IRNazanin" w:cs="IRNazanin"/>
          <w:color w:val="111111"/>
          <w:sz w:val="28"/>
          <w:szCs w:val="28"/>
          <w:rtl w:val="true"/>
          <w:lang w:bidi="fa-IR"/>
        </w:rPr>
        <w:t>.</w:t>
      </w:r>
    </w:p>
    <w:p>
      <w:pPr>
        <w:pStyle w:val="Heading3"/>
        <w:numPr>
          <w:ilvl w:val="2"/>
          <w:numId w:val="1"/>
        </w:numPr>
        <w:rPr/>
      </w:pPr>
      <w:bookmarkStart w:id="406" w:name="__RefHeading___Toc1763836_2322387425"/>
      <w:bookmarkStart w:id="407" w:name="_Toc151"/>
      <w:bookmarkEnd w:id="406"/>
      <w:r>
        <w:rPr>
          <w:rtl w:val="true"/>
        </w:rPr>
        <w:t>أولویة جریدة النخل مع الإمکان</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تکونا</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الترتیب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یتیسّر فمن السدر، وإلاّ فمن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الرمّان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الرمّان علی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تأخیره عن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الرمّان مع السدر فی رتبته، فیتخیّر بینهما إذا لم تتیّسر الجریدتان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 فکلّ عُود رَطب</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763838_2322387425"/>
      <w:bookmarkStart w:id="409" w:name="_Toc152"/>
      <w:bookmarkEnd w:id="408"/>
      <w:r>
        <w:rPr>
          <w:rtl w:val="true"/>
        </w:rPr>
        <w:t>اعتبار الرطوبة فی الجریدة</w:t>
      </w:r>
      <w:bookmarkEnd w:id="4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الجریدة الیابسة لا تکفی</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410" w:name="pg13276_136662"/>
    </w:p>
    <w:p>
      <w:pPr>
        <w:pStyle w:val="Heading3"/>
        <w:numPr>
          <w:ilvl w:val="2"/>
          <w:numId w:val="1"/>
        </w:numPr>
        <w:rPr/>
      </w:pPr>
      <w:bookmarkStart w:id="411" w:name="__RefHeading___Toc1763840_2322387425"/>
      <w:bookmarkStart w:id="412" w:name="_Toc153"/>
      <w:bookmarkEnd w:id="410"/>
      <w:bookmarkEnd w:id="411"/>
      <w:r>
        <w:rPr>
          <w:rtl w:val="true"/>
        </w:rPr>
        <w:t>بقیة مستحبات الجریدة</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تکون فی الطول</w:t>
      </w:r>
      <w:r>
        <w:rPr>
          <w:rStyle w:val="FootnoteAnchor"/>
          <w:rtl w:val="true"/>
        </w:rPr>
        <w:footnoteReference w:id="470"/>
      </w:r>
      <w:r>
        <w:rPr>
          <w:rFonts w:ascii="IRNazanin" w:hAnsi="IRNazanin" w:eastAsia="IRNazanin"/>
          <w:color w:val="111111"/>
          <w:sz w:val="28"/>
          <w:sz w:val="28"/>
          <w:szCs w:val="28"/>
          <w:rtl w:val="true"/>
          <w:lang w:bidi="fa-IR"/>
        </w:rPr>
        <w:t>بمقدار ذراع</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عظم الذراع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ودونه بمقدار عظم الذراع، ودونه بمقدار 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عظم الذراع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ویجزی الأقلّ والأکثر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ودونه فی الفضل أن تکون بمقدار عظم ذراع، ودونه بمقدار 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بمقدار عظم الذراع علی ما هو المشهور، أو بمقدار شبر، لعلّ الاختلاف بحسب تفاوت الفضیلة، فعلی هذا یجزی الأقلّ والأکثر من الذراع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یجزی الأقلّ والأکثر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الغلظ کلّما کان أغلظ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حیث بطوء یبسه</w:t>
      </w:r>
      <w:r>
        <w:rPr>
          <w:rFonts w:eastAsia="IRNazanin" w:cs="IRNazanin"/>
          <w:color w:val="111111"/>
          <w:sz w:val="28"/>
          <w:szCs w:val="28"/>
          <w:rtl w:val="true"/>
          <w:lang w:bidi="fa-IR"/>
        </w:rPr>
        <w:t>.</w:t>
      </w:r>
    </w:p>
    <w:p>
      <w:pPr>
        <w:pStyle w:val="Heading3"/>
        <w:numPr>
          <w:ilvl w:val="2"/>
          <w:numId w:val="1"/>
        </w:numPr>
        <w:rPr/>
      </w:pPr>
      <w:bookmarkStart w:id="413" w:name="__RefHeading___Toc1763842_2322387425"/>
      <w:bookmarkStart w:id="414" w:name="_Toc154"/>
      <w:bookmarkEnd w:id="413"/>
      <w:r>
        <w:rPr>
          <w:rtl w:val="true"/>
        </w:rPr>
        <w:t>کیفیة وضع الجریدتین فی القبر</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کیفیّة وضعهما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تُوضع إحداهما فی جانبه الأیمن من عند الترقوة إلی ما بلغت، ملصقة ببدنه، والاُخری فی جانبه الأیسر من عند الترقوة فوق القمیص تحت اللفّافة إلی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المراد به ما رواه یونس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توضع إحداهما تحت إبطه الأیمن، والاُخری بین رکبتیه، بحیث یکون نصفها یصل إلی الساق، ونصفها إلی الفخذ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التکفین، ح</w:t>
      </w:r>
      <w:r>
        <w:rPr>
          <w:rFonts w:eastAsia="IRNazanin" w:cs="IRNazanin"/>
          <w:color w:val="111111"/>
          <w:sz w:val="28"/>
          <w:szCs w:val="28"/>
          <w:lang w:bidi="fa-IR"/>
        </w:rPr>
        <w:t>5</w:t>
      </w:r>
      <w:r>
        <w:rPr>
          <w:rFonts w:eastAsia="IRNazanin" w:cs="IRNazanin"/>
          <w:color w:val="111111"/>
          <w:sz w:val="28"/>
          <w:szCs w:val="28"/>
          <w:rtl w:val="true"/>
          <w:lang w:bidi="fa-IR"/>
        </w:rPr>
        <w:t>.).</w:t>
      </w:r>
      <w:bookmarkStart w:id="415" w:name="pg13276_136663"/>
    </w:p>
    <w:p>
      <w:pPr>
        <w:pStyle w:val="BookText"/>
        <w:rPr/>
      </w:pPr>
      <w:bookmarkEnd w:id="415"/>
      <w:r>
        <w:rPr>
          <w:rFonts w:ascii="IRNazanin" w:hAnsi="IRNazanin" w:eastAsia="IRNazanin"/>
          <w:color w:val="111111"/>
          <w:sz w:val="28"/>
          <w:sz w:val="28"/>
          <w:szCs w:val="28"/>
          <w:rtl w:val="true"/>
          <w:lang w:bidi="fa-IR"/>
        </w:rPr>
        <w:t>وفی بعض</w:t>
      </w:r>
      <w:r>
        <w:rPr>
          <w:rStyle w:val="FootnoteAnchor"/>
          <w:rtl w:val="true"/>
        </w:rPr>
        <w:footnoteReference w:id="473"/>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توضع کلتاهما فی جنبه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التکفین،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w:t>
      </w:r>
      <w:r>
        <w:rPr>
          <w:rStyle w:val="FootnoteAnchor"/>
          <w:rtl w:val="true"/>
        </w:rPr>
        <w:footnoteReference w:id="474"/>
      </w:r>
      <w:r>
        <w:rPr>
          <w:rFonts w:ascii="IRNazanin" w:hAnsi="IRNazanin" w:eastAsia="IRNazanin"/>
          <w:color w:val="111111"/>
          <w:sz w:val="28"/>
          <w:sz w:val="28"/>
          <w:szCs w:val="28"/>
          <w:rtl w:val="true"/>
          <w:lang w:bidi="fa-IR"/>
        </w:rPr>
        <w:t>تحقّق الاستحباب بمطلق الوضع معه فی قبره</w:t>
      </w:r>
      <w:r>
        <w:rPr>
          <w:rFonts w:eastAsia="IRNazanin" w:cs="IRNazanin"/>
          <w:color w:val="111111"/>
          <w:sz w:val="28"/>
          <w:szCs w:val="28"/>
          <w:rtl w:val="true"/>
          <w:lang w:bidi="fa-IR"/>
        </w:rPr>
        <w:t>.</w:t>
      </w:r>
    </w:p>
    <w:p>
      <w:pPr>
        <w:pStyle w:val="Heading3"/>
        <w:numPr>
          <w:ilvl w:val="2"/>
          <w:numId w:val="1"/>
        </w:numPr>
        <w:rPr/>
      </w:pPr>
      <w:bookmarkStart w:id="416" w:name="__RefHeading___Toc1763844_2322387425"/>
      <w:bookmarkStart w:id="417" w:name="_Toc155"/>
      <w:bookmarkEnd w:id="416"/>
      <w:r>
        <w:rPr>
          <w:rtl w:val="true"/>
        </w:rPr>
        <w:t>لو تَرک وضع الجریدتین جُعلت علی القبر</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تُرکت الجریدة لنسیان ونحوه جعلت فوق قبره</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تُشقّ الجریدة نصفین ویجعل نصفها عند رأسه، والآخر عند رجلیه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إلاّ واحدة جعلت فی جانبه الأیمن</w:t>
      </w:r>
      <w:r>
        <w:rPr>
          <w:rFonts w:eastAsia="IRNazanin" w:cs="IRNazanin"/>
          <w:color w:val="111111"/>
          <w:sz w:val="28"/>
          <w:szCs w:val="28"/>
          <w:rtl w:val="true"/>
          <w:lang w:bidi="fa-IR"/>
        </w:rPr>
        <w:t>.</w:t>
      </w:r>
    </w:p>
    <w:p>
      <w:pPr>
        <w:pStyle w:val="Heading3"/>
        <w:numPr>
          <w:ilvl w:val="2"/>
          <w:numId w:val="1"/>
        </w:numPr>
        <w:rPr/>
      </w:pPr>
      <w:bookmarkStart w:id="418" w:name="__RefHeading___Toc1763846_2322387425"/>
      <w:bookmarkStart w:id="419" w:name="_Toc156"/>
      <w:bookmarkEnd w:id="418"/>
      <w:r>
        <w:rPr>
          <w:rtl w:val="true"/>
        </w:rPr>
        <w:t>الکتابة علی الجریدتین</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یکتب</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وجملة من الاُمور المتقدمة من مندوبات الجریدة مبنیّ علی قاعدة التسامح، ولم یثبت عند أکثرهم، فالأولی أن یؤتی بها رجاءً،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اسم المیّت، واسم أبیه، وأ نّه یشهد أن لا إله إلاّ اللّه، وأنّ محمَّداً رسول اللّه صلی‌الله‌علیه‌و‌آله ، وأنّ الأئمّة من بعده أوصیاوءه علیهم‌السلام ، ویذکر أسماءهم واحداً بعد واحد</w:t>
      </w:r>
      <w:r>
        <w:rPr>
          <w:rFonts w:eastAsia="IRNazanin" w:cs="IRNazanin"/>
          <w:color w:val="111111"/>
          <w:sz w:val="28"/>
          <w:szCs w:val="28"/>
          <w:rtl w:val="true"/>
          <w:lang w:bidi="fa-IR"/>
        </w:rPr>
        <w:t>.</w:t>
      </w:r>
      <w:bookmarkStart w:id="420" w:name="pg13276_136664"/>
    </w:p>
    <w:p>
      <w:pPr>
        <w:pStyle w:val="Heading2"/>
        <w:numPr>
          <w:ilvl w:val="1"/>
          <w:numId w:val="1"/>
        </w:numPr>
        <w:rPr/>
      </w:pPr>
      <w:bookmarkStart w:id="421" w:name="__RefHeading___Toc1763848_2322387425"/>
      <w:bookmarkStart w:id="422" w:name="_Toc157"/>
      <w:bookmarkEnd w:id="420"/>
      <w:bookmarkEnd w:id="421"/>
      <w:r>
        <w:rPr>
          <w:rtl w:val="true"/>
        </w:rPr>
        <w:t>فصل</w:t>
      </w:r>
      <w:r>
        <w:rPr>
          <w:rtl w:val="true"/>
        </w:rPr>
        <w:t xml:space="preserve">: </w:t>
      </w:r>
      <w:r>
        <w:rPr>
          <w:rtl w:val="true"/>
        </w:rPr>
        <w:t>فی التشییع</w:t>
      </w:r>
      <w:bookmarkEnd w:id="422"/>
    </w:p>
    <w:p>
      <w:pPr>
        <w:pStyle w:val="Heading3"/>
        <w:numPr>
          <w:ilvl w:val="2"/>
          <w:numId w:val="1"/>
        </w:numPr>
        <w:rPr/>
      </w:pPr>
      <w:bookmarkStart w:id="423" w:name="__RefHeading___Toc1763850_2322387425"/>
      <w:bookmarkStart w:id="424" w:name="_Toc158"/>
      <w:bookmarkEnd w:id="423"/>
      <w:r>
        <w:rPr>
          <w:rtl w:val="true"/>
        </w:rPr>
        <w:t>اشارة</w:t>
      </w:r>
      <w:bookmarkEnd w:id="424"/>
    </w:p>
    <w:p>
      <w:pPr>
        <w:pStyle w:val="BookText"/>
        <w:rPr/>
      </w:pPr>
      <w:r>
        <w:rPr>
          <w:rStyle w:val="FootnoteAnchor"/>
          <w:rtl w:val="true"/>
        </w:rPr>
        <w:footnoteReference w:id="477"/>
      </w:r>
    </w:p>
    <w:p>
      <w:pPr>
        <w:pStyle w:val="Heading3"/>
        <w:numPr>
          <w:ilvl w:val="2"/>
          <w:numId w:val="1"/>
        </w:numPr>
        <w:rPr/>
      </w:pPr>
      <w:bookmarkStart w:id="425" w:name="__RefHeading___Toc1763852_2322387425"/>
      <w:bookmarkStart w:id="426" w:name="_Toc159"/>
      <w:bookmarkEnd w:id="425"/>
      <w:r>
        <w:rPr>
          <w:rtl w:val="true"/>
        </w:rPr>
        <w:t>استحباب الإعلام بموت المؤمن</w:t>
      </w:r>
      <w:bookmarkEnd w:id="426"/>
    </w:p>
    <w:p>
      <w:pPr>
        <w:pStyle w:val="BookText"/>
        <w:rPr/>
      </w:pPr>
      <w:r>
        <w:rPr>
          <w:rFonts w:ascii="Amiri" w:hAnsi="Amiri" w:eastAsia="Amiri" w:cs="Amiri"/>
          <w:color w:val="111111"/>
          <w:sz w:val="28"/>
          <w:sz w:val="28"/>
          <w:szCs w:val="28"/>
          <w:rtl w:val="true"/>
          <w:lang w:bidi="ar-SA"/>
        </w:rPr>
        <w:t>یستحبّ</w:t>
      </w:r>
      <w:r>
        <w:rPr>
          <w:rStyle w:val="FootnoteAnchor"/>
          <w:rtl w:val="true"/>
        </w:rPr>
        <w:footnoteReference w:id="478"/>
      </w:r>
      <w:r>
        <w:rPr>
          <w:rFonts w:ascii="IRNazanin" w:hAnsi="IRNazanin" w:eastAsia="IRNazanin"/>
          <w:color w:val="111111"/>
          <w:sz w:val="28"/>
          <w:sz w:val="28"/>
          <w:szCs w:val="28"/>
          <w:rtl w:val="true"/>
          <w:lang w:bidi="fa-IR"/>
        </w:rPr>
        <w:t>لأولیاء</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لا یقصد الورود فی ما ذکر من المستحبات والمکروهات، کما تقدّم فی نظائرها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ولغیرهم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الواردة فی فضیلة التشییع کثیرة، وثوابها خطیر، ولیس لها حدّ، والتحدید فی بعضها إلی الصلاة أو إلی الدفن لأجل بیان مراتب الفضل، فالأولی أن یؤتی مستحباتها ومکروهاتها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 إعلام الموءمنین بموت الموءمن لیحضروا جنازته والصلاة علیه، والاستغفار له، ویستحبّ للموءمنین المبادرة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دُعی إلی ولیمة وإلی حضور جنازة قدّم حضورها؛ لأنّه مُذکِّر للآخرة، کما أنّ الولیمة مُذکِّرة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 باختلافٍ فی اللفظ</w:t>
      </w:r>
      <w:r>
        <w:rPr>
          <w:rFonts w:eastAsia="IRNazanin" w:cs="IRNazanin"/>
          <w:color w:val="111111"/>
          <w:sz w:val="28"/>
          <w:szCs w:val="28"/>
          <w:rtl w:val="true"/>
          <w:lang w:bidi="fa-IR"/>
        </w:rPr>
        <w:t>.).</w:t>
      </w:r>
      <w:bookmarkStart w:id="427" w:name="pg13276_136665"/>
    </w:p>
    <w:p>
      <w:pPr>
        <w:pStyle w:val="Heading3"/>
        <w:numPr>
          <w:ilvl w:val="2"/>
          <w:numId w:val="1"/>
        </w:numPr>
        <w:rPr/>
      </w:pPr>
      <w:bookmarkStart w:id="428" w:name="__RefHeading___Toc1763854_2322387425"/>
      <w:bookmarkStart w:id="429" w:name="_Toc160"/>
      <w:bookmarkEnd w:id="427"/>
      <w:bookmarkEnd w:id="428"/>
      <w:r>
        <w:rPr>
          <w:rtl w:val="true"/>
        </w:rPr>
        <w:t>استحباب التشییع</w:t>
      </w:r>
      <w:bookmarkEnd w:id="429"/>
    </w:p>
    <w:p>
      <w:pPr>
        <w:pStyle w:val="BookText"/>
        <w:rPr/>
      </w:pPr>
      <w:r>
        <w:rPr>
          <w:rFonts w:ascii="IRNazanin" w:hAnsi="IRNazanin" w:eastAsia="IRNazanin"/>
          <w:color w:val="111111"/>
          <w:sz w:val="28"/>
          <w:sz w:val="28"/>
          <w:szCs w:val="28"/>
          <w:rtl w:val="true"/>
          <w:lang w:bidi="fa-IR"/>
        </w:rPr>
        <w:t>ولیس للتشییع حدّ معیّن، والأولی أن یکون إلی الدفن، ودونه إلی الصلاة علیه، والأخبار فی فضله کثیرة، ففی بعضها</w:t>
      </w:r>
      <w:r>
        <w:rPr>
          <w:rStyle w:val="FootnoteAnchor"/>
          <w:rtl w:val="true"/>
        </w:rPr>
        <w:footnoteReference w:id="4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تحفة للموءمن فی قبره غفرانه وغفران من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باختلاف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w:t>
      </w:r>
      <w:r>
        <w:rPr>
          <w:rStyle w:val="FootnoteAnchor"/>
          <w:rtl w:val="true"/>
        </w:rPr>
        <w:footnoteReference w:id="4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شیّع موءمناً لکلّ قدم یکتب له مائة ألف حسنة، ویمحی عنه مائة ألف سیّئة، ویرفع له مائة ألف درجة، وإن صلّی علیه یشیّعه حین موته مائة ألف ملک یستغفرون له إلی أن یبعث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مئة ألف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واختلاف یسیر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مع جنازة حتّی صلّی علیها له قیراط من الأجر، وإن صبر إلی دفنه له قیراطان، والقیراط مقدار جبل</w:t>
      </w:r>
      <w:r>
        <w:rPr>
          <w:rStyle w:val="FootnoteAnchor"/>
          <w:rtl w:val="true"/>
        </w:rPr>
        <w:footnoteReference w:id="482"/>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 تباین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یوءجَر بمقدار ما مشی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مع اختلاف فی اللفظ</w:t>
      </w:r>
      <w:r>
        <w:rPr>
          <w:rFonts w:eastAsia="IRNazanin" w:cs="IRNazanin"/>
          <w:color w:val="111111"/>
          <w:sz w:val="28"/>
          <w:szCs w:val="28"/>
          <w:rtl w:val="true"/>
          <w:lang w:bidi="fa-IR"/>
        </w:rPr>
        <w:t>.)</w:t>
      </w:r>
    </w:p>
    <w:p>
      <w:pPr>
        <w:pStyle w:val="Heading3"/>
        <w:numPr>
          <w:ilvl w:val="2"/>
          <w:numId w:val="1"/>
        </w:numPr>
        <w:rPr/>
      </w:pPr>
      <w:bookmarkStart w:id="430" w:name="__RefHeading___Toc1763856_2322387425"/>
      <w:bookmarkStart w:id="431" w:name="_Toc161"/>
      <w:bookmarkEnd w:id="430"/>
      <w:r>
        <w:rPr>
          <w:rtl w:val="true"/>
        </w:rPr>
        <w:t>آداب التشییع</w:t>
      </w:r>
      <w:bookmarkEnd w:id="431"/>
    </w:p>
    <w:p>
      <w:pPr>
        <w:pStyle w:val="BookText"/>
        <w:rPr/>
      </w:pPr>
      <w:r>
        <w:rPr>
          <w:rFonts w:ascii="Amiri" w:hAnsi="Amiri" w:eastAsia="Amiri" w:cs="Amiri"/>
          <w:color w:val="111111"/>
          <w:sz w:val="28"/>
          <w:sz w:val="28"/>
          <w:szCs w:val="28"/>
          <w:rtl w:val="true"/>
          <w:lang w:bidi="ar-SA"/>
        </w:rPr>
        <w:t>وأمّا آدابه فهی اُمور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إذا نظر إلی الجنازة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 اللّه أکبر، هذا ما وعدنا اللّه ورسوله، وصدق اللّه ورسوله، اللهمّ زِدنا إیماناً وتسلیماً، الحمد للّه الّذی تعزّز بالقدرة، وقهر العباد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یختصّ </w:t>
      </w:r>
    </w:p>
    <w:p>
      <w:pPr>
        <w:pStyle w:val="BookText"/>
        <w:rPr/>
      </w:pPr>
      <w:r>
        <w:rPr>
          <w:rFonts w:ascii="Amiri" w:hAnsi="Amiri" w:eastAsia="Amiri" w:cs="Amiri"/>
          <w:color w:val="111111"/>
          <w:sz w:val="28"/>
          <w:sz w:val="28"/>
          <w:szCs w:val="28"/>
          <w:rtl w:val="true"/>
          <w:lang w:bidi="ar-SA"/>
        </w:rPr>
        <w:t>بالمشیّع، بل یستحبّ لکلّ من نظر إلی الجنازة، کما أ نّه یستحبّ له مطلقاً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یجعلنی من السواد المُختَرَم</w:t>
      </w:r>
      <w:r>
        <w:rPr>
          <w:rFonts w:eastAsia="Amiri" w:cs="Amiri" w:ascii="Amiri" w:hAnsi="Amiri"/>
          <w:color w:val="111111"/>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الدفن،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حین حمل الجنازة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وصلّی اللّه علی محمّدٍ وآل محمّد، اللهمّ اغفر للموءمنین والموءمنات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یمشی، بل یُکره الرکوب إلاّ لعذر، نعم، لایکره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یحملوها علی أکتافهم، لاعلی الحیوان</w:t>
      </w:r>
      <w:r>
        <w:rPr>
          <w:rStyle w:val="FootnoteAnchor"/>
          <w:rtl w:val="true"/>
        </w:rPr>
        <w:footnoteReference w:id="485"/>
      </w:r>
      <w:r>
        <w:rPr>
          <w:rFonts w:ascii="IRNazanin" w:hAnsi="IRNazanin" w:eastAsia="IRNazanin"/>
          <w:color w:val="111111"/>
          <w:sz w:val="28"/>
          <w:sz w:val="28"/>
          <w:szCs w:val="28"/>
          <w:rtl w:val="true"/>
          <w:lang w:bidi="fa-IR"/>
        </w:rPr>
        <w:t>، إلاّ لعذر کبعد المسافة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المشیّع خاشعاً متفکّراً متصوِّراً أ نّه هو المحمول، ویسأل الرجوع إلی الدنیا، فاُجیب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یمشی خلف الجنازة أو طرفیها، ولا یمشی قدّامها</w:t>
      </w:r>
      <w:r>
        <w:rPr>
          <w:rStyle w:val="FootnoteAnchor"/>
          <w:rtl w:val="true"/>
        </w:rPr>
        <w:footnoteReference w:id="486"/>
      </w:r>
      <w:r>
        <w:rPr>
          <w:rFonts w:ascii="IRNazanin" w:hAnsi="IRNazanin" w:eastAsia="IRNazanin"/>
          <w:color w:val="111111"/>
          <w:sz w:val="28"/>
          <w:sz w:val="28"/>
          <w:szCs w:val="28"/>
          <w:rtl w:val="true"/>
          <w:lang w:bidi="fa-IR"/>
        </w:rPr>
        <w:t>، والأوّل أفضل من الثانی، والظاهر کراهة الثالث</w:t>
      </w:r>
      <w:r>
        <w:rPr>
          <w:rStyle w:val="FootnoteAnchor"/>
          <w:rtl w:val="true"/>
        </w:rPr>
        <w:footnoteReference w:id="487"/>
      </w:r>
      <w:r>
        <w:rPr>
          <w:rFonts w:ascii="IRNazanin" w:hAnsi="IRNazanin" w:eastAsia="IRNazanin"/>
          <w:color w:val="111111"/>
          <w:sz w:val="28"/>
          <w:sz w:val="28"/>
          <w:szCs w:val="28"/>
          <w:rtl w:val="true"/>
          <w:lang w:bidi="fa-IR"/>
        </w:rPr>
        <w:t>خصوصاً فی جنازة غیر الموءمن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یلقی علیها ثوب غیر مزیّن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حاملوها أربعة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تربیع الشخص الواحد بمعنی حمله جوانبها الأربعة، والأولی الابتداء بیمین المیّت یضعه علی عاتقه الأیمن، ثمّ موءخّرها الأیمن علی </w:t>
      </w:r>
      <w:bookmarkStart w:id="432" w:name="pg13276_136667"/>
    </w:p>
    <w:p>
      <w:pPr>
        <w:pStyle w:val="BookText"/>
        <w:rPr/>
      </w:pPr>
      <w:bookmarkEnd w:id="432"/>
      <w:r>
        <w:rPr>
          <w:rFonts w:ascii="IRNazanin" w:hAnsi="IRNazanin" w:eastAsia="IRNazanin"/>
          <w:color w:val="111111"/>
          <w:sz w:val="28"/>
          <w:sz w:val="28"/>
          <w:szCs w:val="28"/>
          <w:rtl w:val="true"/>
          <w:lang w:bidi="fa-IR"/>
        </w:rPr>
        <w:t>عاتقه الأیمن، ثمّ موءخّرها الأیسر علی عاتقه الأیسر، ثمّ ینتقل إلی المقدَّم الأیسر واضعاً له علی العاتق الأیسر یدور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صاحب المصیبة حافیاً واضعاً رداءه، أو یغیّر زیّه علی وجه آخر بحیث یُعلم أ نّه صاحب المصیبة</w:t>
      </w:r>
      <w:r>
        <w:rPr>
          <w:rFonts w:eastAsia="IRNazanin" w:cs="IRNazanin"/>
          <w:color w:val="111111"/>
          <w:sz w:val="28"/>
          <w:szCs w:val="28"/>
          <w:rtl w:val="true"/>
          <w:lang w:bidi="fa-IR"/>
        </w:rPr>
        <w:t>.</w:t>
      </w:r>
    </w:p>
    <w:p>
      <w:pPr>
        <w:pStyle w:val="Heading3"/>
        <w:numPr>
          <w:ilvl w:val="2"/>
          <w:numId w:val="1"/>
        </w:numPr>
        <w:rPr/>
      </w:pPr>
      <w:bookmarkStart w:id="433" w:name="__RefHeading___Toc1763858_2322387425"/>
      <w:bookmarkStart w:id="434" w:name="_Toc162"/>
      <w:bookmarkEnd w:id="433"/>
      <w:r>
        <w:rPr>
          <w:rtl w:val="true"/>
        </w:rPr>
        <w:t>مکروهات التشییع</w:t>
      </w:r>
      <w:bookmarkEnd w:id="434"/>
    </w:p>
    <w:p>
      <w:pPr>
        <w:pStyle w:val="BookText"/>
        <w:rPr/>
      </w:pPr>
      <w:r>
        <w:rPr>
          <w:rFonts w:ascii="Amiri" w:hAnsi="Amiri" w:eastAsia="Amiri" w:cs="Amiri"/>
          <w:color w:val="111111"/>
          <w:sz w:val="28"/>
          <w:sz w:val="28"/>
          <w:szCs w:val="28"/>
          <w:rtl w:val="true"/>
          <w:lang w:bidi="ar-SA"/>
        </w:rPr>
        <w:t>ویکره اُمور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الضحک واللعب واللهو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الرداء</w:t>
      </w:r>
      <w:r>
        <w:rPr>
          <w:rStyle w:val="FootnoteAnchor"/>
          <w:rtl w:val="true"/>
        </w:rPr>
        <w:footnoteReference w:id="489"/>
      </w:r>
      <w:r>
        <w:rPr>
          <w:rFonts w:ascii="IRNazanin" w:hAnsi="IRNazanin" w:eastAsia="IRNazanin"/>
          <w:color w:val="111111"/>
          <w:sz w:val="28"/>
          <w:sz w:val="28"/>
          <w:szCs w:val="28"/>
          <w:rtl w:val="true"/>
          <w:lang w:bidi="fa-IR"/>
        </w:rPr>
        <w:t>من غیر صاحب المصیبة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بغیر الذکر والدعاء والاستغفار، حتّی ورد</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یکون المراد من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العشرة،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الظاهر من الحدیث کراهة تسلیم الماشی علی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عن السلام علی المشیّع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النساء</w:t>
      </w:r>
      <w:r>
        <w:rPr>
          <w:rStyle w:val="FootnoteAnchor"/>
          <w:rtl w:val="true"/>
        </w:rPr>
        <w:footnoteReference w:id="492"/>
      </w:r>
      <w:r>
        <w:rPr>
          <w:rFonts w:ascii="IRNazanin" w:hAnsi="IRNazanin" w:eastAsia="IRNazanin"/>
          <w:color w:val="111111"/>
          <w:sz w:val="28"/>
          <w:sz w:val="28"/>
          <w:szCs w:val="28"/>
          <w:rtl w:val="true"/>
          <w:lang w:bidi="fa-IR"/>
        </w:rPr>
        <w:t>الجنازة وإن کانت للنساء</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فی المشی علی وجه ینافی الرفق بالمیّت، سیّما إذا </w:t>
      </w:r>
    </w:p>
    <w:p>
      <w:pPr>
        <w:pStyle w:val="BookText"/>
        <w:rPr/>
      </w:pPr>
      <w:r>
        <w:rPr>
          <w:rFonts w:ascii="Amiri" w:hAnsi="Amiri" w:eastAsia="Amiri" w:cs="Amiri"/>
          <w:color w:val="111111"/>
          <w:sz w:val="28"/>
          <w:sz w:val="28"/>
          <w:szCs w:val="28"/>
          <w:rtl w:val="true"/>
          <w:lang w:bidi="ar-SA"/>
        </w:rPr>
        <w:t>کان بالعَدْوِ</w:t>
      </w:r>
      <w:r>
        <w:rPr>
          <w:rStyle w:val="FootnoteAnchor"/>
          <w:rtl w:val="true"/>
        </w:rPr>
        <w:footnoteReference w:id="494"/>
      </w:r>
      <w:r>
        <w:rPr>
          <w:rFonts w:ascii="IRNazanin" w:hAnsi="IRNazanin" w:eastAsia="IRNazanin"/>
          <w:color w:val="111111"/>
          <w:sz w:val="28"/>
          <w:sz w:val="28"/>
          <w:szCs w:val="28"/>
          <w:rtl w:val="true"/>
          <w:lang w:bidi="fa-IR"/>
        </w:rPr>
        <w:t>، بل ینبغی الوسط فی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الید علی الفخذ أو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المصاب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به،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ترحّموا علیه، وکذا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إتباعها بالنار ولو مجمرة إلاّ فی اللیل، فلا یکره المصباح</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ما یستضاء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عند مرورها إن کان جالساً، إلاّ إذا کان المیّت کافراً؛ لئلاّ یعلو</w:t>
      </w:r>
      <w:r>
        <w:rPr>
          <w:rStyle w:val="FootnoteAnchor"/>
          <w:rtl w:val="true"/>
        </w:rPr>
        <w:footnoteReference w:id="496"/>
      </w:r>
      <w:r>
        <w:rPr>
          <w:rFonts w:ascii="IRNazanin" w:hAnsi="IRNazanin" w:eastAsia="IRNazanin"/>
          <w:color w:val="111111"/>
          <w:sz w:val="28"/>
          <w:sz w:val="28"/>
          <w:szCs w:val="28"/>
          <w:rtl w:val="true"/>
          <w:lang w:bidi="fa-IR"/>
        </w:rPr>
        <w:t>علی المسلم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w:t>
      </w:r>
      <w:r>
        <w:rPr>
          <w:rStyle w:val="FootnoteAnchor"/>
          <w:rtl w:val="true"/>
        </w:rPr>
        <w:footnoteReference w:id="497"/>
      </w:r>
      <w:r>
        <w:rPr>
          <w:rFonts w:ascii="IRNazanin" w:hAnsi="IRNazanin" w:eastAsia="IRNazanin"/>
          <w:color w:val="111111"/>
          <w:sz w:val="28"/>
          <w:sz w:val="28"/>
          <w:szCs w:val="28"/>
          <w:rtl w:val="true"/>
          <w:lang w:bidi="fa-IR"/>
        </w:rPr>
        <w:t>أن یُمنع الکافر</w:t>
      </w:r>
      <w:r>
        <w:rPr>
          <w:rStyle w:val="FootnoteAnchor"/>
          <w:rtl w:val="true"/>
        </w:rPr>
        <w:footnoteReference w:id="498"/>
      </w:r>
      <w:r>
        <w:rPr>
          <w:rFonts w:ascii="IRNazanin" w:hAnsi="IRNazanin" w:eastAsia="IRNazanin"/>
          <w:color w:val="111111"/>
          <w:sz w:val="28"/>
          <w:sz w:val="28"/>
          <w:szCs w:val="28"/>
          <w:rtl w:val="true"/>
          <w:lang w:bidi="fa-IR"/>
        </w:rPr>
        <w:t>والمنافق والفاسق</w:t>
      </w:r>
      <w:r>
        <w:rPr>
          <w:rStyle w:val="FootnoteAnchor"/>
          <w:rtl w:val="true"/>
        </w:rPr>
        <w:footnoteReference w:id="499"/>
      </w:r>
      <w:r>
        <w:rPr>
          <w:rFonts w:ascii="IRNazanin" w:hAnsi="IRNazanin" w:eastAsia="IRNazanin"/>
          <w:color w:val="111111"/>
          <w:sz w:val="28"/>
          <w:sz w:val="28"/>
          <w:szCs w:val="28"/>
          <w:rtl w:val="true"/>
          <w:lang w:bidi="fa-IR"/>
        </w:rPr>
        <w:t>من التشییع</w:t>
      </w:r>
      <w:r>
        <w:rPr>
          <w:rFonts w:eastAsia="IRNazanin" w:cs="IRNazanin"/>
          <w:color w:val="111111"/>
          <w:sz w:val="28"/>
          <w:szCs w:val="28"/>
          <w:rtl w:val="true"/>
          <w:lang w:bidi="fa-IR"/>
        </w:rPr>
        <w:t xml:space="preserve">. </w:t>
      </w:r>
      <w:bookmarkStart w:id="435" w:name="pg13276_136669"/>
    </w:p>
    <w:p>
      <w:pPr>
        <w:pStyle w:val="Heading2"/>
        <w:numPr>
          <w:ilvl w:val="1"/>
          <w:numId w:val="1"/>
        </w:numPr>
        <w:rPr/>
      </w:pPr>
      <w:bookmarkStart w:id="436" w:name="__RefHeading___Toc1763860_2322387425"/>
      <w:bookmarkStart w:id="437" w:name="_Toc163"/>
      <w:bookmarkEnd w:id="435"/>
      <w:bookmarkEnd w:id="436"/>
      <w:r>
        <w:rPr>
          <w:rtl w:val="true"/>
        </w:rPr>
        <w:t>فصل</w:t>
      </w:r>
      <w:r>
        <w:rPr>
          <w:rtl w:val="true"/>
        </w:rPr>
        <w:t xml:space="preserve">: </w:t>
      </w:r>
      <w:r>
        <w:rPr>
          <w:rtl w:val="true"/>
        </w:rPr>
        <w:t>فی الصلاة علی المیّت</w:t>
      </w:r>
      <w:bookmarkEnd w:id="437"/>
    </w:p>
    <w:p>
      <w:pPr>
        <w:pStyle w:val="Heading3"/>
        <w:numPr>
          <w:ilvl w:val="2"/>
          <w:numId w:val="1"/>
        </w:numPr>
        <w:rPr/>
      </w:pPr>
      <w:bookmarkStart w:id="438" w:name="__RefHeading___Toc1763862_2322387425"/>
      <w:bookmarkStart w:id="439" w:name="_Toc164"/>
      <w:bookmarkEnd w:id="438"/>
      <w:r>
        <w:rPr>
          <w:rtl w:val="true"/>
        </w:rPr>
        <w:t>وجوب الصلاة علی کلّ مسلم</w:t>
      </w:r>
      <w:bookmarkEnd w:id="439"/>
    </w:p>
    <w:p>
      <w:pPr>
        <w:pStyle w:val="BookText"/>
        <w:rPr/>
      </w:pPr>
      <w:r>
        <w:rPr>
          <w:rFonts w:ascii="Amiri" w:hAnsi="Amiri" w:eastAsia="Amiri" w:cs="Amiri"/>
          <w:color w:val="111111"/>
          <w:sz w:val="28"/>
          <w:sz w:val="28"/>
          <w:szCs w:val="28"/>
          <w:rtl w:val="true"/>
          <w:lang w:bidi="ar-SA"/>
        </w:rPr>
        <w:t>تجب الصلاة علی کلِّ مسلم</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 لم یحکم بکفره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کلّیة الحکم مبنیة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غیر فرق بین العادل والفاسق والشهید وغیرهم، حتّی المرتکب للکبائر، بل ولو قتل نفسه عمداً،</w:t>
      </w:r>
    </w:p>
    <w:p>
      <w:pPr>
        <w:pStyle w:val="Heading3"/>
        <w:numPr>
          <w:ilvl w:val="2"/>
          <w:numId w:val="1"/>
        </w:numPr>
        <w:rPr/>
      </w:pPr>
      <w:bookmarkStart w:id="440" w:name="__RefHeading___Toc1763864_2322387425"/>
      <w:bookmarkStart w:id="441" w:name="_Toc165"/>
      <w:bookmarkEnd w:id="440"/>
      <w:r>
        <w:rPr>
          <w:rtl w:val="true"/>
        </w:rPr>
        <w:t>حرمة الصلاة علی کلّ کافر</w:t>
      </w:r>
      <w:bookmarkEnd w:id="441"/>
    </w:p>
    <w:p>
      <w:pPr>
        <w:pStyle w:val="BookText"/>
        <w:rPr/>
      </w:pPr>
      <w:r>
        <w:rPr>
          <w:rFonts w:ascii="IRNazanin" w:hAnsi="IRNazanin" w:eastAsia="IRNazanin"/>
          <w:color w:val="111111"/>
          <w:sz w:val="28"/>
          <w:sz w:val="28"/>
          <w:szCs w:val="28"/>
          <w:rtl w:val="true"/>
          <w:lang w:bidi="fa-IR"/>
        </w:rPr>
        <w:t>ولا یجوز علی الکافر</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النجاسات تعیینه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بأقسامه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حتّی المرتدِّ فطریّاً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ملّیّاً مات بلا توبة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42" w:name="__RefHeading___Toc1763866_2322387425"/>
      <w:bookmarkStart w:id="443" w:name="_Toc166"/>
      <w:bookmarkEnd w:id="442"/>
      <w:r>
        <w:rPr>
          <w:rtl w:val="true"/>
        </w:rPr>
        <w:t>الصلاة علی الطفل</w:t>
      </w:r>
      <w:bookmarkEnd w:id="443"/>
    </w:p>
    <w:p>
      <w:pPr>
        <w:pStyle w:val="BookText"/>
        <w:rPr/>
      </w:pPr>
      <w:r>
        <w:rPr>
          <w:rFonts w:ascii="IRNazanin" w:hAnsi="IRNazanin" w:eastAsia="IRNazanin"/>
          <w:color w:val="111111"/>
          <w:sz w:val="28"/>
          <w:sz w:val="28"/>
          <w:szCs w:val="28"/>
          <w:rtl w:val="true"/>
          <w:lang w:bidi="fa-IR"/>
        </w:rPr>
        <w:t>ولا تجـب علی أطفال المسلمین إلاّ إذا بلغوا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تستحبّ</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والأحوط 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فیأتی بها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الاستحباب الشرعی غیر معلوم، نعم، لا بأس به إجماعاً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بأس بالإتیان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أتی بها بعنوان الرجاء لکان أحوط وأولی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لا بأس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الاستحباب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 کان عمره</w:t>
      </w:r>
      <w:bookmarkStart w:id="444" w:name="pg13276_136670"/>
    </w:p>
    <w:p>
      <w:pPr>
        <w:pStyle w:val="BookText"/>
        <w:rPr/>
      </w:pPr>
      <w:bookmarkEnd w:id="444"/>
      <w:r>
        <w:rPr>
          <w:rFonts w:ascii="Amiri" w:hAnsi="Amiri" w:eastAsia="Amiri" w:cs="Amiri"/>
          <w:color w:val="111111"/>
          <w:sz w:val="28"/>
          <w:sz w:val="28"/>
          <w:szCs w:val="28"/>
          <w:rtl w:val="true"/>
          <w:lang w:bidi="ar-SA"/>
        </w:rPr>
        <w:t>أقلّ</w:t>
      </w:r>
      <w:r>
        <w:rPr>
          <w:rStyle w:val="FootnoteAnchor"/>
          <w:rtl w:val="true"/>
        </w:rPr>
        <w:footnoteReference w:id="503"/>
      </w:r>
      <w:r>
        <w:rPr>
          <w:rFonts w:ascii="Amiri" w:hAnsi="Amiri" w:eastAsia="Amiri" w:cs="Amiri"/>
          <w:color w:val="111111"/>
          <w:sz w:val="28"/>
          <w:sz w:val="28"/>
          <w:szCs w:val="28"/>
          <w:rtl w:val="true"/>
          <w:lang w:bidi="ar-SA"/>
        </w:rPr>
        <w:t>من ستّ سنین</w:t>
      </w:r>
      <w:r>
        <w:rPr>
          <w:rStyle w:val="FootnoteAnchor"/>
          <w:rtl w:val="true"/>
        </w:rPr>
        <w:footnoteReference w:id="504"/>
      </w:r>
      <w:r>
        <w:rPr>
          <w:rFonts w:ascii="Amiri" w:hAnsi="Amiri" w:eastAsia="Amiri" w:cs="Amiri"/>
          <w:color w:val="111111"/>
          <w:sz w:val="28"/>
          <w:sz w:val="28"/>
          <w:szCs w:val="28"/>
          <w:rtl w:val="true"/>
          <w:lang w:bidi="ar-SA"/>
        </w:rPr>
        <w:t>، وإن کان مات حین تولّده بشرط أن یتولّد حیّاً، وإن تولّد میّتاً فلا تستحبّ أیضاً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763868_2322387425"/>
      <w:bookmarkStart w:id="446" w:name="_Toc167"/>
      <w:bookmarkEnd w:id="445"/>
      <w:r>
        <w:rPr>
          <w:rtl w:val="true"/>
        </w:rPr>
        <w:t>الصلاة علی من لا یعلم إسلامه</w:t>
      </w:r>
      <w:bookmarkEnd w:id="446"/>
    </w:p>
    <w:p>
      <w:pPr>
        <w:pStyle w:val="BookText"/>
        <w:rPr/>
      </w:pPr>
      <w:r>
        <w:rPr>
          <w:rFonts w:ascii="IRNazanin" w:hAnsi="IRNazanin" w:eastAsia="IRNazanin"/>
          <w:color w:val="111111"/>
          <w:sz w:val="28"/>
          <w:sz w:val="28"/>
          <w:szCs w:val="28"/>
          <w:rtl w:val="true"/>
          <w:lang w:bidi="fa-IR"/>
        </w:rPr>
        <w:t>ویلحق</w:t>
      </w:r>
      <w:r>
        <w:rPr>
          <w:rStyle w:val="FootnoteAnchor"/>
          <w:rtl w:val="true"/>
        </w:rPr>
        <w:footnoteReference w:id="505"/>
      </w:r>
      <w:r>
        <w:rPr>
          <w:rFonts w:ascii="IRNazanin" w:hAnsi="IRNazanin" w:eastAsia="IRNazanin"/>
          <w:color w:val="111111"/>
          <w:sz w:val="28"/>
          <w:sz w:val="28"/>
          <w:szCs w:val="28"/>
          <w:rtl w:val="true"/>
          <w:lang w:bidi="fa-IR"/>
        </w:rPr>
        <w:t>بالمسلم</w:t>
      </w:r>
      <w:r>
        <w:rPr>
          <w:rStyle w:val="FootnoteAnchor"/>
          <w:rtl w:val="true"/>
        </w:rPr>
        <w:footnoteReference w:id="506"/>
      </w:r>
      <w:r>
        <w:rPr>
          <w:rFonts w:ascii="Amiri" w:hAnsi="Amiri" w:eastAsia="Amiri" w:cs="Amiri"/>
          <w:color w:val="111111"/>
          <w:sz w:val="28"/>
          <w:sz w:val="28"/>
          <w:szCs w:val="28"/>
          <w:rtl w:val="true"/>
          <w:lang w:bidi="ar-SA"/>
        </w:rPr>
        <w:t>فی وجوب الصلاة علیه مَن وُجِد میّتاً</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 الإتیان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بلاد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 وما یلیهما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لقیط دار الإسلام، بل دار الکفر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وجد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مهدی الشیرازی، الشریعتمداری، المرعشی،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مسلم یحتمل کونه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الاحتمال لا یکفی فی الحکم بالوجوب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3276_136671"/>
    </w:p>
    <w:p>
      <w:pPr>
        <w:pStyle w:val="Heading3"/>
        <w:numPr>
          <w:ilvl w:val="2"/>
          <w:numId w:val="1"/>
        </w:numPr>
        <w:rPr/>
      </w:pPr>
      <w:bookmarkStart w:id="448" w:name="__RefHeading___Toc1763870_2322387425"/>
      <w:bookmarkStart w:id="449" w:name="_Toc168"/>
      <w:bookmarkEnd w:id="447"/>
      <w:bookmarkEnd w:id="448"/>
      <w:r>
        <w:rPr>
          <w:rtl w:val="true"/>
        </w:rPr>
        <w:t>شروط الصلاة علی المیت</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الصلاة أن یکون المصلّی</w:t>
      </w:r>
      <w:r>
        <w:rPr>
          <w:rStyle w:val="FootnoteAnchor"/>
          <w:rtl w:val="true"/>
        </w:rPr>
        <w:footnoteReference w:id="508"/>
      </w:r>
      <w:r>
        <w:rPr>
          <w:rFonts w:ascii="Amiri" w:hAnsi="Amiri" w:eastAsia="Amiri" w:cs="Amiri"/>
          <w:color w:val="111111"/>
          <w:sz w:val="28"/>
          <w:sz w:val="28"/>
          <w:szCs w:val="28"/>
          <w:rtl w:val="true"/>
          <w:lang w:bidi="ar-SA"/>
        </w:rPr>
        <w:t>موءمناً</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 یکون مأذوناً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الولیّ علی التفصیل الّذی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 الصلاة کما تقدّم فی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تفصیل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الأولیاء أنّ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الحقّ عندنا،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الکلام فیه، ویستثنی من أولویة الولیّ فی الصلاة علی المیّت ما إذا حضر الإمام جنازته، فإنّه یکون حینئذٍ أولی بالصلاة علیه من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تصحّ من غیر إذنه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جماعةً کانت أو فرادی</w:t>
      </w:r>
      <w:r>
        <w:rPr>
          <w:rFonts w:eastAsia="IRNazanin" w:cs="IRNazanin"/>
          <w:color w:val="111111"/>
          <w:sz w:val="28"/>
          <w:szCs w:val="28"/>
          <w:rtl w:val="true"/>
          <w:lang w:bidi="fa-IR"/>
        </w:rPr>
        <w:t>.</w:t>
      </w:r>
    </w:p>
    <w:p>
      <w:pPr>
        <w:pStyle w:val="Heading3"/>
        <w:numPr>
          <w:ilvl w:val="2"/>
          <w:numId w:val="1"/>
        </w:numPr>
        <w:rPr/>
      </w:pPr>
      <w:bookmarkStart w:id="450" w:name="__RefHeading___Toc1763872_2322387425"/>
      <w:bookmarkStart w:id="451" w:name="_Toc169"/>
      <w:bookmarkEnd w:id="450"/>
      <w:r>
        <w:rPr>
          <w:rtl w:val="true"/>
        </w:rPr>
        <w:t>صلاة الصبی الممیز علی المیت</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صحّة صلاة الصبیّ</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الممیّز، لکن فی إجزائها عن المکلّفین البالغین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إجزاوءها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الإجزاء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الإجزاء؛ للشک فی السقوط بعد القطع بعدم الملازمة بین الصحة فی حقّه ندباً ـ کما هو الأظهر ـ وبین الإجزاء وسقوط التکلیف عن البالغین؛ لأنّ المتیقّن من المسقط هو فعل أحدهم من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عدم الإجزاء، ولو قلنا بصحة صلاته کما 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إجزاوءها عنهم إذا علمنا بوقوعها صحیحة جامعة للشرائط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إجزاؤها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الإجزاء مع فرض إتیانه لها صحیحة؛ لأنّ ما أتی به عین ما شرّع فی حق غیره بلا تفاوت، إلاّ من جهة العقوبة علی ترکه علی البالغ 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الاجتزاء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الإجزاء؛ لما تقرّر فی محلّه من عدم الملازمة بین صحّة العمل من غیر من وجب علیه، وسقوطه عمّن وجب علیه، فالاشتغال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إجزاوءها عنهم مع العلم بإتیانها صحیحاً، ومع الشکّ فی الصحّة لا تجری أصالة الصحّة فی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والأقوی هو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دعوی أظهریّة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الإجزاء عنهم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الإجزاء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3276_136673"/>
      <w:bookmarkStart w:id="453" w:name="pg13276_136673"/>
      <w:bookmarkEnd w:id="453"/>
    </w:p>
    <w:p>
      <w:pPr>
        <w:pStyle w:val="Heading3"/>
        <w:numPr>
          <w:ilvl w:val="2"/>
          <w:numId w:val="1"/>
        </w:numPr>
        <w:rPr/>
      </w:pPr>
      <w:bookmarkStart w:id="454" w:name="pg13276_136673"/>
      <w:bookmarkStart w:id="455" w:name="__RefHeading___Toc1763874_2322387425"/>
      <w:bookmarkStart w:id="456" w:name="_Toc170"/>
      <w:bookmarkEnd w:id="454"/>
      <w:bookmarkEnd w:id="455"/>
      <w:r>
        <w:rPr>
          <w:rtl w:val="true"/>
        </w:rPr>
        <w:t>اشتراط تأخر الصلاة عن التکفین</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Style w:val="FootnoteAnchor"/>
          <w:rtl w:val="true"/>
        </w:rPr>
        <w:footnoteReference w:id="511"/>
      </w:r>
      <w:r>
        <w:rPr>
          <w:rFonts w:ascii="IRNazanin" w:hAnsi="IRNazanin" w:eastAsia="IRNazanin"/>
          <w:color w:val="111111"/>
          <w:sz w:val="28"/>
          <w:sz w:val="28"/>
          <w:szCs w:val="28"/>
          <w:rtl w:val="true"/>
          <w:lang w:bidi="fa-IR"/>
        </w:rPr>
        <w:t>أن تکون بعد الغسل والتکفین، فلا تجزی قبلهما ولو فی أثناء التکفین، عمداً کان أو جهلاً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تعذّر الغسل والتیمّم أو التکفین أو کلاهما لا تسقط الصلاة، فإن کان مستور العورة</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بثوب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بثوب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علیه، وإلاّ یوضع فی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ستر عورته فی الخارج أصلاً حتّی بمثل التراب ونحوه، وإلاّ فیجب السَتر، ثمّ الصلاة علیه فی الخارج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أمکن ستر عورته بالتراب ونحوه فی خارج القبر یجوز الصلاة علیه فی خارجه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وتغطّی عورته بشیء من التراب أو غیره ویصلّی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ووضعه فی القبر علی نحو وضعه خارجه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نحو وضع المدفون، والاحتیاط یقتضی الجمع بین النحوین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للصلاة، ثمّ بعد الصلاة یوضع علی کیفیّة الدفن</w:t>
      </w:r>
      <w:r>
        <w:rPr>
          <w:rFonts w:eastAsia="IRNazanin" w:cs="IRNazanin"/>
          <w:color w:val="111111"/>
          <w:sz w:val="28"/>
          <w:szCs w:val="28"/>
          <w:rtl w:val="true"/>
          <w:lang w:bidi="fa-IR"/>
        </w:rPr>
        <w:t>.</w:t>
      </w:r>
    </w:p>
    <w:p>
      <w:pPr>
        <w:pStyle w:val="Heading3"/>
        <w:numPr>
          <w:ilvl w:val="2"/>
          <w:numId w:val="1"/>
        </w:numPr>
        <w:rPr/>
      </w:pPr>
      <w:bookmarkStart w:id="457" w:name="__RefHeading___Toc1763876_2322387425"/>
      <w:bookmarkStart w:id="458" w:name="_Toc171"/>
      <w:bookmarkEnd w:id="457"/>
      <w:r>
        <w:rPr>
          <w:rtl w:val="true"/>
        </w:rPr>
        <w:t>الصلاة عند تعذّر الکفن</w:t>
      </w:r>
      <w:bookmarkEnd w:id="458"/>
    </w:p>
    <w:p>
      <w:pPr>
        <w:pStyle w:val="Heading4"/>
        <w:numPr>
          <w:ilvl w:val="3"/>
          <w:numId w:val="1"/>
        </w:numPr>
        <w:rPr/>
      </w:pPr>
      <w:bookmarkStart w:id="459" w:name="__RefHeading___Toc1763878_2322387425"/>
      <w:bookmarkStart w:id="460" w:name="_Toc172"/>
      <w:bookmarkEnd w:id="459"/>
      <w:r>
        <w:rPr>
          <w:rtl w:val="true"/>
        </w:rPr>
        <w:t>عدم سقوط سائر الواجبات بتعذر الکفن</w:t>
      </w:r>
      <w:bookmarkEnd w:id="46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یمکن الدفن لا تسقط سائر الواجبات من الغسل </w:t>
      </w:r>
      <w:bookmarkStart w:id="461" w:name="pg13276_136674"/>
    </w:p>
    <w:p>
      <w:pPr>
        <w:pStyle w:val="BookText"/>
        <w:rPr/>
      </w:pPr>
      <w:bookmarkEnd w:id="461"/>
      <w:r>
        <w:rPr>
          <w:rFonts w:ascii="IRNazanin" w:hAnsi="IRNazanin" w:eastAsia="IRNazanin"/>
          <w:color w:val="111111"/>
          <w:sz w:val="28"/>
          <w:sz w:val="28"/>
          <w:szCs w:val="28"/>
          <w:rtl w:val="true"/>
          <w:lang w:bidi="fa-IR"/>
        </w:rPr>
        <w:t>والتکفین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یتعذّر یسقط، وکلّ ما یمکن یثبت، فلو وجد فی الفلاة میّت ولم یمکن غسله ولا تکفینه ولا دفنه یصلّی علیه ویخلّی، وإن أمکن دفنه یدفن</w:t>
      </w:r>
      <w:r>
        <w:rPr>
          <w:rFonts w:eastAsia="IRNazanin" w:cs="IRNazanin"/>
          <w:color w:val="111111"/>
          <w:sz w:val="28"/>
          <w:szCs w:val="28"/>
          <w:rtl w:val="true"/>
          <w:lang w:bidi="fa-IR"/>
        </w:rPr>
        <w:t>.</w:t>
      </w:r>
    </w:p>
    <w:p>
      <w:pPr>
        <w:pStyle w:val="Heading3"/>
        <w:numPr>
          <w:ilvl w:val="2"/>
          <w:numId w:val="1"/>
        </w:numPr>
        <w:rPr/>
      </w:pPr>
      <w:bookmarkStart w:id="462" w:name="__RefHeading___Toc1763880_2322387425"/>
      <w:bookmarkStart w:id="463" w:name="_Toc173"/>
      <w:bookmarkEnd w:id="462"/>
      <w:r>
        <w:rPr>
          <w:rtl w:val="true"/>
        </w:rPr>
        <w:t>جواز تعدّد الصلاة علی المیت مع الکلام فی النیّة</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علی المیّت أشخاص متعدّدون فرادی فی زمان واحد، وکذا یجوز</w:t>
      </w:r>
      <w:r>
        <w:rPr>
          <w:rStyle w:val="FootnoteAnchor"/>
          <w:rtl w:val="true"/>
        </w:rPr>
        <w:footnoteReference w:id="513"/>
      </w:r>
      <w:r>
        <w:rPr>
          <w:rFonts w:ascii="IRNazanin" w:hAnsi="IRNazanin" w:eastAsia="IRNazanin"/>
          <w:color w:val="111111"/>
          <w:sz w:val="28"/>
          <w:sz w:val="28"/>
          <w:szCs w:val="28"/>
          <w:rtl w:val="true"/>
          <w:lang w:bidi="fa-IR"/>
        </w:rPr>
        <w:t>تعدّد الجماعة، وینوی کلّ منهم الوجوب</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أو لم یطمئنّ بفراغ غیره قبله، وإلاّ فلا مساغ لنیّة کلٍّ منهما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یطمئنّ بفراغ غیره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قصد الوجوب فیما یکون المصلّی محرزاً لفراغ غیره قبله، وطریق التخلّص عن الإشکال فی جمیع الصور أن یقصد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الوجوب لمن یعلم بفراغ غیره قبله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یفرغ منها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 نیّة الوجوب لمن علم أو اطمأنّ أنّه لا یفرغ من الصلاة قبل الآخرین، و الأحوط فی هذه الصورة أن ینوی القربة، بل الأحوط ذلک مع الشکّ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کلام قد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نوی بالبقیّة الاستحباب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ینوی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لا یلزم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64" w:name="pg13276_136675"/>
    </w:p>
    <w:p>
      <w:pPr>
        <w:pStyle w:val="BookText"/>
        <w:rPr/>
      </w:pPr>
      <w:bookmarkEnd w:id="464"/>
      <w:r>
        <w:rPr>
          <w:rFonts w:ascii="IRNazanin" w:hAnsi="IRNazanin" w:eastAsia="IRNazanin"/>
          <w:color w:val="111111"/>
          <w:sz w:val="28"/>
          <w:sz w:val="28"/>
          <w:szCs w:val="28"/>
          <w:rtl w:val="true"/>
          <w:lang w:bidi="fa-IR"/>
        </w:rPr>
        <w:t>قصد الوجوب والاستحباب، بل یکفی قصد القربة</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ذلک مع احتمال التقدّم والتأخّر، ومع العلم بالتأخّر فی الفراغ یجوز أن ینوی الاستحباب من الأوّل، کما أ نّه مع العلم بالتقدّم یجوز أن ینوی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 ذلک عند احتمال التقدم والتأخّر، نعم، مع العلم بالتقدّم یجوز أن ینوی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763882_2322387425"/>
      <w:bookmarkStart w:id="466" w:name="_Toc174"/>
      <w:bookmarkEnd w:id="465"/>
      <w:r>
        <w:rPr>
          <w:rtl w:val="true"/>
        </w:rPr>
        <w:t>حکم الصلاة علی بعض المیت</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منّا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فی المسألة الثانیة عشرة من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الکلام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سقوط غُسل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 إذا وجد بعض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کان مشتملاً علی الصدر، أو کان الصدر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وحده، بل أو کان بعض الصدر المشتمل علی القلب، أو کان عظم الصدر بلا لحم وجب الصلاة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بعض هذه الصور، وعلی الأحوط لزوماً فی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67" w:name="pg13276_136676"/>
    </w:p>
    <w:p>
      <w:pPr>
        <w:pStyle w:val="BookText"/>
        <w:rPr/>
      </w:pPr>
      <w:bookmarkEnd w:id="467"/>
      <w:r>
        <w:rPr>
          <w:rFonts w:ascii="Amiri" w:hAnsi="Amiri" w:eastAsia="Amiri" w:cs="Amiri"/>
          <w:color w:val="111111"/>
          <w:sz w:val="28"/>
          <w:sz w:val="28"/>
          <w:szCs w:val="28"/>
          <w:rtl w:val="true"/>
          <w:lang w:bidi="ar-SA"/>
        </w:rPr>
        <w:t>وإلاّ فلا، نعم، الأحوط الصلاة</w:t>
      </w:r>
      <w:r>
        <w:rPr>
          <w:rStyle w:val="FootnoteAnchor"/>
          <w:rtl w:val="true"/>
        </w:rPr>
        <w:footnoteReference w:id="517"/>
      </w:r>
      <w:r>
        <w:rPr>
          <w:rFonts w:ascii="IRNazanin" w:hAnsi="IRNazanin" w:eastAsia="IRNazanin"/>
          <w:color w:val="111111"/>
          <w:sz w:val="28"/>
          <w:sz w:val="28"/>
          <w:szCs w:val="28"/>
          <w:rtl w:val="true"/>
          <w:lang w:bidi="fa-IR"/>
        </w:rPr>
        <w:t>علی العضو التامّ من المیّت، وإن کان عظماً کالید والرِجل ونحوهما، وإن کان الأقوی خلافه، وعلی هذا فإن وجد عضواً تامّاً وصلّی علیه ثمّ وجد آخر فالظاهر الاحتیاط</w:t>
      </w:r>
      <w:r>
        <w:rPr>
          <w:rStyle w:val="FootnoteAnchor"/>
          <w:rtl w:val="true"/>
        </w:rPr>
        <w:footnoteReference w:id="518"/>
      </w:r>
      <w:r>
        <w:rPr>
          <w:rFonts w:ascii="IRNazanin" w:hAnsi="IRNazanin" w:eastAsia="IRNazanin"/>
          <w:color w:val="111111"/>
          <w:sz w:val="28"/>
          <w:sz w:val="28"/>
          <w:szCs w:val="28"/>
          <w:rtl w:val="true"/>
          <w:lang w:bidi="fa-IR"/>
        </w:rPr>
        <w:t>بالصلاة علیه أیضاً إن کان غیر الصدر أو بعضه مع القلب، وإلاّ وجبت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763884_2322387425"/>
      <w:bookmarkStart w:id="469" w:name="_Toc175"/>
      <w:bookmarkEnd w:id="468"/>
      <w:r>
        <w:rPr>
          <w:rtl w:val="true"/>
        </w:rPr>
        <w:t>الصلاة قبل الدفن</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520"/>
      </w:r>
      <w:r>
        <w:rPr>
          <w:rFonts w:ascii="IRNazanin" w:hAnsi="IRNazanin" w:eastAsia="IRNazanin"/>
          <w:color w:val="111111"/>
          <w:sz w:val="28"/>
          <w:sz w:val="28"/>
          <w:szCs w:val="28"/>
          <w:rtl w:val="true"/>
          <w:lang w:bidi="fa-IR"/>
        </w:rPr>
        <w:t>أن تکون الصلاة قبل الدفن</w:t>
      </w:r>
      <w:r>
        <w:rPr>
          <w:rFonts w:eastAsia="IRNazanin" w:cs="IRNazanin"/>
          <w:color w:val="111111"/>
          <w:sz w:val="28"/>
          <w:szCs w:val="28"/>
          <w:rtl w:val="true"/>
          <w:lang w:bidi="fa-IR"/>
        </w:rPr>
        <w:t>.</w:t>
      </w:r>
    </w:p>
    <w:p>
      <w:pPr>
        <w:pStyle w:val="Heading3"/>
        <w:numPr>
          <w:ilvl w:val="2"/>
          <w:numId w:val="1"/>
        </w:numPr>
        <w:rPr/>
      </w:pPr>
      <w:bookmarkStart w:id="470" w:name="__RefHeading___Toc1763886_2322387425"/>
      <w:bookmarkStart w:id="471" w:name="_Toc176"/>
      <w:bookmarkEnd w:id="470"/>
      <w:r>
        <w:rPr>
          <w:rtl w:val="true"/>
        </w:rPr>
        <w:t>اعتبار الاستئذان من جمیع الأولیاء</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الأولیاء</w:t>
      </w:r>
      <w:r>
        <w:rPr>
          <w:rStyle w:val="FootnoteAnchor"/>
          <w:rtl w:val="true"/>
        </w:rPr>
        <w:footnoteReference w:id="521"/>
      </w:r>
      <w:r>
        <w:rPr>
          <w:rFonts w:ascii="IRNazanin" w:hAnsi="IRNazanin" w:eastAsia="IRNazanin"/>
          <w:color w:val="111111"/>
          <w:sz w:val="28"/>
          <w:sz w:val="28"/>
          <w:szCs w:val="28"/>
          <w:rtl w:val="true"/>
          <w:lang w:bidi="fa-IR"/>
        </w:rPr>
        <w:t>فی مرتبة واحدة وجب</w:t>
      </w:r>
      <w:r>
        <w:rPr>
          <w:rStyle w:val="FootnoteAnchor"/>
          <w:rtl w:val="true"/>
        </w:rPr>
        <w:footnoteReference w:id="522"/>
      </w:r>
      <w:r>
        <w:rPr>
          <w:rFonts w:ascii="IRNazanin" w:hAnsi="IRNazanin" w:eastAsia="IRNazanin"/>
          <w:color w:val="111111"/>
          <w:sz w:val="28"/>
          <w:sz w:val="28"/>
          <w:szCs w:val="28"/>
          <w:rtl w:val="true"/>
          <w:lang w:bidi="fa-IR"/>
        </w:rPr>
        <w:t>الاستئذان</w:t>
      </w:r>
      <w:r>
        <w:rPr>
          <w:rStyle w:val="FootnoteAnchor"/>
          <w:rtl w:val="true"/>
        </w:rPr>
        <w:footnoteReference w:id="523"/>
      </w:r>
      <w:r>
        <w:rPr>
          <w:rFonts w:ascii="IRNazanin" w:hAnsi="IRNazanin" w:eastAsia="IRNazanin"/>
          <w:color w:val="111111"/>
          <w:sz w:val="28"/>
          <w:sz w:val="28"/>
          <w:szCs w:val="28"/>
          <w:rtl w:val="true"/>
          <w:lang w:bidi="fa-IR"/>
        </w:rPr>
        <w:t>من الجمیع</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الاستئذان من الجمیع ینافی جواز صلاة کلٍّ منهم من غیر استئذان من الآخرین، وأوضح منافاةً وأشکل منه جواز الاقتداء بکلٍّ منهم مع عدم الإستئذان من الآخرین، فإنّ مبنی الآخرین علی کون کلّ واحد منهم ذا ولایة مستقلة، ومبنی الأوّل ـ أعنی الاستئذان من الجمیع ـ وحدة الولایة القائمة بصرف طبیعة الولیّ فعلیه یشکل صلاة کلٍّ منهم بغیر إذن الباقین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الإذن من واحد إذا لم یمنع الآخرون، کما تقدم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إذن أحدهم، لا سیّما مع عدم منع الآخرین علی فرض اعتبار إذن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الاستئذان من الجمیع لا ینافی جواز صلاة کلٍّ منهم من غیر استئذان؛ لأنّ وحدة الولایة القائمة بالجمیع تلاحظ بالنسبة إلی الغیر، وأمّا وجود الولایة المستقلة لکلٍّ واحد منهم راجع إلی الولی؛ ولذا لا تحتاج صلاة کلٍّ منهم إلی أخذ الإذن من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کفایة الاستئذان من بعضهم، إلاّ مع المزاحمة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کفایة الإذن من البعض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مرّ فی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 المأذون من أحدهم کالآذن، فلا یحتاج إلی إذن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ویجوز لکلٍّ منهم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یمنع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بناءً علی وجوب الاستئذان من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قلنا بعدم کفایة الاستئذان من واحد یشکل الجواز لکلٍّ منهم، کما أنّه یشکل جواز الاقتداء بواحد منهم بدون الاستئذان من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مزاحمة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w:t>
      </w:r>
    </w:p>
    <w:p>
      <w:pPr>
        <w:pStyle w:val="BookText"/>
        <w:rPr/>
      </w:pPr>
      <w:r>
        <w:rPr>
          <w:rFonts w:ascii="IRNazanin" w:hAnsi="IRNazanin" w:eastAsia="IRNazanin"/>
          <w:color w:val="111111"/>
          <w:sz w:val="28"/>
          <w:sz w:val="28"/>
          <w:szCs w:val="28"/>
          <w:rtl w:val="true"/>
          <w:lang w:bidi="fa-IR"/>
        </w:rPr>
        <w:t>الاستئذان</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مساغ لصلاة بعضهم بدون الاستئذان عن غیره مع وجوب الاستئذان عن الکلّ، وکون کلّ ذی ولایة علی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الولایة قائمة بصرف الوجود من الولیّ لکان ما فی المتن موجّهاً، فالأحوط إذن الاستئذان من البقیة، إلاّ أن تکون هناک أمارات کما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الاحتیاط علی الاستئذان الإشکال فی جواز الصلاة لبعض الأولیاء من دون استئذان من الآخرین، خصوصاً فی اقتداء الغیر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مزاحمتهم، وکذا فی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وفی الاقتداء الاستئذان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لزوم الاستئذان من الآخرین وکذا المأموم لواحد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یتّضح لی الفرق بین هذا وسابقه، فلا یُترک الاحتیاط بالاستئذان من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 من غیر استئذان عن الجمیع، بل الظاهر کذلک فی الائتمام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الاستئذان یشکل جواز الصلاة لبعض الأولیاء من دون استئذان من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یُقتدی بکلّ واحد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فرض أهلیّتهم جماعة</w:t>
      </w:r>
      <w:r>
        <w:rPr>
          <w:rFonts w:eastAsia="IRNazanin" w:cs="IRNazanin"/>
          <w:color w:val="111111"/>
          <w:sz w:val="28"/>
          <w:szCs w:val="28"/>
          <w:rtl w:val="true"/>
          <w:lang w:bidi="fa-IR"/>
        </w:rPr>
        <w:t>.</w:t>
      </w:r>
      <w:bookmarkStart w:id="472" w:name="pg13276_136679"/>
    </w:p>
    <w:p>
      <w:pPr>
        <w:pStyle w:val="Heading3"/>
        <w:numPr>
          <w:ilvl w:val="2"/>
          <w:numId w:val="1"/>
        </w:numPr>
        <w:rPr/>
      </w:pPr>
      <w:bookmarkStart w:id="473" w:name="__RefHeading___Toc1763888_2322387425"/>
      <w:bookmarkStart w:id="474" w:name="_Toc177"/>
      <w:bookmarkEnd w:id="472"/>
      <w:bookmarkEnd w:id="473"/>
      <w:r>
        <w:rPr>
          <w:rtl w:val="true"/>
        </w:rPr>
        <w:t>حکم ما إذا کان الولی إمرأة</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الولیّ امرأة یجوز لها</w:t>
      </w:r>
      <w:r>
        <w:rPr>
          <w:rStyle w:val="FootnoteAnchor"/>
          <w:rtl w:val="true"/>
        </w:rPr>
        <w:footnoteReference w:id="527"/>
      </w:r>
      <w:r>
        <w:rPr>
          <w:rFonts w:ascii="Amiri" w:hAnsi="Amiri" w:eastAsia="Amiri" w:cs="Amiri"/>
          <w:color w:val="111111"/>
          <w:sz w:val="28"/>
          <w:sz w:val="28"/>
          <w:szCs w:val="28"/>
          <w:rtl w:val="true"/>
          <w:lang w:bidi="ar-SA"/>
        </w:rPr>
        <w:t>المباشرة</w:t>
      </w:r>
      <w:r>
        <w:rPr>
          <w:rStyle w:val="FootnoteAnchor"/>
          <w:rtl w:val="true"/>
        </w:rPr>
        <w:footnoteReference w:id="528"/>
      </w:r>
      <w:r>
        <w:rPr>
          <w:rFonts w:ascii="IRNazanin" w:hAnsi="IRNazanin" w:eastAsia="IRNazanin"/>
          <w:color w:val="111111"/>
          <w:sz w:val="28"/>
          <w:sz w:val="28"/>
          <w:szCs w:val="28"/>
          <w:rtl w:val="true"/>
          <w:lang w:bidi="fa-IR"/>
        </w:rPr>
        <w:t>، من غیر فرق</w:t>
      </w:r>
      <w:r>
        <w:rPr>
          <w:rStyle w:val="FootnoteAnchor"/>
          <w:rtl w:val="true"/>
        </w:rPr>
        <w:footnoteReference w:id="529"/>
      </w:r>
      <w:r>
        <w:rPr>
          <w:rFonts w:ascii="IRNazanin" w:hAnsi="IRNazanin" w:eastAsia="IRNazanin"/>
          <w:color w:val="111111"/>
          <w:sz w:val="28"/>
          <w:sz w:val="28"/>
          <w:szCs w:val="28"/>
          <w:rtl w:val="true"/>
          <w:lang w:bidi="fa-IR"/>
        </w:rPr>
        <w:t>بین أن یکون المیّت رجلاً أو امرأة</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تجوز لها المباشرة أیضاً إذا أذن لها الولیّ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ویجوز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الإذن للغیر کالرجل من غیر فرق</w:t>
      </w:r>
      <w:r>
        <w:rPr>
          <w:rFonts w:eastAsia="IRNazanin" w:cs="IRNazanin"/>
          <w:color w:val="111111"/>
          <w:sz w:val="28"/>
          <w:szCs w:val="28"/>
          <w:rtl w:val="true"/>
          <w:lang w:bidi="fa-IR"/>
        </w:rPr>
        <w:t>.</w:t>
      </w:r>
    </w:p>
    <w:p>
      <w:pPr>
        <w:pStyle w:val="Heading3"/>
        <w:numPr>
          <w:ilvl w:val="2"/>
          <w:numId w:val="1"/>
        </w:numPr>
        <w:rPr/>
      </w:pPr>
      <w:bookmarkStart w:id="475" w:name="__RefHeading___Toc1763890_2322387425"/>
      <w:bookmarkStart w:id="476" w:name="_Toc178"/>
      <w:bookmarkEnd w:id="475"/>
      <w:r>
        <w:rPr>
          <w:rtl w:val="true"/>
        </w:rPr>
        <w:t>تعیین المیت من یصلّی علیه</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المیّـت بأن یصلّی علیه شخص معیّن</w:t>
      </w:r>
      <w:r>
        <w:rPr>
          <w:rStyle w:val="FootnoteAnchor"/>
          <w:rtl w:val="true"/>
        </w:rPr>
        <w:footnoteReference w:id="531"/>
      </w:r>
      <w:r>
        <w:rPr>
          <w:rFonts w:ascii="IRNazanin" w:hAnsi="IRNazanin" w:eastAsia="IRNazanin"/>
          <w:color w:val="111111"/>
          <w:sz w:val="28"/>
          <w:sz w:val="28"/>
          <w:szCs w:val="28"/>
          <w:rtl w:val="true"/>
          <w:lang w:bidi="fa-IR"/>
        </w:rPr>
        <w:t>فالظاهر</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یأذن الولی ویستأذن الوصیّ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کما فی الاستئذان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بل نفوذ الوصیّة محلّ إشکال، وعلی تقدیر النفوذ لا معنی لعدم سقوط اعتبار 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عدم منعه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امتنع عن الإذن یصلّی علیه بإذن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المسألة، وقد تقدّم نظیرها فی المسألة السابعة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ولایة الأولیاء بالنسبة للتجهیزات متأخرة مرتبةً عن وصیة المیّت نفسه، لکنّ مراعاة الاحتیاط حسنة من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وکذلک فی عدم سقوط اعتبار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المفروض ثبوت الولایة للولیّ، فالوصیّة بأن یصلّی علیه فلان إذا کانت مع الاستئذان فلا وجه لوجوب الإذن، واذا کانت بلا استئذان منه تکون باطلة؛ لتعلّقها بأمر غیر مشروع، نعم، لو أوصی بالإذن وقبل الولیّ یجب علیه، ثمّ إنّه لا وجه للاحتیاط فی الاستئذان، بل یجب، فلا یخلو المتن من التدافع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الـولـیّ لـه،</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533"/>
      </w:r>
      <w:r>
        <w:rPr>
          <w:rFonts w:ascii="IRNazanin" w:hAnsi="IRNazanin" w:eastAsia="IRNazanin"/>
          <w:color w:val="111111"/>
          <w:sz w:val="28"/>
          <w:sz w:val="28"/>
          <w:szCs w:val="28"/>
          <w:rtl w:val="true"/>
          <w:lang w:bidi="fa-IR"/>
        </w:rPr>
        <w:t>له الاستئذان</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یحتاج إلی الاستئذان، فإنّ أولویة الولیّ بالإضافة إلی الغیر، لا بالنسبة إلی المیت نفسه، ثمّ إنّ الاحتیاط فی الاستئذان من الولیّ یناقض مع جزمه بعدم سقوط اعتبار إذن الولیّ فی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 هذا الاحتیاط، وإن کان الأولی الاستئذان تشریفاً لمقام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بناءً علی ما أفاده قُبیل هذا، ولکنّ الأظهر عدم الاحتیاج فی هذه الصورة إلیه؛ لأنّ الولیّ له الأولویة بالنسبة إلی غیر الوصیّ، وأمّا بالنسبة إلیه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الولیّ، ولا یسقط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جزم الماتن بعدم سقوط إذن الولی، ولعلّ هذا ینافی ما تقدّم فی مراتب الأولیاء، ولا یبعد سقوطه، فلا یحتاج إلی الاستئذان، ولکنّ عدم السقوط 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w:t>
      </w:r>
      <w:bookmarkStart w:id="477" w:name="pg13276_136681"/>
    </w:p>
    <w:p>
      <w:pPr>
        <w:pStyle w:val="BookText"/>
        <w:rPr/>
      </w:pPr>
      <w:bookmarkEnd w:id="477"/>
      <w:r>
        <w:rPr>
          <w:rFonts w:ascii="IRNazanin" w:hAnsi="IRNazanin" w:eastAsia="IRNazanin"/>
          <w:color w:val="111111"/>
          <w:sz w:val="28"/>
          <w:sz w:val="28"/>
          <w:szCs w:val="28"/>
          <w:rtl w:val="true"/>
          <w:lang w:bidi="fa-IR"/>
        </w:rPr>
        <w:t>إذنه</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السقوط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إذن الولی الناشئ من کونه حقّاً مع الالتزام بنفوذ الوصیّة لا یخلو من تدافع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سقوطه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أوصی إلی الولیّ أن یدعو شخصاً معیناً للصلاة علیه لم یسقط اعتبار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الوصیّة، وإن قلنا بنفوذها ووجوب العمل بها</w:t>
      </w:r>
      <w:r>
        <w:rPr>
          <w:rFonts w:eastAsia="IRNazanin" w:cs="IRNazanin"/>
          <w:color w:val="111111"/>
          <w:sz w:val="28"/>
          <w:szCs w:val="28"/>
          <w:rtl w:val="true"/>
          <w:lang w:bidi="fa-IR"/>
        </w:rPr>
        <w:t>.</w:t>
      </w:r>
    </w:p>
    <w:p>
      <w:pPr>
        <w:pStyle w:val="Heading3"/>
        <w:numPr>
          <w:ilvl w:val="2"/>
          <w:numId w:val="1"/>
        </w:numPr>
        <w:rPr/>
      </w:pPr>
      <w:bookmarkStart w:id="478" w:name="__RefHeading___Toc1763892_2322387425"/>
      <w:bookmarkStart w:id="479" w:name="_Toc179"/>
      <w:bookmarkEnd w:id="478"/>
      <w:r>
        <w:rPr>
          <w:rtl w:val="true"/>
        </w:rPr>
        <w:t>مشروعیة صلاة المیت جماعة</w:t>
      </w:r>
      <w:bookmarkEnd w:id="479"/>
    </w:p>
    <w:p>
      <w:pPr>
        <w:pStyle w:val="Heading4"/>
        <w:numPr>
          <w:ilvl w:val="3"/>
          <w:numId w:val="1"/>
        </w:numPr>
        <w:rPr/>
      </w:pPr>
      <w:bookmarkStart w:id="480" w:name="__RefHeading___Toc1763894_2322387425"/>
      <w:bookmarkStart w:id="481" w:name="_Toc180"/>
      <w:bookmarkEnd w:id="480"/>
      <w:r>
        <w:rPr>
          <w:rtl w:val="true"/>
        </w:rPr>
        <w:t>شروط إمامة صلاة المیت</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إتیان الصلاة جماعة، والأحوط</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هنا عدم اعتبار اجتماع الشرائط المقرّرة فی الإمام، ولا فی الجماعة، نعم، لا بدّ من صدق الجماعة بأن لا یکون هناک حائل، أو بُعد مفرط، ونحوهما من مقومات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الأظهر اعتبار اجتماع شرائط الإمامة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البلوغ والعقل والإیمان والعدالة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العدالة مبنیّ علی الاحتیاط، ولا یبعد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اعتبارها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وکونه رجلاً للرجال، وأن لا یکون ولد زنا، بل</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اعتبار شرائط الجماعة فیها هو الأقوی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شرائط 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من عدم الحائل، وعدم علوّ مکان الإمام، وعدم کونه جالساً مع قیام المأمومین، وعدم البعد بین المأمومین والإمام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وبعضهم مع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الإمام فی الصلاة علی المیّت شیئاً عن المأمومین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الجماعة أن یقصد</w:t>
      </w:r>
      <w:r>
        <w:rPr>
          <w:rStyle w:val="FootnoteAnchor"/>
          <w:rtl w:val="true"/>
        </w:rPr>
        <w:footnoteReference w:id="538"/>
      </w:r>
      <w:r>
        <w:rPr>
          <w:rFonts w:ascii="IRNazanin" w:hAnsi="IRNazanin" w:eastAsia="IRNazanin"/>
          <w:color w:val="111111"/>
          <w:sz w:val="28"/>
          <w:sz w:val="28"/>
          <w:szCs w:val="28"/>
          <w:rtl w:val="true"/>
          <w:lang w:bidi="fa-IR"/>
        </w:rPr>
        <w:t>الإمام وکلّ واحد من المأمومین</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الوجوب من المأمومین مع فرض العلم بتأخر فراغهم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 نیّة الوجوب منهم إذْ یتأخرون فی الإتمام طبعاً، فالأحوط أن یقصدوا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یقصد القربة المطلقة تخلّصاً من الإشکال فی بعض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الحال فیه ممّا تقدّم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سقوطه ما لم یتمّ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bookmarkStart w:id="482" w:name="pg13276_136683"/>
    </w:p>
    <w:p>
      <w:pPr>
        <w:pStyle w:val="Heading3"/>
        <w:numPr>
          <w:ilvl w:val="2"/>
          <w:numId w:val="1"/>
        </w:numPr>
        <w:rPr/>
      </w:pPr>
      <w:bookmarkStart w:id="483" w:name="__RefHeading___Toc1763896_2322387425"/>
      <w:bookmarkStart w:id="484" w:name="_Toc181"/>
      <w:bookmarkEnd w:id="482"/>
      <w:bookmarkEnd w:id="483"/>
      <w:r>
        <w:rPr>
          <w:rtl w:val="true"/>
        </w:rPr>
        <w:t>إمامة المرأة للنساء فی صلاة المیت</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توءمَّ المرأة</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أحد أولی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جماعة النساء، والأولی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حسن القمّی،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لیس بلازم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تقوم فی صفّهنّ ولا تتقدّم علیهنّ</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763898_2322387425"/>
      <w:bookmarkStart w:id="486" w:name="_Toc182"/>
      <w:bookmarkEnd w:id="485"/>
      <w:r>
        <w:rPr>
          <w:rtl w:val="true"/>
        </w:rPr>
        <w:t>صلاة العراة علی المیت</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صلاة العراة علی المیّت فرادی وجماعة، ومع الجماعة یقوم الإمام فی الصفّ، کما فی جماعة النساء، فلا یتقدّم</w:t>
      </w:r>
      <w:r>
        <w:rPr>
          <w:rStyle w:val="FootnoteAnchor"/>
          <w:rtl w:val="true"/>
        </w:rPr>
        <w:footnoteReference w:id="541"/>
      </w:r>
      <w:r>
        <w:rPr>
          <w:rFonts w:ascii="Amiri" w:hAnsi="Amiri" w:eastAsia="Amiri" w:cs="Amiri"/>
          <w:color w:val="111111"/>
          <w:sz w:val="28"/>
          <w:sz w:val="28"/>
          <w:szCs w:val="28"/>
          <w:rtl w:val="true"/>
          <w:lang w:bidi="ar-SA"/>
        </w:rPr>
        <w:t>ولا یتبرّز</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لزم من ذلک عدم تستّره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ستر عورتهم ولو بأیدیهم، وإذا لم یمکن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یصلّون جلوساً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فرادی قیاماً مع التحفّظ علی الستر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ذلک إذا توقف ما هو الواجب من التستّر علی الجلوس، وإلاّ فلو أمکن التستّر والصلاة قیاماً وفرادی تعیّن ذلک، بل وکذا لو أمکن الأمن من المطّلع، وإن کان الأحوط حینئذٍ أن یصلّی تارةً قیاماً واُخری جلوساً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علیه فرادی مع الفوریّة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یتمکّن من الصلاة فرادی قائماً متستّراً، وإلاّ لم تجز الصلاة جماعة جلوساً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إتیانها قائماً فرادی متستّراً إذا استلزمت الجماعة للجلوس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وتتعیّن علیهم الصلاة فرادی علی الأحوط إذا أمکن ولو لبعضهم أن یأتی بها قائماً متستّراً، واستلزمت الجماعة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بها إن أمکن التستّر مع القیام فرادی، أو الأمن من المطّلع، وفی صورة الأمن الأحوط إتیانها قائماً وتارةً جلوساً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ومقتضی القاعدة الصلاة قائماً منفرداً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3276_136684"/>
    </w:p>
    <w:p>
      <w:pPr>
        <w:pStyle w:val="Heading3"/>
        <w:numPr>
          <w:ilvl w:val="2"/>
          <w:numId w:val="1"/>
        </w:numPr>
        <w:rPr/>
      </w:pPr>
      <w:bookmarkStart w:id="488" w:name="__RefHeading___Toc1763900_2322387425"/>
      <w:bookmarkStart w:id="489" w:name="_Toc183"/>
      <w:bookmarkEnd w:id="487"/>
      <w:bookmarkEnd w:id="488"/>
      <w:r>
        <w:rPr>
          <w:rtl w:val="true"/>
        </w:rPr>
        <w:t>فروع فی الصلاة جماعةً علی المیت</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 من غیر النساء والعراة الأولی أن یتقدّم</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ویکون المأمومون خلفه، بل یکره وقوفهم إلی جنبه، ولو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المأموم واحداً</w:t>
      </w:r>
      <w:r>
        <w:rPr>
          <w:rFonts w:eastAsia="IRNazanin" w:cs="IRNazanin"/>
          <w:color w:val="111111"/>
          <w:sz w:val="28"/>
          <w:szCs w:val="28"/>
          <w:rtl w:val="true"/>
          <w:lang w:bidi="fa-IR"/>
        </w:rPr>
        <w:t>.</w:t>
      </w:r>
    </w:p>
    <w:p>
      <w:pPr>
        <w:pStyle w:val="Heading3"/>
        <w:numPr>
          <w:ilvl w:val="2"/>
          <w:numId w:val="1"/>
        </w:numPr>
        <w:rPr/>
      </w:pPr>
      <w:bookmarkStart w:id="490" w:name="__RefHeading___Toc1763902_2322387425"/>
      <w:bookmarkStart w:id="491" w:name="_Toc184"/>
      <w:bookmarkEnd w:id="490"/>
      <w:r>
        <w:rPr>
          <w:rtl w:val="true"/>
        </w:rPr>
        <w:t>حضور المرأة جماعة الرجال</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اقتدت المرأة بالرجل یستحبّ أن تقف خلفه</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کان هناک صفوف الرجال وقفت خلفهم، وإذا کانت حائضاً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النساء وقفت فی صفّ وحدها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صلاة المیّت العدول</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 إذ لا دلیل علی هذا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ترک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لعدم الدلیل علی جواز العدول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العدول من إمام إلی إمام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لا یعدل من إمام إلی إمام آخر ، إلاّ إذا عرض للأول ما لا یتمکّن معه من الائتمام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إمام إلی</w:t>
      </w:r>
    </w:p>
    <w:p>
      <w:pPr>
        <w:pStyle w:val="BookText"/>
        <w:rPr/>
      </w:pPr>
      <w:r>
        <w:rPr>
          <w:rFonts w:ascii="IRNazanin" w:hAnsi="IRNazanin" w:eastAsia="IRNazanin"/>
          <w:color w:val="111111"/>
          <w:sz w:val="28"/>
          <w:sz w:val="28"/>
          <w:szCs w:val="28"/>
          <w:rtl w:val="true"/>
          <w:lang w:bidi="fa-IR"/>
        </w:rPr>
        <w:t>إمام</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لا یخلو من تأمّل، نعم، لو أدرک مع إمام بعض صلاته فأتمّها مع غیره لم یکن فیه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یجوز فیه العدول فی الیومیة، وأمّا فیما لا یجوز فیها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بل الأحوط أن لا یعدل من إمام إلی آخر ، إلاّ إذا عرض للأول ما لا یقدر معه علی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الأثناء، ویجوز قطعها أیضاً اختیاراً، کما یجوز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الجماعة إلی الانفراد، لکن بشرط أن لا یکون بعیداً عن الجنازة بما یضرّ، ولا یکون بینه وبینها حائل، ولا یخرج عن المحاذاة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 قبل الإمام فی التکبیر الأوّل له أن ینفرد</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له أن یتمّ صلاته منفرداً، إلاّ أنّه یحتاج إلی نیّة الانفراد، فإنّ صلاته انعقدت فرادی، ولعلّه مراد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أن یقطع</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القطع بمجرّد نیّة القطع 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ویجدّده مع الإمام، وإذا کبّر قبله فیما عدا الأوّل له أن ینوی 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الشرط المذکور، أعنی عدم الفصل وعدم الحائل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الانفراد فی هذه الصورة وفی سابقتها إنّما یصحّ إذا تمّت شروطه، من عدم البعد، وعدم الحائل، ومن المحاذاة للجنازة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 یصبر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یکبّر الإمام فیقرأ معه الدعاء،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تکبیره عن سهو، وإلاّ صبر حتّی یکبّر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العمد، ومعه لا یعید علی الأحوط، ولا یضرّ ببقاء القدوة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قصد الانفراد أو القطع، ثمّ الدخول مع الإمام خصوصاً إن کان التقدیم عن 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مع ما ذکر من التعلیل خـلاف الاحتیاط ، والاتّکال 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الجنازة،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لإعادة التکبیر فی تلک الصلاة مشکل، فالأحوط قصد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السهو لا یبعد بقاء الجماعة، ولا یعاد التکبیر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 التقدیم سهواً، وأمّا فی صورة العمد فالأحوط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492" w:name="pg13276_136687"/>
    </w:p>
    <w:p>
      <w:pPr>
        <w:pStyle w:val="BookText"/>
        <w:rPr/>
      </w:pPr>
      <w:bookmarkEnd w:id="492"/>
      <w:r>
        <w:rPr>
          <w:rFonts w:ascii="Amiri" w:hAnsi="Amiri" w:eastAsia="Amiri" w:cs="Amiri"/>
          <w:color w:val="111111"/>
          <w:sz w:val="28"/>
          <w:sz w:val="28"/>
          <w:szCs w:val="28"/>
          <w:rtl w:val="true"/>
          <w:lang w:bidi="ar-SA"/>
        </w:rPr>
        <w:t>إعادة</w:t>
      </w:r>
      <w:r>
        <w:rPr>
          <w:rStyle w:val="FootnoteAnchor"/>
          <w:rtl w:val="true"/>
        </w:rPr>
        <w:footnoteReference w:id="549"/>
      </w:r>
      <w:r>
        <w:rPr>
          <w:rFonts w:ascii="IRNazanin" w:hAnsi="IRNazanin" w:eastAsia="IRNazanin"/>
          <w:color w:val="111111"/>
          <w:sz w:val="28"/>
          <w:sz w:val="28"/>
          <w:szCs w:val="28"/>
          <w:rtl w:val="true"/>
          <w:lang w:bidi="fa-IR"/>
        </w:rPr>
        <w:t>التکبیر</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قدّمه علی تکبیر الإمام سهواً، وأمّا مع العمد فالأحوط عدم إعادته معه، ولا یضرّ التقدیم ببقاء القدوة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إعادته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إعادة التکبیر، والتعلیل المذکور ضعیف، بل إعادة التکبیر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السهو، وأمّا فی العمد فالاحتیاط فی ترک الإعادة وفی بقاء قدوته حینئذٍ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کبّر الإمام؛ لأنّه لایبعد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مجرّد الاحتمال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تأخّر المأموم عن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کلّ تکبیرة، أو مقارنته معه وبطلان 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التقدّم وإن لم تبطل الصلاة</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763904_2322387425"/>
      <w:bookmarkStart w:id="494" w:name="_Toc185"/>
      <w:bookmarkEnd w:id="493"/>
      <w:r>
        <w:rPr>
          <w:rtl w:val="true"/>
        </w:rPr>
        <w:t>من حضر أثناء صلاة الجماعه علی المیّت</w:t>
      </w:r>
      <w:bookmarkEnd w:id="49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الشخص فی أثناء صلاة الإمام له أن یدخل فی الجماعة، فیکبّر بعد تکبیر الإمام الثانی أو الثالث مثلاً ویجعله أوّل صلاته وأوَّل تکبیراته، فیأتی بعده بالشهادتین، وهکذا علی الترتیب بعد کلّ تکبیر </w:t>
      </w:r>
    </w:p>
    <w:p>
      <w:pPr>
        <w:pStyle w:val="BookText"/>
        <w:rPr/>
      </w:pPr>
      <w:r>
        <w:rPr>
          <w:rFonts w:ascii="IRNazanin" w:hAnsi="IRNazanin" w:eastAsia="IRNazanin"/>
          <w:color w:val="111111"/>
          <w:sz w:val="28"/>
          <w:sz w:val="28"/>
          <w:szCs w:val="28"/>
          <w:rtl w:val="true"/>
          <w:lang w:bidi="fa-IR"/>
        </w:rPr>
        <w:t>من الإمام یکبّر ویأتی بوظیفته من الدعاء، وإذا فرغ الإمام یأتی البقیّة فرادی وإن کان مخفّفاً، وإن لم یمهلوه</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الترتیب بینهما غیر واضح، والتخییر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ببقیّة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التکبیرات ولاءً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غیر 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ینوی فیه رجاءً،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ویجوز إتمامها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إتمامها بالرجاء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یأتی بالباقی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بعض الروایات جواز إتمامها خلف الجنازة، سواء تمکّن من الاستقبال وسائر الشرائط أم لم یتمکّن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برجاء المطلوبیة، حتّی مع التمکّن من مراعاة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الجنازة إن أمکن الاستقبال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وسائر الشرائط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3276_136689"/>
    </w:p>
    <w:p>
      <w:pPr>
        <w:pStyle w:val="Heading2"/>
        <w:numPr>
          <w:ilvl w:val="1"/>
          <w:numId w:val="1"/>
        </w:numPr>
        <w:rPr/>
      </w:pPr>
      <w:bookmarkStart w:id="496" w:name="__RefHeading___Toc1763906_2322387425"/>
      <w:bookmarkStart w:id="497" w:name="_Toc186"/>
      <w:bookmarkEnd w:id="495"/>
      <w:bookmarkEnd w:id="496"/>
      <w:r>
        <w:rPr>
          <w:rtl w:val="true"/>
        </w:rPr>
        <w:t>فصل</w:t>
      </w:r>
      <w:r>
        <w:rPr>
          <w:rtl w:val="true"/>
        </w:rPr>
        <w:t xml:space="preserve">: </w:t>
      </w:r>
      <w:r>
        <w:rPr>
          <w:rtl w:val="true"/>
        </w:rPr>
        <w:t>فی کیفیة صلاة المیّت</w:t>
      </w:r>
      <w:bookmarkEnd w:id="497"/>
    </w:p>
    <w:p>
      <w:pPr>
        <w:pStyle w:val="Heading3"/>
        <w:numPr>
          <w:ilvl w:val="2"/>
          <w:numId w:val="1"/>
        </w:numPr>
        <w:rPr/>
      </w:pPr>
      <w:bookmarkStart w:id="498" w:name="__RefHeading___Toc1763908_2322387425"/>
      <w:bookmarkStart w:id="499" w:name="_Toc187"/>
      <w:bookmarkEnd w:id="498"/>
      <w:r>
        <w:rPr>
          <w:rtl w:val="true"/>
        </w:rPr>
        <w:t>وجوب الإتیان بخمس تکبیرات</w:t>
      </w:r>
      <w:bookmarkEnd w:id="499"/>
    </w:p>
    <w:p>
      <w:pPr>
        <w:pStyle w:val="BookText"/>
        <w:rPr/>
      </w:pPr>
      <w:r>
        <w:rPr>
          <w:rFonts w:ascii="IRNazanin" w:hAnsi="IRNazanin" w:eastAsia="IRNazanin"/>
          <w:color w:val="111111"/>
          <w:sz w:val="28"/>
          <w:sz w:val="28"/>
          <w:szCs w:val="28"/>
          <w:rtl w:val="true"/>
          <w:lang w:bidi="fa-IR"/>
        </w:rPr>
        <w:t>وهی أن یأتی</w:t>
      </w:r>
      <w:r>
        <w:rPr>
          <w:rStyle w:val="FootnoteAnchor"/>
          <w:rtl w:val="true"/>
        </w:rPr>
        <w:footnoteReference w:id="552"/>
      </w:r>
      <w:r>
        <w:rPr>
          <w:rFonts w:ascii="IRNazanin" w:hAnsi="IRNazanin" w:eastAsia="IRNazanin"/>
          <w:color w:val="111111"/>
          <w:sz w:val="28"/>
          <w:sz w:val="28"/>
          <w:szCs w:val="28"/>
          <w:rtl w:val="true"/>
          <w:lang w:bidi="fa-IR"/>
        </w:rPr>
        <w:t>بخمس تکبیرات</w:t>
      </w:r>
      <w:r>
        <w:rPr>
          <w:rStyle w:val="FootnoteAnchor"/>
          <w:rtl w:val="true"/>
        </w:rPr>
        <w:footnoteReference w:id="553"/>
      </w:r>
      <w:r>
        <w:rPr>
          <w:rFonts w:ascii="IRNazanin" w:hAnsi="IRNazanin" w:eastAsia="IRNazanin"/>
          <w:color w:val="111111"/>
          <w:sz w:val="28"/>
          <w:sz w:val="28"/>
          <w:szCs w:val="28"/>
          <w:rtl w:val="true"/>
          <w:lang w:bidi="fa-IR"/>
        </w:rPr>
        <w:t>، یأتی</w:t>
      </w:r>
      <w:r>
        <w:rPr>
          <w:rStyle w:val="FootnoteAnchor"/>
          <w:rtl w:val="true"/>
        </w:rPr>
        <w:footnoteReference w:id="554"/>
      </w:r>
      <w:r>
        <w:rPr>
          <w:rFonts w:ascii="IRNazanin" w:hAnsi="IRNazanin" w:eastAsia="IRNazanin"/>
          <w:color w:val="111111"/>
          <w:sz w:val="28"/>
          <w:sz w:val="28"/>
          <w:szCs w:val="28"/>
          <w:rtl w:val="true"/>
          <w:lang w:bidi="fa-IR"/>
        </w:rPr>
        <w:t>بالشهادتین</w:t>
      </w:r>
      <w:r>
        <w:rPr>
          <w:rStyle w:val="FootnoteAnchor"/>
          <w:rtl w:val="true"/>
        </w:rPr>
        <w:footnoteReference w:id="555"/>
      </w:r>
      <w:r>
        <w:rPr>
          <w:rFonts w:ascii="Amiri" w:hAnsi="Amiri" w:eastAsia="Amiri" w:cs="Amiri"/>
          <w:color w:val="111111"/>
          <w:sz w:val="28"/>
          <w:sz w:val="28"/>
          <w:szCs w:val="28"/>
          <w:rtl w:val="true"/>
          <w:lang w:bidi="ar-SA"/>
        </w:rPr>
        <w:t>بعد الاُولی</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الترتیب أحوط، وأحوط منه أن یأتی بجمیع ذلک بعد کلّ تکبیرة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أن یوءتی بهما وبالصلاة علی النبیّ وآله وعلی سائر الأنبیاء علیهم‌السلام ، وبالدعاء للموءمنین وللمیّت بعد کلّ تکبیرة من التکبیرات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یأتی بجمیع ما ذکر بعد کلّ تکبیرة، بل هو الأولی والأحوط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الترتیب لا بأس به، والأولی أن یأتی بجمیع ذلک بعد کلّ تکبیرة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 الإتیان بالأدعیة الأربعة بین کلّ تکبیرتین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الترتیب المذکور مجزٍ، والأفضل أن یأتی بجمیع هذه الفقرات بعد کلّ تکبیرة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والصلاة علی</w:t>
      </w:r>
      <w:bookmarkStart w:id="500" w:name="pg13276_136690"/>
    </w:p>
    <w:p>
      <w:pPr>
        <w:pStyle w:val="BookText"/>
        <w:rPr/>
      </w:pPr>
      <w:bookmarkEnd w:id="500"/>
      <w:r>
        <w:rPr>
          <w:rFonts w:ascii="IRNazanin" w:hAnsi="IRNazanin" w:eastAsia="IRNazanin"/>
          <w:color w:val="111111"/>
          <w:sz w:val="28"/>
          <w:sz w:val="28"/>
          <w:szCs w:val="28"/>
          <w:rtl w:val="true"/>
          <w:lang w:bidi="fa-IR"/>
        </w:rPr>
        <w:t xml:space="preserve">النبیّ صلی‌الله‌علیه‌و‌آله </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جمیع الأنبیاء والمرسلین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وآله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الثانیة، والدعاء للموءمنین والموءمنات بعد الثالثة، والدعاء للمیّت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الرابعة، ثمّ یکبّر الخامسة وینصرف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یقول بعد نیّة القربة وتعیین المیّت ولو إجمالاً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أشهد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اغفر للموءمنین والموءمنات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اغفر لهذا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763910_2322387425"/>
      <w:bookmarkStart w:id="502" w:name="_Toc188"/>
      <w:bookmarkEnd w:id="501"/>
      <w:r>
        <w:rPr>
          <w:rtl w:val="true"/>
        </w:rPr>
        <w:t>صورة الأذکار بین تکبیرات الصلاة</w:t>
      </w:r>
      <w:bookmarkEnd w:id="502"/>
    </w:p>
    <w:p>
      <w:pPr>
        <w:pStyle w:val="BookText"/>
        <w:rPr/>
      </w:pPr>
      <w:r>
        <w:rPr>
          <w:rFonts w:ascii="IRNazanin" w:hAnsi="IRNazanin" w:eastAsia="IRNazanin"/>
          <w:color w:val="111111"/>
          <w:sz w:val="28"/>
          <w:sz w:val="28"/>
          <w:szCs w:val="28"/>
          <w:rtl w:val="true"/>
          <w:lang w:bidi="fa-IR"/>
        </w:rPr>
        <w:t>والأولی أن یقول</w:t>
      </w:r>
      <w:r>
        <w:rPr>
          <w:rStyle w:val="FootnoteAnchor"/>
          <w:rtl w:val="true"/>
        </w:rPr>
        <w:footnoteReference w:id="558"/>
      </w:r>
      <w:r>
        <w:rPr>
          <w:rFonts w:ascii="IRNazanin" w:hAnsi="IRNazanin" w:eastAsia="IRNazanin"/>
          <w:color w:val="111111"/>
          <w:sz w:val="28"/>
          <w:sz w:val="28"/>
          <w:szCs w:val="28"/>
          <w:rtl w:val="true"/>
          <w:lang w:bidi="fa-IR"/>
        </w:rPr>
        <w:t>بعد التکبیرة الاُولی</w:t>
      </w:r>
      <w:r>
        <w:rPr>
          <w:rStyle w:val="FootnoteAnchor"/>
          <w:rtl w:val="true"/>
        </w:rPr>
        <w:footnoteReference w:id="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لاشریک له، إلهاً واحداً أحداً، صمداً فرداً حیّاً، قیّوماً دائماً أبداً، لم یتّخذ صاحبةً ولا ولداً، وأشهد أنّ محمَّداً عبده ورسوله، أرسله بالهدی ودِینِ الحقّ؛ لیظهره علی الدین کلّه ولو کره المشرکون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وآل محمَّد، وبارک علی محمَّدٍ وآل محمَّد، وارحم محمَّداً وآل محمَّد، أفضل ما صلّیت وبارکت وترحّمت </w:t>
      </w:r>
    </w:p>
    <w:p>
      <w:pPr>
        <w:pStyle w:val="BookText"/>
        <w:rPr/>
      </w:pPr>
      <w:r>
        <w:rPr>
          <w:rFonts w:ascii="IRNazanin" w:hAnsi="IRNazanin" w:eastAsia="IRNazanin"/>
          <w:color w:val="111111"/>
          <w:sz w:val="28"/>
          <w:sz w:val="28"/>
          <w:szCs w:val="28"/>
          <w:rtl w:val="true"/>
          <w:lang w:bidi="fa-IR"/>
        </w:rPr>
        <w:t>علی إبراهیم وآل إبراهیم إنّک حمید مجید، وصلِّ علی جمیع الأنبیاء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للموءمنین والموءمنات، والمسلمین والمسلمات، الأحیاءِ منهم والأموات، تابِعِ اللهمّ بیننا وبینهم بالخیرات،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المسجّی قدّامنا عبدُک وابنُ عبدک، وابنُ أمتِک، نزل بک وأنت خیر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قبضت روحه إلیک وقد احتاج إلی رحمتک، وأنت غنیّ عن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وأنت أعلم به منّا، اللهمّ إن کان محسناً فزد فی إحسانه، وإن کان مسیئاً فتجاوز عن سیّئاته، واغفر لنا وله، اللهمّ احشره مع من یتولاّه ویحبّه، وأبعِده ممّن یتبرّأ منه ویُبغضه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ألحِقه بنبیّک وعرِّف بینه وبینه، وارحمنا إذا توفّیتنا، یا إله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اکتبه عندک فی أعلی عِلّیّین، واخلُف علی عَقِبه فی الغابرین، واجعله من رُفقاء محمّدٍ وآله الطاهرین، وارحمه وإیّانا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 الفراغ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وفی الآخرة حسنةً، وقِنا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المیّت امرأة یقول 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المسجّاة قدّامنا أمتُک، وابنةُ عبدِک وابنةُ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بسائرالضمائر موءنّثاً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المیّت مستضعفاً یقول بعد التکبیرة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للّذین تابوا واتّبعوا سبیلک، وقِهِم عذابَ الجحیم، ربّنا وأدخِلهم جنّاتِ عدنٍ الّتی وعدتَهم، ومَن صَلُحَ من آبائهم وأزواجهم وذریّاتهم، إنّک أنت العزیز الحکیم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مجهول الحال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یحبّ الخیر وأهله فاغفر له وارحمه وتجاوز عنه</w:t>
      </w:r>
      <w:r>
        <w:rPr>
          <w:rFonts w:eastAsia="IRNazanin" w:cs="IRNazanin"/>
          <w:color w:val="111111"/>
          <w:sz w:val="28"/>
          <w:szCs w:val="28"/>
          <w:rtl w:val="true"/>
          <w:lang w:bidi="fa-IR"/>
        </w:rPr>
        <w:t xml:space="preserve">». </w:t>
      </w:r>
      <w:bookmarkStart w:id="503" w:name="pg13276_136692"/>
    </w:p>
    <w:p>
      <w:pPr>
        <w:pStyle w:val="BookText"/>
        <w:rPr/>
      </w:pPr>
      <w:bookmarkEnd w:id="503"/>
      <w:r>
        <w:rPr>
          <w:rFonts w:ascii="IRNazanin" w:hAnsi="IRNazanin" w:eastAsia="IRNazanin"/>
          <w:color w:val="111111"/>
          <w:sz w:val="28"/>
          <w:sz w:val="28"/>
          <w:szCs w:val="28"/>
          <w:rtl w:val="true"/>
          <w:lang w:bidi="fa-IR"/>
        </w:rPr>
        <w:t>وإن کان طفلاً یقول</w:t>
      </w:r>
      <w:r>
        <w:rPr>
          <w:rStyle w:val="FootnoteAnchor"/>
          <w:rtl w:val="true"/>
        </w:rPr>
        <w:footnoteReference w:id="5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لأبویه ولنا سَلَفاً وفَرطاً وأجراً</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763912_2322387425"/>
      <w:bookmarkStart w:id="505" w:name="_Toc189"/>
      <w:bookmarkEnd w:id="504"/>
      <w:r>
        <w:rPr>
          <w:rtl w:val="true"/>
        </w:rPr>
        <w:t>الاتیان بالناقص عن الخمس تکبیرات</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أقلّ من خمسة تکبیرات، إلاّ للتقیّة</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مندوحة وقلنا بکونها مجزیة، أو تمّت قاعدة المیسور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کون المیّت منافقاً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کان مظهراً للإسلام ولا یعتقد فی الباطن ویجحده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الإسلام ولا یعتقده 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فیه أربع تکبیرات، ثمّ إنّ المنافق یطلق علی من أظهر الإسلام وأخفی الکفر، فلا یجوز الصلاة علیه إلاّ فی حال الاضطرار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مظهراً للإسلام ومبطناً للکفر، ومثله لا یکبِّر المصلِّی علیه إلاّ أربعاً، ولایدعو له، بل یدعو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 سهواً بطلت، ووجب الإعادة إذا فاتت الموالاة، وإلاّ أتمّها</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763914_2322387425"/>
      <w:bookmarkStart w:id="507" w:name="_Toc190"/>
      <w:bookmarkEnd w:id="506"/>
      <w:r>
        <w:rPr>
          <w:rtl w:val="true"/>
        </w:rPr>
        <w:t>کیفیة الأدعیة بین التکبیرات</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الاقتصار فی الأدعیة بین التکبیرات علی المأثور، بل یجوز کلّ دعاء</w:t>
      </w:r>
      <w:r>
        <w:rPr>
          <w:rStyle w:val="FootnoteAnchor"/>
          <w:rtl w:val="true"/>
        </w:rPr>
        <w:footnoteReference w:id="562"/>
      </w:r>
      <w:r>
        <w:rPr>
          <w:rFonts w:ascii="IRNazanin" w:hAnsi="IRNazanin" w:eastAsia="IRNazanin"/>
          <w:color w:val="111111"/>
          <w:sz w:val="28"/>
          <w:sz w:val="28"/>
          <w:szCs w:val="28"/>
          <w:rtl w:val="true"/>
          <w:lang w:bidi="fa-IR"/>
        </w:rPr>
        <w:t>بشرط اشتمال</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الاشتمال علی هذه الفقرات الأربع، ولا الترتیب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یُترک الدعاء للمیّت، والأفضل الدعاء له بعد کلّ 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اشتراط العربیة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دعاء مؤقّت سوی الدعاء للمیّت، والأفضل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علی الشهادتین، والثانی</w:t>
      </w:r>
      <w:bookmarkStart w:id="508" w:name="pg13276_136693"/>
    </w:p>
    <w:p>
      <w:pPr>
        <w:pStyle w:val="BookText"/>
        <w:rPr/>
      </w:pPr>
      <w:bookmarkEnd w:id="508"/>
      <w:r>
        <w:rPr>
          <w:rFonts w:ascii="IRNazanin" w:hAnsi="IRNazanin" w:eastAsia="IRNazanin"/>
          <w:color w:val="111111"/>
          <w:sz w:val="28"/>
          <w:sz w:val="28"/>
          <w:szCs w:val="28"/>
          <w:rtl w:val="true"/>
          <w:lang w:bidi="fa-IR"/>
        </w:rPr>
        <w:t>علی الصلاة علی محمَّدٍ وآله، والثالث علی الدعاء للموءمنین والموءمنات بالغفران، وفی الرابع علی الدعاء للمیّت</w:t>
      </w:r>
      <w:r>
        <w:rPr>
          <w:rStyle w:val="FootnoteAnchor"/>
          <w:rtl w:val="true"/>
        </w:rPr>
        <w:footnoteReference w:id="564"/>
      </w:r>
      <w:r>
        <w:rPr>
          <w:rFonts w:ascii="IRNazanin" w:hAnsi="IRNazanin" w:eastAsia="IRNazanin"/>
          <w:color w:val="111111"/>
          <w:sz w:val="28"/>
          <w:sz w:val="28"/>
          <w:szCs w:val="28"/>
          <w:rtl w:val="true"/>
          <w:lang w:bidi="fa-IR"/>
        </w:rPr>
        <w:t>، ویجوز قراءة آیات القرآن والأدعیة الاُخر ما دامت صورة الصلاة محفوظة</w:t>
      </w:r>
      <w:r>
        <w:rPr>
          <w:rFonts w:eastAsia="IRNazanin" w:cs="IRNazanin"/>
          <w:color w:val="111111"/>
          <w:sz w:val="28"/>
          <w:szCs w:val="28"/>
          <w:rtl w:val="true"/>
          <w:lang w:bidi="fa-IR"/>
        </w:rPr>
        <w:t>.</w:t>
      </w:r>
    </w:p>
    <w:p>
      <w:pPr>
        <w:pStyle w:val="Heading3"/>
        <w:numPr>
          <w:ilvl w:val="2"/>
          <w:numId w:val="1"/>
        </w:numPr>
        <w:rPr/>
      </w:pPr>
      <w:bookmarkStart w:id="509" w:name="__RefHeading___Toc1763916_2322387425"/>
      <w:bookmarkStart w:id="510" w:name="_Toc191"/>
      <w:bookmarkEnd w:id="509"/>
      <w:r>
        <w:rPr>
          <w:rtl w:val="true"/>
        </w:rPr>
        <w:t>اعتبار العربیة فی الأدعیة بالقدر الواجب</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العربیّة</w:t>
      </w:r>
      <w:r>
        <w:rPr>
          <w:rStyle w:val="FootnoteAnchor"/>
          <w:rtl w:val="true"/>
        </w:rPr>
        <w:footnoteReference w:id="565"/>
      </w:r>
      <w:r>
        <w:rPr>
          <w:rFonts w:ascii="IRNazanin" w:hAnsi="IRNazanin" w:eastAsia="IRNazanin"/>
          <w:color w:val="111111"/>
          <w:sz w:val="28"/>
          <w:sz w:val="28"/>
          <w:szCs w:val="28"/>
          <w:rtl w:val="true"/>
          <w:lang w:bidi="fa-IR"/>
        </w:rPr>
        <w:t>فی الأدعیة بالقدر الواجب، وفیما زاد علیه یجوز الدعاء بالفارسیة ونحوها</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بل 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والأقرب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ترک الدعاء بغیر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763918_2322387425"/>
      <w:bookmarkStart w:id="512" w:name="_Toc192"/>
      <w:bookmarkEnd w:id="511"/>
      <w:r>
        <w:rPr>
          <w:rtl w:val="true"/>
        </w:rPr>
        <w:t>ما لا یعتبر فی صلاة المیت ممّا یعتبر فی الصلاة</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صلاة المیّت</w:t>
      </w:r>
      <w:r>
        <w:rPr>
          <w:rStyle w:val="FootnoteAnchor"/>
          <w:rtl w:val="true"/>
        </w:rPr>
        <w:footnoteReference w:id="567"/>
      </w:r>
      <w:r>
        <w:rPr>
          <w:rFonts w:ascii="IRNazanin" w:hAnsi="IRNazanin" w:eastAsia="IRNazanin"/>
          <w:color w:val="111111"/>
          <w:sz w:val="28"/>
          <w:sz w:val="28"/>
          <w:szCs w:val="28"/>
          <w:rtl w:val="true"/>
          <w:lang w:bidi="fa-IR"/>
        </w:rPr>
        <w:t>أذان ولا إقامة، ولا قراءة الفاتحة، ولا الرکوع والسجود والقنوت والتشهّد والسلام ، ولا التکبیرات الافتتاحیّة وأدعیتها، وإن أتی بشیء من ذلک بعنوان التشریع کان بِدعة وحراماً</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یوجب ذلک بطلان الصلاة ما لم یوجب فوات الموالاة، أو خللاً فیها من جهة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513" w:name="pg13276_136694"/>
    </w:p>
    <w:p>
      <w:pPr>
        <w:pStyle w:val="Heading3"/>
        <w:numPr>
          <w:ilvl w:val="2"/>
          <w:numId w:val="1"/>
        </w:numPr>
        <w:rPr/>
      </w:pPr>
      <w:bookmarkStart w:id="514" w:name="__RefHeading___Toc1763920_2322387425"/>
      <w:bookmarkStart w:id="515" w:name="_Toc193"/>
      <w:bookmarkEnd w:id="513"/>
      <w:bookmarkEnd w:id="514"/>
      <w:r>
        <w:rPr>
          <w:rtl w:val="true"/>
        </w:rPr>
        <w:t>الشک فی ذکوریة المیت</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أنّ المیّت رجل أو امرأة یجوز أن یأتی بالضمائر</w:t>
      </w:r>
      <w:r>
        <w:rPr>
          <w:rStyle w:val="FootnoteAnchor"/>
          <w:rtl w:val="true"/>
        </w:rPr>
        <w:footnoteReference w:id="569"/>
      </w:r>
      <w:r>
        <w:rPr>
          <w:rFonts w:ascii="IRNazanin" w:hAnsi="IRNazanin" w:eastAsia="IRNazanin"/>
          <w:color w:val="111111"/>
          <w:sz w:val="28"/>
          <w:sz w:val="28"/>
          <w:szCs w:val="28"/>
          <w:rtl w:val="true"/>
          <w:lang w:bidi="fa-IR"/>
        </w:rPr>
        <w:t>مذکّرة بلحاظ الشخص والنعش والبدن</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الصلاة تحیة إلی نفس المیّت وتشریف لبدنه فالأحوط قصد کلاهما، ویجوز تأنیث الضمیر باعتبار النفس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 یأتی بها موءنّثة بلحاظ الجثّة والجنازة، بل مع المعلومیّة أیضاً یجوز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بذکر النفس أوّلاً، ثمّ تأنیث الضمائر، لا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أتی بالضمائر علی الخلاف جهلاً أو نسیاناً لا باللحاظین المذکورین فالظاهر عدم بطلان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خصوصاً مع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إذا کان فی المقدار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الاشتباه موجباً لصیرورة اللفظ غلطاً کیف یمکن الالتزام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763922_2322387425"/>
      <w:bookmarkStart w:id="517" w:name="_Toc194"/>
      <w:bookmarkEnd w:id="516"/>
      <w:r>
        <w:rPr>
          <w:rtl w:val="true"/>
        </w:rPr>
        <w:t>الشک بین التکبیرات</w:t>
      </w:r>
      <w:bookmarkEnd w:id="51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التکبیرات بین الأقلِّ والأکثر بنی علی </w:t>
      </w:r>
    </w:p>
    <w:p>
      <w:pPr>
        <w:pStyle w:val="BookText"/>
        <w:rPr/>
      </w:pPr>
      <w:r>
        <w:rPr>
          <w:rFonts w:ascii="IRNazanin" w:hAnsi="IRNazanin" w:eastAsia="IRNazanin"/>
          <w:color w:val="111111"/>
          <w:sz w:val="28"/>
          <w:sz w:val="28"/>
          <w:szCs w:val="28"/>
          <w:rtl w:val="true"/>
          <w:lang w:bidi="fa-IR"/>
        </w:rPr>
        <w:t>الأقل</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الإتیان بوظیفة الأقلّ والأکثر فی الأدعیة، فإذا شکّ بین الاثنین والثلاث بنی علی الأقلّ، وأتی بالصلاة علی النبیّ وآله، ودعا للموءمنین والموءمنات وکبرّ ودعا للموءمنین والموءمنات ودعا للمیّت، وکبّر ودعا للمیّت، وکبّر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البناء علیه؛ لعدم إحراز وقوع الشهادتین مثلاً عقیب تکبیرة یخصّها، فلا یُترک الاحتیاط بقطع الصلاة وإعادتها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مشغولاً بالدعاء بعد الثانیة أو بعد الثالثة فشکّ فی إتیان الاُولی فی الأوّل أو الثانیة فی الثانی بنی علی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ثبوت الترتیب بین الأدعیة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اعتاد ذلک الدعاء بخصوصه، وإلاّ فلا یُترک الاحتیاط بالإتمام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المختار من عدم التوقیت فی الدعاء لا وجه للبناء علی الإتیان، بل یبنی علی الأقلّ فی هذا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وجود الترتیب بین الفقرات کما هو المشهور، وأمّا بناءً علی عدم لزوم الترتیب بینها فیبنی علی عدم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الاحتیاط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بالإتمام والإعادة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لعدم تمامیة قاعدة التجاوز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علی عدم الإتیان موافق للاحتیاط الذی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3276_136696"/>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بأن یقرأ الأدعیة فی الکتاب، خصوصاً إذا لم یکن حافظاً لها</w:t>
      </w:r>
      <w:r>
        <w:rPr>
          <w:rFonts w:eastAsia="IRNazanin" w:cs="IRNazanin"/>
          <w:color w:val="111111"/>
          <w:sz w:val="28"/>
          <w:szCs w:val="28"/>
          <w:rtl w:val="true"/>
          <w:lang w:bidi="fa-IR"/>
        </w:rPr>
        <w:t>.</w:t>
      </w:r>
    </w:p>
    <w:p>
      <w:pPr>
        <w:pStyle w:val="Heading2"/>
        <w:numPr>
          <w:ilvl w:val="1"/>
          <w:numId w:val="1"/>
        </w:numPr>
        <w:rPr/>
      </w:pPr>
      <w:bookmarkStart w:id="519" w:name="__RefHeading___Toc1763924_2322387425"/>
      <w:bookmarkStart w:id="520" w:name="_Toc195"/>
      <w:bookmarkEnd w:id="519"/>
      <w:r>
        <w:rPr>
          <w:rtl w:val="true"/>
        </w:rPr>
        <w:t>فصل</w:t>
      </w:r>
      <w:r>
        <w:rPr>
          <w:rtl w:val="true"/>
        </w:rPr>
        <w:t xml:space="preserve">: </w:t>
      </w:r>
      <w:r>
        <w:rPr>
          <w:rtl w:val="true"/>
        </w:rPr>
        <w:t>فی شرائط صلاة المیّت</w:t>
      </w:r>
      <w:bookmarkEnd w:id="520"/>
    </w:p>
    <w:p>
      <w:pPr>
        <w:pStyle w:val="Heading3"/>
        <w:numPr>
          <w:ilvl w:val="2"/>
          <w:numId w:val="1"/>
        </w:numPr>
        <w:rPr/>
      </w:pPr>
      <w:bookmarkStart w:id="521" w:name="__RefHeading___Toc1763926_2322387425"/>
      <w:bookmarkStart w:id="522" w:name="_Toc196"/>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بعض ما ذکر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بعضها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شرطیة جملة من هذه الاُمور مبنیة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763928_2322387425"/>
      <w:bookmarkStart w:id="524" w:name="_Toc197"/>
      <w:bookmarkEnd w:id="523"/>
      <w:r>
        <w:rPr>
          <w:rtl w:val="true"/>
        </w:rPr>
        <w:t>الأول</w:t>
      </w:r>
      <w:r>
        <w:rPr>
          <w:rtl w:val="true"/>
        </w:rPr>
        <w:t xml:space="preserve">: </w:t>
      </w:r>
      <w:r>
        <w:rPr>
          <w:rtl w:val="true"/>
        </w:rPr>
        <w:t>کون المیت مستلقیاً</w:t>
      </w:r>
      <w:bookmarkEnd w:id="5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یوضع المیّت مستلقیاً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1763930_2322387425"/>
      <w:bookmarkStart w:id="526" w:name="_Toc198"/>
      <w:bookmarkEnd w:id="525"/>
      <w:r>
        <w:rPr>
          <w:rtl w:val="true"/>
        </w:rPr>
        <w:t>الثانی</w:t>
      </w:r>
      <w:r>
        <w:rPr>
          <w:rtl w:val="true"/>
        </w:rPr>
        <w:t xml:space="preserve">: </w:t>
      </w:r>
      <w:r>
        <w:rPr>
          <w:rtl w:val="true"/>
        </w:rPr>
        <w:t>اتجاه رأسه إلی یمین المصلّی</w:t>
      </w:r>
      <w:bookmarkEnd w:id="52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رأسه إلی یمین المصلّی ورجله إلی یساره</w:t>
      </w:r>
      <w:r>
        <w:rPr>
          <w:rFonts w:eastAsia="IRNazanin" w:cs="IRNazanin"/>
          <w:color w:val="111111"/>
          <w:sz w:val="28"/>
          <w:szCs w:val="28"/>
          <w:rtl w:val="true"/>
          <w:lang w:bidi="fa-IR"/>
        </w:rPr>
        <w:t>.</w:t>
      </w:r>
    </w:p>
    <w:p>
      <w:pPr>
        <w:pStyle w:val="Heading3"/>
        <w:numPr>
          <w:ilvl w:val="2"/>
          <w:numId w:val="1"/>
        </w:numPr>
        <w:rPr/>
      </w:pPr>
      <w:bookmarkStart w:id="527" w:name="__RefHeading___Toc1763932_2322387425"/>
      <w:bookmarkStart w:id="528" w:name="_Toc199"/>
      <w:bookmarkEnd w:id="527"/>
      <w:r>
        <w:rPr>
          <w:rtl w:val="true"/>
        </w:rPr>
        <w:t>الثالث</w:t>
      </w:r>
      <w:r>
        <w:rPr>
          <w:rtl w:val="true"/>
        </w:rPr>
        <w:t xml:space="preserve">: </w:t>
      </w:r>
      <w:r>
        <w:rPr>
          <w:rtl w:val="true"/>
        </w:rPr>
        <w:t>وقوف المصلّی خلف المیّت محاذیاً له</w:t>
      </w:r>
      <w:bookmarkEnd w:id="52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خلفه محاذیاً له، لا أن یکون فی أحد طرفیه، إلاّ إذا طال صفّ المأمومین</w:t>
      </w:r>
      <w:r>
        <w:rPr>
          <w:rFonts w:eastAsia="IRNazanin" w:cs="IRNazanin"/>
          <w:color w:val="111111"/>
          <w:sz w:val="28"/>
          <w:szCs w:val="28"/>
          <w:rtl w:val="true"/>
          <w:lang w:bidi="fa-IR"/>
        </w:rPr>
        <w:t>.</w:t>
      </w:r>
    </w:p>
    <w:p>
      <w:pPr>
        <w:pStyle w:val="Heading3"/>
        <w:numPr>
          <w:ilvl w:val="2"/>
          <w:numId w:val="1"/>
        </w:numPr>
        <w:rPr/>
      </w:pPr>
      <w:bookmarkStart w:id="529" w:name="__RefHeading___Toc1763934_2322387425"/>
      <w:bookmarkStart w:id="530" w:name="_Toc200"/>
      <w:bookmarkEnd w:id="529"/>
      <w:r>
        <w:rPr>
          <w:rtl w:val="true"/>
        </w:rPr>
        <w:t>الرابع</w:t>
      </w:r>
      <w:r>
        <w:rPr>
          <w:rtl w:val="true"/>
        </w:rPr>
        <w:t xml:space="preserve">: </w:t>
      </w:r>
      <w:r>
        <w:rPr>
          <w:rtl w:val="true"/>
        </w:rPr>
        <w:t>الحضور عند المیّت</w:t>
      </w:r>
      <w:bookmarkEnd w:id="53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المیّت حاضراً</w:t>
      </w:r>
      <w:r>
        <w:rPr>
          <w:rStyle w:val="FootnoteAnchor"/>
          <w:rtl w:val="true"/>
        </w:rPr>
        <w:footnoteReference w:id="574"/>
      </w:r>
      <w:r>
        <w:rPr>
          <w:rFonts w:ascii="IRNazanin" w:hAnsi="IRNazanin" w:eastAsia="IRNazanin"/>
          <w:color w:val="111111"/>
          <w:sz w:val="28"/>
          <w:sz w:val="28"/>
          <w:szCs w:val="28"/>
          <w:rtl w:val="true"/>
          <w:lang w:bidi="fa-IR"/>
        </w:rPr>
        <w:t>، فلا تصحّ علی الغائب</w:t>
      </w:r>
      <w:r>
        <w:rPr>
          <w:rStyle w:val="FootnoteAnchor"/>
          <w:rtl w:val="true"/>
        </w:rPr>
        <w:footnoteReference w:id="575"/>
      </w:r>
      <w:r>
        <w:rPr>
          <w:rFonts w:ascii="IRNazanin" w:hAnsi="IRNazanin" w:eastAsia="IRNazanin"/>
          <w:color w:val="111111"/>
          <w:sz w:val="28"/>
          <w:sz w:val="28"/>
          <w:szCs w:val="28"/>
          <w:rtl w:val="true"/>
          <w:lang w:bidi="fa-IR"/>
        </w:rPr>
        <w:t xml:space="preserve">وإن کان </w:t>
      </w:r>
      <w:bookmarkStart w:id="531" w:name="pg13276_136697"/>
    </w:p>
    <w:p>
      <w:pPr>
        <w:pStyle w:val="BookText"/>
        <w:rPr/>
      </w:pPr>
      <w:bookmarkEnd w:id="531"/>
      <w:r>
        <w:rPr>
          <w:rFonts w:ascii="IRNazanin" w:hAnsi="IRNazanin" w:eastAsia="IRNazanin"/>
          <w:color w:val="111111"/>
          <w:sz w:val="28"/>
          <w:sz w:val="28"/>
          <w:szCs w:val="28"/>
          <w:rtl w:val="true"/>
          <w:lang w:bidi="fa-IR"/>
        </w:rPr>
        <w:t>حاضراً فی البلد</w:t>
      </w:r>
      <w:r>
        <w:rPr>
          <w:rFonts w:eastAsia="IRNazanin" w:cs="IRNazanin"/>
          <w:color w:val="111111"/>
          <w:sz w:val="28"/>
          <w:szCs w:val="28"/>
          <w:rtl w:val="true"/>
          <w:lang w:bidi="fa-IR"/>
        </w:rPr>
        <w:t>.</w:t>
      </w:r>
    </w:p>
    <w:p>
      <w:pPr>
        <w:pStyle w:val="Heading3"/>
        <w:numPr>
          <w:ilvl w:val="2"/>
          <w:numId w:val="1"/>
        </w:numPr>
        <w:rPr/>
      </w:pPr>
      <w:bookmarkStart w:id="532" w:name="__RefHeading___Toc1763936_2322387425"/>
      <w:bookmarkStart w:id="533" w:name="_Toc201"/>
      <w:bookmarkEnd w:id="532"/>
      <w:r>
        <w:rPr>
          <w:rtl w:val="true"/>
        </w:rPr>
        <w:t>الخامس</w:t>
      </w:r>
      <w:r>
        <w:rPr>
          <w:rtl w:val="true"/>
        </w:rPr>
        <w:t xml:space="preserve">: </w:t>
      </w:r>
      <w:r>
        <w:rPr>
          <w:rtl w:val="true"/>
        </w:rPr>
        <w:t>عدم الحائل بین المصلّی والمیت</w:t>
      </w:r>
      <w:bookmarkEnd w:id="53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بینهما حائل</w:t>
      </w:r>
      <w:r>
        <w:rPr>
          <w:rStyle w:val="FootnoteAnchor"/>
          <w:rtl w:val="true"/>
        </w:rPr>
        <w:footnoteReference w:id="576"/>
      </w:r>
      <w:r>
        <w:rPr>
          <w:rFonts w:ascii="IRNazanin" w:hAnsi="IRNazanin" w:eastAsia="IRNazanin"/>
          <w:color w:val="111111"/>
          <w:sz w:val="28"/>
          <w:sz w:val="28"/>
          <w:szCs w:val="28"/>
          <w:rtl w:val="true"/>
          <w:lang w:bidi="fa-IR"/>
        </w:rPr>
        <w:t>کستر أو جدار، ولا یضرّ کون المیّت فی التابوت ونحوه</w:t>
      </w:r>
      <w:r>
        <w:rPr>
          <w:rFonts w:eastAsia="IRNazanin" w:cs="IRNazanin"/>
          <w:color w:val="111111"/>
          <w:sz w:val="28"/>
          <w:szCs w:val="28"/>
          <w:rtl w:val="true"/>
          <w:lang w:bidi="fa-IR"/>
        </w:rPr>
        <w:t>.</w:t>
      </w:r>
    </w:p>
    <w:p>
      <w:pPr>
        <w:pStyle w:val="Heading3"/>
        <w:numPr>
          <w:ilvl w:val="2"/>
          <w:numId w:val="1"/>
        </w:numPr>
        <w:rPr/>
      </w:pPr>
      <w:bookmarkStart w:id="534" w:name="__RefHeading___Toc1763938_2322387425"/>
      <w:bookmarkStart w:id="535" w:name="_Toc202"/>
      <w:bookmarkEnd w:id="534"/>
      <w:r>
        <w:rPr>
          <w:rtl w:val="true"/>
        </w:rPr>
        <w:t>السادس</w:t>
      </w:r>
      <w:r>
        <w:rPr>
          <w:rtl w:val="true"/>
        </w:rPr>
        <w:t xml:space="preserve">: </w:t>
      </w:r>
      <w:r>
        <w:rPr>
          <w:rtl w:val="true"/>
        </w:rPr>
        <w:t>عدم الإفراط فی البعد عن المیّت</w:t>
      </w:r>
      <w:bookmarkEnd w:id="535"/>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بینهما بُعد مُفرط علی وجهٍ لا یصدق الوقوف عنده، إلاّ فی المأموم مع اتّصال الصفوف</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1763940_2322387425"/>
      <w:bookmarkStart w:id="537" w:name="_Toc203"/>
      <w:bookmarkEnd w:id="536"/>
      <w:r>
        <w:rPr>
          <w:rtl w:val="true"/>
        </w:rPr>
        <w:t>السابع</w:t>
      </w:r>
      <w:r>
        <w:rPr>
          <w:rtl w:val="true"/>
        </w:rPr>
        <w:t xml:space="preserve">: </w:t>
      </w:r>
      <w:r>
        <w:rPr>
          <w:rtl w:val="true"/>
        </w:rPr>
        <w:t>عدم العلوّ المفرط بین المصلّی والمیت</w:t>
      </w:r>
      <w:bookmarkEnd w:id="53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أحدهما أعلی من الآخر علوّاً مفرطاً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763942_2322387425"/>
      <w:bookmarkStart w:id="539" w:name="_Toc204"/>
      <w:bookmarkEnd w:id="538"/>
      <w:r>
        <w:rPr>
          <w:rtl w:val="true"/>
        </w:rPr>
        <w:t>الثامن</w:t>
      </w:r>
      <w:r>
        <w:rPr>
          <w:rtl w:val="true"/>
        </w:rPr>
        <w:t xml:space="preserve">: </w:t>
      </w:r>
      <w:r>
        <w:rPr>
          <w:rtl w:val="true"/>
        </w:rPr>
        <w:t>استقبال القبلة عند الصلاة</w:t>
      </w:r>
      <w:bookmarkEnd w:id="539"/>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المصلّی</w:t>
      </w:r>
      <w:r>
        <w:rPr>
          <w:rStyle w:val="FootnoteAnchor"/>
          <w:rtl w:val="true"/>
        </w:rPr>
        <w:footnoteReference w:id="579"/>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763944_2322387425"/>
      <w:bookmarkStart w:id="541" w:name="_Toc205"/>
      <w:bookmarkEnd w:id="540"/>
      <w:r>
        <w:rPr>
          <w:rtl w:val="true"/>
        </w:rPr>
        <w:t>التاسع</w:t>
      </w:r>
      <w:r>
        <w:rPr>
          <w:rtl w:val="true"/>
        </w:rPr>
        <w:t xml:space="preserve">: </w:t>
      </w:r>
      <w:r>
        <w:rPr>
          <w:rtl w:val="true"/>
        </w:rPr>
        <w:t>القیام حال الصلاة</w:t>
      </w:r>
      <w:bookmarkEnd w:id="541"/>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قائماً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763946_2322387425"/>
      <w:bookmarkStart w:id="543" w:name="_Toc206"/>
      <w:bookmarkEnd w:id="542"/>
      <w:r>
        <w:rPr>
          <w:rtl w:val="true"/>
        </w:rPr>
        <w:t>العاشر</w:t>
      </w:r>
      <w:r>
        <w:rPr>
          <w:rtl w:val="true"/>
        </w:rPr>
        <w:t xml:space="preserve">: </w:t>
      </w:r>
      <w:r>
        <w:rPr>
          <w:rtl w:val="true"/>
        </w:rPr>
        <w:t>تعیین المیت</w:t>
      </w:r>
      <w:bookmarkEnd w:id="543"/>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المیّت علی وجه یرفع الإبهام، ولو بأن ینوی المیّت الحاضر أو ما عیّنه الإمام</w:t>
      </w:r>
      <w:r>
        <w:rPr>
          <w:rFonts w:eastAsia="IRNazanin" w:cs="IRNazanin"/>
          <w:color w:val="111111"/>
          <w:sz w:val="28"/>
          <w:szCs w:val="28"/>
          <w:rtl w:val="true"/>
          <w:lang w:bidi="fa-IR"/>
        </w:rPr>
        <w:t>.</w:t>
      </w:r>
    </w:p>
    <w:p>
      <w:pPr>
        <w:pStyle w:val="Heading3"/>
        <w:numPr>
          <w:ilvl w:val="2"/>
          <w:numId w:val="1"/>
        </w:numPr>
        <w:rPr/>
      </w:pPr>
      <w:bookmarkStart w:id="544" w:name="__RefHeading___Toc1763948_2322387425"/>
      <w:bookmarkStart w:id="545" w:name="_Toc207"/>
      <w:bookmarkEnd w:id="544"/>
      <w:r>
        <w:rPr>
          <w:rtl w:val="true"/>
        </w:rPr>
        <w:t>الحادی عشر</w:t>
      </w:r>
      <w:r>
        <w:rPr>
          <w:rtl w:val="true"/>
        </w:rPr>
        <w:t xml:space="preserve">: </w:t>
      </w:r>
      <w:r>
        <w:rPr>
          <w:rtl w:val="true"/>
        </w:rPr>
        <w:t>قصد القربة</w:t>
      </w:r>
      <w:bookmarkEnd w:id="545"/>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763950_2322387425"/>
      <w:bookmarkStart w:id="547" w:name="_Toc208"/>
      <w:bookmarkEnd w:id="546"/>
      <w:r>
        <w:rPr>
          <w:rtl w:val="true"/>
        </w:rPr>
        <w:t>الثانی عشر</w:t>
      </w:r>
      <w:r>
        <w:rPr>
          <w:rtl w:val="true"/>
        </w:rPr>
        <w:t xml:space="preserve">: </w:t>
      </w:r>
      <w:r>
        <w:rPr>
          <w:rtl w:val="true"/>
        </w:rPr>
        <w:t>إباحة المکان</w:t>
      </w:r>
      <w:bookmarkEnd w:id="547"/>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المکان</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اشتراطها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مکان المصلّی، أمّا مکان الجنازة فلا یشترط إباحته فی صحّة الصلاة، کما سیصرّح به المصنّف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صلّی جهلاً أو نسیاناً فی مکان مغصوب فلا إشکال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شرطیتها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3276_136698"/>
    </w:p>
    <w:p>
      <w:pPr>
        <w:pStyle w:val="Heading3"/>
        <w:numPr>
          <w:ilvl w:val="2"/>
          <w:numId w:val="1"/>
        </w:numPr>
        <w:rPr/>
      </w:pPr>
      <w:bookmarkStart w:id="549" w:name="__RefHeading___Toc1763952_2322387425"/>
      <w:bookmarkStart w:id="550" w:name="_Toc209"/>
      <w:bookmarkEnd w:id="548"/>
      <w:bookmarkEnd w:id="549"/>
      <w:r>
        <w:rPr>
          <w:rtl w:val="true"/>
        </w:rPr>
        <w:t>الثالث عشر</w:t>
      </w:r>
      <w:r>
        <w:rPr>
          <w:rtl w:val="true"/>
        </w:rPr>
        <w:t xml:space="preserve">: </w:t>
      </w:r>
      <w:r>
        <w:rPr>
          <w:rtl w:val="true"/>
        </w:rPr>
        <w:t>الموالاة بین التکبیرات والأدعیة</w:t>
      </w:r>
      <w:bookmarkEnd w:id="550"/>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التکبیرات والأدعیة علی وجهٍ لا تمحو صورة الصلاة</w:t>
      </w:r>
      <w:r>
        <w:rPr>
          <w:rFonts w:eastAsia="IRNazanin" w:cs="IRNazanin"/>
          <w:color w:val="111111"/>
          <w:sz w:val="28"/>
          <w:szCs w:val="28"/>
          <w:rtl w:val="true"/>
          <w:lang w:bidi="fa-IR"/>
        </w:rPr>
        <w:t>.</w:t>
      </w:r>
    </w:p>
    <w:p>
      <w:pPr>
        <w:pStyle w:val="Heading3"/>
        <w:numPr>
          <w:ilvl w:val="2"/>
          <w:numId w:val="1"/>
        </w:numPr>
        <w:rPr/>
      </w:pPr>
      <w:bookmarkStart w:id="551" w:name="__RefHeading___Toc1763954_2322387425"/>
      <w:bookmarkStart w:id="552" w:name="_Toc210"/>
      <w:bookmarkEnd w:id="551"/>
      <w:r>
        <w:rPr>
          <w:rtl w:val="true"/>
        </w:rPr>
        <w:t>الرابع عشر</w:t>
      </w:r>
      <w:r>
        <w:rPr>
          <w:rtl w:val="true"/>
        </w:rPr>
        <w:t xml:space="preserve">: </w:t>
      </w:r>
      <w:r>
        <w:rPr>
          <w:rtl w:val="true"/>
        </w:rPr>
        <w:t>الاستقرار حال الصلاة</w:t>
      </w:r>
      <w:bookmarkEnd w:id="552"/>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بمعنی عدم الاضطراب علی وجهٍ لا یصدق معه القیام، بل الأحوط کونه</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الاستقرار بمعنی الانتصاب والاستقلال المعتبر فی الصلوات لا یساعده الدلیل، نعم، هو 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ما یعتبر فی قیام الصلوات الاُخر</w:t>
      </w:r>
      <w:r>
        <w:rPr>
          <w:rFonts w:eastAsia="IRNazanin" w:cs="IRNazanin"/>
          <w:color w:val="111111"/>
          <w:sz w:val="28"/>
          <w:szCs w:val="28"/>
          <w:rtl w:val="true"/>
          <w:lang w:bidi="fa-IR"/>
        </w:rPr>
        <w:t>.</w:t>
      </w:r>
    </w:p>
    <w:p>
      <w:pPr>
        <w:pStyle w:val="Heading3"/>
        <w:numPr>
          <w:ilvl w:val="2"/>
          <w:numId w:val="1"/>
        </w:numPr>
        <w:rPr/>
      </w:pPr>
      <w:bookmarkStart w:id="553" w:name="__RefHeading___Toc1763956_2322387425"/>
      <w:bookmarkStart w:id="554" w:name="_Toc211"/>
      <w:bookmarkEnd w:id="553"/>
      <w:r>
        <w:rPr>
          <w:rtl w:val="true"/>
        </w:rPr>
        <w:t>الخامس عشر</w:t>
      </w:r>
      <w:r>
        <w:rPr>
          <w:rtl w:val="true"/>
        </w:rPr>
        <w:t xml:space="preserve">: </w:t>
      </w:r>
      <w:r>
        <w:rPr>
          <w:rtl w:val="true"/>
        </w:rPr>
        <w:t>تأخر الصلاة عن الغسل والکفن</w:t>
      </w:r>
      <w:bookmarkEnd w:id="554"/>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الصلاة بعد التغسیل والتکفین</w:t>
      </w:r>
      <w:r>
        <w:rPr>
          <w:rStyle w:val="FootnoteAnchor"/>
          <w:rtl w:val="true"/>
        </w:rPr>
        <w:footnoteReference w:id="584"/>
      </w:r>
      <w:r>
        <w:rPr>
          <w:rFonts w:ascii="Amiri" w:hAnsi="Amiri" w:eastAsia="Amiri" w:cs="Amiri"/>
          <w:color w:val="111111"/>
          <w:sz w:val="28"/>
          <w:sz w:val="28"/>
          <w:szCs w:val="28"/>
          <w:rtl w:val="true"/>
          <w:lang w:bidi="ar-SA"/>
        </w:rPr>
        <w:t>والحنوط، کما مرّ سابقاً</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763958_2322387425"/>
      <w:bookmarkStart w:id="556" w:name="_Toc212"/>
      <w:bookmarkEnd w:id="555"/>
      <w:r>
        <w:rPr>
          <w:rtl w:val="true"/>
        </w:rPr>
        <w:t>السادس عشر</w:t>
      </w:r>
      <w:r>
        <w:rPr>
          <w:rtl w:val="true"/>
        </w:rPr>
        <w:t xml:space="preserve">: </w:t>
      </w:r>
      <w:r>
        <w:rPr>
          <w:rtl w:val="true"/>
        </w:rPr>
        <w:t>أن یکون المیت مستور العورة</w:t>
      </w:r>
      <w:bookmarkEnd w:id="556"/>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مستور العورة إن تعذّر الکفن ولو بنحو حجر أو لبنة</w:t>
      </w:r>
      <w:r>
        <w:rPr>
          <w:rFonts w:eastAsia="IRNazanin" w:cs="IRNazanin"/>
          <w:color w:val="111111"/>
          <w:sz w:val="28"/>
          <w:szCs w:val="28"/>
          <w:rtl w:val="true"/>
          <w:lang w:bidi="fa-IR"/>
        </w:rPr>
        <w:t>.</w:t>
      </w:r>
    </w:p>
    <w:p>
      <w:pPr>
        <w:pStyle w:val="Heading3"/>
        <w:numPr>
          <w:ilvl w:val="2"/>
          <w:numId w:val="1"/>
        </w:numPr>
        <w:rPr/>
      </w:pPr>
      <w:bookmarkStart w:id="557" w:name="__RefHeading___Toc1763960_2322387425"/>
      <w:bookmarkStart w:id="558" w:name="_Toc213"/>
      <w:bookmarkEnd w:id="557"/>
      <w:r>
        <w:rPr>
          <w:rtl w:val="true"/>
        </w:rPr>
        <w:t>السابع عشر</w:t>
      </w:r>
      <w:r>
        <w:rPr>
          <w:rtl w:val="true"/>
        </w:rPr>
        <w:t xml:space="preserve">: </w:t>
      </w:r>
      <w:r>
        <w:rPr>
          <w:rtl w:val="true"/>
        </w:rPr>
        <w:t>إذن الولی</w:t>
      </w:r>
      <w:bookmarkEnd w:id="558"/>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الولیّ</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أوصی إلی شخص أن یصلّی علیه وامتنع الولیّ من 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بالتفصیل المذکور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للولیّ أن یأذن للحاکم الشرعی بالصلاة علی المیّت إذا کان الحاکم حاضراً عند الجنازة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3276_136699"/>
    </w:p>
    <w:p>
      <w:pPr>
        <w:pStyle w:val="Heading3"/>
        <w:numPr>
          <w:ilvl w:val="2"/>
          <w:numId w:val="1"/>
        </w:numPr>
        <w:rPr/>
      </w:pPr>
      <w:bookmarkStart w:id="560" w:name="__RefHeading___Toc1763962_2322387425"/>
      <w:bookmarkStart w:id="561" w:name="_Toc214"/>
      <w:bookmarkEnd w:id="559"/>
      <w:bookmarkEnd w:id="560"/>
      <w:r>
        <w:rPr>
          <w:rtl w:val="true"/>
        </w:rPr>
        <w:t>ما یعتبر فی صلاة المیت</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صلاة المیّت الطهارة من الحدث والخبث وإباحة اللباس</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 ستر العورة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وستر العورة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 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شرائط الصلاة، حتّی صفات الساتر، من عدم کونه حریراً أو ذهباً، أو من أجزاء ما لا یوءکل لحمه، وکذا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 اجتناب ما تنمحی به صورة الصلاة، ولا یُترک الاحتیاط بترک التکلّم و القهقهة والاستدبار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ترک الموانع للصلاة، کالتکلّم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والضحک والالتفات عن القبلة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3276_136700"/>
    </w:p>
    <w:p>
      <w:pPr>
        <w:pStyle w:val="Heading3"/>
        <w:numPr>
          <w:ilvl w:val="2"/>
          <w:numId w:val="1"/>
        </w:numPr>
        <w:rPr/>
      </w:pPr>
      <w:bookmarkStart w:id="563" w:name="__RefHeading___Toc1763964_2322387425"/>
      <w:bookmarkStart w:id="564" w:name="_Toc215"/>
      <w:bookmarkEnd w:id="562"/>
      <w:bookmarkEnd w:id="563"/>
      <w:r>
        <w:rPr>
          <w:rtl w:val="true"/>
        </w:rPr>
        <w:t>ما یلزم فی شرطیة القیام والاستقرار</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الصلاة قائماً أصلاً یجوز أن یصلّی جالساً</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ویکتفی بصلاته إذا لم یکن مَن یصلّی علیه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لم یوجد المصلّی القادر علی القیام، وتراجع المسألة الحادیة عشرة والمسألة الثانیة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دار الأمر بین القیام بلا استقرار والجلوس مع الاستقرار یقدَّم القیام، وإذا دار بین الصلاة ماشیاً أو جالساً یقدَّم الجلوس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خیف علی المیّت من الفساد مثلاً، وإلاّ فالأحوط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763966_2322387425"/>
      <w:bookmarkStart w:id="566" w:name="_Toc216"/>
      <w:bookmarkEnd w:id="565"/>
      <w:r>
        <w:rPr>
          <w:rtl w:val="true"/>
        </w:rPr>
        <w:t>حکم الصلاة عند اشتباه القبلة</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الاستقبال أصلاً سقط، وإن اشتبه صلّی إلی أربع جهات</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تجزئ الصلاة إلی ثلاث جهات علی أن یکون الفصل بینها علی حدّ سواء، بل لا تبعد کفایة الصلاة إلی جهة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 یبعد کفایة الصلاة إلی جهة واحدة مخیّراً بینها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مبنیّ علی الاحتیاط، ویحتمل جواز الصلاة إلی جهة واحدة؛ للنّص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القبلة،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بکفایة الصلاة إلی جهة واحدة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بذل جهده فی معرفة القبلة ولم یحصل له الظنّ بوجودها فی جهة معینة أجزأه علی الأظهر الإتیان بصلاة واحدة؛ متوجّهاً إلی الجهة التی یحتمل وجود القبلة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خیف علیه</w:t>
      </w:r>
      <w:bookmarkStart w:id="567" w:name="pg13276_136701"/>
    </w:p>
    <w:p>
      <w:pPr>
        <w:pStyle w:val="BookText"/>
        <w:rPr/>
      </w:pPr>
      <w:bookmarkEnd w:id="567"/>
      <w:r>
        <w:rPr>
          <w:rFonts w:ascii="IRNazanin" w:hAnsi="IRNazanin" w:eastAsia="IRNazanin"/>
          <w:color w:val="111111"/>
          <w:sz w:val="28"/>
          <w:sz w:val="28"/>
          <w:szCs w:val="28"/>
          <w:rtl w:val="true"/>
          <w:lang w:bidi="fa-IR"/>
        </w:rPr>
        <w:t>الفساد</w:t>
      </w:r>
      <w:r>
        <w:rPr>
          <w:rStyle w:val="FootnoteAnchor"/>
          <w:rtl w:val="true"/>
        </w:rPr>
        <w:footnoteReference w:id="589"/>
      </w:r>
      <w:r>
        <w:rPr>
          <w:rFonts w:ascii="Amiri" w:hAnsi="Amiri" w:eastAsia="Amiri" w:cs="Amiri"/>
          <w:color w:val="111111"/>
          <w:sz w:val="28"/>
          <w:sz w:val="28"/>
          <w:szCs w:val="28"/>
          <w:rtl w:val="true"/>
          <w:lang w:bidi="ar-SA"/>
        </w:rPr>
        <w:t>فیتخیّر</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جهة القبلة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أن یصلّی بعد الدفن إلی الجهات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ویحتاط بالصلاة إلی سائر الجهات بعد الدفن إن لم تنکشف القبلة، وإلاّ فإلیها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بعض الجهات مظنوناً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صلّی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خِیف علیه الفساد فالجهة المظنونة 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صورة عدم الخوف علی فساده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یَخَف الفساد، وإلاّ فیعمل بالمظنون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763968_2322387425"/>
      <w:bookmarkStart w:id="569" w:name="_Toc217"/>
      <w:bookmarkEnd w:id="568"/>
      <w:r>
        <w:rPr>
          <w:rtl w:val="true"/>
        </w:rPr>
        <w:t>غصبیة مکان المیّت دون المصلّی</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فی مکان مغصوب والمصلّی فی مکان مباح صحّت الصلاة</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مأموراً بإخراج المیّت من مکان مغصوب، وإلاّ فالصحّة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مأموراً بإخراجه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13276_136702"/>
    </w:p>
    <w:p>
      <w:pPr>
        <w:pStyle w:val="Heading3"/>
        <w:numPr>
          <w:ilvl w:val="2"/>
          <w:numId w:val="1"/>
        </w:numPr>
        <w:rPr/>
      </w:pPr>
      <w:bookmarkStart w:id="571" w:name="__RefHeading___Toc1763970_2322387425"/>
      <w:bookmarkStart w:id="572" w:name="_Toc218"/>
      <w:bookmarkEnd w:id="570"/>
      <w:bookmarkEnd w:id="571"/>
      <w:r>
        <w:rPr>
          <w:rtl w:val="true"/>
        </w:rPr>
        <w:t>صلاة غیر المأذون من الولی</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میّتین بصلاة واحدة وکان مأذوناً من ولیّ أحدهما دون الآخر أجزأ</w:t>
      </w:r>
      <w:r>
        <w:rPr>
          <w:rStyle w:val="FootnoteAnchor"/>
          <w:rtl w:val="true"/>
        </w:rPr>
        <w:footnoteReference w:id="592"/>
      </w:r>
      <w:r>
        <w:rPr>
          <w:rFonts w:ascii="IRNazanin" w:hAnsi="IRNazanin" w:eastAsia="IRNazanin"/>
          <w:color w:val="111111"/>
          <w:sz w:val="28"/>
          <w:sz w:val="28"/>
          <w:szCs w:val="28"/>
          <w:rtl w:val="true"/>
          <w:lang w:bidi="fa-IR"/>
        </w:rPr>
        <w:t>بالنسبة إلی المأذون فیه</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منافاة بین عصیان الأمر بالاستئذان وصحّة الصلاة، فالإجزاء بالنسبة إلیهما معاً قوی، والاحتیاط بالإعادة لهما معاً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1763972_2322387425"/>
      <w:bookmarkStart w:id="574" w:name="_Toc219"/>
      <w:bookmarkEnd w:id="573"/>
      <w:r>
        <w:rPr>
          <w:rtl w:val="true"/>
        </w:rPr>
        <w:t>اذا دفن المیت ولم یصلَّ علیه</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بعد الصلاة أنّ المیّت کان مکبوباً وجبت الإعادة</w:t>
      </w:r>
      <w:r>
        <w:rPr>
          <w:rStyle w:val="FootnoteAnchor"/>
          <w:rtl w:val="true"/>
        </w:rPr>
        <w:footnoteReference w:id="594"/>
      </w:r>
      <w:r>
        <w:rPr>
          <w:rFonts w:ascii="IRNazanin" w:hAnsi="IRNazanin" w:eastAsia="IRNazanin"/>
          <w:color w:val="111111"/>
          <w:sz w:val="28"/>
          <w:sz w:val="28"/>
          <w:szCs w:val="28"/>
          <w:rtl w:val="true"/>
          <w:lang w:bidi="fa-IR"/>
        </w:rPr>
        <w:t>بعد جعله مستلقیاً علی قفاه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یُصلَّ علی المیّت حتّی دفن یصلّی علی قبره</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مشروعیة الصلاة علی القبر إشکال، فلا بدّ من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تبیّن بعد الدفن بطلان الصلاة من جهة من الجهات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علی القبر ثمّ خرج المیّت من قبره بوجه من </w:t>
      </w:r>
      <w:bookmarkStart w:id="575" w:name="pg13276_136703"/>
    </w:p>
    <w:p>
      <w:pPr>
        <w:pStyle w:val="BookText"/>
        <w:rPr/>
      </w:pPr>
      <w:bookmarkEnd w:id="575"/>
      <w:r>
        <w:rPr>
          <w:rFonts w:ascii="IRNazanin" w:hAnsi="IRNazanin" w:eastAsia="IRNazanin"/>
          <w:color w:val="111111"/>
          <w:sz w:val="28"/>
          <w:sz w:val="28"/>
          <w:szCs w:val="28"/>
          <w:rtl w:val="true"/>
          <w:lang w:bidi="fa-IR"/>
        </w:rPr>
        <w:t>الوجوه فالأحوط</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مراعاته غیر 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هذا 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عدم لزومها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الصلاة علیه</w:t>
      </w:r>
      <w:r>
        <w:rPr>
          <w:rFonts w:eastAsia="IRNazanin" w:cs="IRNazanin"/>
          <w:color w:val="111111"/>
          <w:sz w:val="28"/>
          <w:szCs w:val="28"/>
          <w:rtl w:val="true"/>
          <w:lang w:bidi="fa-IR"/>
        </w:rPr>
        <w:t>.</w:t>
      </w:r>
    </w:p>
    <w:p>
      <w:pPr>
        <w:pStyle w:val="Heading3"/>
        <w:numPr>
          <w:ilvl w:val="2"/>
          <w:numId w:val="1"/>
        </w:numPr>
        <w:rPr/>
      </w:pPr>
      <w:bookmarkStart w:id="576" w:name="__RefHeading___Toc1763974_2322387425"/>
      <w:bookmarkStart w:id="577" w:name="_Toc220"/>
      <w:bookmarkEnd w:id="576"/>
      <w:r>
        <w:rPr>
          <w:rtl w:val="true"/>
        </w:rPr>
        <w:t>التیمّم لصلاة الجنازة</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w:t>
      </w:r>
      <w:r>
        <w:rPr>
          <w:rStyle w:val="FootnoteAnchor"/>
          <w:rtl w:val="true"/>
        </w:rPr>
        <w:footnoteReference w:id="597"/>
      </w:r>
      <w:r>
        <w:rPr>
          <w:rFonts w:ascii="IRNazanin" w:hAnsi="IRNazanin" w:eastAsia="IRNazanin"/>
          <w:color w:val="111111"/>
          <w:sz w:val="28"/>
          <w:sz w:val="28"/>
          <w:szCs w:val="28"/>
          <w:rtl w:val="true"/>
          <w:lang w:bidi="fa-IR"/>
        </w:rPr>
        <w:t>لصلاة الجنازة وإن تمکّن من الماء</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بالتیمّم برجاء المطلوبیة فی صورة وجود الماء و إمکان إدراک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حینئذٍ أن یتیمّم رجاءً، کما یأتی منه فی باب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نعم، لا بأس بالإتیان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 علی صورة عدم التمکّن من الوضوء أو الغسل، أو صورة خوف فوت الصلاة منه</w:t>
      </w:r>
      <w:r>
        <w:rPr>
          <w:rFonts w:eastAsia="IRNazanin" w:cs="IRNazanin"/>
          <w:color w:val="111111"/>
          <w:sz w:val="28"/>
          <w:szCs w:val="28"/>
          <w:rtl w:val="true"/>
          <w:lang w:bidi="fa-IR"/>
        </w:rPr>
        <w:t>.</w:t>
      </w:r>
    </w:p>
    <w:p>
      <w:pPr>
        <w:pStyle w:val="Heading3"/>
        <w:numPr>
          <w:ilvl w:val="2"/>
          <w:numId w:val="1"/>
        </w:numPr>
        <w:rPr/>
      </w:pPr>
      <w:bookmarkStart w:id="578" w:name="__RefHeading___Toc1763976_2322387425"/>
      <w:bookmarkStart w:id="579" w:name="_Toc221"/>
      <w:bookmarkEnd w:id="578"/>
      <w:r>
        <w:rPr>
          <w:rtl w:val="true"/>
        </w:rPr>
        <w:t>الکلام بغیر الصلاة أثناء صلاة الجنازة</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مهدی الشیرازی، الشاهرودی، البجنوردی، عبداللّه الشیرازی، الفانی، المرعشی، الخوئی، الآملی، السبزواری،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التکلّم فی أثناء الصلاة علی</w:t>
      </w:r>
      <w:bookmarkStart w:id="580" w:name="pg13276_136704"/>
    </w:p>
    <w:p>
      <w:pPr>
        <w:pStyle w:val="BookText"/>
        <w:rPr/>
      </w:pPr>
      <w:bookmarkEnd w:id="580"/>
      <w:r>
        <w:rPr>
          <w:rFonts w:ascii="Amiri" w:hAnsi="Amiri" w:eastAsia="Amiri" w:cs="Amiri"/>
          <w:color w:val="111111"/>
          <w:sz w:val="28"/>
          <w:sz w:val="28"/>
          <w:szCs w:val="28"/>
          <w:rtl w:val="true"/>
          <w:lang w:bidi="ar-SA"/>
        </w:rPr>
        <w:t>المیّت</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البطلان بالکلام الکثیر الماحی هو الأقوی، وهکذا الضحک ونحوه ممّا هو ماحٍ لصورة العمل فی نظر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وإن لا یبعد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مطلق التکلّم، أمّا إذا کان ماحیاً لصورة الصلاة فالأقوی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البطلان به</w:t>
      </w:r>
      <w:r>
        <w:rPr>
          <w:rFonts w:eastAsia="IRNazanin" w:cs="IRNazanin"/>
          <w:color w:val="111111"/>
          <w:sz w:val="28"/>
          <w:szCs w:val="28"/>
          <w:rtl w:val="true"/>
          <w:lang w:bidi="fa-IR"/>
        </w:rPr>
        <w:t>.</w:t>
      </w:r>
    </w:p>
    <w:p>
      <w:pPr>
        <w:pStyle w:val="Heading3"/>
        <w:numPr>
          <w:ilvl w:val="2"/>
          <w:numId w:val="1"/>
        </w:numPr>
        <w:rPr/>
      </w:pPr>
      <w:bookmarkStart w:id="581" w:name="__RefHeading___Toc1763978_2322387425"/>
      <w:bookmarkStart w:id="582" w:name="_Toc222"/>
      <w:bookmarkEnd w:id="581"/>
      <w:r>
        <w:rPr>
          <w:rtl w:val="true"/>
        </w:rPr>
        <w:t>الإشکال فی صلاة العاجز مع وجود من یستطیع القیام</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من یقدر علی الصلاة قائماً فی إجزاء صلاة العاجز</w:t>
      </w:r>
      <w:r>
        <w:rPr>
          <w:rStyle w:val="FootnoteAnchor"/>
          <w:rtl w:val="true"/>
        </w:rPr>
        <w:footnoteReference w:id="601"/>
      </w:r>
      <w:r>
        <w:rPr>
          <w:rFonts w:ascii="IRNazanin" w:hAnsi="IRNazanin" w:eastAsia="IRNazanin"/>
          <w:color w:val="111111"/>
          <w:sz w:val="28"/>
          <w:sz w:val="28"/>
          <w:szCs w:val="28"/>
          <w:rtl w:val="true"/>
          <w:lang w:bidi="fa-IR"/>
        </w:rPr>
        <w:t>عن القیام جالساً إشکال</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الإجزاء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اظهره عدم الاجزاء، بل عدم صحة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الإجزاء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إجزاوءها عن العاجزین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الإجزاء، وإن کانت صحّتها بالإضافة إلی نفسه قویّة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صحّتها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محلّ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قیام مَن یقدر علی القیام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وإن لم یجزِ عن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قیام القادر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صحتها فی حق العاجز، لکن فی الاجتزاء به کلام قد مرّ، ولا استبعاد فی التفکیک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إلاّ عند قیام مَن یقدر علی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فی صحّتها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صحّتها بالنسبة إلی المصلّی، وأمّا سقوطها عن الغیر بصلاته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3276_136705"/>
    </w:p>
    <w:p>
      <w:pPr>
        <w:pStyle w:val="Heading3"/>
        <w:numPr>
          <w:ilvl w:val="2"/>
          <w:numId w:val="1"/>
        </w:numPr>
        <w:rPr/>
      </w:pPr>
      <w:bookmarkStart w:id="584" w:name="__RefHeading___Toc1763980_2322387425"/>
      <w:bookmarkStart w:id="585" w:name="_Toc223"/>
      <w:bookmarkEnd w:id="583"/>
      <w:bookmarkEnd w:id="584"/>
      <w:r>
        <w:rPr>
          <w:rtl w:val="true"/>
        </w:rPr>
        <w:t>انکشاف وجود القادر بعد الصلاة من العاجز</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علیه العاجز عن القیام جالساً باعتقاد عدم وجود من یتمکّن من القیام، ثمّ تبیّن وجوده فالظاهر وجوب</w:t>
      </w:r>
      <w:r>
        <w:rPr>
          <w:rStyle w:val="FootnoteAnchor"/>
          <w:rtl w:val="true"/>
        </w:rPr>
        <w:footnoteReference w:id="603"/>
      </w:r>
      <w:r>
        <w:rPr>
          <w:rFonts w:ascii="IRNazanin" w:hAnsi="IRNazanin" w:eastAsia="IRNazanin"/>
          <w:color w:val="111111"/>
          <w:sz w:val="28"/>
          <w:sz w:val="28"/>
          <w:szCs w:val="28"/>
          <w:rtl w:val="true"/>
          <w:lang w:bidi="fa-IR"/>
        </w:rPr>
        <w:t>الإعادة، بل وکذا إذا لم یکن موجوداً من الأوّل لکن وجد بعد الفراغ</w:t>
      </w:r>
      <w:r>
        <w:rPr>
          <w:rStyle w:val="FootnoteAnchor"/>
          <w:rtl w:val="true"/>
        </w:rPr>
        <w:footnoteReference w:id="604"/>
      </w:r>
      <w:r>
        <w:rPr>
          <w:rFonts w:ascii="Amiri" w:hAnsi="Amiri" w:eastAsia="Amiri" w:cs="Amiri"/>
          <w:color w:val="111111"/>
          <w:sz w:val="28"/>
          <w:sz w:val="28"/>
          <w:szCs w:val="28"/>
          <w:rtl w:val="true"/>
          <w:lang w:bidi="ar-SA"/>
        </w:rPr>
        <w:t>من الصلاة</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مبنیّ علی الاحتیاط فی هذا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عجز القادر القائم فی أثناء الصلاة فتمّمها جالساً فإنّها لا تجزی عن القادر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فیجب علیه الإتیان بها قائماً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763982_2322387425"/>
      <w:bookmarkStart w:id="587" w:name="_Toc224"/>
      <w:bookmarkEnd w:id="586"/>
      <w:r>
        <w:rPr>
          <w:rtl w:val="true"/>
        </w:rPr>
        <w:t>الشک فی صلاة الغیر</w:t>
      </w:r>
      <w:bookmarkEnd w:id="58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أنّ غیره صلّی علیه أم لا بنی علی عدمها، </w:t>
      </w:r>
      <w:bookmarkStart w:id="588" w:name="pg13276_136706"/>
    </w:p>
    <w:p>
      <w:pPr>
        <w:pStyle w:val="BookText"/>
        <w:rPr/>
      </w:pPr>
      <w:bookmarkEnd w:id="588"/>
      <w:r>
        <w:rPr>
          <w:rFonts w:ascii="IRNazanin" w:hAnsi="IRNazanin" w:eastAsia="IRNazanin"/>
          <w:color w:val="111111"/>
          <w:sz w:val="28"/>
          <w:sz w:val="28"/>
          <w:szCs w:val="28"/>
          <w:rtl w:val="true"/>
          <w:lang w:bidi="fa-IR"/>
        </w:rPr>
        <w:t>وإن علم بها وشکّ فی صحّتها وعدمها حمل علی الصحّة وإن کان من صلّی علیه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بفسادها وجب الإعادة وإن کان المصلّی معتقداً للصحّة وقاطعاً بها</w:t>
      </w:r>
      <w:r>
        <w:rPr>
          <w:rFonts w:eastAsia="IRNazanin" w:cs="IRNazanin"/>
          <w:color w:val="111111"/>
          <w:sz w:val="28"/>
          <w:szCs w:val="28"/>
          <w:rtl w:val="true"/>
          <w:lang w:bidi="fa-IR"/>
        </w:rPr>
        <w:t>.</w:t>
      </w:r>
    </w:p>
    <w:p>
      <w:pPr>
        <w:pStyle w:val="Heading3"/>
        <w:numPr>
          <w:ilvl w:val="2"/>
          <w:numId w:val="1"/>
        </w:numPr>
        <w:rPr/>
      </w:pPr>
      <w:bookmarkStart w:id="589" w:name="__RefHeading___Toc1763984_2322387425"/>
      <w:bookmarkStart w:id="590" w:name="_Toc225"/>
      <w:bookmarkEnd w:id="589"/>
      <w:r>
        <w:rPr>
          <w:rtl w:val="true"/>
        </w:rPr>
        <w:t>الصلاة علی المیّت مع العلم ببطلانها تقلیلاً أو اجتهاداً</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أحد علیه معتقداً بصحّتها ـ بحسب تقلیده أو اجتهاده ـ لا یجب</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إتیان الصلاة علی ما یوافق اعتقاده اجتهاداً أو تقلیداً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ولا 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والوجوب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لا سیّما إذا کان هو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وإشکال، بل الظاهر وجوب إتیانها علیه؛ لقیام الحجّة عنده علی عدم الإتیان بالصلاة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الإتیان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المعتقد فسادها إتیانها علی وفق مذهبه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وإن کان وجیهاً لکنّه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فالأحوط وجوبه؛ إذْ لا فرق بین طرق الإحراز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تقی القمّی،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نعم، إذ صلّی المخالف علی المخالف لم تجب إعادتها علی الإمامی مطلقاً، إلاّ إذا کان هو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 یعتقد</w:t>
      </w:r>
      <w:r>
        <w:rPr>
          <w:rFonts w:eastAsia="IRNazanin" w:cs="IRNazanin"/>
          <w:color w:val="111111"/>
          <w:sz w:val="28"/>
          <w:szCs w:val="28"/>
          <w:rtl w:val="true"/>
          <w:lang w:bidi="fa-IR"/>
        </w:rPr>
        <w:t>···</w:t>
      </w:r>
      <w:bookmarkStart w:id="591" w:name="pg13276_136707"/>
    </w:p>
    <w:p>
      <w:pPr>
        <w:pStyle w:val="BookText"/>
        <w:rPr/>
      </w:pPr>
      <w:bookmarkEnd w:id="591"/>
      <w:r>
        <w:rPr>
          <w:rFonts w:ascii="IRNazanin" w:hAnsi="IRNazanin" w:eastAsia="IRNazanin"/>
          <w:color w:val="111111"/>
          <w:sz w:val="28"/>
          <w:sz w:val="28"/>
          <w:szCs w:val="28"/>
          <w:rtl w:val="true"/>
          <w:lang w:bidi="fa-IR"/>
        </w:rPr>
        <w:t>فسادها</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جدّاً؛ لعدم اقتضاء الأمر الظاهری الإجزاء فی حقّ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الوجوب،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إن کان الولیّ هو المعتقِد، فالأحوط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إذ لا فرق بین القطع الوجدانی والتعبّدی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کما فی صورة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تقلیده أو اجتهاده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نعم، لو علم علماً قطعیّاً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ببطلانها وجب علیه إتیانها، وإن کان المصلّی أیضاً قاطعاً بصحّتها</w:t>
      </w:r>
      <w:r>
        <w:rPr>
          <w:rFonts w:eastAsia="IRNazanin" w:cs="IRNazanin"/>
          <w:color w:val="111111"/>
          <w:sz w:val="28"/>
          <w:szCs w:val="28"/>
          <w:rtl w:val="true"/>
          <w:lang w:bidi="fa-IR"/>
        </w:rPr>
        <w:t>.</w:t>
      </w:r>
    </w:p>
    <w:p>
      <w:pPr>
        <w:pStyle w:val="Heading3"/>
        <w:numPr>
          <w:ilvl w:val="2"/>
          <w:numId w:val="1"/>
        </w:numPr>
        <w:rPr/>
      </w:pPr>
      <w:bookmarkStart w:id="592" w:name="__RefHeading___Toc1763986_2322387425"/>
      <w:bookmarkStart w:id="593" w:name="_Toc226"/>
      <w:bookmarkEnd w:id="592"/>
      <w:r>
        <w:rPr>
          <w:rtl w:val="true"/>
        </w:rPr>
        <w:t>الصلاة علی المصلوب</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المصلوب بحکم الشرع لا یُصلّی علیه قبل الإنزال، بل یصلّی علیه بعد</w:t>
      </w:r>
      <w:r>
        <w:rPr>
          <w:rStyle w:val="FootnoteAnchor"/>
          <w:rtl w:val="true"/>
        </w:rPr>
        <w:footnoteReference w:id="608"/>
      </w:r>
      <w:r>
        <w:rPr>
          <w:rFonts w:ascii="IRNazanin" w:hAnsi="IRNazanin" w:eastAsia="IRNazanin"/>
          <w:color w:val="111111"/>
          <w:sz w:val="28"/>
          <w:sz w:val="28"/>
          <w:szCs w:val="28"/>
          <w:rtl w:val="true"/>
          <w:lang w:bidi="fa-IR"/>
        </w:rPr>
        <w:t>ثلاثة أیّام بعد ما یُنزَل، وکذا إذا لم یکن بحکم الشرع، لکن یجب</w:t>
      </w:r>
      <w:r>
        <w:rPr>
          <w:rStyle w:val="FootnoteAnchor"/>
          <w:rtl w:val="true"/>
        </w:rPr>
        <w:footnoteReference w:id="609"/>
      </w:r>
      <w:r>
        <w:rPr>
          <w:rFonts w:ascii="IRNazanin" w:hAnsi="IRNazanin" w:eastAsia="IRNazanin"/>
          <w:color w:val="111111"/>
          <w:sz w:val="28"/>
          <w:sz w:val="28"/>
          <w:szCs w:val="28"/>
          <w:rtl w:val="true"/>
          <w:lang w:bidi="fa-IR"/>
        </w:rPr>
        <w:t>إنزاله فوراً والصلاة علیه، ولو لم یمکن إنزاله یصلّی علیه وهو مصلوب</w:t>
      </w:r>
      <w:r>
        <w:rPr>
          <w:rStyle w:val="FootnoteAnchor"/>
          <w:rtl w:val="true"/>
        </w:rPr>
        <w:footnoteReference w:id="610"/>
      </w:r>
      <w:r>
        <w:rPr>
          <w:rFonts w:ascii="Amiri" w:hAnsi="Amiri" w:eastAsia="Amiri" w:cs="Amiri"/>
          <w:color w:val="111111"/>
          <w:sz w:val="28"/>
          <w:sz w:val="28"/>
          <w:szCs w:val="28"/>
          <w:rtl w:val="true"/>
          <w:lang w:bidi="ar-SA"/>
        </w:rPr>
        <w:t>، مع مراعاة الشرائط</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وملازمة أحد منکبَی المصلوب علی نحو ما فی روایة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الجنازة،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ووقوف المصلّی علی نحو ما فی روایة أبی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الجنازة،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فی کیفیة الاستقبال حینئذٍ، ولا بأس بالعمل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ملازمة أحد منکبَی المصلوب، علی نحو 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لزوم مراعاة ما فی روایة أبی هاشم الجعفری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رعایة القبلة ومنکب المیّت، فلو کان المیّت مستقبلاً أو مستدبراً یأتـی بصلاتین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إحداهـما مستقبلاً، والاُخری محاذیاً لمنکبه، وینحرف إلی یسار القبلة، لا إلی نقطة المشرق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الأخبار ملازمة أحد منکبَیه، علی 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الروایات یکون ملازماً فی حال الصلاة لأحد منکبَی المصلوب، ویراعی القبلة مع الإمکان، وإلاّ فیراعی القبلة الاضطراریة وهی ما بین المشرق والمغرب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594" w:name="pg13276_136708"/>
    </w:p>
    <w:p>
      <w:pPr>
        <w:pStyle w:val="BookText"/>
        <w:rPr/>
      </w:pPr>
      <w:bookmarkEnd w:id="594"/>
      <w:r>
        <w:rPr>
          <w:rFonts w:ascii="IRNazanin" w:hAnsi="IRNazanin" w:eastAsia="IRNazanin"/>
          <w:color w:val="111111"/>
          <w:sz w:val="28"/>
          <w:sz w:val="28"/>
          <w:szCs w:val="28"/>
          <w:rtl w:val="true"/>
          <w:lang w:bidi="fa-IR"/>
        </w:rPr>
        <w:t>بقدر الإمکان</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یستفاد من حدیث أبی هاشم الجعفری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Heading3"/>
        <w:numPr>
          <w:ilvl w:val="2"/>
          <w:numId w:val="1"/>
        </w:numPr>
        <w:rPr/>
      </w:pPr>
      <w:bookmarkStart w:id="595" w:name="__RefHeading___Toc1763988_2322387425"/>
      <w:bookmarkStart w:id="596" w:name="_Toc227"/>
      <w:bookmarkEnd w:id="595"/>
      <w:r>
        <w:rPr>
          <w:rtl w:val="true"/>
        </w:rPr>
        <w:t>تکرار الصلاة علی المیت</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تکرار الصلاة</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المیّت، سواء اتّحد المصلّی أو تعدّد، لکنّه مکروه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کان المیّت من أهل العلم والشرف</w:t>
      </w:r>
      <w:bookmarkStart w:id="597" w:name="pg13276_136709"/>
    </w:p>
    <w:p>
      <w:pPr>
        <w:pStyle w:val="BookText"/>
        <w:rPr/>
      </w:pPr>
      <w:bookmarkEnd w:id="597"/>
      <w:r>
        <w:rPr>
          <w:rFonts w:ascii="IRNazanin" w:hAnsi="IRNazanin" w:eastAsia="IRNazanin"/>
          <w:color w:val="111111"/>
          <w:sz w:val="28"/>
          <w:sz w:val="28"/>
          <w:szCs w:val="28"/>
          <w:rtl w:val="true"/>
          <w:lang w:bidi="fa-IR"/>
        </w:rPr>
        <w:t>والتقوی</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1763990_2322387425"/>
      <w:bookmarkStart w:id="599" w:name="_Toc228"/>
      <w:bookmarkEnd w:id="598"/>
      <w:r>
        <w:rPr>
          <w:rtl w:val="true"/>
        </w:rPr>
        <w:t>لو ترکت الصلاة قبل الدفن</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الصلاة قبل الدفن، فلا یجوز التأخیر إلی مابعده، نعم، لو دفن قبل الصلاة عصیاناً أو نسیاناً، أو لعذر آخر، أو تبیّن کونها فاسدة ولو لکونه حال الصلاة علیه مقلوباً</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الفرض لا تجب الصلاة علی 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نبشه لأجل الصلاة، بل یُصلّی علی قبره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یأتی بها رجاءً فی خصوص ما کان مقلوباً رجلاه إلی موضع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الصلاة علی القبر مبنیّ، علی الاحتیاط، والقاعدة تقتضی نبش القبر والصلاة علی المیّت علی النحو المقرّر الشرعیّ، أو إعادتها، إلاّ فیما صُلّی علیه 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النبش موجباً لهتک المیّت، أو لمحرّم آخر یدخل المقام فی باب التزاحم، فلابدّ من إعمال قانونه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ومنه یظهر الحال فی المسألة الآتیة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مراعیاً للشرائط من الاستقبال وغیره وإن کان بعد یوم ولیلة، بل وأزید أیضاً، إلاّ أن یکون بعد ما تلاشی ولم یصدق علیه الشخص المیّت فحینئذٍ یسقط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برز بعدالصلاة علیه بنبش أو غیره فالأحوط 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600" w:name="pg13276_136710"/>
    </w:p>
    <w:p>
      <w:pPr>
        <w:pStyle w:val="BookText"/>
        <w:rPr/>
      </w:pPr>
      <w:bookmarkEnd w:id="600"/>
      <w:r>
        <w:rPr>
          <w:rFonts w:ascii="IRNazanin" w:hAnsi="IRNazanin" w:eastAsia="IRNazanin"/>
          <w:color w:val="111111"/>
          <w:sz w:val="28"/>
          <w:sz w:val="28"/>
          <w:szCs w:val="28"/>
          <w:rtl w:val="true"/>
          <w:lang w:bidi="fa-IR"/>
        </w:rPr>
        <w:t>الصلاة علیه</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601" w:name="__RefHeading___Toc1763992_2322387425"/>
      <w:bookmarkStart w:id="602" w:name="_Toc229"/>
      <w:bookmarkEnd w:id="601"/>
      <w:r>
        <w:rPr>
          <w:rtl w:val="true"/>
        </w:rPr>
        <w:t>الصلاة علی المصلّی علیه قبل الدفن</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المصلّی علیه قبل الدفن یجوز الصلاة</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 لم یدرک الصلاة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لمن لم یدرک الصلاة قبل 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قصد الرجاء حتّی مَن لم یُصلّ علیه لکان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علی الأحوط، خصوصاً إن صلّی علیه قبل دفنه، وخصوصاً بعد الیوم واللیلة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لخصوص من لم یُصلَّ علیه قبل 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قبره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یدرک الصلاة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بأس بالإتیان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 لم یمضِ أزید من یوم ولیلة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مضی أزید من ذلک فالأحوط 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بالإتیان بها برجاء المطلوبیة، خصوصاً قبل مضیِّ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الصلاة علی المیّت فی جمیع الأوقات بلا کراهة، حتّی فی الأوقات الّتی یکره النافلة فیها عند المشهور، من غیر فرق بین </w:t>
      </w:r>
      <w:bookmarkStart w:id="603" w:name="pg13276_136711"/>
    </w:p>
    <w:p>
      <w:pPr>
        <w:pStyle w:val="BookText"/>
        <w:rPr/>
      </w:pPr>
      <w:bookmarkEnd w:id="603"/>
      <w:r>
        <w:rPr>
          <w:rFonts w:ascii="IRNazanin" w:hAnsi="IRNazanin" w:eastAsia="IRNazanin"/>
          <w:color w:val="111111"/>
          <w:sz w:val="28"/>
          <w:sz w:val="28"/>
          <w:szCs w:val="28"/>
          <w:rtl w:val="true"/>
          <w:lang w:bidi="fa-IR"/>
        </w:rPr>
        <w:t>أن تکون الصلاة علی المیّت واجبة أو مستحبّة</w:t>
      </w:r>
      <w:r>
        <w:rPr>
          <w:rFonts w:eastAsia="IRNazanin" w:cs="IRNazanin"/>
          <w:color w:val="111111"/>
          <w:sz w:val="28"/>
          <w:szCs w:val="28"/>
          <w:rtl w:val="true"/>
          <w:lang w:bidi="fa-IR"/>
        </w:rPr>
        <w:t>.</w:t>
      </w:r>
    </w:p>
    <w:p>
      <w:pPr>
        <w:pStyle w:val="Heading3"/>
        <w:numPr>
          <w:ilvl w:val="2"/>
          <w:numId w:val="1"/>
        </w:numPr>
        <w:rPr/>
      </w:pPr>
      <w:bookmarkStart w:id="604" w:name="__RefHeading___Toc1763994_2322387425"/>
      <w:bookmarkStart w:id="605" w:name="_Toc230"/>
      <w:bookmarkEnd w:id="604"/>
      <w:r>
        <w:rPr>
          <w:rtl w:val="true"/>
        </w:rPr>
        <w:t>استحباب المبادرة إلی صلاة‌الجنازة</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المبادرة إلی الصلاة علی المیّت</w:t>
      </w:r>
      <w:r>
        <w:rPr>
          <w:rStyle w:val="FootnoteAnchor"/>
          <w:rtl w:val="true"/>
        </w:rPr>
        <w:footnoteReference w:id="618"/>
      </w:r>
      <w:r>
        <w:rPr>
          <w:rFonts w:ascii="IRNazanin" w:hAnsi="IRNazanin" w:eastAsia="IRNazanin"/>
          <w:color w:val="111111"/>
          <w:sz w:val="28"/>
          <w:sz w:val="28"/>
          <w:szCs w:val="28"/>
          <w:rtl w:val="true"/>
          <w:lang w:bidi="fa-IR"/>
        </w:rPr>
        <w:t>وإن کان فی وقت فضیلة الفریضة</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تقدیمها علی الفریضة فی وقت فضیلتها وعلی القضاء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تقدیم الفریضة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لا یبعد ترجیح تقدیم وقت الفضیلة مع ضیقه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أنّ الأولی تقدیمها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النافلة وعلی قضاء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تقدیمها علی الفریضة فضلاً عن النافلة فی سعة الوقت إذا خیف علی المیّت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تأخیرها عن الفریضة مع ضیق وقتها وعدم الخوف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خیف علیه مع ضیق وقت الفریضة تُقدَّم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ویصلّی علیه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خیف علیه من تأخیر الدفن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ضیق وقت الفریضة یُقدَّم الدفن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تختلف مراتب الخوف فیختلف المقدّم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 أنّ تأخیره ولو بمقدار الإتیان بصلاة الفریضة مع الاقتصار علی أقلّ الواجب مستلزم لهتک حرمة المؤمن، وإلاّ فلا یبعد لزوم تقدیم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الظاهر تقدیم الفریضة مع الاقتصار علی أقلّ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وتقضی</w:t>
      </w:r>
      <w:bookmarkStart w:id="606" w:name="pg13276_136712"/>
    </w:p>
    <w:p>
      <w:pPr>
        <w:pStyle w:val="BookText"/>
        <w:rPr/>
      </w:pPr>
      <w:bookmarkEnd w:id="606"/>
      <w:r>
        <w:rPr>
          <w:rFonts w:ascii="IRNazanin" w:hAnsi="IRNazanin" w:eastAsia="IRNazanin"/>
          <w:color w:val="111111"/>
          <w:sz w:val="28"/>
          <w:sz w:val="28"/>
          <w:szCs w:val="28"/>
          <w:rtl w:val="true"/>
          <w:lang w:bidi="fa-IR"/>
        </w:rPr>
        <w:t>الفریضة</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تقدیم الفریضة مقتصراً علی أقلّ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أن یصلّی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الفریضة مُومِئَاً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ولکن لا یترک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763996_2322387425"/>
      <w:bookmarkStart w:id="608" w:name="_Toc231"/>
      <w:bookmarkEnd w:id="607"/>
      <w:r>
        <w:rPr>
          <w:rtl w:val="true"/>
        </w:rPr>
        <w:t>الصلاة علی الجنازة أثناء الفریضة الیومیة</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621"/>
      </w:r>
      <w:r>
        <w:rPr>
          <w:rFonts w:ascii="IRNazanin" w:hAnsi="IRNazanin" w:eastAsia="IRNazanin"/>
          <w:color w:val="111111"/>
          <w:sz w:val="28"/>
          <w:sz w:val="28"/>
          <w:szCs w:val="28"/>
          <w:rtl w:val="true"/>
          <w:lang w:bidi="fa-IR"/>
        </w:rPr>
        <w:t>علی الأحوط</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ینبغی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إتیان صلاة المیّت فی أثناء</w:t>
      </w:r>
      <w:bookmarkStart w:id="609" w:name="pg13276_136713"/>
    </w:p>
    <w:p>
      <w:pPr>
        <w:pStyle w:val="BookText"/>
        <w:rPr/>
      </w:pPr>
      <w:bookmarkEnd w:id="609"/>
      <w:r>
        <w:rPr>
          <w:rFonts w:ascii="IRNazanin" w:hAnsi="IRNazanin" w:eastAsia="IRNazanin"/>
          <w:color w:val="111111"/>
          <w:sz w:val="28"/>
          <w:sz w:val="28"/>
          <w:szCs w:val="28"/>
          <w:rtl w:val="true"/>
          <w:lang w:bidi="fa-IR"/>
        </w:rPr>
        <w:t>الفریضة</w:t>
      </w:r>
      <w:r>
        <w:rPr>
          <w:rStyle w:val="FootnoteAnchor"/>
          <w:rtl w:val="true"/>
        </w:rPr>
        <w:footnoteReference w:id="623"/>
      </w:r>
      <w:r>
        <w:rPr>
          <w:rFonts w:ascii="IRNazanin" w:hAnsi="IRNazanin" w:eastAsia="IRNazanin"/>
          <w:color w:val="111111"/>
          <w:sz w:val="28"/>
          <w:sz w:val="28"/>
          <w:szCs w:val="28"/>
          <w:rtl w:val="true"/>
          <w:lang w:bidi="fa-IR"/>
        </w:rPr>
        <w:t>وإن لم تکن ماحیة لصورتها، کما إذا اقتصر علی التکبیرات وأقلّ الواجبات من الأدعیة فی حال القنوت مثلاً</w:t>
      </w:r>
      <w:r>
        <w:rPr>
          <w:rFonts w:eastAsia="IRNazanin" w:cs="IRNazanin"/>
          <w:color w:val="111111"/>
          <w:sz w:val="28"/>
          <w:szCs w:val="28"/>
          <w:rtl w:val="true"/>
          <w:lang w:bidi="fa-IR"/>
        </w:rPr>
        <w:t>.</w:t>
      </w:r>
    </w:p>
    <w:p>
      <w:pPr>
        <w:pStyle w:val="Heading3"/>
        <w:numPr>
          <w:ilvl w:val="2"/>
          <w:numId w:val="1"/>
        </w:numPr>
        <w:rPr/>
      </w:pPr>
      <w:bookmarkStart w:id="610" w:name="__RefHeading___Toc1763998_2322387425"/>
      <w:bookmarkStart w:id="611" w:name="_Toc232"/>
      <w:bookmarkEnd w:id="610"/>
      <w:r>
        <w:rPr>
          <w:rtl w:val="true"/>
        </w:rPr>
        <w:t>کیفیة الصلاة إذا تعدّدت الجنائز</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میّتان یجوز أن یصلّی علی کلّ واحد منهما منفرداً، ویجوز التشریک بینهما فی الصلاة، فیصلّی صلاةً واحدةً علیهما وإن کانا مختلفین فی الوجوب والاستحباب، وبعد التکبیر الرابع یأتی بضمیر التثنیة، هذا إذا لم یخف علیهما أو علی أحدهما من الفساد،وإلاّ وجب التشریک، أو تقدیم من یخاف فساده</w:t>
      </w:r>
      <w:r>
        <w:rPr>
          <w:rFonts w:eastAsia="IRNazanin" w:cs="IRNazanin"/>
          <w:color w:val="111111"/>
          <w:sz w:val="28"/>
          <w:szCs w:val="28"/>
          <w:rtl w:val="true"/>
          <w:lang w:bidi="fa-IR"/>
        </w:rPr>
        <w:t>.</w:t>
      </w:r>
    </w:p>
    <w:p>
      <w:pPr>
        <w:pStyle w:val="Heading3"/>
        <w:numPr>
          <w:ilvl w:val="2"/>
          <w:numId w:val="1"/>
        </w:numPr>
        <w:rPr/>
      </w:pPr>
      <w:bookmarkStart w:id="612" w:name="__RefHeading___Toc1764000_2322387425"/>
      <w:bookmarkStart w:id="613" w:name="_Toc233"/>
      <w:bookmarkEnd w:id="612"/>
      <w:r>
        <w:rPr>
          <w:rtl w:val="true"/>
        </w:rPr>
        <w:t>إذا تواردت جنازة أثناء أخری</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فی أثناء الصلاة علی المیّت میّت آخر یتخیّر المصلّی بین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یتمّ الصلاة</w:t>
      </w:r>
      <w:r>
        <w:rPr>
          <w:rStyle w:val="FootnoteAnchor"/>
          <w:rtl w:val="true"/>
        </w:rPr>
        <w:footnoteReference w:id="624"/>
      </w:r>
      <w:r>
        <w:rPr>
          <w:rFonts w:ascii="Amiri" w:hAnsi="Amiri" w:eastAsia="Amiri" w:cs="Amiri"/>
          <w:color w:val="111111"/>
          <w:sz w:val="28"/>
          <w:sz w:val="28"/>
          <w:szCs w:val="28"/>
          <w:rtl w:val="true"/>
          <w:lang w:bidi="ar-SA"/>
        </w:rPr>
        <w:t>علی الأوّل</w:t>
      </w:r>
      <w:r>
        <w:rPr>
          <w:rStyle w:val="FootnoteAnchor"/>
          <w:rtl w:val="true"/>
        </w:rPr>
        <w:footnoteReference w:id="625"/>
      </w:r>
      <w:r>
        <w:rPr>
          <w:rFonts w:ascii="IRNazanin" w:hAnsi="IRNazanin" w:eastAsia="IRNazanin"/>
          <w:color w:val="111111"/>
          <w:sz w:val="28"/>
          <w:sz w:val="28"/>
          <w:szCs w:val="28"/>
          <w:rtl w:val="true"/>
          <w:lang w:bidi="fa-IR"/>
        </w:rPr>
        <w:t>ثمّ یأتی بالصلاة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الصلاة</w:t>
      </w:r>
      <w:r>
        <w:rPr>
          <w:rStyle w:val="FootnoteAnchor"/>
          <w:rtl w:val="true"/>
        </w:rPr>
        <w:footnoteReference w:id="626"/>
      </w:r>
      <w:r>
        <w:rPr>
          <w:rFonts w:ascii="IRNazanin" w:hAnsi="IRNazanin" w:eastAsia="IRNazanin"/>
          <w:color w:val="111111"/>
          <w:sz w:val="28"/>
          <w:sz w:val="28"/>
          <w:szCs w:val="28"/>
          <w:rtl w:val="true"/>
          <w:lang w:bidi="fa-IR"/>
        </w:rPr>
        <w:t>واستئنافها بنحو التشریک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التشریک فی التکبیرات الباقیة وإتیان الدعاء لکلّ منهما بما یخصّه، والإتیان ببقیّة الصلاة للثانی بعد تمام صلاة الأوّل، مثلاً إذا حضر </w:t>
      </w:r>
    </w:p>
    <w:p>
      <w:pPr>
        <w:pStyle w:val="BookText"/>
        <w:rPr/>
      </w:pPr>
      <w:r>
        <w:rPr>
          <w:rFonts w:ascii="IRNazanin" w:hAnsi="IRNazanin" w:eastAsia="IRNazanin"/>
          <w:color w:val="111111"/>
          <w:sz w:val="28"/>
          <w:sz w:val="28"/>
          <w:szCs w:val="28"/>
          <w:rtl w:val="true"/>
          <w:lang w:bidi="fa-IR"/>
        </w:rPr>
        <w:t>قبل التکبیر الثالث یکبّر ویأتی بوظیفة صلاة الأوّل، وهی الدعاء للموءمنین والموءمنات، وبالشهادتین لصلاة المیّت الثانی، وبعد التکبیر الرابع یأتی بالدعاء للمیّت الأوّل، وبالصلاة علی النبیّ صلی‌الله‌علیه‌و‌آله للمیّت الثانی، وبعد الخامسة تتمّ صلاة الأوّل، ویأتی للثانی بوظیفة التکبیر الثالث، وهکذا یتمّ بقیّة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w:t>
      </w:r>
      <w:r>
        <w:rPr>
          <w:rStyle w:val="FootnoteAnchor"/>
          <w:rtl w:val="true"/>
        </w:rPr>
        <w:footnoteReference w:id="627"/>
      </w:r>
      <w:r>
        <w:rPr>
          <w:rFonts w:ascii="IRNazanin" w:hAnsi="IRNazanin" w:eastAsia="IRNazanin"/>
          <w:color w:val="111111"/>
          <w:sz w:val="28"/>
          <w:sz w:val="28"/>
          <w:szCs w:val="28"/>
          <w:rtl w:val="true"/>
          <w:lang w:bidi="fa-IR"/>
        </w:rPr>
        <w:t>فی تقدیم وظیفة المیّت الأوّل أو الثانی بعد کلّ تکبیر مشترک، هذا مع عدم الخوف علی واحد منهما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خیف علی الأوّل یتعیّن الوجه الأوّل، وإذا خیف علی الثانی یتعیّن الوجه الثانی، أو تقدیم الصلاة علی الثانی بعد القطع، وإذا خیف علیهما معاً یلاحظ قلّة الزمان</w:t>
      </w:r>
      <w:r>
        <w:rPr>
          <w:rStyle w:val="FootnoteAnchor"/>
          <w:rtl w:val="true"/>
        </w:rPr>
        <w:footnoteReference w:id="628"/>
      </w:r>
      <w:r>
        <w:rPr>
          <w:rFonts w:ascii="IRNazanin" w:hAnsi="IRNazanin" w:eastAsia="IRNazanin"/>
          <w:color w:val="111111"/>
          <w:sz w:val="28"/>
          <w:sz w:val="28"/>
          <w:szCs w:val="28"/>
          <w:rtl w:val="true"/>
          <w:lang w:bidi="fa-IR"/>
        </w:rPr>
        <w:t>فی القطع والتشریک بالنسبة إلیهما إن أمکن، وإلاّ فالأحوط عدم القطع</w:t>
      </w:r>
      <w:r>
        <w:rPr>
          <w:rFonts w:eastAsia="IRNazanin" w:cs="IRNazanin"/>
          <w:color w:val="111111"/>
          <w:sz w:val="28"/>
          <w:szCs w:val="28"/>
          <w:rtl w:val="true"/>
          <w:lang w:bidi="fa-IR"/>
        </w:rPr>
        <w:t xml:space="preserve">. </w:t>
      </w:r>
      <w:bookmarkStart w:id="614" w:name="pg13276_136715"/>
    </w:p>
    <w:p>
      <w:pPr>
        <w:pStyle w:val="Heading2"/>
        <w:numPr>
          <w:ilvl w:val="1"/>
          <w:numId w:val="1"/>
        </w:numPr>
        <w:rPr/>
      </w:pPr>
      <w:bookmarkStart w:id="615" w:name="__RefHeading___Toc1764002_2322387425"/>
      <w:bookmarkStart w:id="616" w:name="_Toc234"/>
      <w:bookmarkEnd w:id="614"/>
      <w:bookmarkEnd w:id="615"/>
      <w:r>
        <w:rPr>
          <w:rtl w:val="true"/>
        </w:rPr>
        <w:t>فصل</w:t>
      </w:r>
      <w:r>
        <w:rPr>
          <w:rtl w:val="true"/>
        </w:rPr>
        <w:t xml:space="preserve">: </w:t>
      </w:r>
      <w:r>
        <w:rPr>
          <w:rtl w:val="true"/>
        </w:rPr>
        <w:t>فی آداب الصلاة علی المیّت</w:t>
      </w:r>
      <w:bookmarkEnd w:id="616"/>
    </w:p>
    <w:p>
      <w:pPr>
        <w:pStyle w:val="BookText"/>
        <w:rPr/>
      </w:pP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بعضها غیر ثابت لا بأس بإتیانها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بعضها لم یقم علیه دلیل إلاّ قاعدة التسامح، فاللازم الإتیان بها برجاء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 ممّا نقله، ولکنّ الشأن فی الاستناد إلیها؛ لضعف أکثرها صدوراً أو دلالةً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دلیل إمضائها لیس إلاّ قاعدة التسامح، وتقرّر فی محلّه الإشکال فیها، فاللازم الإتیان بها برجاء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هذه الاُمور إنّما یثبت بقاعدة التسامح، فلا بدّ من أن یکون الإتیان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 بعض المذکورات تأمّل، فالإتیان بها رجاءً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Style w:val="FootnoteAnchor"/>
          <w:rtl w:val="true"/>
        </w:rPr>
        <w:footnoteReference w:id="631"/>
      </w:r>
      <w:r>
        <w:rPr>
          <w:rFonts w:ascii="IRNazanin" w:hAnsi="IRNazanin" w:eastAsia="IRNazanin"/>
          <w:color w:val="111111"/>
          <w:sz w:val="28"/>
          <w:sz w:val="28"/>
          <w:szCs w:val="28"/>
          <w:rtl w:val="true"/>
          <w:lang w:bidi="fa-IR"/>
        </w:rPr>
        <w:t>المصلّی علی طهارة من الوضوء أو الغسل أو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جواز التیمّم مع وجدان الماء أیضاً إن خاف فوت الصلاة لو أراد الوضوء، بل مطلقاً </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عند عدم خوف فوت الصلاة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أراد التیمّم مع وجود الماء وإمکان إدراک الصلاة أتی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الإمام والمنفرد عند وسط الرَجُل</w:t>
      </w:r>
      <w:r>
        <w:rPr>
          <w:rStyle w:val="FootnoteAnchor"/>
          <w:rtl w:val="true"/>
        </w:rPr>
        <w:footnoteReference w:id="633"/>
      </w:r>
      <w:r>
        <w:rPr>
          <w:rFonts w:ascii="IRNazanin" w:hAnsi="IRNazanin" w:eastAsia="IRNazanin"/>
          <w:color w:val="111111"/>
          <w:sz w:val="28"/>
          <w:sz w:val="28"/>
          <w:szCs w:val="28"/>
          <w:rtl w:val="true"/>
          <w:lang w:bidi="fa-IR"/>
        </w:rPr>
        <w:t>، بل مطلق الذکر، وعند صدر المرأة، بل مطلق الاُنثی، ویتخیّر فی الخنثی</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شرّک بین الذکر والاُنثی فی الصلاة جعل وسط الرَجل فی قبال صدر المرأة لیدرک الاستحباب</w:t>
      </w:r>
      <w:r>
        <w:rPr>
          <w:rStyle w:val="FootnoteAnchor"/>
          <w:rtl w:val="true"/>
        </w:rPr>
        <w:footnoteReference w:id="635"/>
      </w:r>
      <w:r>
        <w:rPr>
          <w:rFonts w:ascii="Amiri" w:hAnsi="Amiri" w:eastAsia="Amiri" w:cs="Amiri"/>
          <w:color w:val="111111"/>
          <w:sz w:val="28"/>
          <w:sz w:val="28"/>
          <w:szCs w:val="28"/>
          <w:rtl w:val="true"/>
          <w:lang w:bidi="ar-SA"/>
        </w:rPr>
        <w:t>بالنسبة إلی کلٍّ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حافیاً</w:t>
      </w:r>
      <w:r>
        <w:rPr>
          <w:rStyle w:val="FootnoteAnchor"/>
          <w:rtl w:val="true"/>
        </w:rPr>
        <w:footnoteReference w:id="636"/>
      </w:r>
      <w:r>
        <w:rPr>
          <w:rFonts w:ascii="IRNazanin" w:hAnsi="IRNazanin" w:eastAsia="IRNazanin"/>
          <w:color w:val="111111"/>
          <w:sz w:val="28"/>
          <w:sz w:val="28"/>
          <w:szCs w:val="28"/>
          <w:rtl w:val="true"/>
          <w:lang w:bidi="fa-IR"/>
        </w:rPr>
        <w:t>، بل یکره الصلاة بالحذاء</w:t>
      </w:r>
      <w:r>
        <w:rPr>
          <w:rStyle w:val="FootnoteAnchor"/>
          <w:rtl w:val="true"/>
        </w:rPr>
        <w:footnoteReference w:id="637"/>
      </w:r>
      <w:r>
        <w:rPr>
          <w:rFonts w:ascii="Amiri" w:hAnsi="Amiri" w:eastAsia="Amiri" w:cs="Amiri"/>
          <w:color w:val="111111"/>
          <w:sz w:val="28"/>
          <w:sz w:val="28"/>
          <w:szCs w:val="28"/>
          <w:rtl w:val="true"/>
          <w:lang w:bidi="ar-SA"/>
        </w:rPr>
        <w:t>دون مثل الخُفّ والجورب</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عند التکبیر الأوّل، بل عند الجمیع علی الأقوی</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قریباً</w:t>
      </w:r>
      <w:r>
        <w:rPr>
          <w:rStyle w:val="FootnoteAnchor"/>
          <w:rtl w:val="true"/>
        </w:rPr>
        <w:footnoteReference w:id="640"/>
      </w:r>
      <w:r>
        <w:rPr>
          <w:rFonts w:ascii="IRNazanin" w:hAnsi="IRNazanin" w:eastAsia="IRNazanin"/>
          <w:color w:val="111111"/>
          <w:sz w:val="28"/>
          <w:sz w:val="28"/>
          <w:szCs w:val="28"/>
          <w:rtl w:val="true"/>
          <w:lang w:bidi="fa-IR"/>
        </w:rPr>
        <w:t>من الجنازة بحیث لو هبّت الریح</w:t>
      </w:r>
      <w:r>
        <w:rPr>
          <w:rStyle w:val="FootnoteAnchor"/>
          <w:rtl w:val="true"/>
        </w:rPr>
        <w:footnoteReference w:id="641"/>
      </w:r>
      <w:r>
        <w:rPr>
          <w:rFonts w:ascii="Amiri" w:hAnsi="Amiri" w:eastAsia="Amiri" w:cs="Amiri"/>
          <w:color w:val="111111"/>
          <w:sz w:val="28"/>
          <w:sz w:val="28"/>
          <w:szCs w:val="28"/>
          <w:rtl w:val="true"/>
          <w:lang w:bidi="ar-SA"/>
        </w:rPr>
        <w:t>وَصَلَ ثوبه إلیها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الإمام صوته</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إلی حدٍّ خارجٍ عن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بالتکبیرات، بل الأدعیة أیضاً، وأن یسرّ المأموم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المواضع المعتادة للصلاة التی هی مظانّ الاجتماع وکثرة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توقع فی المساجد، فإنّه مکروه عدا المسجد الحرام</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هو المعروف المعمول بین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بالجماعة، وإن کان یکفی المنفرد ولو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المأموم خلف الإمام</w:t>
      </w:r>
      <w:r>
        <w:rPr>
          <w:rStyle w:val="FootnoteAnchor"/>
          <w:rtl w:val="true"/>
        </w:rPr>
        <w:footnoteReference w:id="644"/>
      </w:r>
      <w:r>
        <w:rPr>
          <w:rFonts w:ascii="IRNazanin" w:hAnsi="IRNazanin" w:eastAsia="IRNazanin"/>
          <w:color w:val="111111"/>
          <w:sz w:val="28"/>
          <w:sz w:val="28"/>
          <w:szCs w:val="28"/>
          <w:rtl w:val="true"/>
          <w:lang w:bidi="fa-IR"/>
        </w:rPr>
        <w:t>وإن کان واحداً، بخلاف الیومیّة حیث یستحبّ وقوفه</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واحداً إلی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فی الدعاء</w:t>
      </w:r>
      <w:r>
        <w:rPr>
          <w:rStyle w:val="FootnoteAnchor"/>
          <w:rtl w:val="true"/>
        </w:rPr>
        <w:footnoteReference w:id="646"/>
      </w:r>
      <w:r>
        <w:rPr>
          <w:rFonts w:ascii="IRNazanin" w:hAnsi="IRNazanin" w:eastAsia="IRNazanin"/>
          <w:color w:val="111111"/>
          <w:sz w:val="28"/>
          <w:sz w:val="28"/>
          <w:szCs w:val="28"/>
          <w:rtl w:val="true"/>
          <w:lang w:bidi="fa-IR"/>
        </w:rPr>
        <w:t>للمیّت والموءمنین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قبل الصلاة</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یقولها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تقف الحائض</w:t>
      </w:r>
      <w:r>
        <w:rPr>
          <w:rStyle w:val="FootnoteAnchor"/>
          <w:rtl w:val="true"/>
        </w:rPr>
        <w:footnoteReference w:id="648"/>
      </w:r>
      <w:r>
        <w:rPr>
          <w:rFonts w:ascii="IRNazanin" w:hAnsi="IRNazanin" w:eastAsia="IRNazanin"/>
          <w:color w:val="111111"/>
          <w:sz w:val="28"/>
          <w:sz w:val="28"/>
          <w:szCs w:val="28"/>
          <w:rtl w:val="true"/>
          <w:lang w:bidi="fa-IR"/>
        </w:rPr>
        <w:t xml:space="preserve">إذا کانت مع الجماعة فی صفٍّ </w:t>
      </w:r>
    </w:p>
    <w:p>
      <w:pPr>
        <w:pStyle w:val="BookText"/>
        <w:rPr/>
      </w:pP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w:t>
      </w:r>
      <w:r>
        <w:rPr>
          <w:rStyle w:val="FootnoteAnchor"/>
          <w:rtl w:val="true"/>
        </w:rPr>
        <w:footnoteReference w:id="649"/>
      </w:r>
      <w:r>
        <w:rPr>
          <w:rFonts w:ascii="IRNazanin" w:hAnsi="IRNazanin" w:eastAsia="IRNazanin"/>
          <w:color w:val="111111"/>
          <w:sz w:val="28"/>
          <w:sz w:val="28"/>
          <w:szCs w:val="28"/>
          <w:rtl w:val="true"/>
          <w:lang w:bidi="fa-IR"/>
        </w:rPr>
        <w:t>عند الدعاء علی المیّت بعد التکبیر الرابع علی قول بعض العلماء، لکنّه مشکل إن کان بقصد الخصوصیّة والورود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جنازات فالأولی الصلاة علی کلّ واحد منفرداً</w:t>
      </w:r>
      <w:r>
        <w:rPr>
          <w:rStyle w:val="FootnoteAnchor"/>
          <w:rtl w:val="true"/>
        </w:rPr>
        <w:footnoteReference w:id="650"/>
      </w:r>
      <w:r>
        <w:rPr>
          <w:rFonts w:ascii="IRNazanin" w:hAnsi="IRNazanin" w:eastAsia="IRNazanin"/>
          <w:color w:val="111111"/>
          <w:sz w:val="28"/>
          <w:sz w:val="28"/>
          <w:szCs w:val="28"/>
          <w:rtl w:val="true"/>
          <w:lang w:bidi="fa-IR"/>
        </w:rPr>
        <w:t>، وإن أراد التشریک فهو علی وجهین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یوضع الجمیع قدّام المصلّی مع المحاذاة، والأولی مع</w:t>
      </w:r>
      <w:r>
        <w:rPr>
          <w:rStyle w:val="FootnoteAnchor"/>
          <w:rtl w:val="true"/>
        </w:rPr>
        <w:footnoteReference w:id="652"/>
      </w:r>
      <w:r>
        <w:rPr>
          <w:rFonts w:ascii="IRNazanin" w:hAnsi="IRNazanin" w:eastAsia="IRNazanin"/>
          <w:color w:val="111111"/>
          <w:sz w:val="28"/>
          <w:sz w:val="28"/>
          <w:szCs w:val="28"/>
          <w:rtl w:val="true"/>
          <w:lang w:bidi="fa-IR"/>
        </w:rPr>
        <w:t>اجتماع الرجل والمرأة جعل الرجل أقرب إلی المصلّی، حرّاً کان أو عبداً، کما أ نّه لو اجتمع الحرّ والعبد جعل الحرّ أقرب إلیه، ولو اجتمع الطفل مع المرأة جعل الطفل أقرب إلیه إذا کان ابن ستّ سنین وکان حرّاً، ولو کانوا متساوین فی الصفات لا بأس بالترجیح بالفضیلة ونحوها من الصفات الدینیّة، ومع التساوی فالقرعة</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کون المورد محلاًّ للقرعة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التشاحّ والتنازع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مثل المقام مصبّ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والأقوی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إطلاق دلیل القرعة لمثل هذا المورد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المقام مورداً للقرعة إشکال، 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وکلّ هذا علی الأولویّة، لا الوجوب، فیجوز بأیّ وجه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الجمیع صفّاً واحداً</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هذا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الوجه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هذه الکیفیّة والاقتصار علی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مشروعیة هذه الکیفیة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الکیفیة محلّ إشکال، والأحوط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ویقوم المصلّی وسط الصفّ بأن یجعل رأس کلٍّ عند ألیة الآخر شبه الدرج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ویراعی فی الدعاء لهم بعد التکبیر الرابع تثنیة الضمیر أو جمعه وتذکیره وتأنیثه، ویجوز التذکیر فی الجمیع بلحاظ لفظ المیّت، کما أ نّه یجوز التأنیث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بلحاظ الجنازة</w:t>
      </w:r>
      <w:r>
        <w:rPr>
          <w:rFonts w:eastAsia="Amiri" w:cs="Amiri" w:ascii="Amiri" w:hAnsi="Amiri"/>
          <w:color w:val="111111"/>
          <w:sz w:val="28"/>
          <w:szCs w:val="28"/>
          <w:rtl w:val="true"/>
          <w:lang w:bidi="ar-SA"/>
        </w:rPr>
        <w:t>.</w:t>
      </w:r>
      <w:bookmarkStart w:id="617" w:name="pg13276_136720"/>
    </w:p>
    <w:p>
      <w:pPr>
        <w:pStyle w:val="Heading2"/>
        <w:numPr>
          <w:ilvl w:val="1"/>
          <w:numId w:val="1"/>
        </w:numPr>
        <w:rPr/>
      </w:pPr>
      <w:bookmarkStart w:id="618" w:name="__RefHeading___Toc1764004_2322387425"/>
      <w:bookmarkStart w:id="619" w:name="_Toc235"/>
      <w:bookmarkEnd w:id="617"/>
      <w:bookmarkEnd w:id="618"/>
      <w:r>
        <w:rPr>
          <w:rtl w:val="true"/>
        </w:rPr>
        <w:t>فصل</w:t>
      </w:r>
      <w:r>
        <w:rPr>
          <w:rtl w:val="true"/>
        </w:rPr>
        <w:t xml:space="preserve">: </w:t>
      </w:r>
      <w:r>
        <w:rPr>
          <w:rtl w:val="true"/>
        </w:rPr>
        <w:t>فی الدفن</w:t>
      </w:r>
      <w:bookmarkEnd w:id="619"/>
    </w:p>
    <w:p>
      <w:pPr>
        <w:pStyle w:val="Heading3"/>
        <w:numPr>
          <w:ilvl w:val="2"/>
          <w:numId w:val="1"/>
        </w:numPr>
        <w:rPr/>
      </w:pPr>
      <w:bookmarkStart w:id="620" w:name="__RefHeading___Toc1764006_2322387425"/>
      <w:bookmarkStart w:id="621" w:name="_Toc236"/>
      <w:bookmarkEnd w:id="620"/>
      <w:r>
        <w:rPr>
          <w:rtl w:val="true"/>
        </w:rPr>
        <w:t>ما یعتبر فی وجوب مواراة المیت</w:t>
      </w:r>
      <w:bookmarkEnd w:id="621"/>
    </w:p>
    <w:p>
      <w:pPr>
        <w:pStyle w:val="BookText"/>
        <w:rPr/>
      </w:pPr>
      <w:r>
        <w:rPr>
          <w:rFonts w:ascii="Amiri" w:hAnsi="Amiri" w:eastAsia="Amiri" w:cs="Amiri"/>
          <w:color w:val="111111"/>
          <w:sz w:val="28"/>
          <w:sz w:val="28"/>
          <w:szCs w:val="28"/>
          <w:rtl w:val="true"/>
          <w:lang w:bidi="ar-SA"/>
        </w:rPr>
        <w:t>یجب کفایةً</w:t>
      </w:r>
      <w:r>
        <w:rPr>
          <w:rStyle w:val="FootnoteAnchor"/>
          <w:rtl w:val="true"/>
        </w:rPr>
        <w:footnoteReference w:id="656"/>
      </w:r>
      <w:r>
        <w:rPr>
          <w:rFonts w:ascii="Amiri" w:hAnsi="Amiri" w:eastAsia="Amiri" w:cs="Amiri"/>
          <w:color w:val="111111"/>
          <w:sz w:val="28"/>
          <w:sz w:val="28"/>
          <w:szCs w:val="28"/>
          <w:rtl w:val="true"/>
          <w:lang w:bidi="ar-SA"/>
        </w:rPr>
        <w:t>دفن المیّت</w:t>
      </w:r>
      <w:r>
        <w:rPr>
          <w:rStyle w:val="FootnoteAnchor"/>
          <w:rtl w:val="true"/>
        </w:rPr>
        <w:footnoteReference w:id="657"/>
      </w:r>
      <w:r>
        <w:rPr>
          <w:rFonts w:ascii="IRNazanin" w:hAnsi="IRNazanin" w:eastAsia="IRNazanin"/>
          <w:color w:val="111111"/>
          <w:sz w:val="28"/>
          <w:sz w:val="28"/>
          <w:szCs w:val="28"/>
          <w:rtl w:val="true"/>
          <w:lang w:bidi="fa-IR"/>
        </w:rPr>
        <w:t>ـ بمعنی مواراته فی الأرض ـ بحیث</w:t>
      </w:r>
      <w:r>
        <w:rPr>
          <w:rStyle w:val="FootnoteAnchor"/>
          <w:rtl w:val="true"/>
        </w:rPr>
        <w:footnoteReference w:id="658"/>
      </w:r>
      <w:r>
        <w:rPr>
          <w:rFonts w:ascii="IRNazanin" w:hAnsi="IRNazanin" w:eastAsia="IRNazanin"/>
          <w:color w:val="111111"/>
          <w:sz w:val="28"/>
          <w:sz w:val="28"/>
          <w:szCs w:val="28"/>
          <w:rtl w:val="true"/>
          <w:lang w:bidi="fa-IR"/>
        </w:rPr>
        <w:t>یوءمن علی جسده من السباع، ومن إیذاء ریحه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وضعه</w:t>
      </w:r>
      <w:r>
        <w:rPr>
          <w:rStyle w:val="FootnoteAnchor"/>
          <w:rtl w:val="true"/>
        </w:rPr>
        <w:footnoteReference w:id="659"/>
      </w:r>
      <w:r>
        <w:rPr>
          <w:rFonts w:ascii="IRNazanin" w:hAnsi="IRNazanin" w:eastAsia="IRNazanin"/>
          <w:color w:val="111111"/>
          <w:sz w:val="28"/>
          <w:sz w:val="28"/>
          <w:szCs w:val="28"/>
          <w:rtl w:val="true"/>
          <w:lang w:bidi="fa-IR"/>
        </w:rPr>
        <w:t>فی بناء أو فی تابوت ولو من حجر بحیث یوءمن من الأمرین مع القدرة علی الدفن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الإمکان لابأس بهما</w:t>
      </w:r>
      <w:r>
        <w:rPr>
          <w:rStyle w:val="FootnoteAnchor"/>
          <w:rtl w:val="true"/>
        </w:rPr>
        <w:footnoteReference w:id="6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أحدهما مع عدم إمکان الدفن تحت الأرض، وإمکانهما أو إمکان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یجب ما أمکن منهما، ومع إمکانهما یتخیرّ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یجب ما أمکن منهما، ومع إمکانهما فهو مخیّر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مجرّد المواراة فی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الأمن من الأمرین</w:t>
      </w:r>
      <w:bookmarkStart w:id="622" w:name="pg13276_136721"/>
    </w:p>
    <w:p>
      <w:pPr>
        <w:pStyle w:val="BookText"/>
        <w:rPr/>
      </w:pPr>
      <w:bookmarkEnd w:id="622"/>
      <w:r>
        <w:rPr>
          <w:rFonts w:ascii="IRNazanin" w:hAnsi="IRNazanin" w:eastAsia="IRNazanin"/>
          <w:color w:val="111111"/>
          <w:sz w:val="28"/>
          <w:sz w:val="28"/>
          <w:szCs w:val="28"/>
          <w:rtl w:val="true"/>
          <w:lang w:bidi="fa-IR"/>
        </w:rPr>
        <w:t>من جهة عدم وجود السباع، أو عدم وجود الإنسان هناک، لکنّ الأحوط کون الحفیرة</w:t>
      </w:r>
      <w:r>
        <w:rPr>
          <w:rStyle w:val="FootnoteAnchor"/>
          <w:rtl w:val="true"/>
        </w:rPr>
        <w:footnoteReference w:id="6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الوجه 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الأمن حاصلاً بدونه</w:t>
      </w:r>
      <w:r>
        <w:rPr>
          <w:rFonts w:eastAsia="IRNazanin" w:cs="IRNazanin"/>
          <w:color w:val="111111"/>
          <w:sz w:val="28"/>
          <w:szCs w:val="28"/>
          <w:rtl w:val="true"/>
          <w:lang w:bidi="fa-IR"/>
        </w:rPr>
        <w:t>.</w:t>
      </w:r>
    </w:p>
    <w:p>
      <w:pPr>
        <w:pStyle w:val="Heading3"/>
        <w:numPr>
          <w:ilvl w:val="2"/>
          <w:numId w:val="1"/>
        </w:numPr>
        <w:rPr/>
      </w:pPr>
      <w:bookmarkStart w:id="623" w:name="__RefHeading___Toc1764008_2322387425"/>
      <w:bookmarkStart w:id="624" w:name="_Toc237"/>
      <w:bookmarkEnd w:id="623"/>
      <w:r>
        <w:rPr>
          <w:rtl w:val="true"/>
        </w:rPr>
        <w:t>شرطیة الاستقبال فی الدفن</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کون الدفن مستقبل القبلة علی جنبه الأیمن، بحیث یکون</w:t>
      </w:r>
      <w:r>
        <w:rPr>
          <w:rStyle w:val="FootnoteAnchor"/>
          <w:rtl w:val="true"/>
        </w:rPr>
        <w:footnoteReference w:id="662"/>
      </w:r>
      <w:r>
        <w:rPr>
          <w:rFonts w:ascii="IRNazanin" w:hAnsi="IRNazanin" w:eastAsia="IRNazanin"/>
          <w:color w:val="111111"/>
          <w:sz w:val="28"/>
          <w:sz w:val="28"/>
          <w:szCs w:val="28"/>
          <w:rtl w:val="true"/>
          <w:lang w:bidi="fa-IR"/>
        </w:rPr>
        <w:t>رأسه إلی المغرب</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إلی یمین المصلّی ویساره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 الکلّی لزوم کون الدفن مستقبل القبلة بحیث یکون رأس المیّت علی طرف یمین مستقبل القبلة ورجله علی یساره حتی یعمّ الحکم جمیع الأماکن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یمین مستقبل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یمین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کانت فی طرف الجنوب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إلی یمین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تکون قبلته فی نقطة الجنوب، والضابط وضعه علی وجه یتحقق به الاستقبال حال الاضطجاع علی الجانب الأیمن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ورِجله إلی المشرق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یمین مستقبل القبلة ویساره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بالمغرب والمشرق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جانبَی القبلة فی أی جهة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لیس ظابطاً کلّیاً فی جمیع الأماکن، فالأحسن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یکون إلی یمین مستقبل القبلة فی ذلک المکان، ورجله إلی 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القبلة إلی الجنوب، والمدار أن یکون رأس المیت إلی یمین المصلّی، و رجله إلی یساره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 الجسد بلا</w:t>
      </w:r>
      <w:bookmarkStart w:id="625" w:name="pg13276_136722"/>
    </w:p>
    <w:p>
      <w:pPr>
        <w:pStyle w:val="BookText"/>
        <w:rPr/>
      </w:pPr>
      <w:bookmarkEnd w:id="625"/>
      <w:r>
        <w:rPr>
          <w:rFonts w:ascii="IRNazanin" w:hAnsi="IRNazanin" w:eastAsia="IRNazanin"/>
          <w:color w:val="111111"/>
          <w:sz w:val="28"/>
          <w:sz w:val="28"/>
          <w:szCs w:val="28"/>
          <w:rtl w:val="true"/>
          <w:lang w:bidi="fa-IR"/>
        </w:rPr>
        <w:t>رأس، بل فی الرأس</w:t>
      </w:r>
      <w:r>
        <w:rPr>
          <w:rStyle w:val="FootnoteAnchor"/>
          <w:rtl w:val="true"/>
        </w:rPr>
        <w:footnoteReference w:id="664"/>
      </w:r>
      <w:r>
        <w:rPr>
          <w:rFonts w:ascii="IRNazanin" w:hAnsi="IRNazanin" w:eastAsia="IRNazanin"/>
          <w:color w:val="111111"/>
          <w:sz w:val="28"/>
          <w:sz w:val="28"/>
          <w:szCs w:val="28"/>
          <w:rtl w:val="true"/>
          <w:lang w:bidi="fa-IR"/>
        </w:rPr>
        <w:t>بلا جسد</w:t>
      </w:r>
      <w:r>
        <w:rPr>
          <w:rStyle w:val="FootnoteAnchor"/>
          <w:rtl w:val="true"/>
        </w:rPr>
        <w:footnoteReference w:id="665"/>
      </w:r>
      <w:r>
        <w:rPr>
          <w:rFonts w:ascii="IRNazanin" w:hAnsi="IRNazanin" w:eastAsia="IRNazanin"/>
          <w:color w:val="111111"/>
          <w:sz w:val="28"/>
          <w:sz w:val="28"/>
          <w:szCs w:val="28"/>
          <w:rtl w:val="true"/>
          <w:lang w:bidi="fa-IR"/>
        </w:rPr>
        <w:t>، بل فی الصدر وحده</w:t>
      </w:r>
      <w:r>
        <w:rPr>
          <w:rStyle w:val="FootnoteAnchor"/>
          <w:rtl w:val="true"/>
        </w:rPr>
        <w:footnoteReference w:id="666"/>
      </w:r>
      <w:r>
        <w:rPr>
          <w:rFonts w:ascii="Amiri" w:hAnsi="Amiri" w:eastAsia="Amiri" w:cs="Amiri"/>
          <w:color w:val="111111"/>
          <w:sz w:val="28"/>
          <w:sz w:val="28"/>
          <w:szCs w:val="28"/>
          <w:rtl w:val="true"/>
          <w:lang w:bidi="ar-SA"/>
        </w:rPr>
        <w:t>، بل فی کلّ جزءٍ</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Heading3"/>
        <w:numPr>
          <w:ilvl w:val="2"/>
          <w:numId w:val="1"/>
        </w:numPr>
        <w:rPr/>
      </w:pPr>
      <w:bookmarkStart w:id="626" w:name="__RefHeading___Toc1764010_2322387425"/>
      <w:bookmarkStart w:id="627" w:name="_Toc238"/>
      <w:bookmarkEnd w:id="626"/>
      <w:r>
        <w:rPr>
          <w:rtl w:val="true"/>
        </w:rPr>
        <w:t>حکم الموت فی السفینة</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میّت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التأخیر لیدفن فی الأرض بلا عسر وجب</w:t>
      </w:r>
      <w:r>
        <w:rPr>
          <w:rStyle w:val="FootnoteAnchor"/>
          <w:rtl w:val="true"/>
        </w:rPr>
        <w:footnoteReference w:id="668"/>
      </w:r>
      <w:r>
        <w:rPr>
          <w:rFonts w:ascii="IRNazanin" w:hAnsi="IRNazanin" w:eastAsia="IRNazanin"/>
          <w:color w:val="111111"/>
          <w:sz w:val="28"/>
          <w:sz w:val="28"/>
          <w:szCs w:val="28"/>
          <w:rtl w:val="true"/>
          <w:lang w:bidi="fa-IR"/>
        </w:rPr>
        <w:t>ذلک، وإن لم یمکن لخوف فساده أو لمنع مانعٍ یُغسّل ویُکفّن ویحنّط ویصلّی علیه، ویوضع فی خابیة</w:t>
      </w:r>
      <w:r>
        <w:rPr>
          <w:rStyle w:val="FootnoteAnchor"/>
          <w:rtl w:val="true"/>
        </w:rPr>
        <w:footnoteReference w:id="669"/>
      </w:r>
      <w:r>
        <w:rPr>
          <w:rFonts w:ascii="IRNazanin" w:hAnsi="IRNazanin" w:eastAsia="IRNazanin"/>
          <w:color w:val="111111"/>
          <w:sz w:val="28"/>
          <w:sz w:val="28"/>
          <w:szCs w:val="28"/>
          <w:rtl w:val="true"/>
          <w:lang w:bidi="fa-IR"/>
        </w:rPr>
        <w:t>ویُوکَأ رأسها ویلقی فی البحر مستقبل القبلة علی الأحوط</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الأقوی عدم وجوب الاستقبال، أو یثقل المیّت بحجر أو نحوه بوضعه فی رجله ویلقی</w:t>
      </w:r>
      <w:bookmarkStart w:id="628" w:name="pg13276_136723"/>
    </w:p>
    <w:p>
      <w:pPr>
        <w:pStyle w:val="BookText"/>
        <w:rPr/>
      </w:pPr>
      <w:bookmarkEnd w:id="628"/>
      <w:r>
        <w:rPr>
          <w:rFonts w:ascii="IRNazanin" w:hAnsi="IRNazanin" w:eastAsia="IRNazanin"/>
          <w:color w:val="111111"/>
          <w:sz w:val="28"/>
          <w:sz w:val="28"/>
          <w:szCs w:val="28"/>
          <w:rtl w:val="true"/>
          <w:lang w:bidi="fa-IR"/>
        </w:rPr>
        <w:t>فی البحر کذلک، والأحوط</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حسن‌القمّی، 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الوجه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خیف علی المیّت من نبش العدوّ قبره وتمثیله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764012_2322387425"/>
      <w:bookmarkStart w:id="630" w:name="_Toc239"/>
      <w:bookmarkEnd w:id="629"/>
      <w:r>
        <w:rPr>
          <w:rtl w:val="true"/>
        </w:rPr>
        <w:t>حکم الجنین من مسلم إذا مات فی بطن کافرة</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کافرة کتابیّة أو غیر کتابیّة ومات فی بطنها ولد من مسلم، بنکاح أو شبهة أو ملک یمین</w:t>
      </w:r>
      <w:r>
        <w:rPr>
          <w:rStyle w:val="FootnoteAnchor"/>
          <w:rtl w:val="true"/>
        </w:rPr>
        <w:footnoteReference w:id="672"/>
      </w:r>
      <w:r>
        <w:rPr>
          <w:rFonts w:ascii="IRNazanin" w:hAnsi="IRNazanin" w:eastAsia="IRNazanin"/>
          <w:color w:val="111111"/>
          <w:sz w:val="28"/>
          <w:sz w:val="28"/>
          <w:szCs w:val="28"/>
          <w:rtl w:val="true"/>
          <w:lang w:bidi="fa-IR"/>
        </w:rPr>
        <w:t>تدفن</w:t>
      </w:r>
      <w:r>
        <w:rPr>
          <w:rStyle w:val="FootnoteAnchor"/>
          <w:rtl w:val="true"/>
        </w:rPr>
        <w:footnoteReference w:id="673"/>
      </w:r>
      <w:r>
        <w:rPr>
          <w:rFonts w:ascii="Amiri" w:hAnsi="Amiri" w:eastAsia="Amiri" w:cs="Amiri"/>
          <w:color w:val="111111"/>
          <w:sz w:val="28"/>
          <w:sz w:val="28"/>
          <w:szCs w:val="28"/>
          <w:rtl w:val="true"/>
          <w:lang w:bidi="ar-SA"/>
        </w:rPr>
        <w:t>مستدبرة للقبلة</w:t>
      </w:r>
      <w:r>
        <w:rPr>
          <w:rStyle w:val="FootnoteAnchor"/>
          <w:rtl w:val="true"/>
        </w:rPr>
        <w:footnoteReference w:id="674"/>
      </w:r>
      <w:r>
        <w:rPr>
          <w:rFonts w:ascii="IRNazanin" w:hAnsi="IRNazanin" w:eastAsia="IRNazanin"/>
          <w:color w:val="111111"/>
          <w:sz w:val="28"/>
          <w:sz w:val="28"/>
          <w:szCs w:val="28"/>
          <w:rtl w:val="true"/>
          <w:lang w:bidi="fa-IR"/>
        </w:rPr>
        <w:t>علی جانبها الأیسر، علی وجهٍ یکون الولد فی بطنها مستقبلاً، والأحوط</w:t>
      </w:r>
      <w:r>
        <w:rPr>
          <w:rStyle w:val="FootnoteAnchor"/>
          <w:rtl w:val="true"/>
        </w:rPr>
        <w:footnoteReference w:id="675"/>
      </w:r>
      <w:r>
        <w:rPr>
          <w:rFonts w:ascii="IRNazanin" w:hAnsi="IRNazanin" w:eastAsia="IRNazanin"/>
          <w:color w:val="111111"/>
          <w:sz w:val="28"/>
          <w:sz w:val="28"/>
          <w:szCs w:val="28"/>
          <w:rtl w:val="true"/>
          <w:lang w:bidi="fa-IR"/>
        </w:rPr>
        <w:t>العمل بذلک فی مطلق الجنین، ولو لم تلج الروح فیه</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تماما أو کالتمام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3276_136724"/>
    </w:p>
    <w:p>
      <w:pPr>
        <w:pStyle w:val="Heading3"/>
        <w:numPr>
          <w:ilvl w:val="2"/>
          <w:numId w:val="1"/>
        </w:numPr>
        <w:rPr/>
      </w:pPr>
      <w:bookmarkStart w:id="632" w:name="__RefHeading___Toc1764014_2322387425"/>
      <w:bookmarkStart w:id="633" w:name="_Toc240"/>
      <w:bookmarkEnd w:id="631"/>
      <w:bookmarkEnd w:id="632"/>
      <w:r>
        <w:rPr>
          <w:rtl w:val="true"/>
        </w:rPr>
        <w:t>فروع فی واجبات الدفن وأحکامه</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الدفن قصد القربة، بل یکفی دفن الصبیّ إذا علم أنّه أتی به بشرائطه، ولو علم أ نّه ما قصد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خیف علی المیّت من إخراج السَبُع إیّاه وجب إحکام القبر بما یوجب حفظه من القیر والآجرّ ونحو ذلک، کما أنّ فی السفینة إذا اُرید إلقاوءه فی البحر لابدّ</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باللا بدّیة مشکل، نعم، الاحتیاط یقتضیها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اختیار مکان مأمون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إمکان ذلک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بلع حیوانات البحر إیّاه بمجرّد الإلقاء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موءونة الإلقاء فی البحر من الحجر أو الحدید الذی یثقل به، أو الخابیة التی یوضع فیها تخرج من أصل الترکة</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الاستئذان من الورثة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الآجرِّ والقیر والساروج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یُعثر علیه فی باب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 فی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وأخلاطها التی تُصرَّج بها النُزُل والحیاض والحمّامات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موضع الحاجة إلیها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Style w:val="FootnoteAnchor"/>
          <w:rtl w:val="true"/>
        </w:rPr>
        <w:footnoteReference w:id="679"/>
      </w:r>
      <w:r>
        <w:rPr>
          <w:rFonts w:ascii="IRNazanin" w:hAnsi="IRNazanin" w:eastAsia="IRNazanin"/>
          <w:color w:val="111111"/>
          <w:sz w:val="28"/>
          <w:sz w:val="28"/>
          <w:szCs w:val="28"/>
          <w:rtl w:val="true"/>
          <w:lang w:bidi="fa-IR"/>
        </w:rPr>
        <w:t xml:space="preserve">فی الدفن أیضاً إذن </w:t>
      </w:r>
    </w:p>
    <w:p>
      <w:pPr>
        <w:pStyle w:val="BookText"/>
        <w:rPr/>
      </w:pPr>
      <w:r>
        <w:rPr>
          <w:rFonts w:ascii="Amiri" w:hAnsi="Amiri" w:eastAsia="Amiri" w:cs="Amiri"/>
          <w:color w:val="111111"/>
          <w:sz w:val="28"/>
          <w:sz w:val="28"/>
          <w:szCs w:val="28"/>
          <w:rtl w:val="true"/>
          <w:lang w:bidi="ar-SA"/>
        </w:rPr>
        <w:t>الولیِّ</w:t>
      </w:r>
      <w:r>
        <w:rPr>
          <w:rStyle w:val="FootnoteAnchor"/>
          <w:rtl w:val="true"/>
        </w:rPr>
        <w:footnoteReference w:id="680"/>
      </w:r>
      <w:r>
        <w:rPr>
          <w:rFonts w:ascii="IRNazanin" w:hAnsi="IRNazanin" w:eastAsia="IRNazanin"/>
          <w:color w:val="111111"/>
          <w:sz w:val="28"/>
          <w:sz w:val="28"/>
          <w:szCs w:val="28"/>
          <w:rtl w:val="true"/>
          <w:lang w:bidi="fa-IR"/>
        </w:rPr>
        <w:t>، کالصلاة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اشتبهت القبلة یعمل بالظنّ</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إمکان تحصیل العلم ولو بالتأخیرالمذکور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إن لم یمکن تحصیل العلم الوجدانی أو الاطمئنانی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بتحصیل الاحتمال الأقوی بعد التحرّی بقدر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یمکن التأخیر إلی حین حصول العلم أو ما بحکمه، وإلاّ تعیّن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عدمه أیضاً یسقط وجوب الاستقبال إن لم یمکن تحصیل العلم ولو بالتأخیر، علی وجهٍ لا یضرّ بالمیّت ولا بالمباشرین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تقدّم من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 الزنا من المسلم بحکم المسلم علی الجزم والفتوی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إجراء أحکام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الطفل المتولّد من الزنا من الطرفین إذا کانا مسلِمَین، أو کان أحدهما مسلماً، وأمّا إذا کان الزنا من أحد الطرفین وکان الطرف الآخر مسلماً فلا إشکال فی جریان أحکام المسلم علیه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683"/>
      </w:r>
      <w:r>
        <w:rPr>
          <w:rFonts w:ascii="IRNazanin" w:hAnsi="IRNazanin" w:eastAsia="IRNazanin"/>
          <w:color w:val="111111"/>
          <w:sz w:val="28"/>
          <w:sz w:val="28"/>
          <w:szCs w:val="28"/>
          <w:rtl w:val="true"/>
          <w:lang w:bidi="fa-IR"/>
        </w:rPr>
        <w:t xml:space="preserve">دفن المسلم فی مقبرة </w:t>
      </w:r>
    </w:p>
    <w:p>
      <w:pPr>
        <w:pStyle w:val="BookText"/>
        <w:rPr/>
      </w:pPr>
      <w:r>
        <w:rPr>
          <w:rFonts w:ascii="Amiri" w:hAnsi="Amiri" w:eastAsia="Amiri" w:cs="Amiri"/>
          <w:color w:val="111111"/>
          <w:sz w:val="28"/>
          <w:sz w:val="28"/>
          <w:szCs w:val="28"/>
          <w:rtl w:val="true"/>
          <w:lang w:bidi="ar-SA"/>
        </w:rPr>
        <w:t>الکفّار</w:t>
      </w:r>
      <w:r>
        <w:rPr>
          <w:rStyle w:val="FootnoteAnchor"/>
          <w:rtl w:val="true"/>
        </w:rPr>
        <w:footnoteReference w:id="684"/>
      </w:r>
      <w:r>
        <w:rPr>
          <w:rFonts w:ascii="IRNazanin" w:hAnsi="IRNazanin" w:eastAsia="IRNazanin"/>
          <w:color w:val="111111"/>
          <w:sz w:val="28"/>
          <w:sz w:val="28"/>
          <w:szCs w:val="28"/>
          <w:rtl w:val="true"/>
          <w:lang w:bidi="fa-IR"/>
        </w:rPr>
        <w:t>، کما لایجوز العکس أیضاً</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موارد الحرج والضرورة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إذا اشتبه المسلم والکافر یجوز دفنهما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مقبرة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بوجوب دفنهما فی مکانٍ آخر مستقلٍّ عن المسلمین والکفّار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دفنهما خارج مقابر المسلمین والکفّار، وإلاّ 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دفن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مقبرة الآخرین یجوز النبش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یجب لو کان بقاء الکافر هتکاً علی المسلمین، أو بقاء المسلم هتکاً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یجب لو کان بقاء الکافر فیها موجباً للهتک علی المسلمین، أو بقاء المسلم فیها مستلزماً للهتک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یجب مع استلزام العدم للهتک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أمّا الکافر فلعدم الحرمة له، وأمّا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فلأنّ مقتضی احترامه عدم کونه مع الکفّار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یمیّز قبره بممیّزات توجب تجلیله وحفظ شؤونه وجلب التوجّه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فی نبشه هتک له یزید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دفن المسلم</w:t>
      </w:r>
      <w:r>
        <w:rPr>
          <w:rStyle w:val="FootnoteAnchor"/>
          <w:rtl w:val="true"/>
        </w:rPr>
        <w:footnoteReference w:id="686"/>
      </w:r>
      <w:r>
        <w:rPr>
          <w:rFonts w:ascii="IRNazanin" w:hAnsi="IRNazanin" w:eastAsia="IRNazanin"/>
          <w:color w:val="111111"/>
          <w:sz w:val="28"/>
          <w:sz w:val="28"/>
          <w:szCs w:val="28"/>
          <w:rtl w:val="true"/>
          <w:lang w:bidi="fa-IR"/>
        </w:rPr>
        <w:t>فی مثل المزبلة والبالوعة ونحوهما ممّا هو هتک لحرمته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الدفن فی المکان المغصوب، وکذا فی الأراضی الموقوفة</w:t>
      </w:r>
      <w:r>
        <w:rPr>
          <w:rStyle w:val="FootnoteAnchor"/>
          <w:rtl w:val="true"/>
        </w:rPr>
        <w:footnoteReference w:id="687"/>
      </w:r>
      <w:r>
        <w:rPr>
          <w:rFonts w:ascii="IRNazanin" w:hAnsi="IRNazanin" w:eastAsia="IRNazanin"/>
          <w:color w:val="111111"/>
          <w:sz w:val="28"/>
          <w:sz w:val="28"/>
          <w:szCs w:val="28"/>
          <w:rtl w:val="true"/>
          <w:lang w:bidi="fa-IR"/>
        </w:rPr>
        <w:t>لغیر الدفن، فلا یجوز الدفن فی المساجد</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إلاّ أن یضرّ بالمسلمین، أو یزاحم المصلّین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لو لم یزاحم حقّ المصلّین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صورة المزاحمة للمصلّین، وعلی الأقوی فی تلک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مع عدم المزاحمة لجهة الوقف، ولحقّ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الإضرار بالعَین الموقوفة، أو المزاحمة مع جهة الوقف، وإلاّ فعلی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بل الظاهر الجواز إذا کان القبر منبوشا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یترتب علیه عنوان الهتک لاوجه لعدم الجواز، فإنّه لا دلیل معتبر علی عدم جواز النبش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جوازه من حیث هو قریب، نعم، ربّما یتوقف علی مقدمة محرّمة کالنبش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الدفن</w:t>
      </w:r>
      <w:r>
        <w:rPr>
          <w:rStyle w:val="FootnoteAnchor"/>
          <w:rtl w:val="true"/>
        </w:rPr>
        <w:footnoteReference w:id="689"/>
      </w:r>
      <w:r>
        <w:rPr>
          <w:rFonts w:ascii="IRNazanin" w:hAnsi="IRNazanin" w:eastAsia="IRNazanin"/>
          <w:color w:val="111111"/>
          <w:sz w:val="28"/>
          <w:sz w:val="28"/>
          <w:szCs w:val="28"/>
          <w:rtl w:val="true"/>
          <w:lang w:bidi="fa-IR"/>
        </w:rPr>
        <w:t>فی قبر الغیر</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مع عدم استلزامه النبش، وعدم استلزام التصرف فی ملک الغیر بغیر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اندراسه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حدّ لإحراز اندراسه وتبدّله تراباً، وتحدید البعض بثلاثین سنة ضعیف؛ إذ الأبدان متفاوتة فی سرعة البِلی إلیها وبطئها، کما أنّ الأراضی مختلفة من حیث الجفاف والرطوبة، وکذا الأهویة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یحرم الدفن فیه لحرمة نبشه، فءاذا کان منبوشا وکانت الأرض مباحة أو موقوفة للدفن جاز دفنه فیه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وصیرورته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القبر منبوشا جاز الدفن فیه إذا کانت الأرض غیر مملوکة أو مباحة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691"/>
      </w:r>
      <w:r>
        <w:rPr>
          <w:rFonts w:ascii="IRNazanin" w:hAnsi="IRNazanin" w:eastAsia="IRNazanin"/>
          <w:color w:val="111111"/>
          <w:sz w:val="28"/>
          <w:sz w:val="28"/>
          <w:szCs w:val="28"/>
          <w:rtl w:val="true"/>
          <w:lang w:bidi="fa-IR"/>
        </w:rPr>
        <w:t>دفن الأجزاء المبانة من المیّت</w:t>
      </w:r>
      <w:r>
        <w:rPr>
          <w:rStyle w:val="FootnoteAnchor"/>
          <w:rtl w:val="true"/>
        </w:rPr>
        <w:footnoteReference w:id="692"/>
      </w:r>
      <w:r>
        <w:rPr>
          <w:rFonts w:ascii="Amiri" w:hAnsi="Amiri" w:eastAsia="Amiri" w:cs="Amiri"/>
          <w:color w:val="111111"/>
          <w:sz w:val="28"/>
          <w:sz w:val="28"/>
          <w:szCs w:val="28"/>
          <w:rtl w:val="true"/>
          <w:lang w:bidi="ar-SA"/>
        </w:rPr>
        <w:t xml:space="preserve">، حتّی الشعر </w:t>
      </w:r>
    </w:p>
    <w:p>
      <w:pPr>
        <w:pStyle w:val="BookText"/>
        <w:rPr/>
      </w:pPr>
      <w:r>
        <w:rPr>
          <w:rFonts w:ascii="IRNazanin" w:hAnsi="IRNazanin" w:eastAsia="IRNazanin"/>
          <w:color w:val="111111"/>
          <w:sz w:val="28"/>
          <w:sz w:val="28"/>
          <w:szCs w:val="28"/>
          <w:rtl w:val="true"/>
          <w:lang w:bidi="fa-IR"/>
        </w:rPr>
        <w:t>والسنّ والظفر</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هذه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نعم، لو عثر علیها قبل دفنه یجب جعلها فی کفنه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 أو الظفر من الحیّ فلا یجب دفنهما وإن کان معهما شیء یسیر من اللحم، نعم، یستحبّ دفنهما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یستحبّ حفظهما حتّی یدفنا معه، کما یظهر من وصیّة مولانا الباقر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 فی تلک الوصیة الشریفة هو دفن الضِرس فقط، ولم یذکر فیه الظفر فاستشهاد الماتن بها علی استحبابهما لا یخلو من نظر، فلعلّه وقف علی نسخة اُخری من الوصیّة قد ذکر فیها الظفر، واللّه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 الموءمنین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ـ صلوات اللّه علیه وآله ـ أمر بدفن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والسِنّ والظِفر والدم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الأربعة، ح</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عائشة،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أمر بدفن 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المذکورة، والحیض والمشیمة والعلقة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السبعة،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شخص فی البئر ولم یمکن إخراجه یجب</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مالم یستلزم محذورا شرعیاً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bookmarkStart w:id="634" w:name="pg13276_136730"/>
    </w:p>
    <w:p>
      <w:pPr>
        <w:pStyle w:val="BookText"/>
        <w:rPr/>
      </w:pPr>
      <w:bookmarkEnd w:id="634"/>
      <w:r>
        <w:rPr>
          <w:rFonts w:ascii="Amiri" w:hAnsi="Amiri" w:eastAsia="Amiri" w:cs="Amiri"/>
          <w:color w:val="111111"/>
          <w:sz w:val="28"/>
          <w:sz w:val="28"/>
          <w:szCs w:val="28"/>
          <w:rtl w:val="true"/>
          <w:lang w:bidi="ar-SA"/>
        </w:rPr>
        <w:t>یسدّ</w:t>
      </w:r>
      <w:r>
        <w:rPr>
          <w:rStyle w:val="FootnoteAnchor"/>
          <w:rtl w:val="true"/>
        </w:rPr>
        <w:footnoteReference w:id="695"/>
      </w:r>
      <w:r>
        <w:rPr>
          <w:rFonts w:ascii="IRNazanin" w:hAnsi="IRNazanin" w:eastAsia="IRNazanin"/>
          <w:color w:val="111111"/>
          <w:sz w:val="28"/>
          <w:sz w:val="28"/>
          <w:szCs w:val="28"/>
          <w:rtl w:val="true"/>
          <w:lang w:bidi="fa-IR"/>
        </w:rPr>
        <w:t>ویجعل قبراً 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764016_2322387425"/>
      <w:bookmarkStart w:id="636" w:name="_Toc241"/>
      <w:bookmarkEnd w:id="635"/>
      <w:r>
        <w:rPr>
          <w:rtl w:val="true"/>
        </w:rPr>
        <w:t>موت الجنین فی بطن الحامل أو حیاته وموتها</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الجنین فی بطن الحامل وخیف علیها من بقائه وجب التوصّل إلی إخراجه بالأرفق فالأرفق ولو بتقطیعه قطعة قطعة، ویجب أن یکون المباشر النساء أو زوجها</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تقدّم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زوجها، وإلاّ فالنساء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تقدیم الزوج، بل الزوج، أولی من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تقدّم الزوج علی النساء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لها اختیار الأرفق بحالها مطلقاً ولو کان هو الأجنبی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عدمهما فالمحارم من الرجال، فإن تعذّر فالأجانب حفظاً لنفسها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ماتت الحامل وکان الجنین حیّاً وجب إخراجه ولو بشقّ بطنها، فیشقّ جنبها الأیسر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الشَقّ من هذا الجانب أرفق، وإلاّ فلا دلیل علی تعیّنه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عدم الفرق بین جنبها الأیسر وغیرها، وإلاّ فیشقّ الموضع الّذی یکون الخروج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شقّ محلٍّ یکون إخراجه أیسر و أسهل، أیّ طرفٍ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احتمل دخله فی حیاته، وإلاّ فلا خصوصیّة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لخصوص الأیسر دخل فی حیاة الطفل، أو فی جهة راجحة اُخری، وإلاّ فلا وجه لتعیّنه، بل یتبع نظر أهل الخبرة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بقائه حیّا بسبب ذلک،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تعیینه لولم یحتمل دخله فی حیاته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خصوص الأیسر، بل یتبع نظر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أصلح فی حفظ حیاة الطفل یتعیّن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شقّها أوثق ببقاء الطفل وأرفق بحاله،وإلاّ فیختار ما هو کذلک، ومع التساوی فیتخیّر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 الطفل، ثمَّ یخاط وتدفن، ولا فرق فی ذلک بین رجاء حیاة الطفل بعد الإخراج، وعدمه</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بقاء الطفل حیّاً بعد الإخراج ولو قلیلاً، وأمّا مع العلم أو الاطمئنان بالعدم فالظاهر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خیف مع حیاتهما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کلٍّ منهما انتظر حتّی یقضی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أمکن المراجعة إلی من یطمئنّ من عمله بسلامتها 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حیاة الاُم مُقدّمة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یجوز قتل أحدهما استنقاذاً لحیاة الآخر، بلا فرق فی ذلک بین الاُمّ وغیرها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3276_136732"/>
    </w:p>
    <w:p>
      <w:pPr>
        <w:pStyle w:val="Heading2"/>
        <w:numPr>
          <w:ilvl w:val="1"/>
          <w:numId w:val="1"/>
        </w:numPr>
        <w:rPr/>
      </w:pPr>
      <w:bookmarkStart w:id="638" w:name="__RefHeading___Toc1764018_2322387425"/>
      <w:bookmarkStart w:id="639" w:name="_Toc242"/>
      <w:bookmarkEnd w:id="637"/>
      <w:bookmarkEnd w:id="638"/>
      <w:r>
        <w:rPr>
          <w:rtl w:val="true"/>
        </w:rPr>
        <w:t>فصل</w:t>
      </w:r>
      <w:r>
        <w:rPr>
          <w:rtl w:val="true"/>
        </w:rPr>
        <w:t xml:space="preserve">: </w:t>
      </w:r>
      <w:r>
        <w:rPr>
          <w:rtl w:val="true"/>
        </w:rPr>
        <w:t>فی المستحبّات قبل الدفن وحینه وبعده</w:t>
      </w:r>
      <w:bookmarkEnd w:id="639"/>
    </w:p>
    <w:p>
      <w:pPr>
        <w:pStyle w:val="Heading3"/>
        <w:numPr>
          <w:ilvl w:val="2"/>
          <w:numId w:val="1"/>
        </w:numPr>
        <w:rPr/>
      </w:pPr>
      <w:bookmarkStart w:id="640" w:name="__RefHeading___Toc1764020_2322387425"/>
      <w:bookmarkStart w:id="641" w:name="_Toc243"/>
      <w:bookmarkEnd w:id="640"/>
      <w:r>
        <w:rPr>
          <w:rtl w:val="true"/>
        </w:rPr>
        <w:t>المستحبات المتعلقة بالدفن</w:t>
      </w:r>
      <w:bookmarkEnd w:id="641"/>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بعضها لم یثبت إلاّ بناءً علی قاعدة التسامح، فاللازم الإتیان بها برجاء المشروعیّة، وکذا الکلام فی المکروهات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 ممّا ذکره، والأولی رعایتها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بالعمل بتلک الاُمور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بها برجاء المطلوبیة؛ فإنّ بعضها مبنیّ علی قاعدة التسامح فی أدلة 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بعض ما ذکر محلّ تأمّل، ولا بأس بإتیانها رجاءً، وکذلک فی المکروهات یترکها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عمق القبر إلی التِرقوة أو إلی قامة</w:t>
      </w:r>
      <w:r>
        <w:rPr>
          <w:rStyle w:val="FootnoteAnchor"/>
          <w:rtl w:val="true"/>
        </w:rPr>
        <w:footnoteReference w:id="700"/>
      </w:r>
      <w:r>
        <w:rPr>
          <w:rFonts w:ascii="IRNazanin" w:hAnsi="IRNazanin" w:eastAsia="IRNazanin"/>
          <w:color w:val="111111"/>
          <w:sz w:val="28"/>
          <w:sz w:val="28"/>
          <w:szCs w:val="28"/>
          <w:rtl w:val="true"/>
          <w:lang w:bidi="fa-IR"/>
        </w:rPr>
        <w:t>، ویحتمل کراهة الأزید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له لحد</w:t>
      </w:r>
      <w:r>
        <w:rPr>
          <w:rStyle w:val="FootnoteAnchor"/>
          <w:rtl w:val="true"/>
        </w:rPr>
        <w:footnoteReference w:id="701"/>
      </w:r>
      <w:r>
        <w:rPr>
          <w:rFonts w:ascii="IRNazanin" w:hAnsi="IRNazanin" w:eastAsia="IRNazanin"/>
          <w:color w:val="111111"/>
          <w:sz w:val="28"/>
          <w:sz w:val="28"/>
          <w:szCs w:val="28"/>
          <w:rtl w:val="true"/>
          <w:lang w:bidi="fa-IR"/>
        </w:rPr>
        <w:t>ممّا یلی القبلة فی الأرض الصلبة، بأن یحفر بقدر بدن المیّت فی الطول والعرض، وبمقدار ما یمکن جلوس المیّت فیه فی العمق، ویشقّ فی الأرض الرخوة وسط القبر شبه النهر فیوضع فیه المیّت ویسقّف علیه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یدفن فی المقبرة القریبة علی ما ذکره بعض العلماء، إلاّ أن یکون فی البعیدة مزیّة بأن کانت مقبرة للصلحاء، أو کان الزائرون هناک</w:t>
      </w:r>
    </w:p>
    <w:p>
      <w:pPr>
        <w:pStyle w:val="BookText"/>
        <w:rPr/>
      </w:pPr>
      <w:r>
        <w:rPr>
          <w:rFonts w:ascii="IRNazanin" w:hAnsi="IRNazanin" w:eastAsia="IRNazanin"/>
          <w:color w:val="111111"/>
          <w:sz w:val="28"/>
          <w:sz w:val="28"/>
          <w:szCs w:val="28"/>
          <w:rtl w:val="true"/>
          <w:lang w:bidi="fa-IR"/>
        </w:rPr>
        <w:t>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توضع الجنازة دون القبر بذراعین أو ثلاثة أو أزید</w:t>
      </w:r>
      <w:r>
        <w:rPr>
          <w:rStyle w:val="FootnoteAnchor"/>
          <w:rtl w:val="true"/>
        </w:rPr>
        <w:footnoteReference w:id="703"/>
      </w:r>
      <w:r>
        <w:rPr>
          <w:rFonts w:ascii="IRNazanin" w:hAnsi="IRNazanin" w:eastAsia="IRNazanin"/>
          <w:color w:val="111111"/>
          <w:sz w:val="28"/>
          <w:sz w:val="28"/>
          <w:szCs w:val="28"/>
          <w:rtl w:val="true"/>
          <w:lang w:bidi="fa-IR"/>
        </w:rPr>
        <w:t>من ذلک، ثمّ ینقل قلیلاً ویوضع، ثمّ ینقل قلیلاً ویوضع، ثمّ ینقل فی الثالثة مترسّلاً لیأخذ المیّت اُهبته، بل یکره أن یدخل فی القبر دفعة، فإنّ للقبر أهوالاً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المیّت رجلاً یوضع فی الدفعة الأخیرة بحیث یکون رأسه عند ما یلی رجلی المیّت فی القبر، ثمّ یُدخل فی القبر طولاً من طرف رأسه، أی یدخل رأسه أوّلاً، وإن کان امرأة توضع فی طرف القبلة، ثمّ تُدخَل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یغطّی القبر بثوب عند إدخال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یُسلَّ من نعشه سلاًّ فیرسل إلی القبر برفق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السلّ من النعش،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ملّة رسول اللّه صلّی اللّه علیه وآله، اللهمّ إلی رحمتک لا إلی عذابک، اللهمّ افسح له فی قبره، ولقّنه فی حجّته، وثبّـته بالقول الثابت، وقِنا وإیّاهُ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معاینة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روضةً من ریاض الجنّة، ولا تجعله حفرة من حفر النار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الوضع فی القبر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عبدُک وابنُ عبدِک وابنُ أمتک، نزل بک وأنت خیرُ منزول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الوضع فیه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جنبَیه، وصاعِد عمله، ولقِّه منک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وضعه فی اللحد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وعلی ملّة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یقرأ فاتحة الکتاب وآیة الکرسیّ والمعوّذتین وقل هو اللّه أحد،</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دام مشتغلاً بالتشریج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شَرَّجَ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بعضه إلی بعض، وکلّ ما ضُمّ بعضُه الی بعضٍ فقد 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ومجمع البحرین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وَحدَتَه، وآنس وحشته، وآمن روعته، وأسکنه من رحمتک رحمة تغنیه بها عن رحمة من سواک، فإنّما رحمتک للظالمین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الخروج من القبر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 اللهمّ ارفع درجته فی عِلِّیِّین، واخلُف علی عَقِبِه فی الغابِرِین، وعندک نحتسبه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إهالة التراب علیه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 اللهمّ جافِ الأرض عن جنبَیه، وأصعِد إلیک بروحه، ولقِّهِ منکَ رِضواناً، وأسکِن قبره من رحمتک ما تغنیه به عن رحمة من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وأیضاً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إیماناً بک وتصدیقاً ببعثک، هذا ما وَعَدَنا اللّه‌ُ ورسولُه، اللهمّ زِدنا إیماناً وتسلیماً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تُحلّ عُقَدالکفن بعدالوضع فی القبر، ویبدأ من طرف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یُحسَر عن وجهه، ویُجعَل خدّه علی الأرض، ویعمل له وسادة من تراب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یسند ظهره بلبنة أو مدرة لئلاّ یستلقی علی قفاه</w:t>
      </w:r>
      <w:r>
        <w:rPr>
          <w:rFonts w:eastAsia="IRNazanin" w:cs="IRNazanin"/>
          <w:color w:val="111111"/>
          <w:sz w:val="28"/>
          <w:szCs w:val="28"/>
          <w:rtl w:val="true"/>
          <w:lang w:bidi="fa-IR"/>
        </w:rPr>
        <w:t xml:space="preserve">. </w:t>
      </w:r>
      <w:bookmarkStart w:id="642" w:name="pg13276_136735"/>
    </w:p>
    <w:p>
      <w:pPr>
        <w:pStyle w:val="BookText"/>
        <w:rPr/>
      </w:pPr>
      <w:bookmarkEnd w:id="642"/>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مقدار لِبنة من تربة الحسین علیه‌السلام تلقاء وجهه بحیث لا تصل إلیها النجاسة بعد الانفجار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تلقینه بعد الوضع فی اللَحد قبل السَتر باللِبن، بأن یضرب بیده علی منکبه الأیمن، ویضع یده الیسری علی منکبه الأیسر بقوّة، ویُدنی فمه إلی اُذنه ویحرّکه تحریکاً شدیداً،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فلان، بن فلان اسمَع افهَم ـ ثلاث مرّات ـ اللّه‌ُ ربُّک، ومحمّدٌ نبیُّک، والإسلامُ دینُک، والقرآن کتابک، وعلیُّ إمامک، والحسن إمامک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الأئمّة، أفَهِمتَ یافلان؟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ویعید علیه هذا التلقین ثلاث مرّات،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ثبّتک اللّه بالقول الثابت، هداک اللّه إلی صراط مستقیم، عرّف اللّه بینک وبین أولیائک فی مستقرٍّ من رحمته، اللهمّ جافِ الأرض عن جنَبیه، وأصعِد بروحه إلیک، ولقِّه منک برهاناً، اللهمّ عَفوکَ عَفوکَ</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764022_2322387425"/>
      <w:bookmarkStart w:id="644" w:name="_Toc244"/>
      <w:bookmarkEnd w:id="643"/>
      <w:r>
        <w:rPr>
          <w:rtl w:val="true"/>
        </w:rPr>
        <w:t>کیفیة التلقین</w:t>
      </w:r>
      <w:bookmarkEnd w:id="64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وأجمع کلمة فی التلقین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ذاکراً اسمه واسم أبیه،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علی العهد الذی فارقتنا علیه من شهادة أن لا إله إلاّ اللّه وحده لا شریک له، وأنّ محمَّداً صلی‌الله‌علیه‌و‌آله عبده ورسوله، وسیّد النبیّین وخاتم المرسلین، وأنّ علیّاً أمیر الموءمنین، وسیّد الوصیّین، وإمام افترض اللّه طاعته علی العالمین، وأنّ الحسن والحسین، وعلیّ بن الحسین، ومحمّد بن علیّ، وجعفر بن محمّد، وموسی بن جعفر، وعلیّ بن موسی، ومحمّد بن علیّ، وعلی بن محمّد، والحسن بن علیّ، والقائم الحجّة المهدیّ ـ صلوات اللّه علیهم ـ أئمّة الموءمنین، وحجج اللّه علی الخلق أجمعین، وأئمّتک أئمّة هدی بک</w:t>
      </w:r>
      <w:r>
        <w:rPr>
          <w:rStyle w:val="FootnoteAnchor"/>
          <w:rtl w:val="true"/>
        </w:rPr>
        <w:footnoteReference w:id="704"/>
      </w:r>
      <w:r>
        <w:rPr>
          <w:rFonts w:ascii="IRNazanin" w:hAnsi="IRNazanin" w:eastAsia="IRNazanin"/>
          <w:color w:val="111111"/>
          <w:sz w:val="28"/>
          <w:sz w:val="28"/>
          <w:szCs w:val="28"/>
          <w:rtl w:val="true"/>
          <w:lang w:bidi="fa-IR"/>
        </w:rPr>
        <w:t xml:space="preserve">أبرار، یا فلان بن فلان، إذا أتاک المَلَکان المقرّبان رسولَین من عنداللّه تبارک وتعالی وسألاک عن ربّک وعن نبیّک وعن دینک وعن کتابک وعن قبلتک وعن أئمّتک؟ فلا تخف ولا </w:t>
      </w:r>
      <w:bookmarkStart w:id="645" w:name="pg13276_136736"/>
    </w:p>
    <w:p>
      <w:pPr>
        <w:pStyle w:val="BookText"/>
        <w:rPr/>
      </w:pPr>
      <w:bookmarkEnd w:id="645"/>
      <w:r>
        <w:rPr>
          <w:rFonts w:ascii="IRNazanin" w:hAnsi="IRNazanin" w:eastAsia="IRNazanin"/>
          <w:color w:val="111111"/>
          <w:sz w:val="28"/>
          <w:sz w:val="28"/>
          <w:szCs w:val="28"/>
          <w:rtl w:val="true"/>
          <w:lang w:bidi="fa-IR"/>
        </w:rPr>
        <w:t>تحزن، وقل فی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ومحمَّد صلی‌الله‌علیه‌و‌آله نبیّی، والإسلام دینی، والقرآن کتابی، والکعبة قبلتی، وأمیر الموءمنین علیّ بن أبی طالب إمامی، والحسن بن علیّ المجتبی إمامی، والحسین بن علیّ الشهید بکربلاء إمامی، وعلیّ زین العابدین إمامی، ومحمّد الباقر إمامی، وجعفر الصادق إمامی، وموسی الکاظم إمامی، وعلیّ الرضا إمامی، ومحمّد الجواد إمامی، وعلیّ الهادی إمامی، والحسن العسکریّ إمامی، والحجّة المنتظر إمامی، هوءلاء ـ صلوات اللّه علیهم أجمعین ـ أئمّتی وسادتی وقادتی وشفعائی، بهم أتولّی، ومن أعدائهم أتبرّأ فی الدنیا والآخرة</w:t>
      </w:r>
      <w:r>
        <w:rPr>
          <w:rFonts w:eastAsia="IRNazanin" w:cs="IRNazanin"/>
          <w:color w:val="111111"/>
          <w:sz w:val="28"/>
          <w:szCs w:val="28"/>
          <w:rtl w:val="true"/>
          <w:lang w:bidi="fa-IR"/>
        </w:rPr>
        <w:t>.</w:t>
      </w:r>
    </w:p>
    <w:p>
      <w:pPr>
        <w:pStyle w:val="Heading3"/>
        <w:numPr>
          <w:ilvl w:val="2"/>
          <w:numId w:val="1"/>
        </w:numPr>
        <w:rPr/>
      </w:pPr>
      <w:bookmarkStart w:id="646" w:name="__RefHeading___Toc1764024_2322387425"/>
      <w:bookmarkStart w:id="647" w:name="_Toc245"/>
      <w:bookmarkEnd w:id="646"/>
      <w:r>
        <w:rPr>
          <w:rtl w:val="true"/>
        </w:rPr>
        <w:t>بقیة مستحبات الدفن</w:t>
      </w:r>
      <w:bookmarkEnd w:id="647"/>
    </w:p>
    <w:p>
      <w:pPr>
        <w:pStyle w:val="BookText"/>
        <w:rPr/>
      </w:pPr>
      <w:r>
        <w:rPr>
          <w:rFonts w:ascii="IRNazanin" w:hAnsi="IRNazanin" w:eastAsia="IRNazanin"/>
          <w:color w:val="111111"/>
          <w:sz w:val="28"/>
          <w:sz w:val="28"/>
          <w:szCs w:val="28"/>
          <w:rtl w:val="true"/>
          <w:lang w:bidi="fa-IR"/>
        </w:rPr>
        <w:t>ثمّ اعلم یا فلان بن فلان، إنّ اللّه تبارک وتعالی نِعَم الربّ، وإنّ محمَّداً صلی‌الله‌علیه‌و‌آله نِعَم الرسول، وإنّ علیّ بن أبی طالب وأولاده المعصومین الأئمّة الاثنی عشر نِعَم الأئمّة، وإنّ ماجاء به محمّد صلی‌الله‌علیه‌و‌آله حقّ، وإنّ الموت حقّ، وسوءال منکر ونکیر فی القبر حقّ، والبعث والنشور حقّ، والصراط حقّ، والمیزان حقّ، وتطایر الکتب حقّ، وإنّ الجنّة حقّ، والنار حقّ، وإنّ الساعة آتیة لا ریب فیها، وإنّ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أفهمت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ثبّتک اللّه بالقول الثابت، وهداک اللّه إلی صراط مستقیم، عرَّف اللّه بینک وبین أولیائک فی مستقرّ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جنبَیه، وأصعِد بروحه إلیک، ولقِّهِ منک برهاناً، اللهمّ عفوکَ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والأولی أن یلقّن</w:t>
      </w:r>
      <w:r>
        <w:rPr>
          <w:rStyle w:val="FootnoteAnchor"/>
          <w:rtl w:val="true"/>
        </w:rPr>
        <w:footnoteReference w:id="705"/>
      </w:r>
      <w:r>
        <w:rPr>
          <w:rFonts w:ascii="IRNazanin" w:hAnsi="IRNazanin" w:eastAsia="IRNazanin"/>
          <w:color w:val="111111"/>
          <w:sz w:val="28"/>
          <w:sz w:val="28"/>
          <w:szCs w:val="28"/>
          <w:rtl w:val="true"/>
          <w:lang w:bidi="fa-IR"/>
        </w:rPr>
        <w:t>بما ذکر من العربیّ، وبلسان المیّت أیضاً إن کان غیر عربیّ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یسدّ اللحد باللِبن لحفظ المیّت من وقوع التراب علیه، والأولی الابتداء من طرف رأسه، وإن اُحکمت اللِبن بالطین کان أحسن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المباشر من طرف الرجلین فإنّه باب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یضعه فی القبر علی طهارة، مکشوف الرأس</w:t>
      </w:r>
      <w:r>
        <w:rPr>
          <w:rStyle w:val="FootnoteAnchor"/>
          <w:rtl w:val="true"/>
        </w:rPr>
        <w:footnoteReference w:id="706"/>
      </w:r>
      <w:r>
        <w:rPr>
          <w:rFonts w:ascii="IRNazanin" w:hAnsi="IRNazanin" w:eastAsia="IRNazanin"/>
          <w:color w:val="111111"/>
          <w:sz w:val="28"/>
          <w:sz w:val="28"/>
          <w:szCs w:val="28"/>
          <w:rtl w:val="true"/>
          <w:lang w:bidi="fa-IR"/>
        </w:rPr>
        <w:t>، نازعاً عمامته ورداءه ونعلیه، بل وخُفّیه، إلاّ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یُهیلَ غیر ذی رحم ـ ممّن حضر ـ التراب علیه بظهر الکفّ،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المباشر لوضع المرأة فی القبر محارمها أو زوجها</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أحقّ بامرأته حتی یضعها فی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الجنازة،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عدمهم فأرحامها، وإلاّ فالأجانب، ولا یبعد أن یکون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الرجل الأجانب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بمقدار أربع أصابع مضمومة أو مفرّجة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تربیع القبر</w:t>
      </w:r>
      <w:r>
        <w:rPr>
          <w:rStyle w:val="FootnoteAnchor"/>
          <w:rtl w:val="true"/>
        </w:rPr>
        <w:footnoteReference w:id="708"/>
      </w:r>
      <w:r>
        <w:rPr>
          <w:rFonts w:ascii="IRNazanin" w:hAnsi="IRNazanin" w:eastAsia="IRNazanin"/>
          <w:color w:val="111111"/>
          <w:sz w:val="28"/>
          <w:sz w:val="28"/>
          <w:szCs w:val="28"/>
          <w:rtl w:val="true"/>
          <w:lang w:bidi="fa-IR"/>
        </w:rPr>
        <w:t>، بمعنی کونها ذات أربع زوایا</w:t>
      </w:r>
      <w:r>
        <w:rPr>
          <w:rStyle w:val="FootnoteAnchor"/>
          <w:rtl w:val="true"/>
        </w:rPr>
        <w:footnoteReference w:id="709"/>
      </w:r>
      <w:r>
        <w:rPr>
          <w:rFonts w:ascii="IRNazanin" w:hAnsi="IRNazanin" w:eastAsia="IRNazanin"/>
          <w:color w:val="111111"/>
          <w:sz w:val="28"/>
          <w:sz w:val="28"/>
          <w:szCs w:val="28"/>
          <w:rtl w:val="true"/>
          <w:lang w:bidi="fa-IR"/>
        </w:rPr>
        <w:t>قائمة، وتسطیحه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تسنیمه، بل ترکه أحوط</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علی القبر علامة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یرشّ علیه الماء، والأولی أن یستقبل القبلة </w:t>
      </w:r>
    </w:p>
    <w:p>
      <w:pPr>
        <w:pStyle w:val="BookText"/>
        <w:rPr/>
      </w:pPr>
      <w:r>
        <w:rPr>
          <w:rFonts w:ascii="IRNazanin" w:hAnsi="IRNazanin" w:eastAsia="IRNazanin"/>
          <w:color w:val="111111"/>
          <w:sz w:val="28"/>
          <w:sz w:val="28"/>
          <w:szCs w:val="28"/>
          <w:rtl w:val="true"/>
          <w:lang w:bidi="fa-IR"/>
        </w:rPr>
        <w:t>ویبتدئ بالرشّ من عند الرأس إلی الرِجل، ثمّ یدور به علی القبر حتی یرجع إلی الرأس، ثمّ یرشّ علی الوسط ما یفضل من الماء، ولا یبعد</w:t>
      </w:r>
      <w:r>
        <w:rPr>
          <w:rStyle w:val="FootnoteAnchor"/>
          <w:rtl w:val="true"/>
        </w:rPr>
        <w:footnoteReference w:id="711"/>
      </w:r>
      <w:r>
        <w:rPr>
          <w:rFonts w:ascii="IRNazanin" w:hAnsi="IRNazanin" w:eastAsia="IRNazanin"/>
          <w:color w:val="111111"/>
          <w:sz w:val="28"/>
          <w:sz w:val="28"/>
          <w:szCs w:val="28"/>
          <w:rtl w:val="true"/>
          <w:lang w:bidi="fa-IR"/>
        </w:rPr>
        <w:t>استحباب الرشّ إلی أربعین یوماً، أو أربعین شهراً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الحاضرون بعد الرشّ أصابعهم مفرّجات علی القبر بحیث یبقی أثرها، والأولی أن یکون مستقبل القبلة، ومن طرف رأس المیّت، واستحباب الوضع المذکور آکد بالنسبة إلی من لم یصلِّ علی المیّت، وإذا کان المیّت هاشمیّاً فالأولی أن یکون الوضع علی وجه یکون أثر الأصابع أزید بأن یزید فی غمز الید، ویستحبّ أن یقول حین الوضع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ختمتک من الشیطان أن یدخلک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یستحبّ أن یقرأ مستقبلاً للقبلة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یستغفر له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وأصعِد إلیک روحه، ولقِّه منک رضوانا وأسکِن قبره من رحمتک ما تغنیه به عن رحمة مَن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غربته، وصِلْ وحدته، وآنِس وحشته، وآمِن روعته، وأفِض علیه من رحمتک، وأسکِن إلیه من برد عفوک وسعة غفرانک ورحمتک ما یستغنی بها عن رحمة مَن سواک، واحشره مَع من کان یتولاّه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تختصُّ هذه الکیفیّة بهذه الحالة، بل یستحبُّ عند زیارة کلّ موءمن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وطلب المغفرة، وقراءة الدعاء المذکور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یلقّنه الولیّ أو من یأذن له تلقیناً آخر بعد تمام الدفن، ورجوع الحاضرین بصوتٍ عالٍ بنحو ما ذکر، فإنّ هذا التلقین یوجب عدم سوءال النکیرین منه، فالتلقین یستحبّ فی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الاحتضار، وبعد الوضع فی القبر، وبعد الدفن ورجوع الحاضرین، وبعضهم </w:t>
      </w:r>
    </w:p>
    <w:p>
      <w:pPr>
        <w:pStyle w:val="BookText"/>
        <w:rPr/>
      </w:pPr>
      <w:r>
        <w:rPr>
          <w:rFonts w:ascii="IRNazanin" w:hAnsi="IRNazanin" w:eastAsia="IRNazanin"/>
          <w:color w:val="111111"/>
          <w:sz w:val="28"/>
          <w:sz w:val="28"/>
          <w:szCs w:val="28"/>
          <w:rtl w:val="true"/>
          <w:lang w:bidi="fa-IR"/>
        </w:rPr>
        <w:t>ذکر استحبابه بعد التکفین</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یذکر له دلیل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الاستقبال</w:t>
      </w:r>
      <w:r>
        <w:rPr>
          <w:rStyle w:val="FootnoteAnchor"/>
          <w:rtl w:val="true"/>
        </w:rPr>
        <w:footnoteReference w:id="714"/>
      </w:r>
      <w:r>
        <w:rPr>
          <w:rFonts w:ascii="IRNazanin" w:hAnsi="IRNazanin" w:eastAsia="IRNazanin"/>
          <w:color w:val="111111"/>
          <w:sz w:val="28"/>
          <w:sz w:val="28"/>
          <w:szCs w:val="28"/>
          <w:rtl w:val="true"/>
          <w:lang w:bidi="fa-IR"/>
        </w:rPr>
        <w:t>حال التلقین، وینبغی فی التلقین بعد الدفن وضع الفم عند الرأس، وقبض القبر بالکفّین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اسم المیّت علی القبر، أو علی لوح أو حجر ویُنَصب عند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w:t>
      </w:r>
      <w:r>
        <w:rPr>
          <w:rStyle w:val="FootnoteAnchor"/>
          <w:rtl w:val="true"/>
        </w:rPr>
        <w:footnoteReference w:id="715"/>
      </w:r>
      <w:r>
        <w:rPr>
          <w:rFonts w:ascii="Amiri" w:hAnsi="Amiri" w:eastAsia="Amiri" w:cs="Amiri"/>
          <w:color w:val="111111"/>
          <w:sz w:val="28"/>
          <w:sz w:val="28"/>
          <w:szCs w:val="28"/>
          <w:rtl w:val="true"/>
          <w:lang w:bidi="ar-SA"/>
        </w:rPr>
        <w:t>فی فمه فصّ</w:t>
      </w:r>
      <w:r>
        <w:rPr>
          <w:rStyle w:val="FootnoteAnchor"/>
          <w:rtl w:val="true"/>
        </w:rPr>
        <w:footnoteReference w:id="716"/>
      </w:r>
      <w:r>
        <w:rPr>
          <w:rFonts w:ascii="IRNazanin" w:hAnsi="IRNazanin" w:eastAsia="IRNazanin"/>
          <w:color w:val="111111"/>
          <w:sz w:val="28"/>
          <w:sz w:val="28"/>
          <w:szCs w:val="28"/>
          <w:rtl w:val="true"/>
          <w:lang w:bidi="fa-IR"/>
        </w:rPr>
        <w:t>عقیق</w:t>
      </w:r>
      <w:r>
        <w:rPr>
          <w:rStyle w:val="FootnoteAnchor"/>
          <w:rtl w:val="true"/>
        </w:rPr>
        <w:footnoteReference w:id="717"/>
      </w:r>
      <w:r>
        <w:rPr>
          <w:rFonts w:ascii="IRNazanin" w:hAnsi="IRNazanin" w:eastAsia="IRNazanin"/>
          <w:color w:val="111111"/>
          <w:sz w:val="28"/>
          <w:sz w:val="28"/>
          <w:szCs w:val="28"/>
          <w:rtl w:val="true"/>
          <w:lang w:bidi="fa-IR"/>
        </w:rPr>
        <w:t>مکتوب علیه</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ربّی، محمّد نبیّی، علیّ والحسن والحسین ـ إلی آخر الأئمّة علیهم‌السلام ـ أئمّتی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یوضع علی قبره شیء من الحصی علی ما ذکره بعضهم، والأولی کونها حُمراً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تعزیة المصاب وتسلیته قبل الدفن وبعده، والثانی أفضل، والمرجع فیها العرف، ویکفی فی ثوابها روءیة المصاب</w:t>
      </w:r>
      <w:r>
        <w:rPr>
          <w:rStyle w:val="FootnoteAnchor"/>
          <w:rtl w:val="true"/>
        </w:rPr>
        <w:footnoteReference w:id="719"/>
      </w:r>
      <w:r>
        <w:rPr>
          <w:rFonts w:ascii="Amiri" w:hAnsi="Amiri" w:eastAsia="Amiri" w:cs="Amiri"/>
          <w:color w:val="111111"/>
          <w:sz w:val="28"/>
          <w:sz w:val="28"/>
          <w:szCs w:val="28"/>
          <w:rtl w:val="true"/>
          <w:lang w:bidi="ar-SA"/>
        </w:rPr>
        <w:t xml:space="preserve">إیّاه، ولا </w:t>
      </w:r>
    </w:p>
    <w:p>
      <w:pPr>
        <w:pStyle w:val="BookText"/>
        <w:rPr/>
      </w:pPr>
      <w:r>
        <w:rPr>
          <w:rFonts w:ascii="IRNazanin" w:hAnsi="IRNazanin" w:eastAsia="IRNazanin"/>
          <w:color w:val="111111"/>
          <w:sz w:val="28"/>
          <w:sz w:val="28"/>
          <w:szCs w:val="28"/>
          <w:rtl w:val="true"/>
          <w:lang w:bidi="fa-IR"/>
        </w:rPr>
        <w:t>حدّ لزمانها، ولو أدّت إلی تجدید حزن قد نسی کان ترکها أولی</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الجلوس للتعزیة، ولا حدّ له أیضاً، وحدّه بعضهم بیومین أو ثلاث</w:t>
      </w:r>
      <w:r>
        <w:rPr>
          <w:rStyle w:val="FootnoteAnchor"/>
          <w:rtl w:val="true"/>
        </w:rPr>
        <w:footnoteReference w:id="721"/>
      </w:r>
      <w:r>
        <w:rPr>
          <w:rFonts w:ascii="IRNazanin" w:hAnsi="IRNazanin" w:eastAsia="IRNazanin"/>
          <w:color w:val="111111"/>
          <w:sz w:val="28"/>
          <w:sz w:val="28"/>
          <w:szCs w:val="28"/>
          <w:rtl w:val="true"/>
          <w:lang w:bidi="fa-IR"/>
        </w:rPr>
        <w:t>، وبعضهم علی أنّ الأزید من یوم مکروه، ولکن إن کان الجلوس بقصد قراءة القرآن والدعاء</w:t>
      </w:r>
      <w:r>
        <w:rPr>
          <w:rStyle w:val="FootnoteAnchor"/>
          <w:rtl w:val="true"/>
        </w:rPr>
        <w:footnoteReference w:id="722"/>
      </w:r>
      <w:r>
        <w:rPr>
          <w:rFonts w:ascii="IRNazanin" w:hAnsi="IRNazanin" w:eastAsia="IRNazanin"/>
          <w:color w:val="111111"/>
          <w:sz w:val="28"/>
          <w:sz w:val="28"/>
          <w:szCs w:val="28"/>
          <w:rtl w:val="true"/>
          <w:lang w:bidi="fa-IR"/>
        </w:rPr>
        <w:t>لا یبعد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الطعام إلی أهل المیت ثلاثة أیّام، ویکره الأکل عندهم، 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أهلِ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أربعین أو خمسین</w:t>
      </w:r>
      <w:r>
        <w:rPr>
          <w:rStyle w:val="FootnoteAnchor"/>
          <w:rtl w:val="true"/>
        </w:rPr>
        <w:footnoteReference w:id="723"/>
      </w:r>
      <w:r>
        <w:rPr>
          <w:rFonts w:ascii="IRNazanin" w:hAnsi="IRNazanin" w:eastAsia="IRNazanin"/>
          <w:color w:val="111111"/>
          <w:sz w:val="28"/>
          <w:sz w:val="28"/>
          <w:szCs w:val="28"/>
          <w:rtl w:val="true"/>
          <w:lang w:bidi="fa-IR"/>
        </w:rPr>
        <w:t>من الموءمنین للمیّت بخیر بأن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وأنت أعلم به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الموءمن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یسلّی صاحب المصیبة نفسه بتذکّر موت النبیّ صلی‌الله‌علیه‌و‌آله ؛ فإنّه أعظم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المصیبة والاحتساب والتأسّی بالأنبیاء والأوصیاء علیهم‌السلام والصلحاء، خصوصاً فی موت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تذکّر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قبور الموءمنین والسلام علیهم،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وقراءة القرآن وطلب الرحمة والغفران لهم، ویتأکّد فی یوم الاثنین والخمیس، خصوصاً عصره وصبیحة السبت </w:t>
      </w:r>
    </w:p>
    <w:p>
      <w:pPr>
        <w:pStyle w:val="BookText"/>
        <w:rPr/>
      </w:pPr>
      <w:r>
        <w:rPr>
          <w:rFonts w:ascii="IRNazanin" w:hAnsi="IRNazanin" w:eastAsia="IRNazanin"/>
          <w:color w:val="111111"/>
          <w:sz w:val="28"/>
          <w:sz w:val="28"/>
          <w:szCs w:val="28"/>
          <w:rtl w:val="true"/>
          <w:lang w:bidi="fa-IR"/>
        </w:rPr>
        <w:t>للرجال والنساء بشرط عدم الجزع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أهل الدیار من الموءمنین، رحم اللّه المتقدّمین منکم والمتأخّرین، وإنّا إن شاء اللّه بکم لاحقون</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للزائر أن یضع یده علی القبر، وأن یکون مستقبلاً، وأن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أیضاً قراءة الحمد والمعوّذتین وآیة الکرسیّ</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وسورة التوحید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منها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یکون جالساً مستقبل القبلة، ویجوز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أیضاً قراءة یآس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أیضاً أن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السلام علی أهل لا إله إلاّ اللّه، من أهل لا إله إلاّ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ویزید بین هذه الجملة وبین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وجدتم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من لا إله إلاّ اللّه؟ یا لا إله إلاّ اللّه، بحقّ لا إله إلاّ اللّه، اغفر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واحشرنا فی زمرة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الحاجة عند قبر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إحکام بناء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الأقارب متقاربین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التحمید والاسترجاع وسوءال الخلف عند موت </w:t>
      </w:r>
      <w:bookmarkStart w:id="648" w:name="pg13276_136742"/>
    </w:p>
    <w:p>
      <w:pPr>
        <w:pStyle w:val="BookText"/>
        <w:rPr/>
      </w:pPr>
      <w:bookmarkEnd w:id="648"/>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p>
    <w:p>
      <w:pPr>
        <w:pStyle w:val="Heading3"/>
        <w:numPr>
          <w:ilvl w:val="2"/>
          <w:numId w:val="1"/>
        </w:numPr>
        <w:rPr/>
      </w:pPr>
      <w:bookmarkStart w:id="649" w:name="__RefHeading___Toc1764026_2322387425"/>
      <w:bookmarkStart w:id="650" w:name="_Toc246"/>
      <w:bookmarkEnd w:id="649"/>
      <w:r>
        <w:rPr>
          <w:rtl w:val="true"/>
        </w:rPr>
        <w:t>صلاة لیلة الدفن</w:t>
      </w:r>
      <w:bookmarkEnd w:id="650"/>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الهدیّة لیلة الدفن</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ویعبّر عنها فی ألسنة المتشرّعة بصلاة لیلة الدفن، وصلاة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ـ علی روایةٍ ـ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فی الاُولی الحمد وآیة الکرسیّ، وفی الثانیة الحمد والقدر عشر مرّات، ویقول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وأبعث ثوابها إلی قبر فلان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الاُولی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مرّتین، وفی الثانیة الحمد والتکاثر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أتی بالکیفیّتین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وتکفی صلاة واحدة من شخص واحد، وإتیان أربعین أولی، لکن لا بقصد الورود والخصوصیّة، کما أ نّه یجوز التعدّد من شخص واحد بقصد إهداء الثواب، والأحوط قراءة آیة الکرسیّ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وقتها تمام اللیل</w:t>
      </w:r>
      <w:r>
        <w:rPr>
          <w:rStyle w:val="FootnoteAnchor"/>
          <w:rtl w:val="true"/>
        </w:rPr>
        <w:footnoteReference w:id="729"/>
      </w:r>
      <w:r>
        <w:rPr>
          <w:rFonts w:ascii="IRNazanin" w:hAnsi="IRNazanin" w:eastAsia="IRNazanin"/>
          <w:color w:val="111111"/>
          <w:sz w:val="28"/>
          <w:sz w:val="28"/>
          <w:szCs w:val="28"/>
          <w:rtl w:val="true"/>
          <w:lang w:bidi="fa-IR"/>
        </w:rPr>
        <w:t>، وإن کان الأولی أوّله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أتی بغیر الکیفیّة المذکورة سهواً أعاد</w:t>
      </w:r>
      <w:r>
        <w:rPr>
          <w:rStyle w:val="FootnoteAnchor"/>
          <w:rtl w:val="true"/>
        </w:rPr>
        <w:footnoteReference w:id="730"/>
      </w:r>
      <w:r>
        <w:rPr>
          <w:rFonts w:ascii="IRNazanin" w:hAnsi="IRNazanin" w:eastAsia="IRNazanin"/>
          <w:color w:val="111111"/>
          <w:sz w:val="28"/>
          <w:sz w:val="28"/>
          <w:szCs w:val="28"/>
          <w:rtl w:val="true"/>
          <w:lang w:bidi="fa-IR"/>
        </w:rPr>
        <w:t xml:space="preserve">، ولو کان بترک آیة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آیة من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نَسـی مَن أخذ الاُجرة علیها فترکها أو ترک شیئاً منها وجب</w:t>
      </w:r>
      <w:r>
        <w:rPr>
          <w:rStyle w:val="FootnoteAnchor"/>
          <w:rtl w:val="true"/>
        </w:rPr>
        <w:footnoteReference w:id="731"/>
      </w:r>
      <w:r>
        <w:rPr>
          <w:rFonts w:ascii="IRNazanin" w:hAnsi="IRNazanin" w:eastAsia="IRNazanin"/>
          <w:color w:val="111111"/>
          <w:sz w:val="28"/>
          <w:sz w:val="28"/>
          <w:szCs w:val="28"/>
          <w:rtl w:val="true"/>
          <w:lang w:bidi="fa-IR"/>
        </w:rPr>
        <w:t>علیه ردّها إلی صاحبها، وإن لم یعرفه تصدّق بها عن صاحبها</w:t>
      </w:r>
      <w:r>
        <w:rPr>
          <w:rStyle w:val="FootnoteAnchor"/>
          <w:rtl w:val="true"/>
        </w:rPr>
        <w:footnoteReference w:id="732"/>
      </w:r>
      <w:r>
        <w:rPr>
          <w:rFonts w:ascii="IRNazanin" w:hAnsi="IRNazanin" w:eastAsia="IRNazanin"/>
          <w:color w:val="111111"/>
          <w:sz w:val="28"/>
          <w:sz w:val="28"/>
          <w:szCs w:val="28"/>
          <w:rtl w:val="true"/>
          <w:lang w:bidi="fa-IR"/>
        </w:rPr>
        <w:t>، وإن علم برضاه</w:t>
      </w:r>
      <w:r>
        <w:rPr>
          <w:rStyle w:val="FootnoteAnchor"/>
          <w:rtl w:val="true"/>
        </w:rPr>
        <w:footnoteReference w:id="733"/>
      </w:r>
      <w:r>
        <w:rPr>
          <w:rFonts w:ascii="IRNazanin" w:hAnsi="IRNazanin" w:eastAsia="IRNazanin"/>
          <w:color w:val="111111"/>
          <w:sz w:val="28"/>
          <w:sz w:val="28"/>
          <w:szCs w:val="28"/>
          <w:rtl w:val="true"/>
          <w:lang w:bidi="fa-IR"/>
        </w:rPr>
        <w:t xml:space="preserve">أتی </w:t>
      </w:r>
    </w:p>
    <w:p>
      <w:pPr>
        <w:pStyle w:val="BookText"/>
        <w:rPr/>
      </w:pPr>
      <w:r>
        <w:rPr>
          <w:rFonts w:ascii="Amiri" w:hAnsi="Amiri" w:eastAsia="Amiri" w:cs="Amiri"/>
          <w:color w:val="111111"/>
          <w:sz w:val="28"/>
          <w:sz w:val="28"/>
          <w:szCs w:val="28"/>
          <w:rtl w:val="true"/>
          <w:lang w:bidi="ar-SA"/>
        </w:rPr>
        <w:t>بالصلاة</w:t>
      </w:r>
      <w:r>
        <w:rPr>
          <w:rStyle w:val="FootnoteAnchor"/>
          <w:rtl w:val="true"/>
        </w:rPr>
        <w:footnoteReference w:id="734"/>
      </w:r>
      <w:r>
        <w:rPr>
          <w:rFonts w:ascii="IRNazanin" w:hAnsi="IRNazanin" w:eastAsia="IRNazanin"/>
          <w:color w:val="111111"/>
          <w:sz w:val="28"/>
          <w:sz w:val="28"/>
          <w:szCs w:val="28"/>
          <w:rtl w:val="true"/>
          <w:lang w:bidi="fa-IR"/>
        </w:rPr>
        <w:t>فی وقت آخر، وأهدی ثوابها إلی المیّت لا بقصد 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المیّت إلی مکان آخر کالعتبات، أو اُخِّر الدفن إلی مدّةٍ فصلاة لیلة الدفن</w:t>
      </w:r>
      <w:r>
        <w:rPr>
          <w:rStyle w:val="FootnoteAnchor"/>
          <w:rtl w:val="true"/>
        </w:rPr>
        <w:footnoteReference w:id="735"/>
      </w:r>
      <w:r>
        <w:rPr>
          <w:rFonts w:ascii="Amiri" w:hAnsi="Amiri" w:eastAsia="Amiri" w:cs="Amiri"/>
          <w:color w:val="111111"/>
          <w:sz w:val="28"/>
          <w:sz w:val="28"/>
          <w:szCs w:val="28"/>
          <w:rtl w:val="true"/>
          <w:lang w:bidi="ar-SA"/>
        </w:rPr>
        <w:t>توءخَّر إلی لیلة الدفن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استحباب التعزیة لأهل المصیبة بین الرجال والنساء، حتّی الشابّات منهنّ متحرّزاً عمّا تکون به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بتعزیة أهل الذمّة مع الاحتراز عن الدعاء لهم بالأجر، إلاّ مع مصلحة تقتضی ذلک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الوصیّة بمالٍ لطعامِ مأتمه بعد موته</w:t>
      </w:r>
      <w:r>
        <w:rPr>
          <w:rFonts w:eastAsia="IRNazanin" w:cs="IRNazanin"/>
          <w:color w:val="111111"/>
          <w:sz w:val="28"/>
          <w:szCs w:val="28"/>
          <w:rtl w:val="true"/>
          <w:lang w:bidi="fa-IR"/>
        </w:rPr>
        <w:t xml:space="preserve">. </w:t>
      </w:r>
      <w:bookmarkStart w:id="651" w:name="pg13276_136745"/>
    </w:p>
    <w:p>
      <w:pPr>
        <w:pStyle w:val="Heading2"/>
        <w:numPr>
          <w:ilvl w:val="1"/>
          <w:numId w:val="1"/>
        </w:numPr>
        <w:rPr/>
      </w:pPr>
      <w:bookmarkStart w:id="652" w:name="__RefHeading___Toc1764028_2322387425"/>
      <w:bookmarkStart w:id="653" w:name="_Toc247"/>
      <w:bookmarkEnd w:id="651"/>
      <w:bookmarkEnd w:id="652"/>
      <w:r>
        <w:rPr>
          <w:rtl w:val="true"/>
        </w:rPr>
        <w:t>فصل</w:t>
      </w:r>
      <w:r>
        <w:rPr>
          <w:rtl w:val="true"/>
        </w:rPr>
        <w:t xml:space="preserve">: </w:t>
      </w:r>
      <w:r>
        <w:rPr>
          <w:rtl w:val="true"/>
        </w:rPr>
        <w:t>فی مکروهات الدفن</w:t>
      </w:r>
      <w:bookmarkEnd w:id="653"/>
    </w:p>
    <w:p>
      <w:pPr>
        <w:pStyle w:val="Heading3"/>
        <w:numPr>
          <w:ilvl w:val="2"/>
          <w:numId w:val="1"/>
        </w:numPr>
        <w:rPr/>
      </w:pPr>
      <w:bookmarkStart w:id="654" w:name="__RefHeading___Toc1764030_2322387425"/>
      <w:bookmarkStart w:id="655" w:name="_Toc248"/>
      <w:bookmarkEnd w:id="654"/>
      <w:r>
        <w:rPr>
          <w:rtl w:val="true"/>
        </w:rPr>
        <w:t>أحکام القبور</w:t>
      </w:r>
      <w:bookmarkEnd w:id="655"/>
    </w:p>
    <w:p>
      <w:pPr>
        <w:pStyle w:val="BookText"/>
        <w:rPr/>
      </w:pPr>
      <w:r>
        <w:rPr>
          <w:rFonts w:ascii="Amiri" w:hAnsi="Amiri" w:eastAsia="Amiri" w:cs="Amiri"/>
          <w:color w:val="111111"/>
          <w:sz w:val="28"/>
          <w:sz w:val="28"/>
          <w:szCs w:val="28"/>
          <w:rtl w:val="true"/>
          <w:lang w:bidi="ar-SA"/>
        </w:rPr>
        <w:t>وهی أیضاً اُمور</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یرد فی بعضها نصّ خاص، فالأولی أن لا یقصد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 ممّا ذکره، وحالها حال سوالفها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هذه المکروهات مبنیّ علی قاعدة التسامح، فاللازم أن یکون ترکها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میّـتین فی قبر واحد</w:t>
      </w:r>
      <w:r>
        <w:rPr>
          <w:rStyle w:val="FootnoteAnchor"/>
          <w:rtl w:val="true"/>
        </w:rPr>
        <w:footnoteReference w:id="738"/>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بحرمته مطلقاً،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بحرمته مع کون أحدهما امرأة أجنبیّة، والأقوی الجواز مطلقاً مع الکراهة، نعم، الأحوط الترک</w:t>
      </w:r>
      <w:r>
        <w:rPr>
          <w:rStyle w:val="FootnoteAnchor"/>
          <w:rtl w:val="true"/>
        </w:rPr>
        <w:footnoteReference w:id="739"/>
      </w:r>
      <w:r>
        <w:rPr>
          <w:rFonts w:ascii="IRNazanin" w:hAnsi="IRNazanin" w:eastAsia="IRNazanin"/>
          <w:color w:val="111111"/>
          <w:sz w:val="28"/>
          <w:sz w:val="28"/>
          <w:szCs w:val="28"/>
          <w:rtl w:val="true"/>
          <w:lang w:bidi="fa-IR"/>
        </w:rPr>
        <w:t>إلاّ لضرورة، ومعها الأولی جعل حائل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یکره حمل جنازة الرجل والمرأة علی سریر واحد، والأحوط ترکه أیضاً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القبر بالساج ونحوه من الآجرِّ والحجر، إلاّ إذا کانت الأرض ندیّة، وأمّا فرش ظهر القبر بالآجرّ ونحوه فلا بأس به، کما أنّ فرشه بمثل حصیر وقطیفة لا بأس به، وإن قیل</w:t>
      </w:r>
      <w:r>
        <w:rPr>
          <w:rStyle w:val="FootnoteAnchor"/>
          <w:rtl w:val="true"/>
        </w:rPr>
        <w:footnoteReference w:id="741"/>
      </w:r>
      <w:r>
        <w:rPr>
          <w:rFonts w:ascii="IRNazanin" w:hAnsi="IRNazanin" w:eastAsia="IRNazanin"/>
          <w:color w:val="111111"/>
          <w:sz w:val="28"/>
          <w:sz w:val="28"/>
          <w:szCs w:val="28"/>
          <w:rtl w:val="true"/>
          <w:lang w:bidi="fa-IR"/>
        </w:rPr>
        <w:t>بکراهته أیضاً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الأب فی قبر ولده خوفاً من جزعه وفوات أجره،بل إذا خیف من ذلک فی سائر الأرحام أیضاً یکون مکروهاً، بل قد یقال بکراهة </w:t>
      </w:r>
    </w:p>
    <w:p>
      <w:pPr>
        <w:pStyle w:val="BookText"/>
        <w:rPr/>
      </w:pPr>
      <w:r>
        <w:rPr>
          <w:rFonts w:ascii="IRNazanin" w:hAnsi="IRNazanin" w:eastAsia="IRNazanin"/>
          <w:color w:val="111111"/>
          <w:sz w:val="28"/>
          <w:sz w:val="28"/>
          <w:szCs w:val="28"/>
          <w:rtl w:val="true"/>
          <w:lang w:bidi="fa-IR"/>
        </w:rPr>
        <w:t>نزول الأرحام</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الأصدقاء والأحبّاء أیضاً؛ للتعلیل الموجود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 حدوث الجزع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یحبط 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إلاّ الزوج فی قبر زوجته، والمَحَرم فی قبر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یَهیلَ ذوالرحم علی رحمه التراب، فإنّه یورث قساوة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القبر بتراب غیر ترابه، وکذا تطیینه بغیر ترابه، فإنّه ثقل</w:t>
      </w:r>
      <w:r>
        <w:rPr>
          <w:rStyle w:val="FootnoteAnchor"/>
          <w:rtl w:val="true"/>
        </w:rPr>
        <w:footnoteReference w:id="743"/>
      </w:r>
      <w:r>
        <w:rPr>
          <w:rFonts w:ascii="Amiri" w:hAnsi="Amiri" w:eastAsia="Amiri" w:cs="Amiri"/>
          <w:color w:val="111111"/>
          <w:sz w:val="28"/>
          <w:sz w:val="28"/>
          <w:szCs w:val="28"/>
          <w:rtl w:val="true"/>
          <w:lang w:bidi="ar-SA"/>
        </w:rPr>
        <w:t>علی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تجصیصه أو تطیینه لغیر ضرورة، وإمکان الإحکام المندوب بدونه، والقدر المتیقّن من الکراهة إنّما هو بالنسبة إلی باطن القبر، لا ظاهره، وإن قیل</w:t>
      </w:r>
      <w:r>
        <w:rPr>
          <w:rStyle w:val="FootnoteAnchor"/>
          <w:rtl w:val="true"/>
        </w:rPr>
        <w:footnoteReference w:id="744"/>
      </w:r>
      <w:r>
        <w:rPr>
          <w:rFonts w:ascii="IRNazanin" w:hAnsi="IRNazanin" w:eastAsia="IRNazanin"/>
          <w:color w:val="111111"/>
          <w:sz w:val="28"/>
          <w:sz w:val="28"/>
          <w:szCs w:val="28"/>
          <w:rtl w:val="true"/>
          <w:lang w:bidi="fa-IR"/>
        </w:rPr>
        <w:t>بالإطلاق</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المکروه ما کان زینةً داخلاً أو خارجا، لا إحکاما داخلاً وخارجاً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القبر بعد اندراسه، إلاّ قبور الأنبیاء</w:t>
      </w:r>
      <w:r>
        <w:rPr>
          <w:rStyle w:val="FootnoteAnchor"/>
          <w:rtl w:val="true"/>
        </w:rPr>
        <w:footnoteReference w:id="746"/>
      </w:r>
      <w:r>
        <w:rPr>
          <w:rFonts w:ascii="IRNazanin" w:hAnsi="IRNazanin" w:eastAsia="IRNazanin"/>
          <w:color w:val="111111"/>
          <w:sz w:val="28"/>
          <w:sz w:val="28"/>
          <w:szCs w:val="28"/>
          <w:rtl w:val="true"/>
          <w:lang w:bidi="fa-IR"/>
        </w:rPr>
        <w:t>والأوصیاء علیهم‌السلام والصلحاء والعلماء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تسنیمه، بل الأحوط</w:t>
      </w:r>
      <w:r>
        <w:rPr>
          <w:rStyle w:val="FootnoteAnchor"/>
          <w:rtl w:val="true"/>
        </w:rPr>
        <w:footnoteReference w:id="747"/>
      </w:r>
      <w:r>
        <w:rPr>
          <w:rFonts w:ascii="IRNazanin" w:hAnsi="IRNazanin" w:eastAsia="IRNazanin"/>
          <w:color w:val="111111"/>
          <w:sz w:val="28"/>
          <w:sz w:val="28"/>
          <w:szCs w:val="28"/>
          <w:rtl w:val="true"/>
          <w:lang w:bidi="fa-IR"/>
        </w:rPr>
        <w:t>ترکه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علیه، عدا قبور من ذکر، والظاهر عدم</w:t>
      </w:r>
      <w:r>
        <w:rPr>
          <w:rStyle w:val="FootnoteAnchor"/>
          <w:rtl w:val="true"/>
        </w:rPr>
        <w:footnoteReference w:id="749"/>
      </w:r>
      <w:r>
        <w:rPr>
          <w:rFonts w:ascii="IRNazanin" w:hAnsi="IRNazanin" w:eastAsia="IRNazanin"/>
          <w:color w:val="111111"/>
          <w:sz w:val="28"/>
          <w:sz w:val="28"/>
          <w:szCs w:val="28"/>
          <w:rtl w:val="true"/>
          <w:lang w:bidi="fa-IR"/>
        </w:rPr>
        <w:t>کراهة</w:t>
      </w:r>
      <w:r>
        <w:rPr>
          <w:rStyle w:val="FootnoteAnchor"/>
          <w:rtl w:val="true"/>
        </w:rPr>
        <w:footnoteReference w:id="750"/>
      </w:r>
      <w:r>
        <w:rPr>
          <w:rFonts w:ascii="IRNazanin" w:hAnsi="IRNazanin" w:eastAsia="IRNazanin"/>
          <w:color w:val="111111"/>
          <w:sz w:val="28"/>
          <w:sz w:val="28"/>
          <w:szCs w:val="28"/>
          <w:rtl w:val="true"/>
          <w:lang w:bidi="fa-IR"/>
        </w:rPr>
        <w:t>الدفن تحت البناء والسقف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المقبرة مسجداً، إلاّ مقبرة الأنبیاء والأئمة علیهم‌السلام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علی القبور، إلاّ الأنبیاء والأئمة علیهم‌السلام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w:t>
      </w:r>
      <w:r>
        <w:rPr>
          <w:rStyle w:val="FootnoteAnchor"/>
          <w:rtl w:val="true"/>
        </w:rPr>
        <w:footnoteReference w:id="752"/>
      </w:r>
      <w:r>
        <w:rPr>
          <w:rFonts w:ascii="IRNazanin" w:hAnsi="IRNazanin" w:eastAsia="IRNazanin"/>
          <w:color w:val="111111"/>
          <w:sz w:val="28"/>
          <w:sz w:val="28"/>
          <w:szCs w:val="28"/>
          <w:rtl w:val="true"/>
          <w:lang w:bidi="fa-IR"/>
        </w:rPr>
        <w:t>فی المقابر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الضحک فی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الدفن فی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القبور</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لا یوجب الهتک، وإلاّ فیحرم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وتکثیفها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وهی کلمة عربیة إلاّ أنّ المؤلف استخدمها فی دلالتها الفارسیة والتی تعنی الوسخ والقذارة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یوجب هتک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الهتک، الأقوی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یکون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أوجب الهتک فالظاهر الحرمة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الحرمة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المیّت</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ترکه، بل لا إشکال فی حرمة بعض مراتبه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بعض مراتبه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حرم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ربّما یکون بعض مراتبه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إیجاب الهتک مشکل، بل غیر جائز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یحرم بعض مراتبه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یحرم هتک حرمة المیّت المؤمن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الحرمة مع الإیجاب،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علی القبر</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کراهته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کراهته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کراهته فیما لم تکن صورة ظاهرة للقبر ـ کما فی صحن الأئمّة علیهم‌السلام ـ أولم تکن إهانة أبداً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کراهته مطلقاً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کراهته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استلزم التوهین والهتک یکون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الاتّکاء علی القبر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المیّت</w:t>
      </w:r>
      <w:r>
        <w:rPr>
          <w:rStyle w:val="FootnoteAnchor"/>
          <w:rtl w:val="true"/>
        </w:rPr>
        <w:footnoteReference w:id="757"/>
      </w:r>
      <w:r>
        <w:rPr>
          <w:rFonts w:ascii="IRNazanin" w:hAnsi="IRNazanin" w:eastAsia="IRNazanin"/>
          <w:color w:val="111111"/>
          <w:sz w:val="28"/>
          <w:sz w:val="28"/>
          <w:szCs w:val="28"/>
          <w:rtl w:val="true"/>
          <w:lang w:bidi="fa-IR"/>
        </w:rPr>
        <w:t xml:space="preserve">فی القبر بغتةً من غیر أن توضع الجنازة </w:t>
      </w:r>
      <w:bookmarkStart w:id="656" w:name="pg13276_136749"/>
    </w:p>
    <w:p>
      <w:pPr>
        <w:pStyle w:val="BookText"/>
        <w:rPr/>
      </w:pPr>
      <w:bookmarkEnd w:id="656"/>
      <w:r>
        <w:rPr>
          <w:rFonts w:ascii="IRNazanin" w:hAnsi="IRNazanin" w:eastAsia="IRNazanin"/>
          <w:color w:val="111111"/>
          <w:sz w:val="28"/>
          <w:sz w:val="28"/>
          <w:szCs w:val="28"/>
          <w:rtl w:val="true"/>
          <w:lang w:bidi="fa-IR"/>
        </w:rPr>
        <w:t>قریباً منه، ثمّ رفعها ووضعها دفعات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القبر</w:t>
      </w:r>
      <w:r>
        <w:rPr>
          <w:rStyle w:val="FootnoteAnchor"/>
          <w:rtl w:val="true"/>
        </w:rPr>
        <w:footnoteReference w:id="758"/>
      </w:r>
      <w:r>
        <w:rPr>
          <w:rFonts w:ascii="IRNazanin" w:hAnsi="IRNazanin" w:eastAsia="IRNazanin"/>
          <w:color w:val="111111"/>
          <w:sz w:val="28"/>
          <w:sz w:val="28"/>
          <w:szCs w:val="28"/>
          <w:rtl w:val="true"/>
          <w:lang w:bidi="fa-IR"/>
        </w:rPr>
        <w:t>عن الأرض أزید من أربع أصابع مفرَجات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المیّت</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یذکر هذا والفروع الآتیة بعنوان الخاتمة المشتملة علی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بلد موته إلی بلد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نعش جماعة من العلویین فی زمن الأئمة علیهم‌السلام ، بل بمشهد منهم، فلیراجع إلی مظانّ البحث من کتب التاریخ والتراجم والسیر، وکذا نقلت أجساد جماعة من أعاظم الدین، کبدن الشریفین المرتضی والرضیّ من الکاظمیة إلی جوار جدّهما الحسین علیه‌السلام ، ولم ینکره أحد من أعلام الشرع، کشیخ الطائفة وأمثاله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إلی المشاهد المشرّفة والأماکن المقدّسة والمواضع المحترمة، کالنقل من عرفات إلی مکّة، والنقل إلی النجف، فإنّ الدفن فیه یدفع عذاب القبر وسوءال المَلَکین، وإلی کربلاء والکاظمین وسائر قبور الأئمّة علیهم‌السلام ، بل إلی مقابر العلماء والصلحاء، بل لا یبعد استحباب النقل من بعض المشاهد إلی آخر لبعض المرجّحات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فی جواز النقل</w:t>
      </w:r>
      <w:r>
        <w:rPr>
          <w:rStyle w:val="FootnoteAnchor"/>
          <w:rtl w:val="true"/>
        </w:rPr>
        <w:footnoteReference w:id="760"/>
      </w:r>
      <w:r>
        <w:rPr>
          <w:rFonts w:ascii="IRNazanin" w:hAnsi="IRNazanin" w:eastAsia="IRNazanin"/>
          <w:color w:val="111111"/>
          <w:sz w:val="28"/>
          <w:sz w:val="28"/>
          <w:szCs w:val="28"/>
          <w:rtl w:val="true"/>
          <w:lang w:bidi="fa-IR"/>
        </w:rPr>
        <w:t>بین کونه قبل الدفن أو بعده، ومن قال بحرمة الثانی مراده ما إذا استلزم النبش</w:t>
      </w:r>
      <w:r>
        <w:rPr>
          <w:rStyle w:val="FootnoteAnchor"/>
          <w:rtl w:val="true"/>
        </w:rPr>
        <w:footnoteReference w:id="7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استلزم النبش، یجوز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57" w:name="__RefHeading___Toc1764032_2322387425"/>
      <w:bookmarkStart w:id="658" w:name="_Toc249"/>
      <w:bookmarkEnd w:id="657"/>
      <w:r>
        <w:rPr>
          <w:rtl w:val="true"/>
        </w:rPr>
        <w:t>فروع تتعلق بالمیت</w:t>
      </w:r>
      <w:bookmarkEnd w:id="65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فلو فرض </w:t>
      </w:r>
    </w:p>
    <w:p>
      <w:pPr>
        <w:pStyle w:val="BookText"/>
        <w:rPr/>
      </w:pPr>
      <w:r>
        <w:rPr>
          <w:rFonts w:ascii="IRNazanin" w:hAnsi="IRNazanin" w:eastAsia="IRNazanin"/>
          <w:color w:val="111111"/>
          <w:sz w:val="28"/>
          <w:sz w:val="28"/>
          <w:szCs w:val="28"/>
          <w:rtl w:val="true"/>
          <w:lang w:bidi="fa-IR"/>
        </w:rPr>
        <w:t>خروج المیّت من قبره بعد دفنه بسببٍ من سَبُع أو ظالم أو صبیّ أو نحو ذلک لا مانع من جواز نقله</w:t>
      </w:r>
      <w:r>
        <w:rPr>
          <w:rStyle w:val="FootnoteAnchor"/>
          <w:rtl w:val="true"/>
        </w:rPr>
        <w:footnoteReference w:id="762"/>
      </w:r>
      <w:r>
        <w:rPr>
          <w:rFonts w:ascii="IRNazanin" w:hAnsi="IRNazanin" w:eastAsia="IRNazanin"/>
          <w:color w:val="111111"/>
          <w:sz w:val="28"/>
          <w:sz w:val="28"/>
          <w:szCs w:val="28"/>
          <w:rtl w:val="true"/>
          <w:lang w:bidi="fa-IR"/>
        </w:rPr>
        <w:t>إلی المشاهد مثلاً، ثمّ لا یبعد جواز النقل إلی المشاهد المشرّفة وإن استلزم</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الصورة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بل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بسبب طول المدّة،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مالم یوجب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بالجواز فی هذه الصورة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مع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بل یمنع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أوصی بنقل جنازته إلی العتبات المقدّسة یجب العمل بالوصیة، ویُخرج مؤونة النقل من ثلث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تأخیر الدفن إلی حین فساد بدن المیّت محلّ إشکال، 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یوجب أذیّة</w:t>
      </w:r>
    </w:p>
    <w:p>
      <w:pPr>
        <w:pStyle w:val="BookText"/>
        <w:rPr/>
      </w:pPr>
      <w:r>
        <w:rPr>
          <w:rFonts w:ascii="IRNazanin" w:hAnsi="IRNazanin" w:eastAsia="IRNazanin"/>
          <w:color w:val="111111"/>
          <w:sz w:val="28"/>
          <w:sz w:val="28"/>
          <w:szCs w:val="28"/>
          <w:rtl w:val="true"/>
          <w:lang w:bidi="fa-IR"/>
        </w:rPr>
        <w:t>المسلمین</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هتک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یستلزم هتکه ، وإلاّ ففیه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کان هتکاً للمؤمن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تمسّک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فاز، ومن أتاهم فقد نجا، ومن لجأ إلیهم أمن، ومن اعتصم بهم فقد اعتصم باللّه تعالی، والمتوسّل بهم غیرخائب،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البکاء علی المیّـت ولو کان مع الصوت، بل قد یکون راجحاً</w:t>
      </w:r>
      <w:r>
        <w:rPr>
          <w:rStyle w:val="FootnoteAnchor"/>
          <w:rtl w:val="true"/>
        </w:rPr>
        <w:footnoteReference w:id="765"/>
      </w:r>
      <w:r>
        <w:rPr>
          <w:rFonts w:ascii="IRNazanin" w:hAnsi="IRNazanin" w:eastAsia="IRNazanin"/>
          <w:color w:val="111111"/>
          <w:sz w:val="28"/>
          <w:sz w:val="28"/>
          <w:szCs w:val="28"/>
          <w:rtl w:val="true"/>
          <w:lang w:bidi="fa-IR"/>
        </w:rPr>
        <w:t>، کما إذا کان مسکّناً للحزن وحرقة القلب</w:t>
      </w:r>
      <w:r>
        <w:rPr>
          <w:rStyle w:val="FootnoteAnchor"/>
          <w:rtl w:val="true"/>
        </w:rPr>
        <w:footnoteReference w:id="766"/>
      </w:r>
      <w:r>
        <w:rPr>
          <w:rFonts w:ascii="IRNazanin" w:hAnsi="IRNazanin" w:eastAsia="IRNazanin"/>
          <w:color w:val="111111"/>
          <w:sz w:val="28"/>
          <w:sz w:val="28"/>
          <w:szCs w:val="28"/>
          <w:rtl w:val="true"/>
          <w:lang w:bidi="fa-IR"/>
        </w:rPr>
        <w:t>، بشرط</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الجواز هنا وفی آخر کلامه علی هذا الأمر 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منافیاً للرضا بقضاء اللّه تعالی، ولا فرق بین الرحم وغیره، بل قد مرّ استحباب البکاء علی الموءمن، بل یُستفاد من بعض الأخبار جواز البکاء علی الألیف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 وصحیح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ینقل من أنّ المیّت یعذّب ببکاء</w:t>
      </w:r>
    </w:p>
    <w:p>
      <w:pPr>
        <w:pStyle w:val="BookText"/>
        <w:rPr/>
      </w:pPr>
      <w:r>
        <w:rPr>
          <w:rFonts w:ascii="IRNazanin" w:hAnsi="IRNazanin" w:eastAsia="IRNazanin"/>
          <w:color w:val="111111"/>
          <w:sz w:val="28"/>
          <w:sz w:val="28"/>
          <w:szCs w:val="28"/>
          <w:rtl w:val="true"/>
          <w:lang w:bidi="fa-IR"/>
        </w:rPr>
        <w:t>أهله ضعیف</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السنن من أعیان الشافعیّة، وعنه نقل بعض الأصحاب ذلک فی کتب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 للعامة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البکاء المشتمل علی الجزع وعدم الصبر فجائز ما لم یکن مقروناً</w:t>
      </w:r>
      <w:r>
        <w:rPr>
          <w:rStyle w:val="FootnoteAnchor"/>
          <w:rtl w:val="true"/>
        </w:rPr>
        <w:footnoteReference w:id="769"/>
      </w:r>
      <w:r>
        <w:rPr>
          <w:rFonts w:ascii="IRNazanin" w:hAnsi="IRNazanin" w:eastAsia="IRNazanin"/>
          <w:color w:val="111111"/>
          <w:sz w:val="28"/>
          <w:sz w:val="28"/>
          <w:szCs w:val="28"/>
          <w:rtl w:val="true"/>
          <w:lang w:bidi="fa-IR"/>
        </w:rPr>
        <w:t>بعدم الرضا</w:t>
      </w:r>
      <w:r>
        <w:rPr>
          <w:rStyle w:val="FootnoteAnchor"/>
          <w:rtl w:val="true"/>
        </w:rPr>
        <w:footnoteReference w:id="770"/>
      </w:r>
      <w:r>
        <w:rPr>
          <w:rFonts w:ascii="IRNazanin" w:hAnsi="IRNazanin" w:eastAsia="IRNazanin"/>
          <w:color w:val="111111"/>
          <w:sz w:val="28"/>
          <w:sz w:val="28"/>
          <w:szCs w:val="28"/>
          <w:rtl w:val="true"/>
          <w:lang w:bidi="fa-IR"/>
        </w:rPr>
        <w:t>بقضاء اللّه، نعم، یوجب حبط</w:t>
      </w:r>
      <w:r>
        <w:rPr>
          <w:rStyle w:val="FootnoteAnchor"/>
          <w:rtl w:val="true"/>
        </w:rPr>
        <w:footnoteReference w:id="771"/>
      </w:r>
      <w:r>
        <w:rPr>
          <w:rFonts w:ascii="IRNazanin" w:hAnsi="IRNazanin" w:eastAsia="IRNazanin"/>
          <w:color w:val="111111"/>
          <w:sz w:val="28"/>
          <w:sz w:val="28"/>
          <w:szCs w:val="28"/>
          <w:rtl w:val="true"/>
          <w:lang w:bidi="fa-IR"/>
        </w:rPr>
        <w:t>الأجر، ولا یبعد کراهته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النوح</w:t>
      </w:r>
      <w:r>
        <w:rPr>
          <w:rStyle w:val="FootnoteAnchor"/>
          <w:rtl w:val="true"/>
        </w:rPr>
        <w:footnoteReference w:id="772"/>
      </w:r>
      <w:r>
        <w:rPr>
          <w:rFonts w:ascii="IRNazanin" w:hAnsi="IRNazanin" w:eastAsia="IRNazanin"/>
          <w:color w:val="111111"/>
          <w:sz w:val="28"/>
          <w:sz w:val="28"/>
          <w:szCs w:val="28"/>
          <w:rtl w:val="true"/>
          <w:lang w:bidi="fa-IR"/>
        </w:rPr>
        <w:t>علی المیّت بالنظم والنثر ما لم یتضمّن</w:t>
      </w:r>
      <w:r>
        <w:rPr>
          <w:rStyle w:val="FootnoteAnchor"/>
          <w:rtl w:val="true"/>
        </w:rPr>
        <w:footnoteReference w:id="773"/>
      </w:r>
      <w:r>
        <w:rPr>
          <w:rFonts w:ascii="IRNazanin" w:hAnsi="IRNazanin" w:eastAsia="IRNazanin"/>
          <w:color w:val="111111"/>
          <w:sz w:val="28"/>
          <w:sz w:val="28"/>
          <w:szCs w:val="28"/>
          <w:rtl w:val="true"/>
          <w:lang w:bidi="fa-IR"/>
        </w:rPr>
        <w:t>الکذب</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محرّماً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محرّماً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 السبزواری،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یتضمّن شیئاً من المحرّمات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غیره من المحرّمات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غیره من المحرّمات، کالغناء والبَهت والافتراء علی ظالِمِی المیّت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سائر المحرّمات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شیئاً من المحرّمات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شیئاً غیره من المحرّمات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w:t>
      </w:r>
      <w:r>
        <w:rPr>
          <w:rStyle w:val="FootnoteAnchor"/>
          <w:rtl w:val="true"/>
        </w:rPr>
        <w:footnoteReference w:id="775"/>
      </w:r>
      <w:r>
        <w:rPr>
          <w:rFonts w:ascii="Amiri" w:hAnsi="Amiri" w:eastAsia="Amiri" w:cs="Amiri"/>
          <w:color w:val="111111"/>
          <w:sz w:val="28"/>
          <w:sz w:val="28"/>
          <w:szCs w:val="28"/>
          <w:rtl w:val="true"/>
          <w:lang w:bidi="ar-SA"/>
        </w:rPr>
        <w:t>مشتملاً علی الوَیل والثُبُور</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بالکراهة أشبه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یکره فی اللیل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ویجوز أخذ الاُجرة علیه إذا لم یکن بالباطل، لکنّ الأولی أن لا یشترط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اللطم</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کراهته إن تجرّد عن الخَدش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الجواز، وقد صدر ذلک من بعض أهل البیت علیهم‌السلام بمشهدٍ من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فی المسألة الآتیة وفی لزوم الکفّارة وفی مقدارها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جوازه، والحکم فی الخَدش وجزّ الشعر وشَقّ الثوب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والخَدش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استلزم ضرراً محرّماً حیث لم یکن کلّ مرتبة منه محرّماً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یُتأمّل فی تحریمهما إذا لم یَصِلا الی حدّ الجزع الممقوت، ولم یودّیا إلی الضرر المعتدّ به، ولکن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w:t>
      </w:r>
    </w:p>
    <w:p>
      <w:pPr>
        <w:pStyle w:val="BookText"/>
        <w:rPr/>
      </w:pPr>
      <w:r>
        <w:rPr>
          <w:rFonts w:ascii="IRNazanin" w:hAnsi="IRNazanin" w:eastAsia="IRNazanin"/>
          <w:color w:val="111111"/>
          <w:sz w:val="28"/>
          <w:sz w:val="28"/>
          <w:szCs w:val="28"/>
          <w:rtl w:val="true"/>
          <w:lang w:bidi="fa-IR"/>
        </w:rPr>
        <w:t>الشعر</w:t>
      </w:r>
      <w:r>
        <w:rPr>
          <w:rStyle w:val="FootnoteAnchor"/>
          <w:rtl w:val="true"/>
        </w:rPr>
        <w:footnoteReference w:id="778"/>
      </w:r>
      <w:r>
        <w:rPr>
          <w:rFonts w:ascii="IRNazanin" w:hAnsi="IRNazanin" w:eastAsia="IRNazanin"/>
          <w:color w:val="111111"/>
          <w:sz w:val="28"/>
          <w:sz w:val="28"/>
          <w:szCs w:val="28"/>
          <w:rtl w:val="true"/>
          <w:lang w:bidi="fa-IR"/>
        </w:rPr>
        <w:t>، بل والصُراخ الخارج عن حدّ الاعتدال علی الأحوط</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شقّ الثوب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منه ما لم یکن کاشفاً عن عدم الرضا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غیر الأب والأخ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الزوج والاُمّ وقریب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سوی الزوجة والولد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 والزوج، بل وبعض الأقارب غیر الولد والزوجة، لکنّ ما ذکره قدس‌سره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الشَقّ علی الوالد والزوجة حرام، وغیره مکروه، لکن مع ذلک الأحوط الّذی لا ینبغی ترکه عدم الشَقّ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ترکه فیهما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جَزِّ المرأة</w:t>
      </w:r>
      <w:r>
        <w:rPr>
          <w:rStyle w:val="FootnoteAnchor"/>
          <w:rtl w:val="true"/>
        </w:rPr>
        <w:footnoteReference w:id="780"/>
      </w:r>
      <w:r>
        <w:rPr>
          <w:rFonts w:ascii="IRNazanin" w:hAnsi="IRNazanin" w:eastAsia="IRNazanin"/>
          <w:color w:val="111111"/>
          <w:sz w:val="28"/>
          <w:sz w:val="28"/>
          <w:szCs w:val="28"/>
          <w:rtl w:val="true"/>
          <w:lang w:bidi="fa-IR"/>
        </w:rPr>
        <w:t>شعرها فی المصیبة کفّارة شهر رمضان</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 فإنّ السند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نتفِهِ کفّارة الیمین، وکذا فی خدشها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أدمته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أدمت، وإلاّ تجب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الإدماء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الإدماء علی الأقوی، وبدونه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 ولو أدمی ما لم یوجب ضرراً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الإدماء ، وثبوت الکفّارة فی المذکورات وکذا فی المسألة التالیة مبنیّ علی الاحتیاط الذی 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شَقّ الرجل ثوبه فی موت زوجته أو ولده کفّارة الیمین</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إطعام عشرة مساکین أو کسوتهم أو تحریر رقبة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لم یتمکّن منه فصوم ثلاثة أیام، وإن لم یتمکّن فالاستغفار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13276_136756"/>
    </w:p>
    <w:p>
      <w:pPr>
        <w:pStyle w:val="Heading3"/>
        <w:numPr>
          <w:ilvl w:val="2"/>
          <w:numId w:val="1"/>
        </w:numPr>
        <w:rPr/>
      </w:pPr>
      <w:bookmarkStart w:id="660" w:name="__RefHeading___Toc1764034_2322387425"/>
      <w:bookmarkStart w:id="661" w:name="_Toc250"/>
      <w:bookmarkEnd w:id="659"/>
      <w:bookmarkEnd w:id="660"/>
      <w:r>
        <w:rPr>
          <w:rtl w:val="true"/>
        </w:rPr>
        <w:t>حرمة نبش قبر المؤمن</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783"/>
      </w:r>
      <w:r>
        <w:rPr>
          <w:rFonts w:ascii="IRNazanin" w:hAnsi="IRNazanin" w:eastAsia="IRNazanin"/>
          <w:color w:val="111111"/>
          <w:sz w:val="28"/>
          <w:sz w:val="28"/>
          <w:szCs w:val="28"/>
          <w:rtl w:val="true"/>
          <w:lang w:bidi="fa-IR"/>
        </w:rPr>
        <w:t>نبش قبر الموءمن</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طفلاً أو مجنوناً، إلاّ مع العلم باندراسه وصیرورته تراباً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یکفی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وإن بقی عظماً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صَلباً ففی جواز نبشه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الجواز، بل فی صورة کونه مجرد صورة أیضاً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مع کونه مجرّد صورة بحیث یصیر تراباً بأدنی حرکة فالظاهر 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 هذه الصورة مثل السابقة فی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کان صورة محفوظة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لایستلزم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785"/>
      </w:r>
      <w:r>
        <w:rPr>
          <w:rFonts w:ascii="IRNazanin" w:hAnsi="IRNazanin" w:eastAsia="IRNazanin"/>
          <w:color w:val="111111"/>
          <w:sz w:val="28"/>
          <w:sz w:val="28"/>
          <w:szCs w:val="28"/>
          <w:rtl w:val="true"/>
          <w:lang w:bidi="fa-IR"/>
        </w:rPr>
        <w:t>نبش قبور الشهداء والعلماء والصلحاء وأولاد الأئمّة علیهم‌السلام ، ولو بعد الاندراس</w:t>
      </w:r>
      <w:r>
        <w:rPr>
          <w:rStyle w:val="FootnoteAnchor"/>
          <w:rtl w:val="true"/>
        </w:rPr>
        <w:footnoteReference w:id="786"/>
      </w:r>
      <w:r>
        <w:rPr>
          <w:rFonts w:ascii="Amiri" w:hAnsi="Amiri" w:eastAsia="Amiri" w:cs="Amiri"/>
          <w:color w:val="111111"/>
          <w:sz w:val="28"/>
          <w:sz w:val="28"/>
          <w:szCs w:val="28"/>
          <w:rtl w:val="true"/>
          <w:lang w:bidi="ar-SA"/>
        </w:rPr>
        <w:t>، وإن طالت المدّة، سیّما المتّخذ منها مزاراً أو مُستَجاراً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Style w:val="FootnoteAnchor"/>
          <w:rtl w:val="true"/>
        </w:rPr>
        <w:footnoteReference w:id="787"/>
      </w:r>
      <w:r>
        <w:rPr>
          <w:rFonts w:ascii="IRNazanin" w:hAnsi="IRNazanin" w:eastAsia="IRNazanin"/>
          <w:color w:val="111111"/>
          <w:sz w:val="28"/>
          <w:sz w:val="28"/>
          <w:szCs w:val="28"/>
          <w:rtl w:val="true"/>
          <w:lang w:bidi="fa-IR"/>
        </w:rPr>
        <w:t>توقّف صدق النبش علی بروز جسد المیّت</w:t>
      </w:r>
      <w:r>
        <w:rPr>
          <w:rStyle w:val="FootnoteAnchor"/>
          <w:rtl w:val="true"/>
        </w:rPr>
        <w:footnoteReference w:id="788"/>
      </w:r>
      <w:r>
        <w:rPr>
          <w:rFonts w:ascii="IRNazanin" w:hAnsi="IRNazanin" w:eastAsia="IRNazanin"/>
          <w:color w:val="111111"/>
          <w:sz w:val="28"/>
          <w:sz w:val="28"/>
          <w:szCs w:val="28"/>
          <w:rtl w:val="true"/>
          <w:lang w:bidi="fa-IR"/>
        </w:rPr>
        <w:t>فلو أخرج بعض تراب القبر وحُفر من دون أن یظهر جسده لا یکون من النبش</w:t>
      </w:r>
      <w:r>
        <w:rPr>
          <w:rStyle w:val="FootnoteAnchor"/>
          <w:rtl w:val="true"/>
        </w:rPr>
        <w:footnoteReference w:id="789"/>
      </w:r>
      <w:r>
        <w:rPr>
          <w:rFonts w:ascii="Amiri" w:hAnsi="Amiri" w:eastAsia="Amiri" w:cs="Amiri"/>
          <w:color w:val="111111"/>
          <w:sz w:val="28"/>
          <w:sz w:val="28"/>
          <w:szCs w:val="28"/>
          <w:rtl w:val="true"/>
          <w:lang w:bidi="ar-SA"/>
        </w:rPr>
        <w:t>المحرَّم</w:t>
      </w:r>
      <w:r>
        <w:rPr>
          <w:rStyle w:val="FootnoteAnchor"/>
          <w:rtl w:val="true"/>
        </w:rPr>
        <w:footnoteReference w:id="790"/>
      </w:r>
      <w:r>
        <w:rPr>
          <w:rFonts w:ascii="IRNazanin" w:hAnsi="IRNazanin" w:eastAsia="IRNazanin"/>
          <w:color w:val="111111"/>
          <w:sz w:val="28"/>
          <w:sz w:val="28"/>
          <w:szCs w:val="28"/>
          <w:rtl w:val="true"/>
          <w:lang w:bidi="fa-IR"/>
        </w:rPr>
        <w:t>، والأولی الإناطة بالعُرف</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الجدیر بالقبول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وهتک 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ذلک، فإذا استوجب الهتک کان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مغایرة عنوان الهتک المحرّم لعنوان النبش المحرّم، وقد یتحقّق اجتماعهما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یصدق</w:t>
      </w:r>
    </w:p>
    <w:p>
      <w:pPr>
        <w:pStyle w:val="BookText"/>
        <w:rPr/>
      </w:pPr>
      <w:r>
        <w:rPr>
          <w:rFonts w:ascii="IRNazanin" w:hAnsi="IRNazanin" w:eastAsia="IRNazanin"/>
          <w:color w:val="111111"/>
          <w:sz w:val="28"/>
          <w:sz w:val="28"/>
          <w:szCs w:val="28"/>
          <w:rtl w:val="true"/>
          <w:lang w:bidi="fa-IR"/>
        </w:rPr>
        <w:t>النبش</w:t>
      </w:r>
      <w:r>
        <w:rPr>
          <w:rStyle w:val="FootnoteAnchor"/>
          <w:rtl w:val="true"/>
        </w:rPr>
        <w:footnoteReference w:id="792"/>
      </w:r>
      <w:r>
        <w:rPr>
          <w:rFonts w:ascii="Amiri" w:hAnsi="Amiri" w:eastAsia="Amiri" w:cs="Amiri"/>
          <w:color w:val="111111"/>
          <w:sz w:val="28"/>
          <w:sz w:val="28"/>
          <w:szCs w:val="28"/>
          <w:rtl w:val="true"/>
          <w:lang w:bidi="ar-SA"/>
        </w:rPr>
        <w:t>إذا کان المیّت فی سِرداب وفُتح بابه</w:t>
      </w:r>
      <w:r>
        <w:rPr>
          <w:rStyle w:val="FootnoteAnchor"/>
          <w:rtl w:val="true"/>
        </w:rPr>
        <w:footnoteReference w:id="7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الدفن وظهور الجسد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لوضع میّت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صوره إشکال، وهکذا فیما بعده فی الجملة،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الدفن وظهور الجسد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إذا لم یظهر جسد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المیّت موضوعاً علی وجه الأرض وبُنی علیه بناء ـ لعدم إمکان الدفن، أو باعتقاد جوازه أو عصیاناً ـ فإنَّ إخراجه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أنّه دفن عرفاً فالظاهر المنع من إخراجه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یجب الإخراج لأجل وجوب دفنه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لأن یدفن، ومنه یظهر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النبش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إبقاؤه کذلک محذور شرعاً، ویترجّح إخراجه ودفنه، وهو خارج عن مسألة النبش؛ لعدم مواراته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 کان فی تابوت من صخرة أو نحوها</w:t>
      </w:r>
      <w:r>
        <w:rPr>
          <w:rFonts w:eastAsia="IRNazanin" w:cs="IRNazanin"/>
          <w:color w:val="111111"/>
          <w:sz w:val="28"/>
          <w:szCs w:val="28"/>
          <w:rtl w:val="true"/>
          <w:lang w:bidi="fa-IR"/>
        </w:rPr>
        <w:t>.</w:t>
      </w:r>
      <w:bookmarkStart w:id="662" w:name="pg13276_136759"/>
    </w:p>
    <w:p>
      <w:pPr>
        <w:pStyle w:val="Heading3"/>
        <w:numPr>
          <w:ilvl w:val="2"/>
          <w:numId w:val="1"/>
        </w:numPr>
        <w:rPr/>
      </w:pPr>
      <w:bookmarkStart w:id="663" w:name="__RefHeading___Toc1764036_2322387425"/>
      <w:bookmarkStart w:id="664" w:name="_Toc251"/>
      <w:bookmarkEnd w:id="662"/>
      <w:bookmarkEnd w:id="663"/>
      <w:r>
        <w:rPr>
          <w:rtl w:val="true"/>
        </w:rPr>
        <w:t>مستثنیات حرمة نبش القبور</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حرمة النبش موارد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فی المکان المغصوب عدواناً أو جهلاً أو نسیاناً فإنّه یجب نبشه</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الوجوب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یناقش فی إطلاق هذا الحکم إذا استوجب النبش هتک المیّت والمثلة فیه، ولکنّ الظاهر جواز النبش إذا أوجب ترکه ضرراً علی المالک، وکذا فی الکفن المغصوب والمال المدفون معه، سواء کان لورثته أم لغیرهم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هتکاً للمؤمن،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قد تفسّخ مثلاً، وإلاّ اُعطی المالک الاُجرة، وکذا فی الفروع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فی نبشه مفسدة أهمّ من مفسدة التصرف فی مال الغیر فحینئذٍ لایجوز نبشه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حرجیاً ولو من جهة تأذّی المباشر برائحته، وإلاّ لم یجب علی غیر الغاصب، وکذا لا یجب بل لا یجوز إذا کان مستلزماً لمحذور أشدّ، کبقائه بلا دفن أو تقطّع أوصاله بالإخراج أو نحو ذلک، بل جوازه فیما إذا فرض کونه موجباً لهتک حرمته ولم یکن هو الغاصب محلّ إشکال، والأحوط للغاصب فی مثل ذلک إرضاء المالک بإبقائه فی أرضه ولو ببذل عوض زائد،وممّا ذکر یظهر الحال فی سائر المعطوفات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رضا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ببقائه، وکذا إذا کان کفنه مغصوباً، أو دفن معه مال مغصوب، بل أو ماله المنتقل بعد موته إلی الوارث فیجوز نبشه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أوصی بدفن</w:t>
      </w:r>
    </w:p>
    <w:p>
      <w:pPr>
        <w:pStyle w:val="BookText"/>
        <w:rPr/>
      </w:pPr>
      <w:r>
        <w:rPr>
          <w:rFonts w:ascii="Amiri" w:hAnsi="Amiri" w:eastAsia="Amiri" w:cs="Amiri"/>
          <w:color w:val="111111"/>
          <w:sz w:val="28"/>
          <w:sz w:val="28"/>
          <w:szCs w:val="28"/>
          <w:rtl w:val="true"/>
          <w:lang w:bidi="ar-SA"/>
        </w:rPr>
        <w:t xml:space="preserve">دعاءٍ </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نفوذ الوصیة بعدم الزیادة علی الثلث أو قبول الورثة، وبعدم کونها تضییعاً للمال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وصیّـته 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الوصیّة جامعة للشرائط منها عدم انطباق الإسراف علی ما أوصی بدفنه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الوصیّة 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الوصیّة نافذه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قرآن أو خاتم معه لا یجوز نبشه لأخذه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زائداً علی الثلث ولم یرضَ الورثة ببقائه، أو کانوا صغاراً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الوصیّة جامعة لشرط النفوذ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لم تکن الوصیّة شرعاً 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زائداً علی الثلث، ولذا لزوم العمل بالوصیّة مشروط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زائداً علی الثلث ولم یُجِزِ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وصیّـته جامعة للشرائط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اذا کان زائداً علی الثلث ولم یرضَ الورثة ببقائه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کونه زائداً علی الثلث،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لو ظهر بوجه من الوجوه لا یجوز أخذه، کما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نفوذها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زائداً علی الثلث مع عدم قبول الورثة، وما لم یکن تضییعاً للمال الکثیر بلا غرض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العمل</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نفوذ الوصیّة فی دفن مالٍ معه ما لم یرجع إلی غرض دینی، کدفن القرآن أو الدعاء أو الخاتم المنقوش بأسماء اللّه، ولو لم یزد علی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علی الوصیّة واجب إذا کانت جامعةً شرائط الصحة، منها أن یکون فی الدفن غرض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بوصیّته من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مدفوناً</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ویُستثنی الصلاة علیه من هذه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علی القبر مطلقاً، ولا یبعد أن یکون توجیه المیت إلی القبلة بعکس ذلک، ویجب علی المتمکّن منه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بلا کفن، أو تبیّن بطلان</w:t>
      </w:r>
    </w:p>
    <w:p>
      <w:pPr>
        <w:pStyle w:val="BookText"/>
        <w:rPr/>
      </w:pPr>
      <w:r>
        <w:rPr>
          <w:rFonts w:ascii="IRNazanin" w:hAnsi="IRNazanin" w:eastAsia="IRNazanin"/>
          <w:color w:val="111111"/>
          <w:sz w:val="28"/>
          <w:sz w:val="28"/>
          <w:szCs w:val="28"/>
          <w:rtl w:val="true"/>
          <w:lang w:bidi="fa-IR"/>
        </w:rPr>
        <w:t>غسله، أو کون کفنه علی غیر الوجه الشرعیّ، کما</w:t>
      </w:r>
      <w:r>
        <w:rPr>
          <w:rStyle w:val="FootnoteAnchor"/>
          <w:rtl w:val="true"/>
        </w:rPr>
        <w:footnoteReference w:id="800"/>
      </w:r>
      <w:r>
        <w:rPr>
          <w:rFonts w:ascii="IRNazanin" w:hAnsi="IRNazanin" w:eastAsia="IRNazanin"/>
          <w:color w:val="111111"/>
          <w:sz w:val="28"/>
          <w:sz w:val="28"/>
          <w:szCs w:val="28"/>
          <w:rtl w:val="true"/>
          <w:lang w:bidi="fa-IR"/>
        </w:rPr>
        <w:t>إذا کان من جلد المیتة أو غیر المأکول</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جلد غیر المأکول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النبش فی موردهما محلّ إشکال؛ لما تقدّم من أنّ عدم مشروعیة التکفین بهما اختیاراً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حریراً فیجوز نبشه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یتلاشَ الجسد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لتدارک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قبل فساد البدن وتلاشیه، لا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ما لم یکن موجباً لهتکه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رفع الید عن أدلّة لزوم التغسیل والدفن، وعدم کون التکفین علی الوجه غیر الشرعی بمجرّد صدق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دفن بالتیمّم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لفقد الماء فوجد الماء بعد دفنه، أو کُفِّن بالحریر لتعذّر غیره ففی جواز نبشه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تبیّن ممّا تقدّم أنّه لا مجال للإشکال فی صحة الدفن، ولا فی استتباعها لحرمة النبش فی شیء من ذلک، خصوصاً فی التیمّم، فهل بدلیّته عن هذا الغسل کبدلیّته عن سائر الأغسال؟ وهل التمکّن من الماء بعد الدفن إلاّ کالتمکّن منه بعد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ولو لم یکن موجباً لهتکه، إلاّ إذا تیمّم لفقد الماء، فعدم الجواز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 لاسیّما فی صورة تیمّمه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فی صورة التیمّم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نبشه فی هذه الموارد للتدارک، بل قد یجب فی بعضها قبل فساد البدن وتلاشیه، لا بعده، ولم یستلزم هتک الحرمة،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الجواز فی جمیع موارد وجوب الدفن، مع الإخلال بالغسل أو الکفن أو الحنوط أو بعض خصوصیاتها من جهة سقوطها بالاضطرار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دفن</w:t>
      </w:r>
    </w:p>
    <w:p>
      <w:pPr>
        <w:pStyle w:val="BookText"/>
        <w:rPr/>
      </w:pPr>
      <w:r>
        <w:rPr>
          <w:rFonts w:ascii="IRNazanin" w:hAnsi="IRNazanin" w:eastAsia="IRNazanin"/>
          <w:color w:val="111111"/>
          <w:sz w:val="28"/>
          <w:sz w:val="28"/>
          <w:szCs w:val="28"/>
          <w:rtl w:val="true"/>
          <w:lang w:bidi="fa-IR"/>
        </w:rPr>
        <w:t>بلا صلاة، أو تبیّن بطلانها فلا یجوز</w:t>
      </w:r>
      <w:r>
        <w:rPr>
          <w:rStyle w:val="FootnoteAnchor"/>
          <w:rtl w:val="true"/>
        </w:rPr>
        <w:footnoteReference w:id="802"/>
      </w:r>
      <w:r>
        <w:rPr>
          <w:rFonts w:ascii="IRNazanin" w:hAnsi="IRNazanin" w:eastAsia="IRNazanin"/>
          <w:color w:val="111111"/>
          <w:sz w:val="28"/>
          <w:sz w:val="28"/>
          <w:szCs w:val="28"/>
          <w:rtl w:val="true"/>
          <w:lang w:bidi="fa-IR"/>
        </w:rPr>
        <w:t>النبش لأجلها، بل یُصلّی علی قبره</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ومثل ترک الغُسل فی جواز النبش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التلاشی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وضع فی القبر علی غیر القبلة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جهلاً أو نسیاناً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إثبات حـقٍّ</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کالشهادة علی عینه إذا کان النبش محصّلاً للعین، ولو علم أنّها تغیّرت ولا یمکن استعلام حالها فلا إشکال فی عدم الجواز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توقّف دفع مفسدة علی مشاهدة جسده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ذلک الحقّ معتدّاً به عند الشرع،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روءیة جسده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الجواز حینئذٍ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جواز ذلک، إلاّ إذا أحرز أنّ ذلک الحقّ أهمّ من حرمة النبش، أو لزم منها الضرّر علی ذی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لدفن بعض أجزائه المبانة</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والمتعیّن دفنه من غیر نبش 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الأولی دفنه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مع إمکانه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السبزواری، محمدالشیرازی،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تعیّنه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تعیّنه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ذلک، وإن لم یمکن فالأقوی وجوب دفنها بحیالها منفردة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w:t>
      </w:r>
    </w:p>
    <w:p>
      <w:pPr>
        <w:pStyle w:val="BookText"/>
        <w:rPr/>
      </w:pPr>
      <w:r>
        <w:rPr>
          <w:rFonts w:ascii="IRNazanin" w:hAnsi="IRNazanin" w:eastAsia="IRNazanin"/>
          <w:color w:val="111111"/>
          <w:sz w:val="28"/>
          <w:sz w:val="28"/>
          <w:szCs w:val="28"/>
          <w:rtl w:val="true"/>
          <w:lang w:bidi="fa-IR"/>
        </w:rPr>
        <w:t>لا یظهر جسده</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عبدالهادی الشیرازی، أحمد الخونساری،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تترک رعایة هذه الأولویّة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فی مقبرة لا تناسبه، کما إذا دفن فی مقبرة الکفّار</w:t>
      </w:r>
      <w:r>
        <w:rPr>
          <w:rStyle w:val="FootnoteAnchor"/>
          <w:rtl w:val="true"/>
        </w:rPr>
        <w:footnoteReference w:id="807"/>
      </w:r>
      <w:r>
        <w:rPr>
          <w:rFonts w:ascii="IRNazanin" w:hAnsi="IRNazanin" w:eastAsia="IRNazanin"/>
          <w:color w:val="111111"/>
          <w:sz w:val="28"/>
          <w:sz w:val="28"/>
          <w:szCs w:val="28"/>
          <w:rtl w:val="true"/>
          <w:lang w:bidi="fa-IR"/>
        </w:rPr>
        <w:t>، أو دفن معه کافر</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یمکن نقله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دفن فی مزبلة أو بالوعة، أو نحو ذلک من الأمکنة الموجبة لهتک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لنقله</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یستلزم الهتک وإن أوصی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مراعیاً فی ذلک عدم استلزامه لأمر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ـ غیر العاشر والحادی عشر ـ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الوصیّة أو الوصیّة بالنبش محلّ إشکال، وأمّا لو أوصی بنقله قبل دفنه فخولف عمداً أو بغیر عمدٍ فالأقوی جوازه، مع عدم فساد البدن وعدم صیرورته فاسداً إلی الدفن بما یوجب الهتک أو الإیذاء، بل لا یبعد الوجوب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النبش لنقله فی صورة عدم الوصیة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نقله إلی کلّ مکان یکون هناک رجحان شرعی من جهة من الجهات إذا لم یستلزم الهتک ولا إیذاء الناس، وما یقال موجّه جدّاً، کما یأتی من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المشاهد المشرّفة والأماکن المعظّمة 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8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وکذا السابع والثامن والتاسع والثانی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یستوجب هتکاً لحرمة المیّت، فإذا استوجب الهتک فالظاهر المنع، سواء أوصی بذلک أم لم یوصِ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منع، نعم، لو أوصی بالنقل إلیها ولم یکن موجباً لفساد بدنه ولا لمحذور آخر ـ کما لو کان مریضاً بمرضٍ معدٍ یُخشی معه الانتشار ـ فدفن عصیاناً أو جهلاً أو نسیاناً أمکن القول بجواز النبش والنقل ما لم یفسد بدنه ولم یلزم منهما محذور غیره، بل الظاهر وجوبه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یوصِ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 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الإصطهباناتی، الآملی، السبزواری، الأراکی،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عدم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مع الوصیة، إلاّ إذا کانت الوصیة بالنقل قبل الدفن فخولف، سواء کان عمداً أو غیره فإنّه یجوز، بل یجب النبش، إلاّ إذا صار البدن فاسداً، أو کان النقل موجباً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w:t>
      </w:r>
    </w:p>
    <w:p>
      <w:pPr>
        <w:pStyle w:val="BookText"/>
        <w:rPr/>
      </w:pPr>
      <w:r>
        <w:rPr>
          <w:rFonts w:ascii="Amiri" w:hAnsi="Amiri" w:eastAsia="Amiri" w:cs="Amiri"/>
          <w:color w:val="111111"/>
          <w:sz w:val="28"/>
          <w:sz w:val="28"/>
          <w:szCs w:val="28"/>
          <w:rtl w:val="true"/>
          <w:lang w:bidi="ar-SA"/>
        </w:rPr>
        <w:t>الوصیّة</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خصوصاً إذا استلزم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ومعها أیضاً إذا استلزم الهتک وإیذاء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موضوعاً فی تابوت</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 بل اللازم دفنه دفناً شرعیّاً ثمّ إخراجه بعد یبسه؛ لنقله إلی أحد المشاهد حیث لا یستلزم فساد المیّت، ولا أذیّة أحد برائحته، أمّا مع شیء من ذلک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الثامن والتاسع إشکال، بل الظاهر فی الأخیرین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الصدق لا یخلو من إشکال لو کان المعیار فی صدق النبش إخراجه بعد مواراته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کذلک، فإنّه لا یصدق علیه النبش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منع،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صدق النبش علیه موضع تأمّل، واختیار هذه الکیفیة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الصدق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والتابوت بحکم الکفن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لا یظهر جسده، والأولی مع إرادة</w:t>
      </w:r>
    </w:p>
    <w:p>
      <w:pPr>
        <w:pStyle w:val="BookText"/>
        <w:rPr/>
      </w:pPr>
      <w:r>
        <w:rPr>
          <w:rFonts w:ascii="IRNazanin" w:hAnsi="IRNazanin" w:eastAsia="IRNazanin"/>
          <w:color w:val="111111"/>
          <w:sz w:val="28"/>
          <w:sz w:val="28"/>
          <w:szCs w:val="28"/>
          <w:rtl w:val="true"/>
          <w:lang w:bidi="fa-IR"/>
        </w:rPr>
        <w:t>النقل</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الوصیة بالنقل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لو اُرید نقله أن یجعل علی الأرض فی بناء وتُسدّ الخلل والفرج لکتم الرائحة والتوقّی، کما علیه سیرة المتشرعة فی أکثر البلاد، ویعبّر عنه بالأمانة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التودیع المتعارف بوضع المیّت فی الموضع والبناء علیه ثمّ نقله إلی المشاهد لأجل التخلّص من محذور النبش، بل اللازم أن یدفن بمواراته فی الأرض مستقبل القبلة علی الوجه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المشاهد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اختیار هذه الکیفیة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الواجب من أحکام 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هذه الکیفیة؛ إذ لا إشکال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أعنی الدفن الشرعی، لا الأمانة المعروفة؛ إذ هی تأخیر فی الدفن، فیشکل وإن کان مورداً للوصایة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فإنّه خالٍ من الإشکال، أو أقلّ إشکالاً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بغیر إذن الولیّ</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 أقواه عدم جواز النبش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الولیّ یرید دفنه فی غیر ذلک الموضع لمزیة شرعیة أو عقلائیة، وإلاّ ففیه تأمّل، والأحوط له حینئذٍ أن یجیز ذلک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 الآملی، 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للولیّ الرضا بهذا 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یفوت به مزیة مهمة شرعیة أو عقلائیة،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إلاّ أن یکون نبشه مصلحة بنظر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التاسع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علی الولیّ أن یحتاط بعدم النبش وبإجازة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للولیّ إسقاط حقّه والرضا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للولیّ غرض عقلائی لدفنه فی غیر هذا 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إذا کانت فی دفنه فی محّل آخر مصلحة ملزمة فی نظر الولیّ، والأحوط علی الولیّ أن یجیز بقاءه فی مدفنه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النبش فیه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الأحوط إذن الولیّ فی بقائه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للولیّ حینئذٍ الإذن فیه، إلاّ مع وجود ما هو أهمّ من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النبش فی هذا المورد مشکل،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التاسع والثانی عشر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اشتراط إذن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النبش فی هذا المورد تأمّل وإشکال، وکذا فی لاحقه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أوصــی</w:t>
      </w:r>
      <w:r>
        <w:rPr>
          <w:rStyle w:val="FootnoteAnchor"/>
          <w:rtl w:val="true"/>
        </w:rPr>
        <w:footnoteReference w:id="8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بدفنه</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وصیته تشمل هذا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التلاشی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الحال فیه ممّا تقدّم فی المسوّغ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مکان معیّن وخولف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عصیاناً أو جهلاً أو نسیاناً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دعت ضرورة إلی النبش، أو عارضه أمر راجح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خیف علیه من سبع أو سیل أو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بنبشه</w:t>
      </w:r>
      <w:r>
        <w:rPr>
          <w:rStyle w:val="FootnoteAnchor"/>
          <w:rtl w:val="true"/>
        </w:rPr>
        <w:footnoteReference w:id="8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ما أوصی به هو النبش بعد دفنه لا تخلو صحة الوصیة من الإشکال، نعم، لو أوصی بنقله إلی المشاهد المشرّفة بعد مدّة من تودیعه فخولفت وصیّته ودفن لم یبعد جواز النبش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صحة الوصیّة بالنبش بعد الدفن مشکلة جدّاً، نعم، لو أصی بعدم دفنه بل وضعه فی تابوت أو نحوه ممّا لا یصدق علیه الدفن ونقله بعد مدّة إلی الأماکن المشرّفة فخولف ودفن فحینئذٍ یجوز النبش، کما مرّت الإشاره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موجباً لهتک حرمته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مقدّمةً للنقل، لا بما هو نبش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الوصیّة بالنبش بعد الدفن تأمّل، نعم، لو أوصی بالنقل فاتفق دفنه غفلةً أو نسیاناً أو عمداً، ثمّ اُرید نقله لجاز النبش عملاً بالوصیّة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 بل تمنع صحة الوصیّة بنبشه، أمّا النقل إلی المشاهد المشرّفة فقد تقّدم فی الأمر السادس جوازه إذا لم یستوجب هتکاً لحرمة المیّت، فإذا استوجب الهتک کان محرّماً، وإن أوصی به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صحّة الوصیّة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ونقله بعد مدّة</w:t>
      </w:r>
    </w:p>
    <w:p>
      <w:pPr>
        <w:pStyle w:val="BookText"/>
        <w:rPr/>
      </w:pPr>
      <w:r>
        <w:rPr>
          <w:rFonts w:ascii="IRNazanin" w:hAnsi="IRNazanin" w:eastAsia="IRNazanin"/>
          <w:color w:val="111111"/>
          <w:sz w:val="28"/>
          <w:sz w:val="28"/>
          <w:szCs w:val="28"/>
          <w:rtl w:val="true"/>
          <w:lang w:bidi="fa-IR"/>
        </w:rPr>
        <w:t>إلی الأماکن المشرّفة</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تجوز الوصیّة بالنبش، وتجوز الوصیّة بالنقل، وحینئذٍ لو دفن عصیاناً أو نسیاناً یجوز النبش للنقل، بل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کلّ مورد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الکلّیة محلّ إشکال، فلا یُترک الاحتیاط بالاقتصار علی ماتقدّم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وجوب الدفن کما یدلّ علی الفوریة من الأوّل یدلّ أیضاً علی عدم جواز النبش الملازم لترک الدفن فی زمان ما، فیشکل، إلاّ فیما قامت السیرة علیه، کما فی خصوص النقل إلی المشاهد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هناک رجحان 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فی غیر صورة وصول الرجحان إلی مرتبة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ما لم یکن واجباً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من الجهات، ولم یکن موجباً لهتک حرمته أو لأذیّة الناس؛ وذلک لعدم وجود دلیل واضح علی حرمة النبش، إلاّ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الدلیل منحصراً به، بل یمکن استفادة الحرمة من أدّلة وجوب الدفن، فإذن یمکن المناقشة فی الکلّیة التی أفادها، فالأحوط قصد الجواز علی الموارد المسلّمة التی تقدّم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التمسّک بالسیرة العقلائیة فی الجملة، فإنّهم إذا دفنوا موتاهم یُقبِّحون نبش القبر ما دام المیّت موجوداً، إلاّ لغرض 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أخبار تدّل علی حرمة النبش أیضاً، ذکرناها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لیس إجماعاً تعبدیاً، بل اتفاق العلماء وسیرة العقلاء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أمرٌ</w:t>
      </w:r>
      <w:bookmarkStart w:id="665" w:name="pg13276_136772"/>
    </w:p>
    <w:p>
      <w:pPr>
        <w:pStyle w:val="BookText"/>
        <w:rPr/>
      </w:pPr>
      <w:bookmarkEnd w:id="665"/>
      <w:r>
        <w:rPr>
          <w:rFonts w:ascii="Amiri" w:hAnsi="Amiri" w:eastAsia="Amiri" w:cs="Amiri"/>
          <w:color w:val="111111"/>
          <w:sz w:val="28"/>
          <w:sz w:val="28"/>
          <w:szCs w:val="28"/>
          <w:rtl w:val="true"/>
          <w:lang w:bidi="ar-SA"/>
        </w:rPr>
        <w:t>لُبّیّ</w:t>
      </w:r>
      <w:r>
        <w:rPr>
          <w:rStyle w:val="FootnoteAnchor"/>
          <w:rtl w:val="true"/>
        </w:rPr>
        <w:footnoteReference w:id="820"/>
      </w:r>
      <w:r>
        <w:rPr>
          <w:rFonts w:ascii="IRNazanin" w:hAnsi="IRNazanin" w:eastAsia="IRNazanin"/>
          <w:color w:val="111111"/>
          <w:sz w:val="28"/>
          <w:sz w:val="28"/>
          <w:szCs w:val="28"/>
          <w:rtl w:val="true"/>
          <w:lang w:bidi="fa-IR"/>
        </w:rPr>
        <w:t>، والقدر المتیقّن منه غیر هذه الموارد، لکن مع ذلک</w:t>
      </w:r>
      <w:r>
        <w:rPr>
          <w:rStyle w:val="FootnoteAnchor"/>
          <w:rtl w:val="true"/>
        </w:rPr>
        <w:footnoteReference w:id="821"/>
      </w: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w:t>
      </w:r>
    </w:p>
    <w:p>
      <w:pPr>
        <w:pStyle w:val="Heading3"/>
        <w:numPr>
          <w:ilvl w:val="2"/>
          <w:numId w:val="1"/>
        </w:numPr>
        <w:rPr/>
      </w:pPr>
      <w:bookmarkStart w:id="666" w:name="__RefHeading___Toc1764038_2322387425"/>
      <w:bookmarkStart w:id="667" w:name="_Toc252"/>
      <w:bookmarkEnd w:id="666"/>
      <w:r>
        <w:rPr>
          <w:rtl w:val="true"/>
        </w:rPr>
        <w:t>تخریب القبور وفروع تتعلق بالدفن</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محذور، ککون الآثار ملکاً للبانی، أو الأرض مباحة حازها ولیّ المیّت لقبره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حیثیّ، نعم، مع کون الأرض موقوفة مورد الاحتیاج وزاحمه البناء یجوز لولیّ المسلمین الأمر بإزالته، ومع عدم الحاکم یجوز للمسلمین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الجواز عدم صدق عنوان المحرّم من هتک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إشکال، بل منع، فإنّه لو کانت الآثار ملکاً للبانی أو حاز ولیّ المیّت الأرض المباحة لا یجوز، نعم، فی الأرض الموقوفة یجوز التخریب مع الحاجة وإن کانت الآثار کما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آثار</w:t>
      </w:r>
      <w:r>
        <w:rPr>
          <w:rFonts w:eastAsia="IRNazanin" w:cs="IRNazanin"/>
          <w:color w:val="111111"/>
          <w:sz w:val="28"/>
          <w:szCs w:val="28"/>
          <w:rtl w:val="true"/>
          <w:lang w:bidi="fa-IR"/>
        </w:rPr>
        <w:t>. . . . . . . . .</w:t>
      </w:r>
    </w:p>
    <w:p>
      <w:pPr>
        <w:pStyle w:val="BookText"/>
        <w:rPr/>
      </w:pPr>
      <w:r>
        <w:rPr>
          <w:rFonts w:ascii="IRNazanin" w:hAnsi="IRNazanin" w:eastAsia="IRNazanin"/>
          <w:color w:val="111111"/>
          <w:sz w:val="28"/>
          <w:sz w:val="28"/>
          <w:szCs w:val="28"/>
          <w:rtl w:val="true"/>
          <w:lang w:bidi="fa-IR"/>
        </w:rPr>
        <w:t>القبور</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وقفاً أو ملکاً لا یرضی مالکها بذلک، أو فی حیازه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مملوکة ولا موقوفة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وشموله لِما إذا کانت الآثار وقفاً أو ملکاً لبانیها أو فی حیازته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إذا کانت ملکاً أو وقفاً، بل إذا کانت فی حیازة بانیها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بالجواز فیما لو کانت أجزاء القبر وآثاره ملکا لمحدثها، وغیره من الصور مشکل، فالإطلاق فی کلامه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ملکاً لأحد، وإلاّ فلابدّ من استرضاء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نظر فی کلتا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ملکاً، ولاوقفاً، ولا فی حیازة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ملکا للغیر، وإلاّ فلابدّ من تحصیل الرضا من مالکهم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الآثار بنیت فی أرض مباحة فتخریبها محلّ تأمّل، وإن کانت مستحدثة فی أرضٍ موقوفة فحکمها تابع لخصوصیات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علم اندراس میّتـها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ماعدا ما ذکـر من قبــور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والصلحاء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وأولاد الأئمّة علیهم‌السلام ، سیّما إذا کانت فی المقبرة الموقوفة للمسلمین مع حاجتهم، وکذا فی الأراضی المباحة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ولکنّ الأحوط عدم</w:t>
      </w:r>
    </w:p>
    <w:p>
      <w:pPr>
        <w:pStyle w:val="BookText"/>
        <w:rPr/>
      </w:pPr>
      <w:r>
        <w:rPr>
          <w:rFonts w:ascii="IRNazanin" w:hAnsi="IRNazanin" w:eastAsia="IRNazanin"/>
          <w:color w:val="111111"/>
          <w:sz w:val="28"/>
          <w:sz w:val="28"/>
          <w:szCs w:val="28"/>
          <w:rtl w:val="true"/>
          <w:lang w:bidi="fa-IR"/>
        </w:rPr>
        <w:t>التخریب مع عدم الحاجة، خصوصاً فی المباحة غیر الموقوفة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أ نّه قبر موءمن أو کافر فالأحوط</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مع عدم الأمارة علی کونه مسلماً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للزوم الاحتیاط؛ فإنّ مقتضی الأصل عدم کونه قبراً للمؤمن الإمامی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مع عدم أمارة علی کونه مسلماً، ولو کانت هی الدفن فی مقبرة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نبشه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فی البلد الإسلامی أم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عدم العلم باندراسه، أو کونه فی مقبرة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المیّت</w:t>
      </w:r>
      <w:r>
        <w:rPr>
          <w:rStyle w:val="FootnoteAnchor"/>
          <w:rtl w:val="true"/>
        </w:rPr>
        <w:footnoteReference w:id="825"/>
      </w:r>
      <w:r>
        <w:rPr>
          <w:rFonts w:ascii="IRNazanin" w:hAnsi="IRNazanin" w:eastAsia="IRNazanin"/>
          <w:color w:val="111111"/>
          <w:sz w:val="28"/>
          <w:sz w:val="28"/>
          <w:szCs w:val="28"/>
          <w:rtl w:val="true"/>
          <w:lang w:bidi="fa-IR"/>
        </w:rPr>
        <w:t>فی ملک الغیر بغیر رضاه لا یجب علیه الرضا ببقائه</w:t>
      </w:r>
      <w:r>
        <w:rPr>
          <w:rStyle w:val="FootnoteAnchor"/>
          <w:rtl w:val="true"/>
        </w:rPr>
        <w:footnoteReference w:id="826"/>
      </w:r>
      <w:r>
        <w:rPr>
          <w:rFonts w:ascii="IRNazanin" w:hAnsi="IRNazanin" w:eastAsia="IRNazanin"/>
          <w:color w:val="111111"/>
          <w:sz w:val="28"/>
          <w:sz w:val="28"/>
          <w:szCs w:val="28"/>
          <w:rtl w:val="true"/>
          <w:lang w:bidi="fa-IR"/>
        </w:rPr>
        <w:t>ولو کان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الدفن بغیر العدوان من جهل أو نسیان فله</w:t>
      </w:r>
      <w:r>
        <w:rPr>
          <w:rStyle w:val="FootnoteAnchor"/>
          <w:rtl w:val="true"/>
        </w:rPr>
        <w:footnoteReference w:id="827"/>
      </w:r>
      <w:r>
        <w:rPr>
          <w:rFonts w:ascii="IRNazanin" w:hAnsi="IRNazanin" w:eastAsia="IRNazanin"/>
          <w:color w:val="111111"/>
          <w:sz w:val="28"/>
          <w:sz w:val="28"/>
          <w:szCs w:val="28"/>
          <w:rtl w:val="true"/>
          <w:lang w:bidi="fa-IR"/>
        </w:rPr>
        <w:t>أن یطالب بالنبش أو یباشره</w:t>
      </w:r>
      <w:r>
        <w:rPr>
          <w:rStyle w:val="FootnoteAnchor"/>
          <w:rtl w:val="true"/>
        </w:rPr>
        <w:footnoteReference w:id="828"/>
      </w:r>
      <w:r>
        <w:rPr>
          <w:rFonts w:ascii="IRNazanin" w:hAnsi="IRNazanin" w:eastAsia="IRNazanin"/>
          <w:color w:val="111111"/>
          <w:sz w:val="28"/>
          <w:sz w:val="28"/>
          <w:szCs w:val="28"/>
          <w:rtl w:val="true"/>
          <w:lang w:bidi="fa-IR"/>
        </w:rPr>
        <w:t>، وکذا إذا دفن مال للغیر مع المیّت، لکنّ الأولی بل الأحوط</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 مع استلزام النبش للهتک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یستلزم النبش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أن یکون المال بمقدار یُعدّ بقاؤه تحت الأرض إتلافاً وتبذیراً له، وقد مرّ سابقاً ماله ربط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یجب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العوض أو</w:t>
      </w:r>
    </w:p>
    <w:p>
      <w:pPr>
        <w:pStyle w:val="BookText"/>
        <w:rPr/>
      </w:pPr>
      <w:r>
        <w:rPr>
          <w:rFonts w:ascii="IRNazanin" w:hAnsi="IRNazanin" w:eastAsia="IRNazanin"/>
          <w:color w:val="111111"/>
          <w:sz w:val="28"/>
          <w:sz w:val="28"/>
          <w:szCs w:val="28"/>
          <w:rtl w:val="true"/>
          <w:lang w:bidi="fa-IR"/>
        </w:rPr>
        <w:t>الإعراض</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المال معتدّاً به فالأحوط النبش وإخراجه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فی دفن میّت فی ملکه لا یجوز</w:t>
      </w:r>
      <w:r>
        <w:rPr>
          <w:rStyle w:val="FootnoteAnchor"/>
          <w:rtl w:val="true"/>
        </w:rPr>
        <w:footnoteReference w:id="831"/>
      </w:r>
      <w:r>
        <w:rPr>
          <w:rFonts w:ascii="IRNazanin" w:hAnsi="IRNazanin" w:eastAsia="IRNazanin"/>
          <w:color w:val="111111"/>
          <w:sz w:val="28"/>
          <w:sz w:val="28"/>
          <w:szCs w:val="28"/>
          <w:rtl w:val="true"/>
          <w:lang w:bidi="fa-IR"/>
        </w:rPr>
        <w:t>له أن یرجع</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إذنه بعد الدفن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 مع العوض أو بدونه؛ لأنّه المُقْدِم علی ذلک، فیشمله دلیل حرمة النبش، وهذا بخلاف ما إذا أذن فی الصلاة فی داره فإنّه یجوز له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ولا یبعد أن یقال بلزوم الإذن إلی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غیر صافیة من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والمسألة محتاجة إلی مزید من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أثناء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والتعلیل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الحکم محلّ نظر، وما ذکر من الفرق غیر مؤثّر مع وجود الجامع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ویجب علی المصلّی</w:t>
      </w:r>
    </w:p>
    <w:p>
      <w:pPr>
        <w:pStyle w:val="BookText"/>
        <w:rPr/>
      </w:pPr>
      <w:r>
        <w:rPr>
          <w:rFonts w:ascii="IRNazanin" w:hAnsi="IRNazanin" w:eastAsia="IRNazanin"/>
          <w:color w:val="111111"/>
          <w:sz w:val="28"/>
          <w:sz w:val="28"/>
          <w:szCs w:val="28"/>
          <w:rtl w:val="true"/>
          <w:lang w:bidi="fa-IR"/>
        </w:rPr>
        <w:t>قطعها فی سعة الوقت، فإنّ حرمة القطع إنّما هی</w:t>
      </w:r>
      <w:r>
        <w:rPr>
          <w:rStyle w:val="FootnoteAnchor"/>
          <w:rtl w:val="true"/>
        </w:rPr>
        <w:footnoteReference w:id="833"/>
      </w:r>
      <w:r>
        <w:rPr>
          <w:rFonts w:ascii="IRNazanin" w:hAnsi="IRNazanin" w:eastAsia="IRNazanin"/>
          <w:color w:val="111111"/>
          <w:sz w:val="28"/>
          <w:sz w:val="28"/>
          <w:szCs w:val="28"/>
          <w:rtl w:val="true"/>
          <w:lang w:bidi="fa-IR"/>
        </w:rPr>
        <w:t>بالنسبة إلی المصلّی فقط، بخلاف حرمة النبش فإنّه لا فرق فیه بین المباشر وغیره، نعم، له الرجوع</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لم یتحقّق الدفن بعدُ حتّی یترتّب علیه النبش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إذنه بعد الوضع فی القبر قبل أن یُسدّ بالتراب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هذا إذا لم یکن الإذن فی عقد 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لیس له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المیّت ـ المدفون فی ملک الغیر بإذنه ـ بنبش نابش أو سیل أو سبع أو نحو ذلک لایجب علیه الرضا والإذن بدفنه ثانیاً فی ذلک المکان، بل له الرجوع عن إذنه، إلاّ إذا کان لازماً علیه بعقد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فی مکان مباح فخرج بأحد المذکورات لا یجب دفنه ثانیاً فی ذلک المکان، بل یجوز أن یدفن فی مکان آخر، والأحوط</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قوی، لاسیّما فیما لو اُرید دفنه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الاستئذان من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حکم الدفن الثانی مطلقاً کحکم الدفن الأوّل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الدفن</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عظماً مجرّداً أو نحو ذلک لا یبعد عدم اعتبار إذنه،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بعض الموارد مثل بقاء الصورة، بل أو الرأس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إخفاء موت إنسان</w:t>
      </w:r>
      <w:r>
        <w:rPr>
          <w:rStyle w:val="FootnoteAnchor"/>
          <w:rtl w:val="true"/>
        </w:rPr>
        <w:footnoteReference w:id="837"/>
      </w:r>
      <w:r>
        <w:rPr>
          <w:rFonts w:ascii="IRNazanin" w:hAnsi="IRNazanin" w:eastAsia="IRNazanin"/>
          <w:color w:val="111111"/>
          <w:sz w:val="28"/>
          <w:sz w:val="28"/>
          <w:szCs w:val="28"/>
          <w:rtl w:val="true"/>
          <w:lang w:bidi="fa-IR"/>
        </w:rPr>
        <w:t>من أولاده وأقربائه</w:t>
      </w:r>
      <w:r>
        <w:rPr>
          <w:rStyle w:val="FootnoteAnchor"/>
          <w:rtl w:val="true"/>
        </w:rPr>
        <w:footnoteReference w:id="838"/>
      </w:r>
      <w:r>
        <w:rPr>
          <w:rFonts w:ascii="IRNazanin" w:hAnsi="IRNazanin" w:eastAsia="IRNazanin"/>
          <w:color w:val="111111"/>
          <w:sz w:val="28"/>
          <w:sz w:val="28"/>
          <w:szCs w:val="28"/>
          <w:rtl w:val="true"/>
          <w:lang w:bidi="fa-IR"/>
        </w:rPr>
        <w:t>، إلاّ إذا کانت هناک جهة رجحان 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الأمکنة التی یستحبّ الدفن</w:t>
      </w:r>
      <w:r>
        <w:rPr>
          <w:rStyle w:val="FootnoteAnchor"/>
          <w:rtl w:val="true"/>
        </w:rPr>
        <w:footnoteReference w:id="839"/>
      </w:r>
      <w:r>
        <w:rPr>
          <w:rFonts w:ascii="IRNazanin" w:hAnsi="IRNazanin" w:eastAsia="IRNazanin"/>
          <w:color w:val="111111"/>
          <w:sz w:val="28"/>
          <w:sz w:val="28"/>
          <w:szCs w:val="28"/>
          <w:rtl w:val="true"/>
          <w:lang w:bidi="fa-IR"/>
        </w:rPr>
        <w:t>فیها ویجوز النقل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ومکّة أرجح من سائر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الطواف،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الدفن فی الحرم یوجب الأمن من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w:t>
      </w:r>
      <w:r>
        <w:rPr>
          <w:rStyle w:val="FootnoteAnchor"/>
          <w:rtl w:val="true"/>
        </w:rPr>
        <w:footnoteReference w:id="840"/>
      </w:r>
      <w:r>
        <w:rPr>
          <w:rFonts w:ascii="IRNazanin" w:hAnsi="IRNazanin" w:eastAsia="IRNazanin"/>
          <w:color w:val="111111"/>
          <w:sz w:val="28"/>
          <w:sz w:val="28"/>
          <w:szCs w:val="28"/>
          <w:rtl w:val="true"/>
          <w:lang w:bidi="fa-IR"/>
        </w:rPr>
        <w:t>المیّت من عرفات إلی مکّة المعظّمة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الطواف،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النقل إلی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خصوص مکة المعظّمة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للموءمن</w:t>
      </w:r>
      <w:r>
        <w:rPr>
          <w:rStyle w:val="FootnoteAnchor"/>
          <w:rtl w:val="true"/>
        </w:rPr>
        <w:footnoteReference w:id="841"/>
      </w:r>
      <w:r>
        <w:rPr>
          <w:rFonts w:ascii="IRNazanin" w:hAnsi="IRNazanin" w:eastAsia="IRNazanin"/>
          <w:color w:val="111111"/>
          <w:sz w:val="28"/>
          <w:sz w:val="28"/>
          <w:szCs w:val="28"/>
          <w:rtl w:val="true"/>
          <w:lang w:bidi="fa-IR"/>
        </w:rPr>
        <w:t>إعداد قبرٍ لنفسه، سواء کان فی حال المرض أو الصحّة، ویرجّح أن یدخل قبره ویقرأ القرآن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بذل الأرض لدفن الموءمن، کما یستحبّ بذل الکفن له، وإن کان غنیّاً،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کفّن موءمناً کان کمن ضمن کسوته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التکفین،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المباشرة لحفر قبر الموءمن،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حفرلموءمن قبراً کان کمن بوّأه بیتاً موافقاً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مباشرة غسل المیّت،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ناجی اللّه به موسی علیه‌السلام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لمن غسّل الموتی؟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أغسله من ذنوبه کما ولدته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غسل المیّت،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للإنسان إعداد الکفن</w:t>
      </w:r>
      <w:r>
        <w:rPr>
          <w:rStyle w:val="FootnoteAnchor"/>
          <w:rtl w:val="true"/>
        </w:rPr>
        <w:footnoteReference w:id="842"/>
      </w:r>
      <w:r>
        <w:rPr>
          <w:rFonts w:ascii="IRNazanin" w:hAnsi="IRNazanin" w:eastAsia="IRNazanin"/>
          <w:color w:val="111111"/>
          <w:sz w:val="28"/>
          <w:sz w:val="28"/>
          <w:szCs w:val="28"/>
          <w:rtl w:val="true"/>
          <w:lang w:bidi="fa-IR"/>
        </w:rPr>
        <w:t xml:space="preserve">، وجعله فی بیته، وتکرار النظر إلیه، ففی الحدیث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أعدّ الرجل کفنه کان مأجوراً کلّما 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التکفین،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68" w:name="pg13276_136779"/>
    </w:p>
    <w:p>
      <w:pPr>
        <w:pStyle w:val="BookText"/>
        <w:rPr/>
      </w:pPr>
      <w:bookmarkEnd w:id="668"/>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یکتب من الغافلین، وکان مأجوراً کلّما 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التکفین،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669" w:name="__RefHeading___Toc1764040_2322387425"/>
      <w:bookmarkStart w:id="670" w:name="_Toc253"/>
      <w:bookmarkEnd w:id="669"/>
      <w:r>
        <w:rPr>
          <w:rtl w:val="true"/>
        </w:rPr>
        <w:t>فصل</w:t>
      </w:r>
      <w:r>
        <w:rPr>
          <w:rtl w:val="true"/>
        </w:rPr>
        <w:t xml:space="preserve">: </w:t>
      </w:r>
      <w:r>
        <w:rPr>
          <w:rtl w:val="true"/>
        </w:rPr>
        <w:t>فی الأغسال المندوبة</w:t>
      </w:r>
      <w:bookmarkEnd w:id="670"/>
    </w:p>
    <w:p>
      <w:pPr>
        <w:pStyle w:val="Heading3"/>
        <w:numPr>
          <w:ilvl w:val="2"/>
          <w:numId w:val="1"/>
        </w:numPr>
        <w:rPr/>
      </w:pPr>
      <w:bookmarkStart w:id="671" w:name="__RefHeading___Toc1764042_2322387425"/>
      <w:bookmarkStart w:id="672" w:name="_Toc254"/>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وهی کثیرة</w:t>
      </w:r>
      <w:r>
        <w:rPr>
          <w:rStyle w:val="FootnoteAnchor"/>
          <w:rtl w:val="true"/>
        </w:rPr>
        <w:footnoteReference w:id="843"/>
      </w:r>
      <w:r>
        <w:rPr>
          <w:rFonts w:ascii="IRNazanin" w:hAnsi="IRNazanin" w:eastAsia="IRNazanin"/>
          <w:color w:val="111111"/>
          <w:sz w:val="28"/>
          <w:sz w:val="28"/>
          <w:szCs w:val="28"/>
          <w:rtl w:val="true"/>
          <w:lang w:bidi="fa-IR"/>
        </w:rPr>
        <w:t>، وعدّ بعضهم سبعاً وأربعین، وبعضهم أنهاها إلی خمسین، وبعضهم إلی أزید من ستّین، وبعضهم إلی سبعٍ وثمانین، وبعضهم إلی مائة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زمانیّة، ومکانیّة، وفعلیّة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للفعل الذی یرید أن یفعل، أو للفعل الذی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والمکانیّة أیضاً فی الحقیقة فعلیّة؛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للدخول فی مکان،أو للکون فیه</w:t>
      </w:r>
      <w:r>
        <w:rPr>
          <w:rFonts w:eastAsia="IRNazanin" w:cs="IRNazanin"/>
          <w:color w:val="111111"/>
          <w:sz w:val="28"/>
          <w:szCs w:val="28"/>
          <w:rtl w:val="true"/>
          <w:lang w:bidi="fa-IR"/>
        </w:rPr>
        <w:t>.</w:t>
      </w:r>
    </w:p>
    <w:p>
      <w:pPr>
        <w:pStyle w:val="Heading3"/>
        <w:numPr>
          <w:ilvl w:val="2"/>
          <w:numId w:val="1"/>
        </w:numPr>
        <w:rPr/>
      </w:pPr>
      <w:bookmarkStart w:id="673" w:name="__RefHeading___Toc1764044_2322387425"/>
      <w:bookmarkStart w:id="674" w:name="_Toc255"/>
      <w:bookmarkEnd w:id="673"/>
      <w:r>
        <w:rPr>
          <w:rtl w:val="true"/>
        </w:rPr>
        <w:t>الأغسال الزمانیة</w:t>
      </w:r>
      <w:bookmarkEnd w:id="674"/>
    </w:p>
    <w:p>
      <w:pPr>
        <w:pStyle w:val="BookText"/>
        <w:rPr/>
      </w:pPr>
      <w:r>
        <w:rPr>
          <w:rFonts w:ascii="Amiri" w:hAnsi="Amiri" w:eastAsia="Amiri" w:cs="Amiri"/>
          <w:color w:val="111111"/>
          <w:sz w:val="28"/>
          <w:sz w:val="28"/>
          <w:szCs w:val="28"/>
          <w:rtl w:val="true"/>
          <w:lang w:bidi="ar-SA"/>
        </w:rPr>
        <w:t>أمّا الزمانیّة فأغسال</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استحبابها للفعل أیضاً، وهو إیقاع الصلاة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ورجحانه من الضروریّات، وکذا تأکّد</w:t>
      </w:r>
      <w:bookmarkStart w:id="675" w:name="pg13276_136780"/>
    </w:p>
    <w:p>
      <w:pPr>
        <w:pStyle w:val="Heading3"/>
        <w:numPr>
          <w:ilvl w:val="2"/>
          <w:numId w:val="1"/>
        </w:numPr>
        <w:rPr/>
      </w:pPr>
      <w:bookmarkStart w:id="676" w:name="__RefHeading___Toc1764046_2322387425"/>
      <w:bookmarkStart w:id="677" w:name="_Toc256"/>
      <w:bookmarkEnd w:id="675"/>
      <w:bookmarkEnd w:id="676"/>
      <w:r>
        <w:rPr>
          <w:rtl w:val="true"/>
        </w:rPr>
        <w:t>استحباب غسل الجمعة</w:t>
      </w:r>
      <w:bookmarkEnd w:id="677"/>
    </w:p>
    <w:p>
      <w:pPr>
        <w:pStyle w:val="BookText"/>
        <w:rPr/>
      </w:pPr>
      <w:r>
        <w:rPr>
          <w:rFonts w:ascii="IRNazanin" w:hAnsi="IRNazanin" w:eastAsia="IRNazanin"/>
          <w:color w:val="111111"/>
          <w:sz w:val="28"/>
          <w:sz w:val="28"/>
          <w:szCs w:val="28"/>
          <w:rtl w:val="true"/>
          <w:lang w:bidi="fa-IR"/>
        </w:rPr>
        <w:t>استحبابه معلوم من الشرع، والأخبار فی الحثّ علیه کثیرة، 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یکون طهارة له من الجمعة إلی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 الجمعة طهور وکفّارة لِما بینهما من الذنوب من الجمعة إلی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جملة منها التعبیر بالوجوب،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واجب علی کلّ ذکر أو اُنثی من حرّ أو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عن غُسل یوم الجمعة؟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کلّ ذکر واُنثی من حرّ أو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واجب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رابع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صار غُسل الجمعة واجباً؟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أتمّ صلاة الفریضة بصلاة النافلة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وأتمَّ وضوء النافلة</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فی بعض الروایات، وفی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 وضوء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وجدته من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وضوء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قدس‌سره وجد نسخة غیر ما عثرت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فی نسخة، وفی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الفریضة،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الأخبار تعابیر اُخر کلّها دالّة علی رجحانه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وضوء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قدس‌سره ظفر بما لم نظفر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بغُسل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یترکه إلاّ</w:t>
      </w:r>
      <w:bookmarkStart w:id="678" w:name="pg13276_136781"/>
    </w:p>
    <w:p>
      <w:pPr>
        <w:pStyle w:val="BookText"/>
        <w:rPr/>
      </w:pPr>
      <w:bookmarkEnd w:id="678"/>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سادس عمّن نسیه حتّی صلّی؟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فعلیه أن یغتسل ویعید الصلاة، وإن مضی الوقت فقد جازت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ذهب جماعة إلی وجوبه،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باب وجوب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الجمعة ودخول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عنهم، لکنّ الأقوی استحبابه، والوجوب فی الأخبار منزّل علی تأکّد الاستحباب</w:t>
      </w:r>
      <w:r>
        <w:rPr>
          <w:rStyle w:val="FootnoteAnchor"/>
          <w:rtl w:val="true"/>
        </w:rPr>
        <w:footnoteReference w:id="848"/>
      </w:r>
      <w:r>
        <w:rPr>
          <w:rFonts w:ascii="IRNazanin" w:hAnsi="IRNazanin" w:eastAsia="IRNazanin"/>
          <w:color w:val="111111"/>
          <w:sz w:val="28"/>
          <w:sz w:val="28"/>
          <w:szCs w:val="28"/>
          <w:rtl w:val="true"/>
          <w:lang w:bidi="fa-IR"/>
        </w:rPr>
        <w:t>، وفیها قرائن کثیرة علی إرادة هذا المعنی، فلا ینبغی الإشکال فی عدم وجوبه، وإن کان الأحوط عدم ترکه</w:t>
      </w:r>
      <w:r>
        <w:rPr>
          <w:rFonts w:eastAsia="IRNazanin" w:cs="IRNazanin"/>
          <w:color w:val="111111"/>
          <w:sz w:val="28"/>
          <w:szCs w:val="28"/>
          <w:rtl w:val="true"/>
          <w:lang w:bidi="fa-IR"/>
        </w:rPr>
        <w:t>.</w:t>
      </w:r>
    </w:p>
    <w:p>
      <w:pPr>
        <w:pStyle w:val="Heading3"/>
        <w:numPr>
          <w:ilvl w:val="2"/>
          <w:numId w:val="1"/>
        </w:numPr>
        <w:rPr/>
      </w:pPr>
      <w:bookmarkStart w:id="679" w:name="__RefHeading___Toc1764048_2322387425"/>
      <w:bookmarkStart w:id="680" w:name="_Toc257"/>
      <w:bookmarkEnd w:id="679"/>
      <w:r>
        <w:rPr>
          <w:rtl w:val="true"/>
        </w:rPr>
        <w:t>مبدأ غسل الجمعة ومنتهاه</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الجمعة من طلوع الفجر الثانی إلی الزوال، وبعده إلی آخر یوم السبت قضاءً</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المشروعیة فی اللیل أیضاً، ولم نظفر بدلیل صالح علیها، کما أنّ کونه قضاءً من زوال یوم الجمعة إلی غروبها غیر معلوم، فلا یُترک ما یقتضیه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مشروعیته فی لیلة السبت ککونه قضاءً بعد زوال الجمعة إلی غروبها محلّ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کونه أداءً إلی الغروب من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کونه أداءً الی غروب یوم الجمعة، والأفضل الإتیان به قبل 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الأولی</w:t>
      </w:r>
      <w:bookmarkStart w:id="681" w:name="pg13276_136782"/>
    </w:p>
    <w:p>
      <w:pPr>
        <w:pStyle w:val="Heading3"/>
        <w:numPr>
          <w:ilvl w:val="2"/>
          <w:numId w:val="1"/>
        </w:numPr>
        <w:rPr/>
      </w:pPr>
      <w:bookmarkStart w:id="682" w:name="__RefHeading___Toc1764050_2322387425"/>
      <w:bookmarkStart w:id="683" w:name="_Toc258"/>
      <w:bookmarkEnd w:id="681"/>
      <w:bookmarkEnd w:id="682"/>
      <w:r>
        <w:rPr>
          <w:rtl w:val="true"/>
        </w:rPr>
        <w:t>نیة الغسل بعد زوال الجمعة</w:t>
      </w:r>
      <w:bookmarkEnd w:id="683"/>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الشریعتمداری،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بعدالزوال إلی الغروب من یوم الجمعة أن ینوی القربة من غیر تعرّض للأداء والقضاء، کما أنّ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الذی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لو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ترکه إلی الغروب أن یأتی به بعنوان القضاء فی نهار السبت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فی لیله،</w:t>
      </w:r>
    </w:p>
    <w:p>
      <w:pPr>
        <w:pStyle w:val="Heading3"/>
        <w:numPr>
          <w:ilvl w:val="2"/>
          <w:numId w:val="1"/>
        </w:numPr>
        <w:rPr/>
      </w:pPr>
      <w:bookmarkStart w:id="684" w:name="__RefHeading___Toc1764052_2322387425"/>
      <w:bookmarkStart w:id="685" w:name="_Toc259"/>
      <w:bookmarkEnd w:id="684"/>
      <w:r>
        <w:rPr>
          <w:rtl w:val="true"/>
        </w:rPr>
        <w:t>قضاء غسل الجمعة</w:t>
      </w:r>
      <w:bookmarkEnd w:id="68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وقت قضائه غروب یوم السبت، واحتمل بعضهم جواز قضائه إلی آخر الاُسبوع</w:t>
      </w:r>
      <w:r>
        <w:rPr>
          <w:rStyle w:val="FootnoteAnchor"/>
          <w:rtl w:val="true"/>
        </w:rPr>
        <w:footnoteReference w:id="851"/>
      </w:r>
      <w:r>
        <w:rPr>
          <w:rFonts w:ascii="Amiri" w:hAnsi="Amiri" w:eastAsia="Amiri" w:cs="Amiri"/>
          <w:color w:val="111111"/>
          <w:sz w:val="28"/>
          <w:sz w:val="28"/>
          <w:szCs w:val="28"/>
          <w:rtl w:val="true"/>
          <w:lang w:bidi="ar-SA"/>
        </w:rPr>
        <w:t>، لکنّه مشکل</w:t>
      </w:r>
      <w:r>
        <w:rPr>
          <w:rStyle w:val="FootnoteAnchor"/>
          <w:rtl w:val="true"/>
        </w:rPr>
        <w:footnoteReference w:id="852"/>
      </w:r>
      <w:r>
        <w:rPr>
          <w:rFonts w:ascii="IRNazanin" w:hAnsi="IRNazanin" w:eastAsia="IRNazanin"/>
          <w:color w:val="111111"/>
          <w:sz w:val="28"/>
          <w:sz w:val="28"/>
          <w:szCs w:val="28"/>
          <w:rtl w:val="true"/>
          <w:lang w:bidi="fa-IR"/>
        </w:rPr>
        <w:t>، نعم، لابأس به لا بقصد الورود، بل برجاء المطلوبیّة؛ لعدم الدلیل علیه، إلاّ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الغیر معلوم </w:t>
      </w:r>
      <w:bookmarkStart w:id="686" w:name="pg13276_136783"/>
    </w:p>
    <w:p>
      <w:pPr>
        <w:pStyle w:val="BookText"/>
        <w:rPr/>
      </w:pPr>
      <w:bookmarkEnd w:id="686"/>
      <w:r>
        <w:rPr>
          <w:rFonts w:ascii="IRNazanin" w:hAnsi="IRNazanin" w:eastAsia="IRNazanin"/>
          <w:color w:val="111111"/>
          <w:sz w:val="28"/>
          <w:sz w:val="28"/>
          <w:szCs w:val="28"/>
          <w:rtl w:val="true"/>
          <w:lang w:bidi="fa-IR"/>
        </w:rPr>
        <w:t>کونه</w:t>
      </w:r>
      <w:r>
        <w:rPr>
          <w:rStyle w:val="FootnoteAnchor"/>
          <w:rtl w:val="true"/>
        </w:rPr>
        <w:footnoteReference w:id="854"/>
      </w:r>
      <w:r>
        <w:rPr>
          <w:rFonts w:ascii="IRNazanin" w:hAnsi="IRNazanin" w:eastAsia="IRNazanin"/>
          <w:color w:val="111111"/>
          <w:sz w:val="28"/>
          <w:sz w:val="28"/>
          <w:szCs w:val="28"/>
          <w:rtl w:val="true"/>
          <w:lang w:bidi="fa-IR"/>
        </w:rPr>
        <w:t xml:space="preserve">منه علیه‌السلام </w:t>
      </w:r>
      <w:r>
        <w:rPr>
          <w:rFonts w:eastAsia="IRNazanin" w:cs="IRNazanin"/>
          <w:color w:val="111111"/>
          <w:sz w:val="28"/>
          <w:szCs w:val="28"/>
          <w:rtl w:val="true"/>
          <w:lang w:bidi="fa-IR"/>
        </w:rPr>
        <w:t>.</w:t>
      </w:r>
    </w:p>
    <w:p>
      <w:pPr>
        <w:pStyle w:val="Heading3"/>
        <w:numPr>
          <w:ilvl w:val="2"/>
          <w:numId w:val="1"/>
        </w:numPr>
        <w:rPr/>
      </w:pPr>
      <w:bookmarkStart w:id="687" w:name="__RefHeading___Toc1764054_2322387425"/>
      <w:bookmarkStart w:id="688" w:name="_Toc260"/>
      <w:bookmarkEnd w:id="687"/>
      <w:r>
        <w:rPr>
          <w:rtl w:val="true"/>
        </w:rPr>
        <w:t>تقدیم غسل الجمعة</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855"/>
      </w:r>
      <w:r>
        <w:rPr>
          <w:rFonts w:ascii="IRNazanin" w:hAnsi="IRNazanin" w:eastAsia="IRNazanin"/>
          <w:color w:val="111111"/>
          <w:sz w:val="28"/>
          <w:sz w:val="28"/>
          <w:szCs w:val="28"/>
          <w:rtl w:val="true"/>
          <w:lang w:bidi="fa-IR"/>
        </w:rPr>
        <w:t>تقدیم غُسل الجمعة یوم الخمیس، بل لیلة الجمعة</w:t>
      </w:r>
      <w:r>
        <w:rPr>
          <w:rStyle w:val="FootnoteAnchor"/>
          <w:rtl w:val="true"/>
        </w:rPr>
        <w:footnoteReference w:id="8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فالأولی إتیانه برجاء المحبوبیّة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مشروعیته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بقصد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به رجاءً، لعدم دلیل علی استحباب إتیانه لیلة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الإتیان بها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به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هاتین الصورتین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إشکال، ولا بأس بالإتیان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بالإتیان به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تقدیمه لیلة الجمعة، نعم، لابأس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غیر صورة العلم بفقدان الماء أو قلّته، وفی غیر یوم الخمیس إشکال، ولا 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 فیهما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إلحاقها بیوم الخمیس وجه وجیه، لکنّ الأولی إتیانه برجاء المحبوبیة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والأولی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خاف إعواز</w:t>
      </w:r>
      <w:bookmarkStart w:id="689" w:name="pg13276_136784"/>
    </w:p>
    <w:p>
      <w:pPr>
        <w:pStyle w:val="BookText"/>
        <w:rPr/>
      </w:pPr>
      <w:bookmarkEnd w:id="689"/>
      <w:r>
        <w:rPr>
          <w:rFonts w:ascii="IRNazanin" w:hAnsi="IRNazanin" w:eastAsia="IRNazanin"/>
          <w:color w:val="111111"/>
          <w:sz w:val="28"/>
          <w:sz w:val="28"/>
          <w:szCs w:val="28"/>
          <w:rtl w:val="true"/>
          <w:lang w:bidi="fa-IR"/>
        </w:rPr>
        <w:t>الماء</w:t>
      </w:r>
      <w:r>
        <w:rPr>
          <w:rStyle w:val="FootnoteAnchor"/>
          <w:rtl w:val="true"/>
        </w:rPr>
        <w:footnoteReference w:id="857"/>
      </w:r>
      <w:r>
        <w:rPr>
          <w:rFonts w:ascii="IRNazanin" w:hAnsi="IRNazanin" w:eastAsia="IRNazanin"/>
          <w:color w:val="111111"/>
          <w:sz w:val="28"/>
          <w:sz w:val="28"/>
          <w:szCs w:val="28"/>
          <w:rtl w:val="true"/>
          <w:lang w:bidi="fa-IR"/>
        </w:rPr>
        <w:t>یومها</w:t>
      </w:r>
      <w:r>
        <w:rPr>
          <w:rStyle w:val="FootnoteAnchor"/>
          <w:rtl w:val="true"/>
        </w:rPr>
        <w:footnoteReference w:id="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تقدیمه لیلة الخمیس فمشکل، نعم، لابأس به مع عدم قصد الورود، لکن احتمل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بعضهم جواز تقدیمه حتّی من أوّل الاُسبوع أیضاً، ولا دلیل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1764056_2322387425"/>
      <w:bookmarkStart w:id="691" w:name="_Toc261"/>
      <w:bookmarkEnd w:id="690"/>
      <w:r>
        <w:rPr>
          <w:rtl w:val="true"/>
        </w:rPr>
        <w:t>فروع فی وقت الجمعة وقضائه</w:t>
      </w:r>
      <w:bookmarkEnd w:id="691"/>
    </w:p>
    <w:p>
      <w:pPr>
        <w:pStyle w:val="BookText"/>
        <w:rPr/>
      </w:pPr>
      <w:r>
        <w:rPr>
          <w:rFonts w:ascii="Amiri" w:hAnsi="Amiri" w:eastAsia="Amiri" w:cs="Amiri"/>
          <w:color w:val="111111"/>
          <w:sz w:val="28"/>
          <w:sz w:val="28"/>
          <w:szCs w:val="28"/>
          <w:rtl w:val="true"/>
          <w:lang w:bidi="ar-SA"/>
        </w:rPr>
        <w:t>وإذا قدّمه یوم الخمیس ثمّ تمکّن منه</w:t>
      </w:r>
      <w:r>
        <w:rPr>
          <w:rStyle w:val="FootnoteAnchor"/>
          <w:rtl w:val="true"/>
        </w:rPr>
        <w:footnoteReference w:id="859"/>
      </w:r>
      <w:r>
        <w:rPr>
          <w:rFonts w:ascii="IRNazanin" w:hAnsi="IRNazanin" w:eastAsia="IRNazanin"/>
          <w:color w:val="111111"/>
          <w:sz w:val="28"/>
          <w:sz w:val="28"/>
          <w:szCs w:val="28"/>
          <w:rtl w:val="true"/>
          <w:lang w:bidi="fa-IR"/>
        </w:rPr>
        <w:t>یوم الجمعة</w:t>
      </w:r>
      <w:r>
        <w:rPr>
          <w:rStyle w:val="FootnoteAnchor"/>
          <w:rtl w:val="true"/>
        </w:rPr>
        <w:footnoteReference w:id="860"/>
      </w:r>
      <w:r>
        <w:rPr>
          <w:rFonts w:ascii="Amiri" w:hAnsi="Amiri" w:eastAsia="Amiri" w:cs="Amiri"/>
          <w:color w:val="111111"/>
          <w:sz w:val="28"/>
          <w:sz w:val="28"/>
          <w:szCs w:val="28"/>
          <w:rtl w:val="true"/>
          <w:lang w:bidi="ar-SA"/>
        </w:rPr>
        <w:t>یستحبّ</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الظهر، وإن أتی به بعده فلیأتِ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یأتی به بقصد الرجاء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الزوال، وأمّا بعده فلا تُستحبّ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الزوال، ولو ترکها أتی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بقصد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الزوال، أمّا بعده فیأتی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شائبة إشکال، لا بأس بإتیانه رجاءً، وإذا ترکه لا بأس بقضائه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به برجاء المطلوبیة، سیّما إذا تمکّن منه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الزوال، وأمّا بعده فرجاءً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ترکه</w:t>
      </w:r>
    </w:p>
    <w:p>
      <w:pPr>
        <w:pStyle w:val="BookText"/>
        <w:rPr/>
      </w:pPr>
      <w:r>
        <w:rPr>
          <w:rFonts w:ascii="Amiri" w:hAnsi="Amiri" w:eastAsia="Amiri" w:cs="Amiri"/>
          <w:color w:val="111111"/>
          <w:sz w:val="28"/>
          <w:sz w:val="28"/>
          <w:szCs w:val="28"/>
          <w:rtl w:val="true"/>
          <w:lang w:bidi="ar-SA"/>
        </w:rPr>
        <w:t>یستحبّ</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قضاوءه یوم السبت، وأمّا إذا لم یتمکّن من أدائه یوم الجمعة فلا یستحبّ قضاوءه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وکذا فیما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یأ تی به بقصد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الزوال یأتی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وفیما بعده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دار الأمر بین التقدیم والقضاء فالأولی اختیار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یقول حین الاغتسال</w:t>
      </w:r>
      <w:r>
        <w:rPr>
          <w:rStyle w:val="FootnoteAnchor"/>
          <w:rtl w:val="true"/>
        </w:rPr>
        <w:footnoteReference w:id="8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وأنّ محمَّداً عبده ورسوله، اللهمّ صلِّ علی محمّد وآل محمّد، واجعلنی من التوّابین، واجعلنی من المتطهّرین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استحباب غُسل الجمعة بین الرجل والمرأة، والحاضر والمسافر، والحرّ والعبد، ومن یصلّی الجمعة ومن یصلّی الظهر، بل الأقوی استحبابه للصبیّ الممیّز</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فی العبد إذن المولی إذا کان منافیاً لحقّه، بل الأحوط مطلقاً</w:t>
      </w:r>
      <w:r>
        <w:rPr>
          <w:rStyle w:val="FootnoteAnchor"/>
          <w:rtl w:val="true"/>
        </w:rPr>
        <w:footnoteReference w:id="8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والأقرب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وبالنسبة إلی الرجال</w:t>
      </w:r>
    </w:p>
    <w:p>
      <w:pPr>
        <w:pStyle w:val="BookText"/>
        <w:rPr/>
      </w:pPr>
      <w:r>
        <w:rPr>
          <w:rFonts w:ascii="IRNazanin" w:hAnsi="IRNazanin" w:eastAsia="IRNazanin"/>
          <w:color w:val="111111"/>
          <w:sz w:val="28"/>
          <w:sz w:val="28"/>
          <w:szCs w:val="28"/>
          <w:rtl w:val="true"/>
          <w:lang w:bidi="fa-IR"/>
        </w:rPr>
        <w:t>آکد</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ترکه للنساء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بعض الأخبار کراهة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بعضها الأمر باستغفار التارک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أمیر الموءمنین علیه‌السلام أ نّه قال علیه‌السلام فی مقام التوبیخ لشخص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لأنت أعجز من تارک الغُسل یوم الجمعة؛ فإنّه لا یزال فی طُهرٍ إلی الجمعة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خوف فوت الغسل یوم الجمعة لا لإعواز الماء، بل لأمرٍ آخر کعدم التمکّن من استعماله، أو لفقد عوض الماءمع وجوده فلا یبعد</w:t>
      </w:r>
      <w:r>
        <w:rPr>
          <w:rStyle w:val="FootnoteAnchor"/>
          <w:rtl w:val="true"/>
        </w:rPr>
        <w:footnoteReference w:id="867"/>
      </w:r>
      <w:r>
        <w:rPr>
          <w:rFonts w:ascii="IRNazanin" w:hAnsi="IRNazanin" w:eastAsia="IRNazanin"/>
          <w:color w:val="111111"/>
          <w:sz w:val="28"/>
          <w:sz w:val="28"/>
          <w:szCs w:val="28"/>
          <w:rtl w:val="true"/>
          <w:lang w:bidi="fa-IR"/>
        </w:rPr>
        <w:t>جواز تقدیمه أیضاً</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الخمیس، وإن کان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محمد رضا الگلپایگانی، الروحانی،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قصد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قصد الخصوصیّة والورود، بل الإتیان به برجاء المطلوبیّة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الغسل یوم الخمیس من جهة خوف إعواز الماء یوم الجمعة فتبیّن فی الأثناء وجوده وتمکّنه منه یومها بطل غُسله،ولا یجوز إتمامه بهذا العنوان، والعدول منه إلی غسلٍ آخر</w:t>
      </w:r>
      <w:r>
        <w:rPr>
          <w:rStyle w:val="FootnoteAnchor"/>
          <w:rtl w:val="true"/>
        </w:rPr>
        <w:footnoteReference w:id="869"/>
      </w:r>
      <w:r>
        <w:rPr>
          <w:rFonts w:ascii="Amiri" w:hAnsi="Amiri" w:eastAsia="Amiri" w:cs="Amiri"/>
          <w:color w:val="111111"/>
          <w:sz w:val="28"/>
          <w:sz w:val="28"/>
          <w:szCs w:val="28"/>
          <w:rtl w:val="true"/>
          <w:lang w:bidi="ar-SA"/>
        </w:rPr>
        <w:t xml:space="preserve"> مستحبّ،إلاّ إذا کان من الأوّل قاصداً للأمرین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إتیانه قریباً من الزوال، وإن کان یجزی من طلوع الفجر إلیه،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القضاء کلّما کان أقرب إلی وقت الأداء کان أفضل، فإتیانه فی صبیحة السبت أولی من إتیانه عند الزوال منه أو بعده، وکذا فی التقدیم، فعصر یوم الخمیس أولی من صبحه، وهکذا، ولا یخلو من وجه</w:t>
      </w:r>
      <w:r>
        <w:rPr>
          <w:rStyle w:val="FootnoteAnchor"/>
          <w:rtl w:val="true"/>
        </w:rPr>
        <w:footnoteReference w:id="871"/>
      </w:r>
      <w:r>
        <w:rPr>
          <w:rFonts w:ascii="IRNazanin" w:hAnsi="IRNazanin" w:eastAsia="IRNazanin"/>
          <w:color w:val="111111"/>
          <w:sz w:val="28"/>
          <w:sz w:val="28"/>
          <w:szCs w:val="28"/>
          <w:rtl w:val="true"/>
          <w:lang w:bidi="fa-IR"/>
        </w:rPr>
        <w:t>، وإن لم یکن واضحاً</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أفضلیة ما بعد الزوال من یوم الجمعة من یوم السبت فلا إشکال فیه</w:t>
      </w:r>
      <w:r>
        <w:rPr>
          <w:rStyle w:val="FootnoteAnchor"/>
          <w:rtl w:val="true"/>
        </w:rPr>
        <w:footnoteReference w:id="873"/>
      </w:r>
      <w:r>
        <w:rPr>
          <w:rFonts w:ascii="IRNazanin" w:hAnsi="IRNazanin" w:eastAsia="IRNazanin"/>
          <w:color w:val="111111"/>
          <w:sz w:val="28"/>
          <w:sz w:val="28"/>
          <w:szCs w:val="28"/>
          <w:rtl w:val="true"/>
          <w:lang w:bidi="fa-IR"/>
        </w:rPr>
        <w:t>، وإن قلنا بکونه قضاءً</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والأحوط أن ینوی به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الأحوط الإتیان به بقصد الرجاء، لا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هو الأقوی</w:t>
      </w:r>
      <w:r>
        <w:rPr>
          <w:rStyle w:val="FootnoteAnchor"/>
          <w:rtl w:val="true"/>
        </w:rPr>
        <w:footnoteReference w:id="8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الإتیان به بقصد القربة المطلقة من دون تعرّض للأداء أوالقضاء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الأقرب کونه أداءً إلی الغروب من یوم الجمعة،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غُسل الجمعة وجب علیه</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 هو الوفاء بالنذر، لا عنوان غسل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ترکه عمداً تجب الکفّارة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وکذا فیما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ولا سیّما فی فرض السهو، أو عدم التمکّن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السبت، وکذا إذا ترکه سهواً،</w:t>
      </w:r>
    </w:p>
    <w:p>
      <w:pPr>
        <w:pStyle w:val="BookText"/>
        <w:rPr/>
      </w:pPr>
      <w:r>
        <w:rPr>
          <w:rFonts w:ascii="IRNazanin" w:hAnsi="IRNazanin" w:eastAsia="IRNazanin"/>
          <w:color w:val="111111"/>
          <w:sz w:val="28"/>
          <w:sz w:val="28"/>
          <w:szCs w:val="28"/>
          <w:rtl w:val="true"/>
          <w:lang w:bidi="fa-IR"/>
        </w:rPr>
        <w:t>أو لعدم التمکّن منه فإنّ الأحوط قضاوءه</w:t>
      </w:r>
      <w:r>
        <w:rPr>
          <w:rStyle w:val="FootnoteAnchor"/>
          <w:rtl w:val="true"/>
        </w:rPr>
        <w:footnoteReference w:id="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الوجوب؛ لعدم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الکفّارة فلا تجب إلاّ مع التعمّد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بتخیّل یوم الخمیس بعنوان التقدیم، أو بتخیّل یوم السبت بعنوان القضاء فتبیّن کونه یوم الجمعة فلا یبعد الصحّة</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الصحّة إشکال، وکذا فی اشتباه الجمعة بغیر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نظره أنّه لو کان فی الواقع یوم الجمعة لم یقصد الامتثال، فحینئذٍ یبطل من جهة عدم وجود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قصد الأمر الواقعیّ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معیار الصحّة فی جمیع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حینئذٍ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الصحّة فی هذا الفرض، وکذا لا إشکال فی الصحّة إذا قصد الأمر الواقعی فی الصورة الآتیة، وللصحّة وجه فیما عدا هذین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إشکال فی الصحّة حینئذٍ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الاشتباه فی التطبیق، وکذا إذا اغتسل بقصد یوم الجمعة فتبیّن کونه یوم الخمیس مع خوف الإعواز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قصد غسلاً آخر غیر غسل الجمعة، أو قصد الجمعة فتبیّن کونه مأموراً لغسل آخر ففی الصحّة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إلاّ فی الصورة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الغسل مستحبا نفسیا فلا إشکال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فی غیر مورد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قصد</w:t>
      </w:r>
    </w:p>
    <w:p>
      <w:pPr>
        <w:pStyle w:val="BookText"/>
        <w:rPr/>
      </w:pPr>
      <w:r>
        <w:rPr>
          <w:rFonts w:ascii="IRNazanin" w:hAnsi="IRNazanin" w:eastAsia="IRNazanin"/>
          <w:color w:val="111111"/>
          <w:sz w:val="28"/>
          <w:sz w:val="28"/>
          <w:szCs w:val="28"/>
          <w:rtl w:val="true"/>
          <w:lang w:bidi="fa-IR"/>
        </w:rPr>
        <w:t>الأمر</w:t>
      </w:r>
      <w:r>
        <w:rPr>
          <w:rStyle w:val="FootnoteAnchor"/>
          <w:rtl w:val="true"/>
        </w:rPr>
        <w:footnoteReference w:id="879"/>
      </w:r>
      <w:r>
        <w:rPr>
          <w:rFonts w:ascii="IRNazanin" w:hAnsi="IRNazanin" w:eastAsia="IRNazanin"/>
          <w:color w:val="111111"/>
          <w:sz w:val="28"/>
          <w:sz w:val="28"/>
          <w:szCs w:val="28"/>
          <w:rtl w:val="true"/>
          <w:lang w:bidi="fa-IR"/>
        </w:rPr>
        <w:t>الفعلی الواقعیّ</w:t>
      </w:r>
      <w:r>
        <w:rPr>
          <w:rStyle w:val="FootnoteAnchor"/>
          <w:rtl w:val="true"/>
        </w:rPr>
        <w:footnoteReference w:id="880"/>
      </w:r>
      <w:r>
        <w:rPr>
          <w:rFonts w:ascii="IRNazanin" w:hAnsi="IRNazanin" w:eastAsia="IRNazanin"/>
          <w:color w:val="111111"/>
          <w:sz w:val="28"/>
          <w:sz w:val="28"/>
          <w:szCs w:val="28"/>
          <w:rtl w:val="true"/>
          <w:lang w:bidi="fa-IR"/>
        </w:rPr>
        <w:t>وکان الاشتباه فی التطبیق</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لا یُنقَض</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بالنسبة إلی استحباب إیقاع صلاة الجمعة ینقض هذا، ولا ینقض أصل استحباب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بالنسبة إلی الأعمال المشروطة بالطهارة ینقض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الأصغر والأکبر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المقصود إیجاده یوم الجمعة وقد حصل</w:t>
      </w:r>
      <w:r>
        <w:rPr>
          <w:rFonts w:eastAsia="IRNazanin" w:cs="IRNazanin"/>
          <w:color w:val="111111"/>
          <w:sz w:val="28"/>
          <w:szCs w:val="28"/>
          <w:rtl w:val="true"/>
          <w:lang w:bidi="fa-IR"/>
        </w:rPr>
        <w:t>.</w:t>
      </w:r>
      <w:bookmarkStart w:id="692" w:name="pg13276_136791"/>
    </w:p>
    <w:p>
      <w:pPr>
        <w:pStyle w:val="Heading3"/>
        <w:numPr>
          <w:ilvl w:val="2"/>
          <w:numId w:val="1"/>
        </w:numPr>
        <w:rPr/>
      </w:pPr>
      <w:bookmarkStart w:id="693" w:name="__RefHeading___Toc1764058_2322387425"/>
      <w:bookmarkStart w:id="694" w:name="_Toc262"/>
      <w:bookmarkEnd w:id="692"/>
      <w:bookmarkEnd w:id="693"/>
      <w:r>
        <w:rPr>
          <w:rtl w:val="true"/>
        </w:rPr>
        <w:t>صحة غسل الجمعة من الجنب والحائض</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صحّة غسل الجمعة</w:t>
      </w:r>
      <w:r>
        <w:rPr>
          <w:rStyle w:val="FootnoteAnchor"/>
          <w:rtl w:val="true"/>
        </w:rPr>
        <w:footnoteReference w:id="883"/>
      </w:r>
      <w:r>
        <w:rPr>
          <w:rFonts w:ascii="IRNazanin" w:hAnsi="IRNazanin" w:eastAsia="IRNazanin"/>
          <w:color w:val="111111"/>
          <w:sz w:val="28"/>
          <w:sz w:val="28"/>
          <w:szCs w:val="28"/>
          <w:rtl w:val="true"/>
          <w:lang w:bidi="fa-IR"/>
        </w:rPr>
        <w:t>من الجنب والحائض</w:t>
      </w:r>
      <w:r>
        <w:rPr>
          <w:rStyle w:val="FootnoteAnchor"/>
          <w:rtl w:val="true"/>
        </w:rPr>
        <w:footnoteReference w:id="8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یرفع حدث الجنابة، کما یرفع حدث الحیض بعد انقطاع الدم، أمّا مع وجود الدم فلا معنی له، إلاّ جواز أو استحباب هذه الأعمال، کاستحباب وضوء الحائض وجلوسها فی مصلاّها، والحقّ عندنا أن طبیعة الغسل من حیث هی رافعة مطلقاً، فإن أصابت حدثاً أصغر أو أکبر رفعته قهراً، مستحبّاً کان الغسل أو واجباً، وإن لم تصب فی المحلّ حدثاً زادته طهارة؛ فإنّ الطهارة المعنویة کالنور قابلة للشدّة والضعف، فاغتنم هذه الفائدة فإنّها من مبتکراتنا، وللّه المنّة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النقاء، وأمّا قبله فصحّته منها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إجزاوءه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وإن وردت به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الگلبایگانی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کما مرّ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سیّما إذا کان غافلاً عنهما، أو ناسیاً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بل الظاهر عدم الإجزاء، خصوصاً إذا کان ناسیاً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وإن لم یقصدهما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الإجزاء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إلاّ إذا قصد عنوانین، وهو خارج عن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فی المسألة الخامسة عشرة والمسألة السادسة عشرة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نوی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إجزائه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غُسل</w:t>
      </w:r>
      <w:bookmarkStart w:id="695" w:name="pg13276_136792"/>
    </w:p>
    <w:p>
      <w:pPr>
        <w:pStyle w:val="BookText"/>
        <w:rPr/>
      </w:pPr>
      <w:bookmarkEnd w:id="695"/>
      <w:r>
        <w:rPr>
          <w:rFonts w:ascii="Amiri" w:hAnsi="Amiri" w:eastAsia="Amiri" w:cs="Amiri"/>
          <w:color w:val="111111"/>
          <w:sz w:val="28"/>
          <w:sz w:val="28"/>
          <w:szCs w:val="28"/>
          <w:rtl w:val="true"/>
          <w:lang w:bidi="ar-SA"/>
        </w:rPr>
        <w:t>الجنابة</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عن غُسل الحیض إذا کان بعد انقطاع الدم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یجزئ غُسل عن غیره مطلقاً إلاّ الجنابة،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إجزائه عنهما،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764060_2322387425"/>
      <w:bookmarkStart w:id="697" w:name="_Toc263"/>
      <w:bookmarkEnd w:id="696"/>
      <w:r>
        <w:rPr>
          <w:rtl w:val="true"/>
        </w:rPr>
        <w:t>التیمم بدل غسل الجمعة</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الغُسل لفقد الماء أو غیره یصحّ</w:t>
      </w:r>
      <w:r>
        <w:rPr>
          <w:rStyle w:val="FootnoteAnchor"/>
          <w:rtl w:val="true"/>
        </w:rPr>
        <w:footnoteReference w:id="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ویؤتی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ولا 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عن نظر وتأمّل، والأحوط أن یأتی به برجاء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ولا بأس بإتیانه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والأولی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 . . . . .</w:t>
      </w:r>
      <w:bookmarkStart w:id="698" w:name="pg13276_136793"/>
    </w:p>
    <w:p>
      <w:pPr>
        <w:pStyle w:val="Heading3"/>
        <w:numPr>
          <w:ilvl w:val="2"/>
          <w:numId w:val="1"/>
        </w:numPr>
        <w:rPr/>
      </w:pPr>
      <w:bookmarkStart w:id="699" w:name="__RefHeading___Toc1764062_2322387425"/>
      <w:bookmarkStart w:id="700" w:name="_Toc264"/>
      <w:bookmarkEnd w:id="698"/>
      <w:bookmarkEnd w:id="699"/>
      <w:r>
        <w:rPr>
          <w:rtl w:val="true"/>
        </w:rPr>
        <w:t>أغسال لیالی شهر رمضان</w:t>
      </w:r>
      <w:bookmarkEnd w:id="700"/>
    </w:p>
    <w:p>
      <w:pPr>
        <w:pStyle w:val="BookText"/>
        <w:rPr/>
      </w:pPr>
      <w:r>
        <w:rPr>
          <w:rFonts w:ascii="IRNazanin" w:hAnsi="IRNazanin" w:eastAsia="IRNazanin"/>
          <w:color w:val="111111"/>
          <w:sz w:val="28"/>
          <w:sz w:val="28"/>
          <w:szCs w:val="28"/>
          <w:rtl w:val="true"/>
          <w:lang w:bidi="fa-IR"/>
        </w:rPr>
        <w:t>ویجزئ</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بدلیّة التیمّم عن الوضوءات والأغسال غیر الرافعة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بالإتیان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ویأتی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واجداً للماء بقدر الوضوء فالأقوی عدم إجزائه عن الوضوء فیما یشترط فیه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بالإتیان به رجاءً، وإن لم تثبت البدلیّة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تمکّن من الغسل قبل خروج الوقت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لهذا الاحتیاط بعد البناء علی صحة التیمّم عند فقد الماء وغیره، کما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الاغتسال لإدراک المستحبّ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رجاءً لدرک المستحبّ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من الأغسال 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أغسال لیالی شهر رمضان</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الثابت استحبابه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اللیلة الأولی، ولیلة السابع عشر، والتاسع عشر والحادی والعشرین، والثالث والعشرین، والرابع والعشرین،فیؤتی بغیرها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یستحبّ</w:t>
      </w:r>
      <w:r>
        <w:rPr>
          <w:rStyle w:val="FootnoteAnchor"/>
          <w:rtl w:val="true"/>
        </w:rPr>
        <w:footnoteReference w:id="889"/>
      </w:r>
      <w:r>
        <w:rPr>
          <w:rFonts w:ascii="IRNazanin" w:hAnsi="IRNazanin" w:eastAsia="IRNazanin"/>
          <w:color w:val="111111"/>
          <w:sz w:val="28"/>
          <w:sz w:val="28"/>
          <w:szCs w:val="28"/>
          <w:rtl w:val="true"/>
          <w:lang w:bidi="fa-IR"/>
        </w:rPr>
        <w:t>الغُسل فی لیالی الأفراد من شهر رمضان</w:t>
      </w:r>
      <w:r>
        <w:rPr>
          <w:rStyle w:val="FootnoteAnchor"/>
          <w:rtl w:val="true"/>
        </w:rPr>
        <w:footnoteReference w:id="890"/>
      </w:r>
      <w:r>
        <w:rPr>
          <w:rFonts w:ascii="IRNazanin" w:hAnsi="IRNazanin" w:eastAsia="IRNazanin"/>
          <w:color w:val="111111"/>
          <w:sz w:val="28"/>
          <w:sz w:val="28"/>
          <w:szCs w:val="28"/>
          <w:rtl w:val="true"/>
          <w:lang w:bidi="fa-IR"/>
        </w:rPr>
        <w:t>، وتمام لیالی العشر الأخیرة، ویستحبّ فی لیلة الثالث والعشرین غُسل آخر فی آخر اللیل، وأیضاً یستحبّ الغُسل فی الیوم الأوّل منه</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أعثر علی دلیله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فعلی هذا، الأغسال المستحبّة فیه اثنان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باستحباب الغُسل فی جمیع لیالیه حتّی لیالی الأزواج، وعلیه یصیر اثنان وثلاثون، ولکن لا دلیل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المرسلة المحکیّة ظاهرة فی معنی آخر، فلیراجع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الإتیان لاحتمال المطلوبیّة فی لیالی الأزواج من العشرین الاُولیین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والآکد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واللیلة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ولیلة النصف، ولیلة السابع عشر، والخامس والعشرین، والسابع والعشرین، والتاسع والعشرین منه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الغُسل فی اللیلة الاُولی والیوم الأوّل</w:t>
      </w:r>
      <w:r>
        <w:rPr>
          <w:rStyle w:val="FootnoteAnchor"/>
          <w:rtl w:val="true"/>
        </w:rPr>
        <w:footnoteReference w:id="892"/>
      </w:r>
      <w:r>
        <w:rPr>
          <w:rFonts w:ascii="IRNazanin" w:hAnsi="IRNazanin" w:eastAsia="IRNazanin"/>
          <w:color w:val="111111"/>
          <w:sz w:val="28"/>
          <w:sz w:val="28"/>
          <w:szCs w:val="28"/>
          <w:rtl w:val="true"/>
          <w:lang w:bidi="fa-IR"/>
        </w:rPr>
        <w:t xml:space="preserve">من شهر رمضان فی الماء </w:t>
      </w:r>
    </w:p>
    <w:p>
      <w:pPr>
        <w:pStyle w:val="BookText"/>
        <w:rPr/>
      </w:pPr>
      <w:r>
        <w:rPr>
          <w:rFonts w:ascii="IRNazanin" w:hAnsi="IRNazanin" w:eastAsia="IRNazanin"/>
          <w:color w:val="111111"/>
          <w:sz w:val="28"/>
          <w:sz w:val="28"/>
          <w:szCs w:val="28"/>
          <w:rtl w:val="true"/>
          <w:lang w:bidi="fa-IR"/>
        </w:rPr>
        <w:t>الجاری</w:t>
      </w:r>
      <w:r>
        <w:rPr>
          <w:rStyle w:val="FootnoteAnchor"/>
          <w:rtl w:val="true"/>
        </w:rPr>
        <w:footnoteReference w:id="893"/>
      </w:r>
      <w:r>
        <w:rPr>
          <w:rFonts w:ascii="IRNazanin" w:hAnsi="IRNazanin" w:eastAsia="IRNazanin"/>
          <w:color w:val="111111"/>
          <w:sz w:val="28"/>
          <w:sz w:val="28"/>
          <w:szCs w:val="28"/>
          <w:rtl w:val="true"/>
          <w:lang w:bidi="fa-IR"/>
        </w:rPr>
        <w:t>، کما أ نّه یستحبّ أن یصبّ علی رأسه قبل الغُسل أو بعده ثلاثین کفّاً من الماء لیأمن من حکّة البدن</w:t>
      </w:r>
      <w:r>
        <w:rPr>
          <w:rStyle w:val="FootnoteAnchor"/>
          <w:rtl w:val="true"/>
        </w:rPr>
        <w:footnoteReference w:id="894"/>
      </w:r>
      <w:r>
        <w:rPr>
          <w:rFonts w:ascii="IRNazanin" w:hAnsi="IRNazanin" w:eastAsia="IRNazanin"/>
          <w:color w:val="111111"/>
          <w:sz w:val="28"/>
          <w:sz w:val="28"/>
          <w:szCs w:val="28"/>
          <w:rtl w:val="true"/>
          <w:lang w:bidi="fa-IR"/>
        </w:rPr>
        <w:t>، ولکن لادخل لهذا العمل بالغسل، بل هو مستحبّ مستقلّ</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اللیالی تمام اللیل، وإن کان الأولی</w:t>
      </w:r>
      <w:r>
        <w:rPr>
          <w:rStyle w:val="FootnoteAnchor"/>
          <w:rtl w:val="true"/>
        </w:rPr>
        <w:footnoteReference w:id="896"/>
      </w:r>
      <w:r>
        <w:rPr>
          <w:rFonts w:ascii="IRNazanin" w:hAnsi="IRNazanin" w:eastAsia="IRNazanin"/>
          <w:color w:val="111111"/>
          <w:sz w:val="28"/>
          <w:sz w:val="28"/>
          <w:szCs w:val="28"/>
          <w:rtl w:val="true"/>
          <w:lang w:bidi="fa-IR"/>
        </w:rPr>
        <w:t>إتیانها أوّل اللیل، بل الأولی إتیانها</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غروب الشمس قبیله، کما مرّ فی 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وجه للأولویة، بل للمشروعیة قبل الغروب، بل مع المقارنة الحقیقیة بعد عدم النصّ، وعدم صدق عنوان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الغروب</w:t>
      </w:r>
      <w:r>
        <w:rPr>
          <w:rStyle w:val="FootnoteAnchor"/>
          <w:rtl w:val="true"/>
        </w:rPr>
        <w:footnoteReference w:id="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قبیل الغروب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أومقارناً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لیکون علی غسل من أوّل اللیل إلی آخره، نعم، لا یبعد فی اللیالی العشر الأخیرة رجحان إتیانها بین المغرب والعشاء؛ لما نُقل من فعل النبیّ صلی‌الله‌علیه‌و‌آله ، وقد مرّ أنّ الغُسل الثانی فی اللیلة الثالثة والعشرین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الغُسل الأوّل فی اللیلة الثالثة والعشرین فی أوّل اللیل لا یبعد کفایة الغُسل الثانی</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الأولی إتیانهما آخر اللیل برجاء المطلوبیّة، خصوصاً مع الفصل بینهما، ویجوز إتیان غُسل واحد بعنوان التداخل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وقصد الأمرین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w:t>
      </w:r>
      <w:r>
        <w:rPr>
          <w:rStyle w:val="FootnoteAnchor"/>
          <w:rtl w:val="true"/>
        </w:rPr>
        <w:footnoteReference w:id="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وإن لا تشرع إعادتها بعد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الأغسال أیضاً بالحدث الأصغر والأکبر، کما فی غُسل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حکم غُسل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3276_136797"/>
    </w:p>
    <w:p>
      <w:pPr>
        <w:pStyle w:val="Heading3"/>
        <w:numPr>
          <w:ilvl w:val="2"/>
          <w:numId w:val="1"/>
        </w:numPr>
        <w:rPr/>
      </w:pPr>
      <w:bookmarkStart w:id="702" w:name="__RefHeading___Toc1764064_2322387425"/>
      <w:bookmarkStart w:id="703" w:name="_Toc265"/>
      <w:bookmarkEnd w:id="701"/>
      <w:bookmarkEnd w:id="702"/>
      <w:r>
        <w:rPr>
          <w:rtl w:val="true"/>
        </w:rPr>
        <w:t>غُسل یومی العیدین ووقته</w:t>
      </w:r>
      <w:bookmarkEnd w:id="70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یومَی العیدَین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 السنن الموءکّدة، حتّی أ نّه ورد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لو نَسی غُسل یوم العید حتّی صلّی إن کان فی وقتٍ فعلیه أن یغتسل ویُعید الصلاة، وإن مضی الوقت فقد جازت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عن غسل الأضحی؟،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إلاّ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منزَّل علی تأکّد الاستحباب؛ لصراحة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الفجر إلی الزوال، ویحتمل إلی الغروب</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والأولی عدم نیّة الورود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أتی به بعد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أنّ الأولی إتیانه قبل صلاة العید؛ لتکون مع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فی غسل عید الفطر أن یکون فی نهر، ومع عدمه أن یباشر بنفسه الاستقاء بتخشّع، وأن یغتسل تحت الظلال أو تحت حائط، ویبالغ فی التستّر، وأن یقول عند إرادته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إیماناً بک،</w:t>
      </w:r>
      <w:bookmarkStart w:id="704" w:name="pg13276_136798"/>
    </w:p>
    <w:p>
      <w:pPr>
        <w:pStyle w:val="BookText"/>
        <w:rPr/>
      </w:pPr>
      <w:bookmarkEnd w:id="704"/>
      <w:r>
        <w:rPr>
          <w:rFonts w:ascii="Amiri" w:hAnsi="Amiri" w:eastAsia="Amiri" w:cs="Amiri"/>
          <w:color w:val="111111"/>
          <w:sz w:val="28"/>
          <w:sz w:val="28"/>
          <w:szCs w:val="28"/>
          <w:rtl w:val="true"/>
          <w:lang w:bidi="ar-SA"/>
        </w:rPr>
        <w:t>وتصدیقاً بکتابک، واتّباعَ سنّة نبیّک</w:t>
      </w:r>
      <w:r>
        <w:rPr>
          <w:rStyle w:val="FootnoteAnchor"/>
          <w:rtl w:val="true"/>
        </w:rPr>
        <w:footnoteReference w:id="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أن یزید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لذکره فی بعض کتب الآداب والسُنَن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ویغتسل، ویقول بعد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کفّارةً لذنوبی، وطهوراً لِدینی، اللهمّ أذهِب عنّی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والأولی إعمال هذه الآداب فی غُسل یوم الأضحی أیضاً، لکن لابقصد الورود؛ لاختصاص النصّ بالفطر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وکذا یستحبّ</w:t>
      </w:r>
      <w:r>
        <w:rPr>
          <w:rStyle w:val="FootnoteAnchor"/>
          <w:rtl w:val="true"/>
        </w:rPr>
        <w:footnoteReference w:id="903"/>
      </w:r>
      <w:r>
        <w:rPr>
          <w:rFonts w:ascii="IRNazanin" w:hAnsi="IRNazanin" w:eastAsia="IRNazanin"/>
          <w:color w:val="111111"/>
          <w:sz w:val="28"/>
          <w:sz w:val="28"/>
          <w:szCs w:val="28"/>
          <w:rtl w:val="true"/>
          <w:lang w:bidi="fa-IR"/>
        </w:rPr>
        <w:t>الغُسل فی لیلة الفطر</w:t>
      </w:r>
      <w:r>
        <w:rPr>
          <w:rStyle w:val="FootnoteAnchor"/>
          <w:rtl w:val="true"/>
        </w:rPr>
        <w:footnoteReference w:id="904"/>
      </w:r>
      <w:r>
        <w:rPr>
          <w:rFonts w:ascii="IRNazanin" w:hAnsi="IRNazanin" w:eastAsia="IRNazanin"/>
          <w:color w:val="111111"/>
          <w:sz w:val="28"/>
          <w:sz w:val="28"/>
          <w:szCs w:val="28"/>
          <w:rtl w:val="true"/>
          <w:lang w:bidi="fa-IR"/>
        </w:rPr>
        <w:t>، ووقته من أوّلها إلی الفجر، والأولی</w:t>
      </w:r>
      <w:r>
        <w:rPr>
          <w:rStyle w:val="FootnoteAnchor"/>
          <w:rtl w:val="true"/>
        </w:rPr>
        <w:footnoteReference w:id="905"/>
      </w:r>
      <w:r>
        <w:rPr>
          <w:rFonts w:ascii="IRNazanin" w:hAnsi="IRNazanin" w:eastAsia="IRNazanin"/>
          <w:color w:val="111111"/>
          <w:sz w:val="28"/>
          <w:sz w:val="28"/>
          <w:szCs w:val="28"/>
          <w:rtl w:val="true"/>
          <w:lang w:bidi="fa-IR"/>
        </w:rPr>
        <w:t>إتیانه أوّل اللیل، 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غربت الشمس فاغتسل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إتیانه لیلة الأضحی أیضاً، لا بقصد الورود؛ لاختصاص النصّ بلیلة الفطر</w:t>
      </w:r>
      <w:r>
        <w:rPr>
          <w:rFonts w:eastAsia="IRNazanin" w:cs="IRNazanin"/>
          <w:color w:val="111111"/>
          <w:sz w:val="28"/>
          <w:szCs w:val="28"/>
          <w:rtl w:val="true"/>
          <w:lang w:bidi="fa-IR"/>
        </w:rPr>
        <w:t>.</w:t>
      </w:r>
    </w:p>
    <w:p>
      <w:pPr>
        <w:pStyle w:val="Heading3"/>
        <w:numPr>
          <w:ilvl w:val="2"/>
          <w:numId w:val="1"/>
        </w:numPr>
        <w:rPr/>
      </w:pPr>
      <w:bookmarkStart w:id="705" w:name="__RefHeading___Toc1764066_2322387425"/>
      <w:bookmarkStart w:id="706" w:name="_Toc266"/>
      <w:bookmarkEnd w:id="705"/>
      <w:r>
        <w:rPr>
          <w:rtl w:val="true"/>
        </w:rPr>
        <w:t>غسل یوم الترویة</w:t>
      </w:r>
      <w:bookmarkEnd w:id="70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الثامن من ذی الحجّة، ووقته تمام الیوم</w:t>
      </w:r>
      <w:r>
        <w:rPr>
          <w:rFonts w:eastAsia="IRNazanin" w:cs="IRNazanin"/>
          <w:color w:val="111111"/>
          <w:sz w:val="28"/>
          <w:szCs w:val="28"/>
          <w:rtl w:val="true"/>
          <w:lang w:bidi="fa-IR"/>
        </w:rPr>
        <w:t>.</w:t>
      </w:r>
    </w:p>
    <w:p>
      <w:pPr>
        <w:pStyle w:val="Heading3"/>
        <w:numPr>
          <w:ilvl w:val="2"/>
          <w:numId w:val="1"/>
        </w:numPr>
        <w:rPr/>
      </w:pPr>
      <w:bookmarkStart w:id="707" w:name="__RefHeading___Toc1764068_2322387425"/>
      <w:bookmarkStart w:id="708" w:name="_Toc267"/>
      <w:bookmarkEnd w:id="707"/>
      <w:r>
        <w:rPr>
          <w:rtl w:val="true"/>
        </w:rPr>
        <w:t>غسل یوم عرفة</w:t>
      </w:r>
      <w:bookmarkEnd w:id="70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ممتدّ إلی الغروب، والأولی عند الزوال منه، ولا فرق فیه بین مَن کان فی عرفات أو سائر البلدان</w:t>
      </w:r>
      <w:r>
        <w:rPr>
          <w:rFonts w:eastAsia="IRNazanin" w:cs="IRNazanin"/>
          <w:color w:val="111111"/>
          <w:sz w:val="28"/>
          <w:szCs w:val="28"/>
          <w:rtl w:val="true"/>
          <w:lang w:bidi="fa-IR"/>
        </w:rPr>
        <w:t>.</w:t>
      </w:r>
    </w:p>
    <w:p>
      <w:pPr>
        <w:pStyle w:val="Heading3"/>
        <w:numPr>
          <w:ilvl w:val="2"/>
          <w:numId w:val="1"/>
        </w:numPr>
        <w:rPr/>
      </w:pPr>
      <w:bookmarkStart w:id="709" w:name="__RefHeading___Toc1764070_2322387425"/>
      <w:bookmarkStart w:id="710" w:name="_Toc268"/>
      <w:bookmarkEnd w:id="709"/>
      <w:r>
        <w:rPr>
          <w:rtl w:val="true"/>
        </w:rPr>
        <w:t>غسل أیام من رجب</w:t>
      </w:r>
      <w:bookmarkEnd w:id="71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Style w:val="FootnoteAnchor"/>
          <w:rtl w:val="true"/>
        </w:rPr>
        <w:footnoteReference w:id="906"/>
      </w:r>
      <w:r>
        <w:rPr>
          <w:rFonts w:ascii="Amiri" w:hAnsi="Amiri" w:eastAsia="Amiri" w:cs="Amiri"/>
          <w:color w:val="111111"/>
          <w:sz w:val="28"/>
          <w:sz w:val="28"/>
          <w:szCs w:val="28"/>
          <w:rtl w:val="true"/>
          <w:lang w:bidi="ar-SA"/>
        </w:rPr>
        <w:t>أیّام من رجب</w:t>
      </w:r>
      <w:r>
        <w:rPr>
          <w:rStyle w:val="FootnoteAnchor"/>
          <w:rtl w:val="true"/>
        </w:rPr>
        <w:footnoteReference w:id="9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بهذه الأغسال وما بعدها إلی الرابع عشر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أوّله ووسطه وآخره، ویوم</w:t>
      </w:r>
      <w:bookmarkStart w:id="711" w:name="pg13276_136799"/>
    </w:p>
    <w:p>
      <w:pPr>
        <w:pStyle w:val="BookText"/>
        <w:rPr/>
      </w:pPr>
      <w:bookmarkEnd w:id="711"/>
      <w:r>
        <w:rPr>
          <w:rFonts w:ascii="IRNazanin" w:hAnsi="IRNazanin" w:eastAsia="IRNazanin"/>
          <w:color w:val="111111"/>
          <w:sz w:val="28"/>
          <w:sz w:val="28"/>
          <w:szCs w:val="28"/>
          <w:rtl w:val="true"/>
          <w:lang w:bidi="fa-IR"/>
        </w:rPr>
        <w:t>السابع والعشرین منه، وهو یوم المبعث</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بالغسل فی یوم المبعث وفی لیلته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یرد فیه نصّ بالخصوص، ویمکن الاستفادة من الأخبار الواردة فی الأعیاد استحبابه لکلّ عیدٍ ومن طریق الفحوی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ووقتها من الفجر إلی الغروب، وعن الکفعمی والمجلسی استحبابه فی لیلة المبعث أیضاً، ولا بأس به لا بقصد الورود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764072_2322387425"/>
      <w:bookmarkStart w:id="713" w:name="_Toc269"/>
      <w:bookmarkEnd w:id="712"/>
      <w:r>
        <w:rPr>
          <w:rtl w:val="true"/>
        </w:rPr>
        <w:t>غسل یوم الغدیر</w:t>
      </w:r>
      <w:bookmarkEnd w:id="713"/>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الغدیر</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إتیانه قبل الزوال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بنصف ساعة، أو فی صدر النهار، وإلاّ فبقصد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3276_136800"/>
    </w:p>
    <w:p>
      <w:pPr>
        <w:pStyle w:val="Heading3"/>
        <w:numPr>
          <w:ilvl w:val="2"/>
          <w:numId w:val="1"/>
        </w:numPr>
        <w:rPr/>
      </w:pPr>
      <w:bookmarkStart w:id="715" w:name="__RefHeading___Toc1764074_2322387425"/>
      <w:bookmarkStart w:id="716" w:name="_Toc270"/>
      <w:bookmarkEnd w:id="714"/>
      <w:bookmarkEnd w:id="715"/>
      <w:r>
        <w:rPr>
          <w:rtl w:val="true"/>
        </w:rPr>
        <w:t>غسل یوم المباهلة</w:t>
      </w:r>
      <w:bookmarkEnd w:id="716"/>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المباهلة</w:t>
      </w:r>
      <w:r>
        <w:rPr>
          <w:rStyle w:val="FootnoteAnchor"/>
          <w:rtl w:val="true"/>
        </w:rPr>
        <w:footnoteReference w:id="9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هذا الغسل غسل فعلی للمباهلة، مثل غُسل الاستخارة، لا غسل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الرابع والعشرون من ذی الحجّة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الاقوائیة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یوم الحادی والعشرین،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الخامس والعشرین،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السابع والعشرون منه، ولا بأس بالغُسل فی هذه الأیام لا بقصد الورود</w:t>
      </w:r>
      <w:r>
        <w:rPr>
          <w:rFonts w:eastAsia="IRNazanin" w:cs="IRNazanin"/>
          <w:color w:val="111111"/>
          <w:sz w:val="28"/>
          <w:szCs w:val="28"/>
          <w:rtl w:val="true"/>
          <w:lang w:bidi="fa-IR"/>
        </w:rPr>
        <w:t>.</w:t>
      </w:r>
    </w:p>
    <w:p>
      <w:pPr>
        <w:pStyle w:val="Heading3"/>
        <w:numPr>
          <w:ilvl w:val="2"/>
          <w:numId w:val="1"/>
        </w:numPr>
        <w:rPr/>
      </w:pPr>
      <w:bookmarkStart w:id="717" w:name="__RefHeading___Toc1764076_2322387425"/>
      <w:bookmarkStart w:id="718" w:name="_Toc271"/>
      <w:bookmarkEnd w:id="717"/>
      <w:r>
        <w:rPr>
          <w:rtl w:val="true"/>
        </w:rPr>
        <w:t>بقیة الأغسال الزمانیة</w:t>
      </w:r>
      <w:bookmarkEnd w:id="718"/>
    </w:p>
    <w:p>
      <w:pPr>
        <w:pStyle w:val="BookText"/>
        <w:rPr/>
      </w:pPr>
      <w:r>
        <w:rPr>
          <w:rFonts w:ascii="IRNazanin" w:hAnsi="IRNazanin" w:eastAsia="IRNazanin"/>
          <w:color w:val="111111"/>
          <w:sz w:val="28"/>
          <w:sz w:val="28"/>
          <w:szCs w:val="28"/>
          <w:rtl w:val="true"/>
          <w:lang w:bidi="fa-IR"/>
        </w:rPr>
        <w:t>التاسع</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Style w:val="FootnoteAnchor"/>
          <w:rtl w:val="true"/>
        </w:rPr>
        <w:footnoteReference w:id="912"/>
      </w:r>
      <w:r>
        <w:rPr>
          <w:rFonts w:ascii="IRNazanin" w:hAnsi="IRNazanin" w:eastAsia="IRNazanin"/>
          <w:color w:val="111111"/>
          <w:sz w:val="28"/>
          <w:sz w:val="28"/>
          <w:szCs w:val="28"/>
          <w:rtl w:val="true"/>
          <w:lang w:bidi="fa-IR"/>
        </w:rPr>
        <w:t>النصف من شعبان</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مشکل، فلیقصد الآتی به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لیلة النصف بدل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لیلة النصف من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 وبالعاشر والثانی عشر والثالث عشر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المولود</w:t>
      </w:r>
      <w:r>
        <w:rPr>
          <w:rStyle w:val="FootnoteAnchor"/>
          <w:rtl w:val="true"/>
        </w:rPr>
        <w:footnoteReference w:id="9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رجاءً کیوم التاسع من ربیع الأوّل ویوم دحو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بالغسل فیه وفیما بعده من الأیام المذکورة ولیالی الجمعة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نجد مدرکاً معتبراً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یغتسل فیه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السابع عشر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یوم النیروز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Style w:val="FootnoteAnchor"/>
          <w:rtl w:val="true"/>
        </w:rPr>
        <w:footnoteReference w:id="916"/>
      </w:r>
      <w:r>
        <w:rPr>
          <w:rFonts w:ascii="IRNazanin" w:hAnsi="IRNazanin" w:eastAsia="IRNazanin"/>
          <w:color w:val="111111"/>
          <w:sz w:val="28"/>
          <w:sz w:val="28"/>
          <w:szCs w:val="28"/>
          <w:rtl w:val="true"/>
          <w:lang w:bidi="fa-IR"/>
        </w:rPr>
        <w:t>التاسع من ربیع الأوّل</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 أنّه یوم عید، وأنّ الغسل مستحبّ فی کلّ یوم 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یوم دَحوِ الأرض</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لم یرد فیه نصّ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الخامس والعشرون من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لیلة من لیالی الجمعة</w:t>
      </w:r>
      <w:r>
        <w:rPr>
          <w:rStyle w:val="FootnoteAnchor"/>
          <w:rtl w:val="true"/>
        </w:rPr>
        <w:footnoteReference w:id="920"/>
      </w:r>
      <w:r>
        <w:rPr>
          <w:rFonts w:ascii="IRNazanin" w:hAnsi="IRNazanin" w:eastAsia="IRNazanin"/>
          <w:color w:val="111111"/>
          <w:sz w:val="28"/>
          <w:sz w:val="28"/>
          <w:szCs w:val="28"/>
          <w:rtl w:val="true"/>
          <w:lang w:bidi="fa-IR"/>
        </w:rPr>
        <w:t>علی ما قیل، بل فی کلّ زمان شریف علی ما قاله بعضهم، ولا بأس بهما لا بقصد الورود</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قضاء للأغسال الزمانیّة إذا جاز وقتها، کما لا تتقدّم علی زمانها مع خوف عدم التمکّن منها فی وقتها، إلاّ غُسل الجمعة، کما </w:t>
      </w:r>
      <w:bookmarkStart w:id="719" w:name="pg13276_136802"/>
    </w:p>
    <w:p>
      <w:pPr>
        <w:pStyle w:val="BookText"/>
        <w:rPr/>
      </w:pPr>
      <w:bookmarkEnd w:id="719"/>
      <w:r>
        <w:rPr>
          <w:rFonts w:ascii="IRNazanin" w:hAnsi="IRNazanin" w:eastAsia="IRNazanin"/>
          <w:color w:val="111111"/>
          <w:sz w:val="28"/>
          <w:sz w:val="28"/>
          <w:szCs w:val="28"/>
          <w:rtl w:val="true"/>
          <w:lang w:bidi="fa-IR"/>
        </w:rPr>
        <w:t>مرّ، لکن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قضاء غُسل یوم عرفة فی الأضحی، وعن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Style w:val="FootnoteAnchor"/>
          <w:rtl w:val="true"/>
        </w:rPr>
        <w:footnoteReference w:id="922"/>
      </w:r>
      <w:r>
        <w:rPr>
          <w:rFonts w:ascii="IRNazanin" w:hAnsi="IRNazanin" w:eastAsia="IRNazanin"/>
          <w:color w:val="111111"/>
          <w:sz w:val="28"/>
          <w:sz w:val="28"/>
          <w:szCs w:val="28"/>
          <w:rtl w:val="true"/>
          <w:lang w:bidi="fa-IR"/>
        </w:rPr>
        <w:t>قضائها أجمع، وکذا تقدیمها مع خوف عدم التمکّن منها فی وقتها، ووجه الأمرین غیر واضح</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واضحّ ولکنّه غیر مقبول عندهم من جهة التوقیت من باب تعدّد المطلوب وتنقیح المناط فی بعض الموارد، کغسل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بأس بهما لا بقصد 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قیل بکون الغسل مستحبّاً نفسیّاً، فیشرع الإتیان به فی کلّ زمان من غیر نظر إلی سبب أو غایة، ووجهه</w:t>
      </w:r>
      <w:r>
        <w:rPr>
          <w:rStyle w:val="FootnoteAnchor"/>
          <w:rtl w:val="true"/>
        </w:rPr>
        <w:footnoteReference w:id="924"/>
      </w:r>
      <w:r>
        <w:rPr>
          <w:rFonts w:ascii="IRNazanin" w:hAnsi="IRNazanin" w:eastAsia="IRNazanin"/>
          <w:color w:val="111111"/>
          <w:sz w:val="28"/>
          <w:sz w:val="28"/>
          <w:szCs w:val="28"/>
          <w:rtl w:val="true"/>
          <w:lang w:bidi="fa-IR"/>
        </w:rPr>
        <w:t>غیر واضح</w:t>
      </w:r>
      <w:r>
        <w:rPr>
          <w:rStyle w:val="FootnoteAnchor"/>
          <w:rtl w:val="true"/>
        </w:rPr>
        <w:footnoteReference w:id="925"/>
      </w:r>
      <w:r>
        <w:rPr>
          <w:rFonts w:ascii="IRNazanin" w:hAnsi="IRNazanin" w:eastAsia="IRNazanin"/>
          <w:color w:val="111111"/>
          <w:sz w:val="28"/>
          <w:sz w:val="28"/>
          <w:szCs w:val="28"/>
          <w:rtl w:val="true"/>
          <w:lang w:bidi="fa-IR"/>
        </w:rPr>
        <w:t>، ولا بأس به لا بقصد الورود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0" w:name="__RefHeading___Toc1764078_2322387425"/>
      <w:bookmarkStart w:id="721" w:name="_Toc272"/>
      <w:bookmarkEnd w:id="720"/>
      <w:r>
        <w:rPr>
          <w:rtl w:val="true"/>
        </w:rPr>
        <w:t>فصل</w:t>
      </w:r>
      <w:r>
        <w:rPr>
          <w:rtl w:val="true"/>
        </w:rPr>
        <w:t xml:space="preserve">: </w:t>
      </w:r>
      <w:r>
        <w:rPr>
          <w:rtl w:val="true"/>
        </w:rPr>
        <w:t>فی الأغسال المکانیّة</w:t>
      </w:r>
      <w:bookmarkEnd w:id="721"/>
    </w:p>
    <w:p>
      <w:pPr>
        <w:pStyle w:val="BookText"/>
        <w:rPr/>
      </w:pPr>
      <w:r>
        <w:rPr>
          <w:rFonts w:ascii="Amiri" w:hAnsi="Amiri" w:eastAsia="Amiri" w:cs="Amiri"/>
          <w:color w:val="111111"/>
          <w:sz w:val="28"/>
          <w:sz w:val="28"/>
          <w:szCs w:val="28"/>
          <w:rtl w:val="true"/>
          <w:lang w:bidi="ar-SA"/>
        </w:rPr>
        <w:t>أی الّذی یستحبّ</w:t>
      </w:r>
      <w:r>
        <w:rPr>
          <w:rStyle w:val="FootnoteAnchor"/>
          <w:rtl w:val="true"/>
        </w:rPr>
        <w:footnoteReference w:id="927"/>
      </w:r>
      <w:r>
        <w:rPr>
          <w:rFonts w:ascii="IRNazanin" w:hAnsi="IRNazanin" w:eastAsia="IRNazanin"/>
          <w:color w:val="111111"/>
          <w:sz w:val="28"/>
          <w:sz w:val="28"/>
          <w:szCs w:val="28"/>
          <w:rtl w:val="true"/>
          <w:lang w:bidi="fa-IR"/>
        </w:rPr>
        <w:t>عند إرادة الدخول فی مکان،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لدخول حرم مکّة، وللدخول فیها ولدخول مسجدها</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نجد له مدرکاً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یثبت استحباب الغُسل له، وکذا للدخول فی المشاهد المشرّفة للائمة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وکعبتها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ولدخول</w:t>
      </w:r>
    </w:p>
    <w:p>
      <w:pPr>
        <w:pStyle w:val="BookText"/>
        <w:rPr/>
      </w:pPr>
      <w:r>
        <w:rPr>
          <w:rFonts w:ascii="IRNazanin" w:hAnsi="IRNazanin" w:eastAsia="IRNazanin"/>
          <w:color w:val="111111"/>
          <w:sz w:val="28"/>
          <w:sz w:val="28"/>
          <w:szCs w:val="28"/>
          <w:rtl w:val="true"/>
          <w:lang w:bidi="fa-IR"/>
        </w:rPr>
        <w:t xml:space="preserve">حرم المدینة، وللدخول فیها ولدخول مسجد النبیّ صلی‌الله‌علیه‌و‌آله </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مدرکه بهذا العنوان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للدخول فی سائر المشاهد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نعثر علی دلیل یدلّ علی استحبابه لنفس الدخول فیها غیر غسل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هذا الحکم بهذا العنوان 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المشرّفة للأئمّة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ووقتها قبل الدخول</w:t>
      </w:r>
      <w:r>
        <w:rPr>
          <w:rStyle w:val="FootnoteAnchor"/>
          <w:rtl w:val="true"/>
        </w:rPr>
        <w:footnoteReference w:id="930"/>
      </w:r>
      <w:r>
        <w:rPr>
          <w:rFonts w:ascii="IRNazanin" w:hAnsi="IRNazanin" w:eastAsia="IRNazanin"/>
          <w:color w:val="111111"/>
          <w:sz w:val="28"/>
          <w:sz w:val="28"/>
          <w:szCs w:val="28"/>
          <w:rtl w:val="true"/>
          <w:lang w:bidi="fa-IR"/>
        </w:rPr>
        <w:t>عند إرادته، ولا یبعد استحبابها</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قریب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ورد فی بعض النصوص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دخلت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الالتزام باستحباب الغُسل له، وأمّا کفایة الغُسل بعد الدخول عن الغسل السابق فلا وجه للالتزام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ورد ذلک فی البعض، وتسریتها إلی الجمیع فیها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 . . . . . . . . .</w:t>
      </w:r>
    </w:p>
    <w:p>
      <w:pPr>
        <w:pStyle w:val="BookText"/>
        <w:rPr/>
      </w:pPr>
      <w:r>
        <w:rPr>
          <w:rFonts w:ascii="IRNazanin" w:hAnsi="IRNazanin" w:eastAsia="IRNazanin"/>
          <w:color w:val="111111"/>
          <w:sz w:val="28"/>
          <w:sz w:val="28"/>
          <w:szCs w:val="28"/>
          <w:rtl w:val="true"/>
          <w:lang w:bidi="fa-IR"/>
        </w:rPr>
        <w:t>للکون</w:t>
      </w:r>
      <w:r>
        <w:rPr>
          <w:rStyle w:val="FootnoteAnchor"/>
          <w:rtl w:val="true"/>
        </w:rPr>
        <w:footnoteReference w:id="932"/>
      </w:r>
      <w:r>
        <w:rPr>
          <w:rFonts w:ascii="IRNazanin" w:hAnsi="IRNazanin" w:eastAsia="IRNazanin"/>
          <w:color w:val="111111"/>
          <w:sz w:val="28"/>
          <w:sz w:val="28"/>
          <w:szCs w:val="28"/>
          <w:rtl w:val="true"/>
          <w:lang w:bidi="fa-IR"/>
        </w:rPr>
        <w:t>فیها إذا لم یغتسل قبله، کما لا یبعد کفایة</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المشهور، وقد یستفاد من النصوص، لکنّه 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أوّل الیوم، أو أوّل اللیل للدخول إلی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یتخلّل الحدث بینهما، وکذا فیما بعده، کما سیجیء منه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الحاجة إلی التکرار مع التکرّر، کما أ نّه لا یبعد جواز التداخل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فیما لو أراد دخول الحرم ومکّة والمسجد والکعبة فی ذلک الیوم، فیغتسل غسلاً واحداً للجمیع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یغتسل لکلّ سببٍ غسلاً برأسه إذا أراد الحصول علی ثواب الجمیع، نعم، له الاکتفاء بواحدٍ لو أتی به بقصد القربة لحصول الغرض، وهو استحباب الکون علی الطهارة فی تلک البقعة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بالنسبة إلی المدینة وحرمها ومسجدها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 العلماء استحباب الغُسل عند إرادة الدخول فی کلّ مکان شریف، ووجهه غیر واضح، ولا بأس به لابقصد الورود</w:t>
      </w:r>
      <w:r>
        <w:rPr>
          <w:rFonts w:eastAsia="IRNazanin" w:cs="IRNazanin"/>
          <w:color w:val="111111"/>
          <w:sz w:val="28"/>
          <w:szCs w:val="28"/>
          <w:rtl w:val="true"/>
          <w:lang w:bidi="fa-IR"/>
        </w:rPr>
        <w:t xml:space="preserve">. </w:t>
      </w:r>
      <w:bookmarkStart w:id="722" w:name="pg13276_136805"/>
    </w:p>
    <w:p>
      <w:pPr>
        <w:pStyle w:val="Heading2"/>
        <w:numPr>
          <w:ilvl w:val="1"/>
          <w:numId w:val="1"/>
        </w:numPr>
        <w:rPr/>
      </w:pPr>
      <w:bookmarkStart w:id="723" w:name="__RefHeading___Toc1764080_2322387425"/>
      <w:bookmarkStart w:id="724" w:name="_Toc273"/>
      <w:bookmarkEnd w:id="722"/>
      <w:bookmarkEnd w:id="723"/>
      <w:r>
        <w:rPr>
          <w:rtl w:val="true"/>
        </w:rPr>
        <w:t>فصل</w:t>
      </w:r>
      <w:r>
        <w:rPr>
          <w:rtl w:val="true"/>
        </w:rPr>
        <w:t xml:space="preserve">: </w:t>
      </w:r>
      <w:r>
        <w:rPr>
          <w:rtl w:val="true"/>
        </w:rPr>
        <w:t>فی الأغسال الفعلیّة</w:t>
      </w:r>
      <w:bookmarkEnd w:id="724"/>
    </w:p>
    <w:p>
      <w:pPr>
        <w:pStyle w:val="Heading3"/>
        <w:numPr>
          <w:ilvl w:val="2"/>
          <w:numId w:val="1"/>
        </w:numPr>
        <w:rPr/>
      </w:pPr>
      <w:bookmarkStart w:id="725" w:name="__RefHeading___Toc1764082_2322387425"/>
      <w:bookmarkStart w:id="726" w:name="_Toc274"/>
      <w:bookmarkEnd w:id="725"/>
      <w:r>
        <w:rPr>
          <w:rtl w:val="true"/>
        </w:rPr>
        <w:t>اشارة</w:t>
      </w:r>
      <w:bookmarkEnd w:id="726"/>
    </w:p>
    <w:p>
      <w:pPr>
        <w:pStyle w:val="BookText"/>
        <w:rPr/>
      </w:pPr>
      <w:r>
        <w:rPr>
          <w:rStyle w:val="FootnoteAnchor"/>
          <w:rtl w:val="true"/>
        </w:rPr>
        <w:footnoteReference w:id="934"/>
      </w:r>
    </w:p>
    <w:p>
      <w:pPr>
        <w:pStyle w:val="Heading3"/>
        <w:numPr>
          <w:ilvl w:val="2"/>
          <w:numId w:val="1"/>
        </w:numPr>
        <w:rPr/>
      </w:pPr>
      <w:bookmarkStart w:id="727" w:name="__RefHeading___Toc1764084_2322387425"/>
      <w:bookmarkStart w:id="728" w:name="_Toc275"/>
      <w:bookmarkEnd w:id="727"/>
      <w:r>
        <w:rPr>
          <w:rtl w:val="true"/>
        </w:rPr>
        <w:t>أقسام الأغسال الفعلیة</w:t>
      </w:r>
      <w:bookmarkEnd w:id="728"/>
    </w:p>
    <w:p>
      <w:pPr>
        <w:pStyle w:val="BookText"/>
        <w:rPr/>
      </w:pPr>
      <w:r>
        <w:rPr>
          <w:rFonts w:ascii="Amiri" w:hAnsi="Amiri" w:eastAsia="Amiri" w:cs="Amiri"/>
          <w:color w:val="111111"/>
          <w:sz w:val="28"/>
          <w:sz w:val="28"/>
          <w:szCs w:val="28"/>
          <w:rtl w:val="true"/>
          <w:lang w:bidi="ar-SA"/>
        </w:rPr>
        <w:t>وقد مرّ أ نّها قسمان</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مستحبّاً لأجل الفعل الذی یرید أن یفعله، وهی أغسال</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للإحرام</w:t>
      </w:r>
      <w:r>
        <w:rPr>
          <w:rStyle w:val="FootnoteAnchor"/>
          <w:rtl w:val="true"/>
        </w:rPr>
        <w:footnoteReference w:id="937"/>
      </w:r>
      <w:r>
        <w:rPr>
          <w:rFonts w:ascii="IRNazanin" w:hAnsi="IRNazanin" w:eastAsia="IRNazanin"/>
          <w:color w:val="111111"/>
          <w:sz w:val="28"/>
          <w:sz w:val="28"/>
          <w:szCs w:val="28"/>
          <w:rtl w:val="true"/>
          <w:lang w:bidi="fa-IR"/>
        </w:rPr>
        <w:t>، وعن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للطواف</w:t>
      </w:r>
      <w:r>
        <w:rPr>
          <w:rStyle w:val="FootnoteAnchor"/>
          <w:rtl w:val="true"/>
        </w:rPr>
        <w:footnoteReference w:id="9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نعثر علی مدرکٍ صالحٍ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سواء کان طواف الحجّ أو العمرة أو طواف النساء، بل للطواف المستحبّ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بعرفات</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أضفناهما لیستقیم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نجد دلیلاً معتبراً له وللرابع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footnote6-page318"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أضفناهما لیستقیم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نجد دلیلاً معتبراً له وللرابع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footnote6-page318" style="display:inline-block"&gt;</w:t>
      </w:r>
      <w:r>
        <w:rPr>
          <w:rFonts w:eastAsia="Times New Roman" w:cs="Times New Roman" w:ascii="Times New Roman" w:hAnsi="Times New Roman"/>
          <w:color w:val="111111"/>
          <w:sz w:val="28"/>
          <w:szCs w:val="28"/>
          <w:vertAlign w:val="superscript"/>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نجد دلیلاً معتبراً له وللرابع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footnote6-page318"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أضفناهما لیستقیم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نجد دلیلاً معتبراً له وللرابع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footnote6-page318"&gt; 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فیه وللوقوف بالمشعر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بالمَشعَر</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وکذا لإرادة السفر، ولدفع النازلة، ولتغسیل المیّت وتکفینه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للذبح والنحر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للحلق، 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استحبابه لرمی الجِمار أیضاً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لزیارة أحد المعصومین علیهم‌السلام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لأجل إتمام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وکذلک فی الثامن والتاسع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وردت فی عداد الأغسال المسنونة فی عدّة من الروایات المعتبرة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المراد منها مطلق الزیارات المستحبة فیکون الغسل مستحباً لما یکون کذلک، وحیث إنّ بعض الفقهاء ذهب إلی کون المراد من الزیارة زیارة البیت، وزیارته طوافه یکون المراد غسل الطواف، فلا یُترک الاحتیاط،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فیکفی غسل واحد فی زیارة الإمامین فی الکاظمیة، وهکذا فی سامراء والأئمة الأربعة فی البقیع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footnote3-page319"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لأجل إتمام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وکذلک فی الثامن والتاسع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وردت فی عداد الأغسال المسنونة فی عدّة من الروایات المعتبرة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المراد منها مطلق الزیارات المستحبة فیکون الغسل مستحباً لما یکون کذلک، وحیث إنّ بعض الفقهاء ذهب إلی کون المراد من الزیارة زیارة البیت، وزیارته طوافه یکون المراد غسل الطواف، فلا یُترک الاحتیاط،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فیکفی غسل واحد فی زیارة الإمامین فی الکاظمیة، وهکذا فی سامراء والأئمة الأربعة فی البقیع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footnote3-page319" style="display:inline-block"&gt;</w:t>
      </w:r>
      <w:r>
        <w:rPr>
          <w:rFonts w:eastAsia="Times New Roman" w:cs="Times New Roman" w:ascii="Times New Roman" w:hAnsi="Times New Roman"/>
          <w:color w:val="111111"/>
          <w:sz w:val="28"/>
          <w:szCs w:val="28"/>
          <w:vertAlign w:val="superscript"/>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وردت فی عداد الأغسال المسنونة فی عدّة من الروایات المعتبرة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المراد منها مطلق الزیارات المستحبة فیکون الغسل مستحباً لما یکون کذلک، وحیث إنّ بعض الفقهاء ذهب إلی کون المراد من الزیارة زیارة البیت، وزیارته طوافه یکون المراد غسل الطواف، فلا یُترک الاحتیاط،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فیکفی غسل واحد فی زیارة الإمامین فی الکاظمیة، وهکذا فی سامراء والأئمة الأربعة فی البقیع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footnote3-page319"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لأجل إتمام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وکذلک فی الثامن والتاسع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وردت فی عداد الأغسال المسنونة فی عدّة من الروایات المعتبرة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المراد منها مطلق الزیارات المستحبة فیکون الغسل مستحباً لما یکون کذلک، وحیث إنّ بعض الفقهاء ذهب إلی کون المراد من الزیارة زیارة البیت، وزیارته طوافه یکون المراد غسل الطواف، فلا یُترک الاحتیاط،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فیکفی غسل واحد فی زیارة الإمامین فی الکاظمیة، وهکذا فی سامراء والأئمة الأربعة فی البقیع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footnote3-page319"&gt; 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فی إطلاقه تأمّل،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من قریب أو بعید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لروءیة</w:t>
      </w:r>
      <w:r>
        <w:rPr>
          <w:rStyle w:val="FootnoteAnchor"/>
          <w:rtl w:val="true"/>
        </w:rPr>
        <w:footnoteReference w:id="941"/>
      </w:r>
      <w:r>
        <w:rPr>
          <w:rFonts w:ascii="IRNazanin" w:hAnsi="IRNazanin" w:eastAsia="IRNazanin"/>
          <w:color w:val="111111"/>
          <w:sz w:val="28"/>
          <w:sz w:val="28"/>
          <w:szCs w:val="28"/>
          <w:rtl w:val="true"/>
          <w:lang w:bidi="fa-IR"/>
        </w:rPr>
        <w:t xml:space="preserve">أحد الأئمّة علیهم‌السلام فی المنام، کما نقل عن موسی بن </w:t>
      </w:r>
    </w:p>
    <w:p>
      <w:pPr>
        <w:pStyle w:val="BookText"/>
        <w:rPr/>
      </w:pPr>
      <w:r>
        <w:rPr>
          <w:rFonts w:ascii="IRNazanin" w:hAnsi="IRNazanin" w:eastAsia="IRNazanin"/>
          <w:color w:val="111111"/>
          <w:sz w:val="28"/>
          <w:sz w:val="28"/>
          <w:szCs w:val="28"/>
          <w:rtl w:val="true"/>
          <w:lang w:bidi="fa-IR"/>
        </w:rPr>
        <w:t xml:space="preserve">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أراد ذلک یغتسل ثلاث لیالٍ ویناجیهم فیراهم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الحاجة، بل لطلب الحاجة مطلقاً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الاستخارة، بل للاستخارة مطلقاً ولو من غیر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w:t>
      </w:r>
      <w:r>
        <w:rPr>
          <w:rStyle w:val="FootnoteAnchor"/>
          <w:rtl w:val="true"/>
        </w:rPr>
        <w:footnoteReference w:id="943"/>
      </w:r>
      <w:r>
        <w:rPr>
          <w:rFonts w:ascii="IRNazanin" w:hAnsi="IRNazanin" w:eastAsia="IRNazanin"/>
          <w:color w:val="111111"/>
          <w:sz w:val="28"/>
          <w:sz w:val="28"/>
          <w:szCs w:val="28"/>
          <w:rtl w:val="true"/>
          <w:lang w:bidi="fa-IR"/>
        </w:rPr>
        <w:t>الاستفتاح المعروف بعمل اُمّ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تربة قبر الحسین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 السفر</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وفیما یذکر إلی القسم الثانی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خصوصاً لزیارة الحسین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الاستسقاء، بل له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للتوبة من الکفر</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یقم دلیل معتبر علی استحباب الغسل للتوبة لمطلق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الأمر بالغُسل فی حدیث مسعدة بن زیاد للتوبة من الأمر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 أو الارتدادیّ، بل من الفسق، بل من الصغیرة أیضاً علی وجه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للتظلّم</w:t>
      </w:r>
      <w:r>
        <w:rPr>
          <w:rStyle w:val="FootnoteAnchor"/>
          <w:rtl w:val="true"/>
        </w:rPr>
        <w:footnoteReference w:id="946"/>
      </w:r>
      <w:r>
        <w:rPr>
          <w:rFonts w:ascii="IRNazanin" w:hAnsi="IRNazanin" w:eastAsia="IRNazanin"/>
          <w:color w:val="111111"/>
          <w:sz w:val="28"/>
          <w:sz w:val="28"/>
          <w:szCs w:val="28"/>
          <w:rtl w:val="true"/>
          <w:lang w:bidi="fa-IR"/>
        </w:rPr>
        <w:t>والاشتکاء إلی اللّه تعالی من ظلم ظالم، ففی الحدیث عن الصادق علیه‌السلام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ظلمک أحد فلا تُدع علیه، فإنّ </w:t>
      </w:r>
    </w:p>
    <w:p>
      <w:pPr>
        <w:pStyle w:val="BookText"/>
        <w:rPr/>
      </w:pPr>
      <w:r>
        <w:rPr>
          <w:rFonts w:ascii="IRNazanin" w:hAnsi="IRNazanin" w:eastAsia="IRNazanin"/>
          <w:color w:val="111111"/>
          <w:sz w:val="28"/>
          <w:sz w:val="28"/>
          <w:szCs w:val="28"/>
          <w:rtl w:val="true"/>
          <w:lang w:bidi="fa-IR"/>
        </w:rPr>
        <w:t>المظلوم قد یصیر ظالماً بالدعاء علی مَن ظلمه، لکن اغتسل وصلِّ رکعتین تحت السماء،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فلان بن فلان ظلمنی، ولیس لی أحد أصول به علیه غیرک، فاستوفِ لی ظُلامتی الساعةَ الساعةَ، بالاسم الذی إذا سألک به المضطرّ أجبته فکشفت ما به من ضرّ، ومکّنت له فی الأرض، وجعلته خلیفتک علی خلقک، فأسألک أن تصلّیَ علی محمَّدٍ وآل محمَّد، وأن تستوفی ظُلامتی،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فستری 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الصلوات المندوبة،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للأمن من الخوف من ظالم، فیغتسل ویصلّی رکعتین، ویحسر عن رکبتیه ویجعلهما قریباً من مصلاّه، ویقول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یاحیّ، یا قیّوم، یاحیّ لا إله إلاّ أنت، برحمتک أستغیث، فصلِّ علی محمَّدٍ وآل محمَّد، وأغثنی الساعةَ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أن تُصلّی علی محمّد وآل محمّد، وأن تلطف بی، وأن تغلب لی، وأن تمکر لی، وأن تخدع لی، وأن تکفینی موءونة فلان بن فلان بلا موءونة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دعاء النبیّ صلی‌الله‌علیه‌و‌آله یوم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النازلة</w:t>
      </w:r>
      <w:r>
        <w:rPr>
          <w:rStyle w:val="FootnoteAnchor"/>
          <w:rtl w:val="true"/>
        </w:rPr>
        <w:footnoteReference w:id="947"/>
      </w:r>
      <w:r>
        <w:rPr>
          <w:rFonts w:ascii="IRNazanin" w:hAnsi="IRNazanin" w:eastAsia="IRNazanin"/>
          <w:color w:val="111111"/>
          <w:sz w:val="28"/>
          <w:sz w:val="28"/>
          <w:szCs w:val="28"/>
          <w:rtl w:val="true"/>
          <w:lang w:bidi="fa-IR"/>
        </w:rPr>
        <w:t>، یصوم الثالث عشر</w:t>
      </w:r>
      <w:r>
        <w:rPr>
          <w:rStyle w:val="FootnoteAnchor"/>
          <w:rtl w:val="true"/>
        </w:rPr>
        <w:footnoteReference w:id="948"/>
      </w:r>
      <w:r>
        <w:rPr>
          <w:rFonts w:ascii="IRNazanin" w:hAnsi="IRNazanin" w:eastAsia="IRNazanin"/>
          <w:color w:val="111111"/>
          <w:sz w:val="28"/>
          <w:sz w:val="28"/>
          <w:szCs w:val="28"/>
          <w:rtl w:val="true"/>
          <w:lang w:bidi="fa-IR"/>
        </w:rPr>
        <w:t>والرابع عشر والخامس عشر، وعند الزوال من الأخیر یغتسل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للمباهلة مع من یدّعی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لتحصیل النشاط</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أن یقصد غایة ولو الکون علی الطهارة، ویکون النشاط فائدةً، لاغرضاً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للعبادة، أو لخصوص صلاة اللیل، فعن</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الموءمنین علیه‌السلام کان یغتسل فی اللیالی الباردة لأجل تحصیل النشاط لصلاة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 ح</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الشکر</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یلیه وما بعدهما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لتغسیل المیّت</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وجدناه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بالغسل بالنسبة إلی مَن غسّل المیّت أو کفّنه، وأمّا بالنسبة إلی مَن یرید التغسیل أو التکفین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ولتکفینه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للحِجامة علی ما قیل، ولکن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علیه، ولعلّه مصحّف</w:t>
      </w:r>
      <w:r>
        <w:rPr>
          <w:rStyle w:val="FootnoteAnchor"/>
          <w:rtl w:val="true"/>
        </w:rPr>
        <w:footnoteReference w:id="952"/>
      </w:r>
      <w:r>
        <w:rPr>
          <w:rFonts w:ascii="Amiri" w:hAnsi="Amiri" w:eastAsia="Amiri" w:cs="Amiri"/>
          <w:color w:val="111111"/>
          <w:sz w:val="28"/>
          <w:sz w:val="28"/>
          <w:szCs w:val="28"/>
          <w:rtl w:val="true"/>
          <w:lang w:bidi="ar-SA"/>
        </w:rPr>
        <w:t>الجمعة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لإرادة العود إلی الجماع، لما نقل عن الرسالة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الجماع بعد الجماع بدون الفصل بالغُسل یوجب جنون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النکاح، ح</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یحتمل</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احتمال غیر غسل الجنابة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یکون</w:t>
      </w:r>
      <w:r>
        <w:rPr>
          <w:rStyle w:val="FootnoteAnchor"/>
          <w:rtl w:val="true"/>
        </w:rPr>
        <w:footnoteReference w:id="955"/>
      </w:r>
      <w:r>
        <w:rPr>
          <w:rFonts w:ascii="Amiri" w:hAnsi="Amiri" w:eastAsia="Amiri" w:cs="Amiri"/>
          <w:color w:val="111111"/>
          <w:sz w:val="28"/>
          <w:sz w:val="28"/>
          <w:szCs w:val="28"/>
          <w:rtl w:val="true"/>
          <w:lang w:bidi="ar-SA"/>
        </w:rPr>
        <w:t>المراد غُسل الجنابة</w:t>
      </w:r>
      <w:r>
        <w:rPr>
          <w:rStyle w:val="FootnoteAnchor"/>
          <w:rtl w:val="true"/>
        </w:rPr>
        <w:footnoteReference w:id="956"/>
      </w:r>
      <w:r>
        <w:rPr>
          <w:rFonts w:ascii="IRNazanin" w:hAnsi="IRNazanin" w:eastAsia="IRNazanin"/>
          <w:color w:val="111111"/>
          <w:sz w:val="28"/>
          <w:sz w:val="28"/>
          <w:szCs w:val="28"/>
          <w:rtl w:val="true"/>
          <w:lang w:bidi="fa-IR"/>
        </w:rPr>
        <w:t>، بل هو الظاهر</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احتمال غیره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لکلّ عمل یتقرّب به إلی اللّه، کما حکی عن ابن الجنید، ووجهه غیر معلوم، وإن کان الإتیان به لا بقصد الورود لابأس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مستحبّاً لأجل الفعل الّذی فعله، وهی أیضاً أغسال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التوبة</w:t>
      </w:r>
      <w:r>
        <w:rPr>
          <w:rStyle w:val="FootnoteAnchor"/>
          <w:rtl w:val="true"/>
        </w:rPr>
        <w:footnoteReference w:id="959"/>
      </w:r>
      <w:r>
        <w:rPr>
          <w:rFonts w:ascii="IRNazanin" w:hAnsi="IRNazanin" w:eastAsia="IRNazanin"/>
          <w:color w:val="111111"/>
          <w:sz w:val="28"/>
          <w:sz w:val="28"/>
          <w:szCs w:val="28"/>
          <w:rtl w:val="true"/>
          <w:lang w:bidi="fa-IR"/>
        </w:rPr>
        <w:t>، علی ما ذکره بعضهم من أ نّه من جهة المعاصی الّتی ارتکبها، أو بناءً علی أ نّه بعد الندم الّذی هو حقیقة التوبة، لکنّ الظاهر أ نّه من القسم الأوّل، کما ذکر هناک، وهذا هو الظاهر من الأخبار ومن کلمات العلماء،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ذوجهتین، فمن حیث إنّه بعد المعاصی وبعد الندم یکون من القسم الثانی، ومن حیث إنّ تمام التوبة بالاستغفار یکون من القسم الأوّل، وخبر مسعدة بن زیاد فی خصوص استماع الغناء فی الکنیف، وقول الإمام علیه‌السلام له فی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فاغتسل فصلِّ ما بدا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المندوبة،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توجیهه بکلٍّ من الوجهین، والأظهر أ نّه لسرعة قبول التوبة</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ستصدر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لقتل الوزغ</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لیس له مدرک معتبر،وکذلک الرابع والسادس والسابع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ویحتمل أن یکون للشکر علی توفیقه لقتله، حیث إنّه حیوان خبیث، والأخبار فی ذمّه من الطرفین کثیرة، ففی النبویّ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الوزغ ولو فی جوف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61/262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فکأنّما قتل شیطاناً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62/263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4/355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لأجل حدوث قذارة من المباشرة لقتله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المولود، وعن الصدوق وابن حمزة وجوبه، لکنّه ضعیف، ووقته من حین الولادة حیناً عرفیّاً، فالتأخیر إلی یومین بل ثلاثة لا یضرّ، وقد یقال ببقائه إلی سبعة أیّام، 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ببقائه إلی آخر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الإتیان به علی تقدیر التأخیر عن الحین العرفی بعنوان الرجاء واحتمال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لروءیة المصلوب</w:t>
      </w:r>
      <w:r>
        <w:rPr>
          <w:rStyle w:val="FootnoteAnchor"/>
          <w:rtl w:val="true"/>
        </w:rPr>
        <w:footnoteReference w:id="962"/>
      </w:r>
      <w:r>
        <w:rPr>
          <w:rFonts w:ascii="IRNazanin" w:hAnsi="IRNazanin" w:eastAsia="IRNazanin"/>
          <w:color w:val="111111"/>
          <w:sz w:val="28"/>
          <w:sz w:val="28"/>
          <w:szCs w:val="28"/>
          <w:rtl w:val="true"/>
          <w:lang w:bidi="fa-IR"/>
        </w:rPr>
        <w:t>، وقد ذکروا أنّ استحبابه مشروط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یمشی لینظر إلیه متعمّداً، فلو اتّفق نظره أو کان مجبوراً لا یستحبّ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بعد ثلاثة أیّام إذا کان مصلوباً بحقٍّ، لا قبلها، بخلاف ما إذا کان مصلوباً بظلم، فإنّه یستحبّ معه مطلقاً ولو کان فی الیومین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الدلیل علی الشرط الثانی غیر معلوم</w:t>
      </w:r>
      <w:r>
        <w:rPr>
          <w:rStyle w:val="FootnoteAnchor"/>
          <w:rtl w:val="true"/>
        </w:rPr>
        <w:footnoteReference w:id="963"/>
      </w:r>
      <w:r>
        <w:rPr>
          <w:rFonts w:ascii="Amiri" w:hAnsi="Amiri" w:eastAsia="Amiri" w:cs="Amiri"/>
          <w:color w:val="111111"/>
          <w:sz w:val="28"/>
          <w:sz w:val="28"/>
          <w:szCs w:val="28"/>
          <w:rtl w:val="true"/>
          <w:lang w:bidi="ar-SA"/>
        </w:rPr>
        <w:t xml:space="preserve">، إلاّ دعوی </w:t>
      </w:r>
    </w:p>
    <w:p>
      <w:pPr>
        <w:pStyle w:val="BookText"/>
        <w:rPr/>
      </w:pPr>
      <w:r>
        <w:rPr>
          <w:rFonts w:ascii="IRNazanin" w:hAnsi="IRNazanin" w:eastAsia="IRNazanin"/>
          <w:color w:val="111111"/>
          <w:sz w:val="28"/>
          <w:sz w:val="28"/>
          <w:szCs w:val="28"/>
          <w:rtl w:val="true"/>
          <w:lang w:bidi="fa-IR"/>
        </w:rPr>
        <w:t>الانصراف وهی محلّ منع، نعم، الشرط الأوّل ظاهر الخبر،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إلی مصلوب فنظر إلیه وجب علیه الغسل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المندوبة،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مشی إلیه لغرض صحیح کأداء الشهادة أو تحمّلها لا یثبت فی حقّه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فرّط</w:t>
      </w:r>
      <w:r>
        <w:rPr>
          <w:rStyle w:val="FootnoteAnchor"/>
          <w:rtl w:val="true"/>
        </w:rPr>
        <w:footnoteReference w:id="9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المتیقّن فی ثبوت هذا الغسل إذا احترق قرص الشمس کلّه فاستیقظ المکلّف ولم یصلِّ فعلیه أن یغتسل ویقضی الصلاة، وفی هذا الفرض الأحوط إن لم یکن أقوی وجوبه، وفی غیر هذه الصورة یأتی به رجاءً، ولایُترک الاحتیاط بإتیانه فی خسوف القمر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صلاة الکسوفین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احتراق القرص، أی ترکها عمداً، فإنّه یستحبّ أن یغتسل ویقضیها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وبعضهم حکم بوجوبه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والأقوی عدم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بوجوبه أحوط، 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 عدم 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السبزواری،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والظاهر أ نّه مستحبّ</w:t>
      </w:r>
    </w:p>
    <w:p>
      <w:pPr>
        <w:pStyle w:val="BookText"/>
        <w:rPr/>
      </w:pPr>
      <w:r>
        <w:rPr>
          <w:rFonts w:ascii="Amiri" w:hAnsi="Amiri" w:eastAsia="Amiri" w:cs="Amiri"/>
          <w:color w:val="111111"/>
          <w:sz w:val="28"/>
          <w:sz w:val="28"/>
          <w:szCs w:val="28"/>
          <w:rtl w:val="true"/>
          <w:lang w:bidi="ar-SA"/>
        </w:rPr>
        <w:t>نفسیّ</w:t>
      </w:r>
      <w:r>
        <w:rPr>
          <w:rStyle w:val="FootnoteAnchor"/>
          <w:rtl w:val="true"/>
        </w:rPr>
        <w:footnoteReference w:id="965"/>
      </w:r>
      <w:r>
        <w:rPr>
          <w:rFonts w:ascii="IRNazanin" w:hAnsi="IRNazanin" w:eastAsia="IRNazanin"/>
          <w:color w:val="111111"/>
          <w:sz w:val="28"/>
          <w:sz w:val="28"/>
          <w:szCs w:val="28"/>
          <w:rtl w:val="true"/>
          <w:lang w:bidi="fa-IR"/>
        </w:rPr>
        <w:t>بعد التفریط المذکور، ولکن یحتمل</w:t>
      </w:r>
      <w:r>
        <w:rPr>
          <w:rStyle w:val="FootnoteAnchor"/>
          <w:rtl w:val="true"/>
        </w:rPr>
        <w:footnoteReference w:id="966"/>
      </w:r>
      <w:r>
        <w:rPr>
          <w:rFonts w:ascii="IRNazanin" w:hAnsi="IRNazanin" w:eastAsia="IRNazanin"/>
          <w:color w:val="111111"/>
          <w:sz w:val="28"/>
          <w:sz w:val="28"/>
          <w:szCs w:val="28"/>
          <w:rtl w:val="true"/>
          <w:lang w:bidi="fa-IR"/>
        </w:rPr>
        <w:t>أن یکون لأجل القضاء، کما هو مذهب جماعة، فالأولی الإتیان به بقصد القربة</w:t>
      </w:r>
      <w:r>
        <w:rPr>
          <w:rStyle w:val="FootnoteAnchor"/>
          <w:rtl w:val="true"/>
        </w:rPr>
        <w:footnoteReference w:id="967"/>
      </w:r>
      <w:r>
        <w:rPr>
          <w:rFonts w:ascii="IRNazanin" w:hAnsi="IRNazanin" w:eastAsia="IRNazanin"/>
          <w:color w:val="111111"/>
          <w:sz w:val="28"/>
          <w:sz w:val="28"/>
          <w:szCs w:val="28"/>
          <w:rtl w:val="true"/>
          <w:lang w:bidi="fa-IR"/>
        </w:rPr>
        <w:t>، بلا ملاحظة سبب أو غایة، وإذا لم یکن الترک عن تفریط، أو لم یکن القرص محترقاً لا یکون مستحبّاً، وإن قیل باستحبابه مع التعمّد مطلقاً، وقیل باستحبابه مع احتراق القرص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المرأة</w:t>
      </w:r>
      <w:r>
        <w:rPr>
          <w:rStyle w:val="FootnoteAnchor"/>
          <w:rtl w:val="true"/>
        </w:rPr>
        <w:footnoteReference w:id="968"/>
      </w:r>
      <w:r>
        <w:rPr>
          <w:rFonts w:ascii="IRNazanin" w:hAnsi="IRNazanin" w:eastAsia="IRNazanin"/>
          <w:color w:val="111111"/>
          <w:sz w:val="28"/>
          <w:sz w:val="28"/>
          <w:szCs w:val="28"/>
          <w:rtl w:val="true"/>
          <w:lang w:bidi="fa-IR"/>
        </w:rPr>
        <w:t>إذا تطیّبت لغیر زوجها،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تطیّبت لغیر زوجها لم تُقبل منها صلاة حتّی تغتسل من طیبها کغسلها من جنابتها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المندوبة،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واحتمال 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الطیب من بدنها کما عن صاحب الحدائق بعید، ولا داعی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شرب مسکراً</w:t>
      </w:r>
      <w:r>
        <w:rPr>
          <w:rStyle w:val="FootnoteAnchor"/>
          <w:rtl w:val="true"/>
        </w:rPr>
        <w:footnoteReference w:id="969"/>
      </w:r>
      <w:r>
        <w:rPr>
          <w:rFonts w:ascii="IRNazanin" w:hAnsi="IRNazanin" w:eastAsia="IRNazanin"/>
          <w:color w:val="111111"/>
          <w:sz w:val="28"/>
          <w:sz w:val="28"/>
          <w:szCs w:val="28"/>
          <w:rtl w:val="true"/>
          <w:lang w:bidi="fa-IR"/>
        </w:rPr>
        <w:t>فنام، ففی الحدیث عن النبیّ صلی‌الله‌علیه‌و‌آله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نام علی سُکرٍ إلاّ وصار عروساً للشیطان إلی الفجر، فعلیه أن یغتسل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ما یتعلق بأبواب الجنابة،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علیه کما یغتسل من الجنابة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مسّ میّتاً</w:t>
      </w:r>
      <w:r>
        <w:rPr>
          <w:rStyle w:val="FootnoteAnchor"/>
          <w:rtl w:val="true"/>
        </w:rPr>
        <w:footnoteReference w:id="970"/>
      </w:r>
      <w:r>
        <w:rPr>
          <w:rFonts w:ascii="IRNazanin" w:hAnsi="IRNazanin" w:eastAsia="IRNazanin"/>
          <w:color w:val="111111"/>
          <w:sz w:val="28"/>
          <w:sz w:val="28"/>
          <w:szCs w:val="28"/>
          <w:rtl w:val="true"/>
          <w:lang w:bidi="fa-IR"/>
        </w:rPr>
        <w:t>بعد غسله</w:t>
      </w:r>
      <w:r>
        <w:rPr>
          <w:rFonts w:eastAsia="IRNazanin" w:cs="IRNazanin"/>
          <w:color w:val="111111"/>
          <w:sz w:val="28"/>
          <w:szCs w:val="28"/>
          <w:rtl w:val="true"/>
          <w:lang w:bidi="fa-IR"/>
        </w:rPr>
        <w:t xml:space="preserve">. </w:t>
      </w:r>
      <w:bookmarkStart w:id="729" w:name="pg13276_136814"/>
    </w:p>
    <w:p>
      <w:pPr>
        <w:pStyle w:val="Heading3"/>
        <w:numPr>
          <w:ilvl w:val="2"/>
          <w:numId w:val="1"/>
        </w:numPr>
        <w:rPr/>
      </w:pPr>
      <w:bookmarkStart w:id="730" w:name="__RefHeading___Toc1764086_2322387425"/>
      <w:bookmarkStart w:id="731" w:name="_Toc276"/>
      <w:bookmarkEnd w:id="729"/>
      <w:bookmarkEnd w:id="730"/>
      <w:r>
        <w:rPr>
          <w:rtl w:val="true"/>
        </w:rPr>
        <w:t>بعض الأغسال المسنونة</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المفید استحباب الغُسل لمن صبّ علیه ماء مظنون النجاسة، ولا وجه له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یعدّ من 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المجنون إذا أفاق، ودلیله غیر معلوم،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جهة احتمال جنابته حال جنونه، لکن علی هذا یکون من غُسل الجنابة الاحتیاطیّة، فلا وجه لعدّها منها، کما لا وجه لعدّ إعادة الغسل لذوی الأعذار المغتسلین حال العذر غسلاً ناقصاً مثل الجبیرة، وکذا عدّ غسل من رأی الجنابة فی الثوب المشترک احتیاطاً فإنّ هذه لیست من الأغسال المسنونة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الأغسال المکانیّة کما مرّ</w:t>
      </w:r>
      <w:r>
        <w:rPr>
          <w:rStyle w:val="FootnoteAnchor"/>
          <w:rtl w:val="true"/>
        </w:rPr>
        <w:footnoteReference w:id="972"/>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فیها، أو بعده لإرادة البقاء</w:t>
      </w:r>
      <w:r>
        <w:rPr>
          <w:rStyle w:val="FootnoteAnchor"/>
          <w:rtl w:val="true"/>
        </w:rPr>
        <w:footnoteReference w:id="973"/>
      </w:r>
      <w:r>
        <w:rPr>
          <w:rFonts w:ascii="IRNazanin" w:hAnsi="IRNazanin" w:eastAsia="IRNazanin"/>
          <w:color w:val="111111"/>
          <w:sz w:val="28"/>
          <w:sz w:val="28"/>
          <w:szCs w:val="28"/>
          <w:rtl w:val="true"/>
          <w:lang w:bidi="fa-IR"/>
        </w:rPr>
        <w:t>علی وجه، ویکفی الغسل فی أوّل الیوم لیومه، وفی أوّل اللیل للیلته، بل لا یخلو کفایة</w:t>
      </w:r>
      <w:r>
        <w:rPr>
          <w:rStyle w:val="FootnoteAnchor"/>
          <w:rtl w:val="true"/>
        </w:rPr>
        <w:footnoteReference w:id="9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اللیل للنهار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وبالعکس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دون الأوّل فی الفضل، وکذا القسم الأوّل من الأغسال الفعلیّة وقتها قبل الفعل علی الوجه المذکور، وأمّا القسم الثانی منها فوقتها بعد تحقّق الفعل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w:t>
      </w:r>
      <w:bookmarkStart w:id="732" w:name="pg13276_136815"/>
    </w:p>
    <w:p>
      <w:pPr>
        <w:pStyle w:val="BookText"/>
        <w:rPr/>
      </w:pPr>
      <w:bookmarkEnd w:id="732"/>
      <w:r>
        <w:rPr>
          <w:rFonts w:ascii="IRNazanin" w:hAnsi="IRNazanin" w:eastAsia="IRNazanin"/>
          <w:color w:val="111111"/>
          <w:sz w:val="28"/>
          <w:sz w:val="28"/>
          <w:szCs w:val="28"/>
          <w:rtl w:val="true"/>
          <w:lang w:bidi="fa-IR"/>
        </w:rPr>
        <w:t>العمر،</w:t>
      </w:r>
      <w:r>
        <w:rPr>
          <w:rStyle w:val="FootnoteAnchor"/>
          <w:rtl w:val="true"/>
        </w:rPr>
        <w:footnoteReference w:id="9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التعمیم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الظاهر اعتبار إتیانها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القاعدة الأولیة لاتقتضی الاعتبار المذکور، إلاّ أن تدلّ علیه قرینة حالیة أو مقالیة أو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فوراً ففوراً</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764088_2322387425"/>
      <w:bookmarkStart w:id="734" w:name="_Toc277"/>
      <w:bookmarkEnd w:id="733"/>
      <w:r>
        <w:rPr>
          <w:rtl w:val="true"/>
        </w:rPr>
        <w:t>إجزاء الأغسال  و کفایة غسل واحد</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تُنتَقَض الأغسال الفعلیّة من القسم الأوّل والمکانیّة بالحدث الأصغر من أیّ سبب کان، حتّی من النوم علی الأقوی</w:t>
      </w:r>
      <w:r>
        <w:rPr>
          <w:rStyle w:val="FootnoteAnchor"/>
          <w:rtl w:val="true"/>
        </w:rPr>
        <w:footnoteReference w:id="976"/>
      </w:r>
      <w:r>
        <w:rPr>
          <w:rFonts w:ascii="IRNazanin" w:hAnsi="IRNazanin" w:eastAsia="IRNazanin"/>
          <w:color w:val="111111"/>
          <w:sz w:val="28"/>
          <w:sz w:val="28"/>
          <w:szCs w:val="28"/>
          <w:rtl w:val="true"/>
          <w:lang w:bidi="fa-IR"/>
        </w:rPr>
        <w:t>، ویحتمل عدم</w:t>
      </w:r>
      <w:r>
        <w:rPr>
          <w:rStyle w:val="FootnoteAnchor"/>
          <w:rtl w:val="true"/>
        </w:rPr>
        <w:footnoteReference w:id="977"/>
      </w:r>
      <w:r>
        <w:rPr>
          <w:rFonts w:ascii="IRNazanin" w:hAnsi="IRNazanin" w:eastAsia="IRNazanin"/>
          <w:color w:val="111111"/>
          <w:sz w:val="28"/>
          <w:sz w:val="28"/>
          <w:szCs w:val="28"/>
          <w:rtl w:val="true"/>
          <w:lang w:bidi="fa-IR"/>
        </w:rPr>
        <w:t>انتقاضها بها</w:t>
      </w:r>
      <w:r>
        <w:rPr>
          <w:rStyle w:val="FootnoteAnchor"/>
          <w:rtl w:val="true"/>
        </w:rPr>
        <w:footnoteReference w:id="978"/>
      </w:r>
      <w:r>
        <w:rPr>
          <w:rFonts w:ascii="IRNazanin" w:hAnsi="IRNazanin" w:eastAsia="IRNazanin"/>
          <w:color w:val="111111"/>
          <w:sz w:val="28"/>
          <w:sz w:val="28"/>
          <w:szCs w:val="28"/>
          <w:rtl w:val="true"/>
          <w:lang w:bidi="fa-IR"/>
        </w:rPr>
        <w:t>، مع استحباب إعادتها کما علیه بعضهم، لکنّ الظاهر ما ذکرنا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المستحبّة</w:t>
      </w:r>
      <w:r>
        <w:rPr>
          <w:rStyle w:val="FootnoteAnchor"/>
          <w:rtl w:val="true"/>
        </w:rPr>
        <w:footnoteReference w:id="979"/>
      </w:r>
      <w:r>
        <w:rPr>
          <w:rFonts w:ascii="IRNazanin" w:hAnsi="IRNazanin" w:eastAsia="IRNazanin"/>
          <w:color w:val="111111"/>
          <w:sz w:val="28"/>
          <w:sz w:val="28"/>
          <w:szCs w:val="28"/>
          <w:rtl w:val="true"/>
          <w:lang w:bidi="fa-IR"/>
        </w:rPr>
        <w:t>لا تکفی عن الوضوء</w:t>
      </w:r>
      <w:r>
        <w:rPr>
          <w:rStyle w:val="FootnoteAnchor"/>
          <w:rtl w:val="true"/>
        </w:rPr>
        <w:footnoteReference w:id="9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تکفی فی وجهٍ قویٍّ مع ثبوت استحبابها الشرعی من غیر ناحیة التسامح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 وإن کان الأقوی الکفایة، لکن فیما ثبت استحبابه الشرعیّ، لا فیما یؤتی به تسامحاً أو رجاءً، فلا یُترک الوضوء فیما لم یحرز استحبابه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 مثل غُسل الجمعة والعیدین ولیالی القدر وغُسل الإحرام ونحوها، ممّا ثبت استحبابه بدلیل معتبر أنّه لا یلزم بعده الوضوء، فیقدّمه علیه، ولو أخّره عنه نوی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کلّ غسل مشروع عن الوضوء، إلاّ غسل المستحاضة المتوسّطة فالأحوط فیه مصاحبته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کلّ غُسل ثبت استحبابة شرعاً عن الوضوء، من دون فرق بین غسل الجمعة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التیمّم البدل من الأغسال المستحبّة لا یکفی عن الوضوء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 ینبغی ترکه، وإن کان الأقرب الکفایة فی الأغسال المستحبة التی ثبت استحبابها بالدلیل، لا بقاعدة التسامح، فلا یجب الوضوء 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أنّها تکفی مع ثبوت استحبابها الشرعیّ من غیر ناحیة التسامح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الکفایة فی الغسل الثابت استحبابه کغسل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کفایتها عنه،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الکفایة إذا کان استحبابه ثابتاً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w:t>
      </w:r>
      <w:bookmarkStart w:id="735" w:name="pg13276_136816"/>
    </w:p>
    <w:p>
      <w:pPr>
        <w:pStyle w:val="BookText"/>
        <w:rPr/>
      </w:pPr>
      <w:bookmarkEnd w:id="735"/>
      <w:r>
        <w:rPr>
          <w:rFonts w:ascii="IRNazanin" w:hAnsi="IRNazanin" w:eastAsia="IRNazanin"/>
          <w:color w:val="111111"/>
          <w:sz w:val="28"/>
          <w:sz w:val="28"/>
          <w:szCs w:val="28"/>
          <w:rtl w:val="true"/>
          <w:lang w:bidi="fa-IR"/>
        </w:rPr>
        <w:t>کان محدِثاً یجب أن یتوضّأ للصلاة ونحوها، قبلها أو بعدها، والأفضل قبلها</w:t>
      </w:r>
      <w:r>
        <w:rPr>
          <w:rStyle w:val="FootnoteAnchor"/>
          <w:rtl w:val="true"/>
        </w:rPr>
        <w:footnoteReference w:id="981"/>
      </w:r>
      <w:r>
        <w:rPr>
          <w:rFonts w:ascii="IRNazanin" w:hAnsi="IRNazanin" w:eastAsia="IRNazanin"/>
          <w:color w:val="111111"/>
          <w:sz w:val="28"/>
          <w:sz w:val="28"/>
          <w:szCs w:val="28"/>
          <w:rtl w:val="true"/>
          <w:lang w:bidi="fa-IR"/>
        </w:rPr>
        <w:t>، ویجوز إتیانه فی أثنائها إذا جیء بها ترتیبیّاً</w:t>
      </w:r>
      <w:r>
        <w:rPr>
          <w:rFonts w:eastAsia="IRNazanin" w:cs="IRNazanin"/>
          <w:color w:val="111111"/>
          <w:sz w:val="28"/>
          <w:szCs w:val="28"/>
          <w:rtl w:val="true"/>
          <w:lang w:bidi="fa-IR"/>
        </w:rPr>
        <w:t>.</w:t>
      </w:r>
    </w:p>
    <w:p>
      <w:pPr>
        <w:pStyle w:val="Heading3"/>
        <w:numPr>
          <w:ilvl w:val="2"/>
          <w:numId w:val="1"/>
        </w:numPr>
        <w:rPr/>
      </w:pPr>
      <w:bookmarkStart w:id="736" w:name="__RefHeading___Toc1764090_2322387425"/>
      <w:bookmarkStart w:id="737" w:name="_Toc278"/>
      <w:bookmarkEnd w:id="736"/>
      <w:r>
        <w:rPr>
          <w:rtl w:val="true"/>
        </w:rPr>
        <w:t>تداخل الأغسال و کفایة غسل واحد</w:t>
      </w:r>
      <w:bookmarkEnd w:id="73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أغسال متعدّدة زمانیّة أو مکانیّة أو فعلیّة أو مختلفة یکفی غسل واحد عن الجمیع إذا نواها</w:t>
      </w:r>
      <w:r>
        <w:rPr>
          <w:rStyle w:val="FootnoteAnchor"/>
          <w:rtl w:val="true"/>
        </w:rPr>
        <w:footnoteReference w:id="982"/>
      </w:r>
      <w:r>
        <w:rPr>
          <w:rFonts w:ascii="Amiri" w:hAnsi="Amiri" w:eastAsia="Amiri" w:cs="Amiri"/>
          <w:color w:val="111111"/>
          <w:sz w:val="28"/>
          <w:sz w:val="28"/>
          <w:szCs w:val="28"/>
          <w:rtl w:val="true"/>
          <w:lang w:bidi="ar-SA"/>
        </w:rPr>
        <w:t>جمیعاً</w:t>
      </w:r>
      <w:r>
        <w:rPr>
          <w:rStyle w:val="FootnoteAnchor"/>
          <w:rtl w:val="true"/>
        </w:rPr>
        <w:footnoteReference w:id="983"/>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المنوی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وقد اُشیر إلیه فی فصل الأغسال المندوبة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footnote1-page330"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المنوی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وقد اُشیر إلیه فی فصل الأغسال المندوبة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footnote1-page330"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وقد اُشیر إلیه فی فصل الأغسال المندوبة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footnote1-page330"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المنوی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وقد اُشیر إلیه فی فصل الأغسال المندوبة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footnote1-page330"&gt; 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اعتبار قصد الجمیع فی حصول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التداخل القهریّ فی المقام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شوب إشکال، فالأولی نیّة الجمیع، ومع عدمها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کون التداخل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قهریّاً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فیه وفیما قبله محلّ إشکال ، کما تقدّم فی المسألة الخامسة عشرة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یشترط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الکفایة القهریّة أن یکون ماقصده معلوم المطلوبیّة، لا ما کان یوءتی به بعنوان احتمال</w:t>
      </w:r>
      <w:bookmarkStart w:id="738" w:name="pg13276_136818"/>
    </w:p>
    <w:p>
      <w:pPr>
        <w:pStyle w:val="BookText"/>
        <w:rPr/>
      </w:pPr>
      <w:bookmarkEnd w:id="738"/>
      <w:r>
        <w:rPr>
          <w:rFonts w:ascii="Amiri" w:hAnsi="Amiri" w:eastAsia="Amiri" w:cs="Amiri"/>
          <w:color w:val="111111"/>
          <w:sz w:val="28"/>
          <w:sz w:val="28"/>
          <w:szCs w:val="28"/>
          <w:rtl w:val="true"/>
          <w:lang w:bidi="ar-SA"/>
        </w:rPr>
        <w:t>المطلوبیّة؛ لعدم معلومیّة کونه غُسلاً صحیحاً حتّی یکون مجزیاً</w:t>
      </w:r>
      <w:r>
        <w:rPr>
          <w:rStyle w:val="FootnoteAnchor"/>
          <w:rtl w:val="true"/>
        </w:rPr>
        <w:footnoteReference w:id="984"/>
      </w:r>
      <w:r>
        <w:rPr>
          <w:rFonts w:ascii="IRNazanin" w:hAnsi="IRNazanin" w:eastAsia="IRNazanin"/>
          <w:color w:val="111111"/>
          <w:sz w:val="28"/>
          <w:sz w:val="28"/>
          <w:szCs w:val="28"/>
          <w:rtl w:val="true"/>
          <w:lang w:bidi="fa-IR"/>
        </w:rPr>
        <w:t>عمّا هو معلوم المطلوبیّة</w:t>
      </w:r>
      <w:r>
        <w:rPr>
          <w:rFonts w:eastAsia="IRNazanin" w:cs="IRNazanin"/>
          <w:color w:val="111111"/>
          <w:sz w:val="28"/>
          <w:szCs w:val="28"/>
          <w:rtl w:val="true"/>
          <w:lang w:bidi="fa-IR"/>
        </w:rPr>
        <w:t>.</w:t>
      </w:r>
    </w:p>
    <w:p>
      <w:pPr>
        <w:pStyle w:val="Heading3"/>
        <w:numPr>
          <w:ilvl w:val="2"/>
          <w:numId w:val="1"/>
        </w:numPr>
        <w:rPr/>
      </w:pPr>
      <w:bookmarkStart w:id="739" w:name="__RefHeading___Toc1764092_2322387425"/>
      <w:bookmarkStart w:id="740" w:name="_Toc279"/>
      <w:bookmarkEnd w:id="739"/>
      <w:r>
        <w:rPr>
          <w:rtl w:val="true"/>
        </w:rPr>
        <w:t>الکلام فی استحباب الغسل نفساً</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کالمفید والمحقّق والعلاّمة والشهید والمجلسی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نفساً</w:t>
      </w:r>
      <w:r>
        <w:rPr>
          <w:rStyle w:val="FootnoteAnchor"/>
          <w:rtl w:val="true"/>
        </w:rPr>
        <w:footnoteReference w:id="985"/>
      </w:r>
      <w:r>
        <w:rPr>
          <w:rFonts w:ascii="IRNazanin" w:hAnsi="IRNazanin" w:eastAsia="IRNazanin"/>
          <w:color w:val="111111"/>
          <w:sz w:val="28"/>
          <w:sz w:val="28"/>
          <w:szCs w:val="28"/>
          <w:rtl w:val="true"/>
          <w:lang w:bidi="fa-IR"/>
        </w:rPr>
        <w:t>، ولو لم یکن هناک غایة مستحبّة‌أو مکان أو زمان، ونظرهم فی ذلک إلی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أن تکون باللیل والنهار علی طهارة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وضوءٍ أطهر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وضوءٍ أنقی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الجنابة، 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ما ورد من استحباب الغسل بماء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المساجد،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سبب أو غایة، إلی غیر ذلک، لکنّ إثبات المطلب بمثلها مشکل</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إثبات الاستحباب فی کثیر ممّا مرّ من الأغسال المندوبة مشکل، والأحوط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الاستحباب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الاستدلال المزبور من وجه قویّ، ولکنّ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3276_136819"/>
    </w:p>
    <w:p>
      <w:pPr>
        <w:pStyle w:val="Heading3"/>
        <w:numPr>
          <w:ilvl w:val="2"/>
          <w:numId w:val="1"/>
        </w:numPr>
        <w:rPr/>
      </w:pPr>
      <w:bookmarkStart w:id="742" w:name="__RefHeading___Toc1764094_2322387425"/>
      <w:bookmarkStart w:id="743" w:name="_Toc280"/>
      <w:bookmarkEnd w:id="741"/>
      <w:bookmarkEnd w:id="742"/>
      <w:r>
        <w:rPr>
          <w:rtl w:val="true"/>
        </w:rPr>
        <w:t>بدلیة التیمم فی المقام</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التیمّم</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أنّه أیضاً 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 الأحوط الإتیان به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ثبوت بدلیّته عن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والإتیان به رجاءً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بدلیّة التیمّم بنحو الکلّیة ـ کما مرّ ـ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وإن کان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فیأتی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 بدلیّته غیر معلومة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یغنی عن الوضوء فی غیر التیمّم عن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لابأس بإتیانه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التعذر فی ما ثبت استحبابه بدلیل معتبر، وأمّا ثبوته بنحو الکلّیة محلّ تأمّل، فلا بأس بإتیانه بعنوان الرجاء واحتمال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 عند عدم التمکّن منه</w:t>
      </w:r>
      <w:r>
        <w:rPr>
          <w:rFonts w:eastAsia="IRNazanin" w:cs="IRNazanin"/>
          <w:color w:val="111111"/>
          <w:sz w:val="28"/>
          <w:szCs w:val="28"/>
          <w:rtl w:val="true"/>
          <w:lang w:bidi="fa-IR"/>
        </w:rPr>
        <w:t>.</w:t>
      </w:r>
      <w:bookmarkStart w:id="744" w:name="pg13276_136820"/>
    </w:p>
    <w:p>
      <w:pPr>
        <w:pStyle w:val="Heading2"/>
        <w:numPr>
          <w:ilvl w:val="1"/>
          <w:numId w:val="1"/>
        </w:numPr>
        <w:rPr/>
      </w:pPr>
      <w:bookmarkStart w:id="745" w:name="__RefHeading___Toc1764096_2322387425"/>
      <w:bookmarkStart w:id="746" w:name="_Toc281"/>
      <w:bookmarkEnd w:id="744"/>
      <w:bookmarkEnd w:id="745"/>
      <w:r>
        <w:rPr>
          <w:rtl w:val="true"/>
        </w:rPr>
        <w:t>فصل</w:t>
      </w:r>
      <w:r>
        <w:rPr>
          <w:rtl w:val="true"/>
        </w:rPr>
        <w:t xml:space="preserve">: </w:t>
      </w:r>
      <w:r>
        <w:rPr>
          <w:rtl w:val="true"/>
        </w:rPr>
        <w:t>فی التیمّم</w:t>
      </w:r>
      <w:bookmarkEnd w:id="746"/>
    </w:p>
    <w:p>
      <w:pPr>
        <w:pStyle w:val="Heading3"/>
        <w:numPr>
          <w:ilvl w:val="2"/>
          <w:numId w:val="1"/>
        </w:numPr>
        <w:rPr/>
      </w:pPr>
      <w:bookmarkStart w:id="747" w:name="__RefHeading___Toc1764098_2322387425"/>
      <w:bookmarkStart w:id="748" w:name="_Toc282"/>
      <w:bookmarkEnd w:id="747"/>
      <w:r>
        <w:rPr>
          <w:rtl w:val="true"/>
        </w:rPr>
        <w:t>مسوّغات التیمّم</w:t>
      </w:r>
      <w:bookmarkEnd w:id="748"/>
    </w:p>
    <w:p>
      <w:pPr>
        <w:pStyle w:val="BookText"/>
        <w:rPr/>
      </w:pPr>
      <w:r>
        <w:rPr>
          <w:rFonts w:ascii="Amiri" w:hAnsi="Amiri" w:eastAsia="Amiri" w:cs="Amiri"/>
          <w:color w:val="111111"/>
          <w:sz w:val="28"/>
          <w:sz w:val="28"/>
          <w:szCs w:val="28"/>
          <w:rtl w:val="true"/>
          <w:lang w:bidi="ar-SA"/>
        </w:rPr>
        <w:t>ویُسوِّغُه العجز</w:t>
      </w:r>
      <w:r>
        <w:rPr>
          <w:rStyle w:val="FootnoteAnchor"/>
          <w:rtl w:val="true"/>
        </w:rPr>
        <w:footnoteReference w:id="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یسوِّغه کلّ مسقط للطهارة المائیة، وموجب لعدم تنجّز مطلوبیتها، سواء کان هو العجز أم غیره ممّا سیأتی فی خلال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یختصّ بذلک، بل یعمّ کلّ عذر مسقط للطهارة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العذر المسقط لوجوب الوضوء أو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استعمال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الجامع أوسع من ذلک؛ لأنّ من المسوّغات الحرج والضرر غیر المحرّم ارتکابه،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ویسوّغه سقوط وجوب 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تعبیر جامع من الفقهاء یشمل جمیع الموارد المشروع فیها التیمّم، یراد منه عدم التمکّن من استعمال الماء، سواء کان العجز عقلیاً أم شرعیاً أم عادیا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وهو یتحقّق باُمور</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764100_2322387425"/>
      <w:bookmarkStart w:id="750" w:name="_Toc283"/>
      <w:bookmarkEnd w:id="749"/>
      <w:r>
        <w:rPr>
          <w:rtl w:val="true"/>
        </w:rPr>
        <w:t>الأول</w:t>
      </w:r>
      <w:r>
        <w:rPr>
          <w:rtl w:val="true"/>
        </w:rPr>
        <w:t xml:space="preserve">: </w:t>
      </w:r>
      <w:r>
        <w:rPr>
          <w:rtl w:val="true"/>
        </w:rPr>
        <w:t>عدم وجدان الماء</w:t>
      </w:r>
      <w:bookmarkEnd w:id="750"/>
    </w:p>
    <w:p>
      <w:pPr>
        <w:pStyle w:val="Heading4"/>
        <w:numPr>
          <w:ilvl w:val="3"/>
          <w:numId w:val="1"/>
        </w:numPr>
        <w:rPr/>
      </w:pPr>
      <w:bookmarkStart w:id="751" w:name="__RefHeading___Toc1764102_2322387425"/>
      <w:bookmarkStart w:id="752" w:name="_Toc284"/>
      <w:bookmarkEnd w:id="751"/>
      <w:r>
        <w:rPr>
          <w:rtl w:val="true"/>
        </w:rPr>
        <w:t>وجوب الطلب ومقداره</w:t>
      </w:r>
      <w:bookmarkEnd w:id="75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وجدان الماء بقدر الکفایة للغسل أو الوضوء، فی سفر کان أو حضر، ووجدان المقدار غیرِ الکافی</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مع المزج بالمضاف بنحوٍ لا یخرجه عن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کعدمه</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أمکن مزجه بالمضاف بحیث یکون المجموع ماءً مطلقاً کافیاً له والأحوط عدم الانتقال إلی التیمّم، وإن کان الانتقال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 الفحص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السعی إلیه ما لم یکن بعیداً عنه بحیث یصدق عرفاً أنّه غیر واجد للماء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الیأس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العادی، وهو العجز العرفی عن الظفر به فی مقام امتثال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فی الحضر، وفی البرّیّة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مسافراً فیها فعلیه الفحص عنه فیما یقرب من مکانه وفی الطریق،بل الأحوط أن یفحص بالحدود المذکورة فی المتن علی نحو الدائرة، وأمّا الساکن فیها فحکمه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الطلب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عدم التفصیل بین الحضر والسفر، وأنّ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الیأس من الوجدان، نعم، ادُّعی الاتفاق علی ما فی المتن، وبما ذکرنا یظهر أنّه یجب الفحص علی الإطلاق، إلاّ أن یحصل العلم أو الاطمئنان بعدم الوجدان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رَمیةٍ بسهم، والفَرسَخ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فی</w:t>
      </w:r>
    </w:p>
    <w:p>
      <w:pPr>
        <w:pStyle w:val="BookText"/>
        <w:rPr/>
      </w:pPr>
      <w:r>
        <w:rPr>
          <w:rFonts w:ascii="Amiri" w:hAnsi="Amiri" w:eastAsia="Amiri" w:cs="Amiri"/>
          <w:color w:val="111111"/>
          <w:sz w:val="28"/>
          <w:sz w:val="28"/>
          <w:szCs w:val="28"/>
          <w:rtl w:val="true"/>
          <w:lang w:bidi="ar-SA"/>
        </w:rPr>
        <w:t>الحَزْنة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 فی ارتفاع، ومن الشیء ما خَشُن،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حُزُون،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حَزْنة وحَزْن، وهی بعکس السَهْلة والسَهْل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لأجل الأشجار</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الأرض ذات الأشجار لو کانت سهلة فی نفسها یجب الفحص فیها غلوة سهمین؛ لعدم کون الاشتمال علیها موجباً لصدق الحَزْنة التی هی عبارة عمّا غلظ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وغلوة سهمین فی السهلة فی الجوانب 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الأصلیة، والأولی رعایة الجهات الفرعیة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بشرط احتمال وجود الماء فی الجمیع، ومع العلم بعدمه فی بعضها یسقط فیه، ومع العلم بعدمه فی الجمیع یسقط فی الجمیع، کما أ نّه لو علم وجوده فوق المقدار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 طلبه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لولم یکن بعیداً بحیث یصدق عنده فقدان الماء عرفاً، وإلاّ فیشکل وجوب طلبه،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کما علم ممّا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المشقّة والعُسر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بقاء</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53" w:name="pg13276_136823"/>
    </w:p>
    <w:p>
      <w:pPr>
        <w:pStyle w:val="BookText"/>
        <w:rPr/>
      </w:pPr>
      <w:bookmarkEnd w:id="753"/>
      <w:r>
        <w:rPr>
          <w:rFonts w:ascii="IRNazanin" w:hAnsi="IRNazanin" w:eastAsia="IRNazanin"/>
          <w:color w:val="111111"/>
          <w:sz w:val="28"/>
          <w:sz w:val="28"/>
          <w:szCs w:val="28"/>
          <w:rtl w:val="true"/>
          <w:lang w:bidi="fa-IR"/>
        </w:rPr>
        <w:t>الوقت</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عدم الحرج الشدید، وإلاّ فیسقط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طروء أحد العناوین المسقطة، کالعسر والحرج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الضرر أو الحرج، وعدم کونه بعیداً جدّاً بحیث یصدق علیه عدم الوجدان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یلزم منه مشقّة لا یتحمّلها المتعارف، وکذا الحال لو کان الماء بعیدا بدرجةٍ لا یصدق معها الوجدان، أی کون الماء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الظنّ به کالعلم فی وجوب الأزید، وإن کان أحوط، خصوصاً إذا کان بحدّ الاطمئنان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فی موارد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حصل له الاطمئنان فهو عالم فی نظر الشارع، علی ما یستفاد من 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یترک 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الفحص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فیها وجوب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مع الاطمئنان علی الأقوی، کما فی صورة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فیطلب إلی أن یزول ظنّه، ولا عبرة بالاحتمال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الأزید</w:t>
      </w:r>
      <w:r>
        <w:rPr>
          <w:rFonts w:eastAsia="IRNazanin" w:cs="IRNazanin"/>
          <w:color w:val="111111"/>
          <w:sz w:val="28"/>
          <w:szCs w:val="28"/>
          <w:rtl w:val="true"/>
          <w:lang w:bidi="fa-IR"/>
        </w:rPr>
        <w:t>.</w:t>
      </w:r>
    </w:p>
    <w:p>
      <w:pPr>
        <w:pStyle w:val="Heading3"/>
        <w:numPr>
          <w:ilvl w:val="2"/>
          <w:numId w:val="1"/>
        </w:numPr>
        <w:rPr/>
      </w:pPr>
      <w:bookmarkStart w:id="754" w:name="__RefHeading___Toc1764104_2322387425"/>
      <w:bookmarkStart w:id="755" w:name="_Toc285"/>
      <w:bookmarkEnd w:id="754"/>
      <w:r>
        <w:rPr>
          <w:rtl w:val="true"/>
        </w:rPr>
        <w:t>محققات الطلب ومسقطاته</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عدلان</w:t>
      </w:r>
      <w:r>
        <w:rPr>
          <w:rStyle w:val="FootnoteAnchor"/>
          <w:rtl w:val="true"/>
        </w:rPr>
        <w:footnoteReference w:id="993"/>
      </w:r>
      <w:r>
        <w:rPr>
          <w:rFonts w:ascii="IRNazanin" w:hAnsi="IRNazanin" w:eastAsia="IRNazanin"/>
          <w:color w:val="111111"/>
          <w:sz w:val="28"/>
          <w:sz w:val="28"/>
          <w:szCs w:val="28"/>
          <w:rtl w:val="true"/>
          <w:lang w:bidi="fa-IR"/>
        </w:rPr>
        <w:t>بعدم الماء فی جمیع الجوانب أو بعضها سقط وجوب الطلب فیها أو فیه، وإن کان الأحوط</w:t>
      </w:r>
      <w:r>
        <w:rPr>
          <w:rStyle w:val="FootnoteAnchor"/>
          <w:rtl w:val="true"/>
        </w:rPr>
        <w:footnoteReference w:id="9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الاکتفاء</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یحصل الاطمئنان العادی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الاکتفاء بالعدل الواحد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عدم وجوب الطلب إن أفاد قوله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الاکتفاء به، بل بشهادة العدلین أیضاً لولم یحصل الاطمئنان بعدم الماء من شهادتهما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یُفد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حصول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الاکتفاء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أفاد قوله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الاکتفاء بقول من یوثق بقوله، فلا تعتبر العدالة والتعدّد، ومنه یعلم جواز ترک الاحتیاط فی صورة إخبار البیّنة بالعدم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باب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قوله فی الموضوعات، إلاّ إذا أفاد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بإخبار العدل الواحد، بل بإخبار مطلق الثقة، وکذا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یُفِد الاطمئنان العقلائی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الاکتفاء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فإنّه یکفی شهادة العدل الواحد،بل لا یبعد الکفایة بشهادة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بالطلب، بل لا إشکال فیه بعد اعتباره فی الموضوعات، خصوصاً إذا حصل منه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یحصل الاطمئنان بقوله، وکذا الحال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w:t>
      </w:r>
    </w:p>
    <w:p>
      <w:pPr>
        <w:pStyle w:val="BookText"/>
        <w:rPr/>
      </w:pPr>
      <w:r>
        <w:rPr>
          <w:rFonts w:ascii="IRNazanin" w:hAnsi="IRNazanin" w:eastAsia="IRNazanin"/>
          <w:color w:val="111111"/>
          <w:sz w:val="28"/>
          <w:sz w:val="28"/>
          <w:szCs w:val="28"/>
          <w:rtl w:val="true"/>
          <w:lang w:bidi="fa-IR"/>
        </w:rPr>
        <w:t>یُترک الاحتیاط</w:t>
      </w:r>
      <w:r>
        <w:rPr>
          <w:rStyle w:val="FootnoteAnchor"/>
          <w:rtl w:val="true"/>
        </w:rPr>
        <w:footnoteReference w:id="996"/>
      </w:r>
      <w:r>
        <w:rPr>
          <w:rFonts w:ascii="IRNazanin" w:hAnsi="IRNazanin" w:eastAsia="IRNazanin"/>
          <w:color w:val="111111"/>
          <w:sz w:val="28"/>
          <w:sz w:val="28"/>
          <w:szCs w:val="28"/>
          <w:rtl w:val="true"/>
          <w:lang w:bidi="fa-IR"/>
        </w:rPr>
        <w:t>بالطلب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w:t>
      </w:r>
      <w:r>
        <w:rPr>
          <w:rStyle w:val="FootnoteAnchor"/>
          <w:rtl w:val="true"/>
        </w:rPr>
        <w:footnoteReference w:id="997"/>
      </w:r>
      <w:r>
        <w:rPr>
          <w:rFonts w:ascii="IRNazanin" w:hAnsi="IRNazanin" w:eastAsia="IRNazanin"/>
          <w:color w:val="111111"/>
          <w:sz w:val="28"/>
          <w:sz w:val="28"/>
          <w:szCs w:val="28"/>
          <w:rtl w:val="true"/>
          <w:lang w:bidi="fa-IR"/>
        </w:rPr>
        <w:t>الطلب فی الأزید</w:t>
      </w:r>
      <w:r>
        <w:rPr>
          <w:rStyle w:val="FootnoteAnchor"/>
          <w:rtl w:val="true"/>
        </w:rPr>
        <w:footnoteReference w:id="998"/>
      </w:r>
      <w:r>
        <w:rPr>
          <w:rFonts w:ascii="IRNazanin" w:hAnsi="IRNazanin" w:eastAsia="IRNazanin"/>
          <w:color w:val="111111"/>
          <w:sz w:val="28"/>
          <w:sz w:val="28"/>
          <w:szCs w:val="28"/>
          <w:rtl w:val="true"/>
          <w:lang w:bidi="fa-IR"/>
        </w:rPr>
        <w:t>من المقدارین</w:t>
      </w:r>
      <w:r>
        <w:rPr>
          <w:rStyle w:val="FootnoteAnchor"/>
          <w:rtl w:val="true"/>
        </w:rPr>
        <w:footnoteReference w:id="999"/>
      </w:r>
      <w:r>
        <w:rPr>
          <w:rFonts w:ascii="IRNazanin" w:hAnsi="IRNazanin" w:eastAsia="IRNazanin"/>
          <w:color w:val="111111"/>
          <w:sz w:val="28"/>
          <w:sz w:val="28"/>
          <w:szCs w:val="28"/>
          <w:rtl w:val="true"/>
          <w:lang w:bidi="fa-IR"/>
        </w:rPr>
        <w:t>إذا شهد عدلان</w:t>
      </w:r>
      <w:r>
        <w:rPr>
          <w:rStyle w:val="FootnoteAnchor"/>
          <w:rtl w:val="true"/>
        </w:rPr>
        <w:footnoteReference w:id="1000"/>
      </w:r>
      <w:r>
        <w:rPr>
          <w:rFonts w:ascii="IRNazanin" w:hAnsi="IRNazanin" w:eastAsia="IRNazanin"/>
          <w:color w:val="111111"/>
          <w:sz w:val="28"/>
          <w:sz w:val="28"/>
          <w:szCs w:val="28"/>
          <w:rtl w:val="true"/>
          <w:lang w:bidi="fa-IR"/>
        </w:rPr>
        <w:t>بوجوده فی الأزید</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بنحو یصدق معه عدم الوجدان عرفاً، وإلاّ ففیه إشکال،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حیث لم یکن البعد مفرطاً بحیث صدق عدم الوجدان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اشتراط أن لایصدق عُرفاً فقدان الماء، وإلاّ فیشکل وجوب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إفادة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لایلزم هذا الاحتیاط، إلاّ إذا أفاد قوله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إفاد قوله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ولا یعتنی باحتمال عدم حجّیته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شهادة‌عدل واحد به</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الطلب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کفایة</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کفایتها مع عدم حصول الاطمئنان من قوله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تحقّق اطمئنان المتعارف بعدم الوجدان، سواء حصل ذلک بالمباشرة أم الاستنابة، أم من جهة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قول النائب واجداً لشرائط الحجّیة وأخبر عن عدم الماء یکتفی به لذلک، لا لکونه نائباً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وعدم وجوب المباشرة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لا یبعد 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الکفایة؛ لتحقّق الاطمئنان العرفی بعدم الوجدان، سواء تحقق هذا بالمباشرة أم بالاستنابة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جماعة، ولا</w:t>
      </w:r>
    </w:p>
    <w:p>
      <w:pPr>
        <w:pStyle w:val="BookText"/>
        <w:rPr/>
      </w:pPr>
      <w:r>
        <w:rPr>
          <w:rFonts w:ascii="Amiri" w:hAnsi="Amiri" w:eastAsia="Amiri" w:cs="Amiri"/>
          <w:color w:val="111111"/>
          <w:sz w:val="28"/>
          <w:sz w:val="28"/>
          <w:szCs w:val="28"/>
          <w:rtl w:val="true"/>
          <w:lang w:bidi="ar-SA"/>
        </w:rPr>
        <w:t>یلزم کونه عادلاً بعد کونه أمیناً موثّقاً</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من قوله الیأس عن الماء، أو کان بیّنة شرعیة، وحینئذٍ فلا یلزم کونه نائباً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یطمئنّ بإخباره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وحصل من قوله الاطمئنان بعدم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بحصول الاطمئنان بقوله، سواء کان نائباً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ومفیداً قوله للاطمئنان، وإلاّ فالکفایة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وجود الماء فی رحله أو فی منزله أو فی القافلة وجب الفحص</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متیقناً بالعدم سابقاً واحتمل حدوثه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یتیقّن العدم، أو یحصل الیأس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فکفایة المقدارین خاصّ بالبرّیّة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بالمساحة المکانیة فی البَرّ، فالرحل والمنزل ونحوهما خارجان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قبل دخول وقت</w:t>
      </w:r>
      <w:r>
        <w:rPr>
          <w:rStyle w:val="FootnoteAnchor"/>
          <w:rtl w:val="true"/>
        </w:rPr>
        <w:footnoteReference w:id="1006"/>
      </w:r>
      <w:r>
        <w:rPr>
          <w:rFonts w:ascii="IRNazanin" w:hAnsi="IRNazanin" w:eastAsia="IRNazanin"/>
          <w:color w:val="111111"/>
          <w:sz w:val="28"/>
          <w:sz w:val="28"/>
          <w:szCs w:val="28"/>
          <w:rtl w:val="true"/>
          <w:lang w:bidi="fa-IR"/>
        </w:rPr>
        <w:t>الصلاة ولم یجد ففی کفایته بعـد دخول الوقت مع احتمال العثور</w:t>
      </w:r>
      <w:r>
        <w:rPr>
          <w:rStyle w:val="FootnoteAnchor"/>
          <w:rtl w:val="true"/>
        </w:rPr>
        <w:footnoteReference w:id="10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لاحتمال تجدّد الماء لا مطلقاً، وإن کان عدم الوجوب فی هذه الصورة أیضاً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أعاده</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 الإعادة إذا کان احتمال العثور من جهة احتمال وجوده حین الطلب، وکذا مع احتمال تجدّده من دون أمارة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 التجدّد مع وجود أمارة ظنّیة علیه فالظاهر وجوب الإعادة، وهکذا الحکم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عدم الوجوب، إلاّ مع مظنّة تجدّد الماء، أو قصور الطلب الأول عن حدّه المعتبر فعلاً، ولو کان معتبراً حینه لعجز أو غبرة أو غیرهما، وعلیه فیعید ولو کان الطلب الأوّل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کفایة الطلب السابق قوّة،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الإعادة، إلاّ مع احتمال تجدّد وجوده احتمالاً معتدّاً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ظاهراً فی کفایة الفحص قبل الوقت للصلاة بعده؛ لإطلاق الروایة؛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الماء فی السفر غلوة سهم إن کانت الحزونة وإن کانت سهولة فغلوتین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التیمّم،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بالنسبة إلی ما قبل الوقت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الکفایة، وعدم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موجّه وإن کان الاحتیاط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للإشکال فی تمامیة الإطلاق لخبر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تناول ما قبل الوقت، فلعلّه غیر ناظر إلی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الکفایة وعدم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الاکتفاء به، وإن احتمل حدوث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الکفایة، نعم، إذا ترک الفحص فی بعض الأمکنة للقطع بعدم الماء فیه ثمّ شکّ فلابدّ من تکمیل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فلا یُترک الاحتیـاط </w:t>
      </w:r>
      <w:r>
        <w:rPr>
          <w:rFonts w:eastAsia="IRNazanin" w:cs="IRNazanin"/>
          <w:color w:val="111111"/>
          <w:sz w:val="28"/>
          <w:szCs w:val="28"/>
          <w:rtl w:val="true"/>
          <w:lang w:bidi="fa-IR"/>
        </w:rPr>
        <w:t>. . . . . . . . . . . . . .</w:t>
      </w:r>
    </w:p>
    <w:p>
      <w:pPr>
        <w:pStyle w:val="BookText"/>
        <w:rPr/>
      </w:pPr>
      <w:r>
        <w:rPr>
          <w:rFonts w:ascii="Amiri" w:hAnsi="Amiri" w:eastAsia="Amiri" w:cs="Amiri"/>
          <w:color w:val="111111"/>
          <w:sz w:val="28"/>
          <w:sz w:val="28"/>
          <w:szCs w:val="28"/>
          <w:rtl w:val="true"/>
          <w:lang w:bidi="ar-SA"/>
        </w:rPr>
        <w:t>بالإعادة</w:t>
      </w:r>
      <w:r>
        <w:rPr>
          <w:rStyle w:val="FootnoteAnchor"/>
          <w:rtl w:val="true"/>
        </w:rPr>
        <w:footnoteReference w:id="10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حدوث الماء بعد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الإعادة، إلاّ إذا کان احتمال العثور علی الماء ممّا یعتنی به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بإعادة الفحص فی صورة احتمال العثور علی الماء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اطمأنّ بالعثور یجب علیه الفحص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احتمالاً عقلائیاً حدوث الماء بعد الطلب والنِشدان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النِشدان والمُناشدة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والبحث، وأنشد الشیء ونَشَدَه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وطلبه ونادی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الاحتمال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احتمل حدوث الماء بعد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غیر لازم، إلاّ مع تبدّل الموضوع عرفاً، کنزول مطر مثلاً، وکذا فی 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مع انتقاله عن ذلک المکان فلا إشکال فی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الاحتمال 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بعد دخول الوقت لصلاة فلم یجد یکفی لغیرها من الصلوات</w:t>
      </w:r>
      <w:r>
        <w:rPr>
          <w:rStyle w:val="FootnoteAnchor"/>
          <w:rtl w:val="true"/>
        </w:rPr>
        <w:footnoteReference w:id="1010"/>
      </w:r>
      <w:r>
        <w:rPr>
          <w:rFonts w:ascii="IRNazanin" w:hAnsi="IRNazanin" w:eastAsia="IRNazanin"/>
          <w:color w:val="111111"/>
          <w:sz w:val="28"/>
          <w:sz w:val="28"/>
          <w:szCs w:val="28"/>
          <w:rtl w:val="true"/>
          <w:lang w:bidi="fa-IR"/>
        </w:rPr>
        <w:t>، فلا تجب الإعادة عند کلّ صلاة إن لم یحتمل</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العثور</w:t>
      </w:r>
      <w:r>
        <w:rPr>
          <w:rStyle w:val="FootnoteAnchor"/>
          <w:rtl w:val="true"/>
        </w:rPr>
        <w:footnoteReference w:id="10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احتمله؛ لکفایة الطلب السابق کما ذکرنا فی المسألة السابقة، وإلغاء هذا الاحتمال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نعم، یجب التکمیل فی الصورة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احتمل العثور علی ماء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احتمال الحدوث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ذکرناه فی الحاشیة السابقة یأتی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الاحتمال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w:t>
      </w:r>
      <w:r>
        <w:rPr>
          <w:rStyle w:val="FootnoteAnchor"/>
          <w:rtl w:val="true"/>
        </w:rPr>
        <w:footnoteReference w:id="1013"/>
      </w:r>
      <w:r>
        <w:rPr>
          <w:rFonts w:ascii="IRNazanin" w:hAnsi="IRNazanin" w:eastAsia="IRNazanin"/>
          <w:color w:val="111111"/>
          <w:sz w:val="28"/>
          <w:sz w:val="28"/>
          <w:szCs w:val="28"/>
          <w:rtl w:val="true"/>
          <w:lang w:bidi="fa-IR"/>
        </w:rPr>
        <w:t>فی السهم والرمی</w:t>
      </w:r>
      <w:r>
        <w:rPr>
          <w:rStyle w:val="FootnoteAnchor"/>
          <w:rtl w:val="true"/>
        </w:rPr>
        <w:footnoteReference w:id="10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الرمی غایة ما یقدر الرامی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والقوس والهواء والرامی هو المتعارف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المعتدل الوسط فی القوّة والضُعف</w:t>
      </w:r>
      <w:r>
        <w:rPr>
          <w:rFonts w:eastAsia="IRNazanin" w:cs="IRNazanin"/>
          <w:color w:val="111111"/>
          <w:sz w:val="28"/>
          <w:szCs w:val="28"/>
          <w:rtl w:val="true"/>
          <w:lang w:bidi="fa-IR"/>
        </w:rPr>
        <w:t>.</w:t>
      </w:r>
      <w:bookmarkStart w:id="756" w:name="pg13276_136831"/>
    </w:p>
    <w:p>
      <w:pPr>
        <w:pStyle w:val="BookText"/>
        <w:rPr/>
      </w:pPr>
      <w:bookmarkEnd w:id="7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w:t>
      </w:r>
      <w:r>
        <w:rPr>
          <w:rStyle w:val="FootnoteAnchor"/>
          <w:rtl w:val="true"/>
        </w:rPr>
        <w:footnoteReference w:id="1015"/>
      </w:r>
      <w:r>
        <w:rPr>
          <w:rFonts w:ascii="IRNazanin" w:hAnsi="IRNazanin" w:eastAsia="IRNazanin"/>
          <w:color w:val="111111"/>
          <w:sz w:val="28"/>
          <w:sz w:val="28"/>
          <w:szCs w:val="28"/>
          <w:rtl w:val="true"/>
          <w:lang w:bidi="fa-IR"/>
        </w:rPr>
        <w:t>وجوب</w:t>
      </w:r>
      <w:r>
        <w:rPr>
          <w:rStyle w:val="FootnoteAnchor"/>
          <w:rtl w:val="true"/>
        </w:rPr>
        <w:footnoteReference w:id="1016"/>
      </w:r>
      <w:r>
        <w:rPr>
          <w:rFonts w:ascii="IRNazanin" w:hAnsi="IRNazanin" w:eastAsia="IRNazanin"/>
          <w:color w:val="111111"/>
          <w:sz w:val="28"/>
          <w:sz w:val="28"/>
          <w:szCs w:val="28"/>
          <w:rtl w:val="true"/>
          <w:lang w:bidi="fa-IR"/>
        </w:rPr>
        <w:t>الطلب</w:t>
      </w:r>
      <w:r>
        <w:rPr>
          <w:rStyle w:val="FootnoteAnchor"/>
          <w:rtl w:val="true"/>
        </w:rPr>
        <w:footnoteReference w:id="1017"/>
      </w:r>
      <w:r>
        <w:rPr>
          <w:rFonts w:ascii="IRNazanin" w:hAnsi="IRNazanin" w:eastAsia="IRNazanin"/>
          <w:color w:val="111111"/>
          <w:sz w:val="28"/>
          <w:sz w:val="28"/>
          <w:szCs w:val="28"/>
          <w:rtl w:val="true"/>
          <w:lang w:bidi="fa-IR"/>
        </w:rPr>
        <w:t>فی ضیق الوقت</w:t>
      </w:r>
      <w:r>
        <w:rPr>
          <w:rStyle w:val="FootnoteAnchor"/>
          <w:rtl w:val="true"/>
        </w:rPr>
        <w:footnoteReference w:id="10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خوفه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بقدر ما یتضیّق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1764106_2322387425"/>
      <w:bookmarkStart w:id="758" w:name="_Toc286"/>
      <w:bookmarkEnd w:id="757"/>
      <w:r>
        <w:rPr>
          <w:rtl w:val="true"/>
        </w:rPr>
        <w:t>لو ترک الطلب متعمدّاً صحّت صلاته وإنْ عصی</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الطلب حتّی ضاق الوقت عصی</w:t>
      </w:r>
      <w:r>
        <w:rPr>
          <w:rStyle w:val="FootnoteAnchor"/>
          <w:rtl w:val="true"/>
        </w:rPr>
        <w:footnoteReference w:id="10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التعبیر بالخطأ، لا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عثوره علی الماء لو طلب، وإلاّ کان متجرّیاً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الأقوی صحّة صلاته حینئذٍ، وإن علم أ نّه لو طلب لعثر،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خصوصاً فی الفرض المذکور</w:t>
      </w:r>
      <w:r>
        <w:rPr>
          <w:rFonts w:eastAsia="IRNazanin" w:cs="IRNazanin"/>
          <w:color w:val="111111"/>
          <w:sz w:val="28"/>
          <w:szCs w:val="28"/>
          <w:rtl w:val="true"/>
          <w:lang w:bidi="fa-IR"/>
        </w:rPr>
        <w:t>.</w:t>
      </w:r>
      <w:bookmarkStart w:id="759" w:name="pg13276_136832"/>
    </w:p>
    <w:p>
      <w:pPr>
        <w:pStyle w:val="BookText"/>
        <w:rPr/>
      </w:pPr>
      <w:bookmarkEnd w:id="7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الطلب فی سعة الوقت وصلّی بطلت صلاته</w:t>
      </w:r>
      <w:r>
        <w:rPr>
          <w:rStyle w:val="FootnoteAnchor"/>
          <w:rtl w:val="true"/>
        </w:rPr>
        <w:footnoteReference w:id="1020"/>
      </w:r>
      <w:r>
        <w:rPr>
          <w:rFonts w:ascii="IRNazanin" w:hAnsi="IRNazanin" w:eastAsia="IRNazanin"/>
          <w:color w:val="111111"/>
          <w:sz w:val="28"/>
          <w:sz w:val="28"/>
          <w:szCs w:val="28"/>
          <w:rtl w:val="true"/>
          <w:lang w:bidi="fa-IR"/>
        </w:rPr>
        <w:t>وإن تبیّن عدم وجود الماء، نعم، لو حصل منه قصد القربة</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بأن أتی بها بداعی احتمال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فی تحقّق هذا القصد، مع توجّهه بأنّه یستلزم ترک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تبیّن عدم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عدم الاهتداء إلیه لو طلبه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صحّتها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لا یخلو البطلان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 لعدم الأمر الفعلی بالتیمّم قبل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الإعادة 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کلٍّ من التیمّم والصلاة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1764108_2322387425"/>
      <w:bookmarkStart w:id="761" w:name="_Toc287"/>
      <w:bookmarkEnd w:id="760"/>
      <w:r>
        <w:rPr>
          <w:rtl w:val="true"/>
        </w:rPr>
        <w:t>اذا أخطا الماء أو اعتقد ضیق الوقت فتبین العکس</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الماء بمقتضی وظیفته فلم یجد، فتیمّم</w:t>
      </w:r>
      <w:r>
        <w:rPr>
          <w:rStyle w:val="FootnoteAnchor"/>
          <w:rtl w:val="true"/>
        </w:rPr>
        <w:footnoteReference w:id="1022"/>
      </w:r>
      <w:r>
        <w:rPr>
          <w:rFonts w:ascii="IRNazanin" w:hAnsi="IRNazanin" w:eastAsia="IRNazanin"/>
          <w:color w:val="111111"/>
          <w:sz w:val="28"/>
          <w:sz w:val="28"/>
          <w:szCs w:val="28"/>
          <w:rtl w:val="true"/>
          <w:lang w:bidi="fa-IR"/>
        </w:rPr>
        <w:t>وصلّی، ثمّ تبیّن وجوده فی محلّ الطلب من الغلوة أو الغلوتین أو الرحل أو القافلة صحّت صلاته</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بطلانها لو کان التبیّن فی أثناء الوقت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القضاء</w:t>
      </w:r>
      <w:r>
        <w:rPr>
          <w:rStyle w:val="FootnoteAnchor"/>
          <w:rtl w:val="true"/>
        </w:rPr>
        <w:footnoteReference w:id="1024"/>
      </w:r>
      <w:r>
        <w:rPr>
          <w:rFonts w:ascii="Amiri" w:hAnsi="Amiri" w:eastAsia="Amiri" w:cs="Amiri"/>
          <w:color w:val="111111"/>
          <w:sz w:val="28"/>
          <w:sz w:val="28"/>
          <w:szCs w:val="28"/>
          <w:rtl w:val="true"/>
          <w:lang w:bidi="ar-SA"/>
        </w:rPr>
        <w:t>أو الإعادة</w:t>
      </w:r>
      <w:r>
        <w:rPr>
          <w:rStyle w:val="FootnoteAnchor"/>
          <w:rtl w:val="true"/>
        </w:rPr>
        <w:footnoteReference w:id="1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عدم ترک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وجوب القضاء لو انکشف الحال بعد انقضاء الوقت، وأمّا لو انکشف الحال فی الوقت ففی عدم الوجوب إشکال، فلا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بالإعادة إذا تبیّن له وجود الماء فی محلّ الطلب والوقت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تبیّن فی الوقت فالأحوط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وجوبها 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ضیق الوقت عن الطلب فترکه وتیمّم وصلّی، ثمّ تبیّـن سعة الوقت لا یبعد</w:t>
      </w:r>
      <w:r>
        <w:rPr>
          <w:rStyle w:val="FootnoteAnchor"/>
          <w:rtl w:val="true"/>
        </w:rPr>
        <w:footnoteReference w:id="10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فی مکان صلّی فیه یجب علیه الطلب مع سعة الوقت ، فإن لم یجد الماء تجزئ صلاته، وإن وجده أعادها، ومع عدم السعة فالأحوط تجدید التیمّم وإعادة الصلاة، وإن انتقل إلی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بأنّه لو طلبه لوجده یعید الصلاة وإن کان فی هذا الحال غیر قادر علی الطلب وکان تکلیفه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بأنّه لو طلب لَما ظفر به صحّت صلاته ولا یعیدها، ومع اشتباه الحال فالأحوط 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صلاته</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تبیّن عدم وجود الماء، وإلاّ لزم الإعادة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بطلانها، إلاّ إذا تبیّن عدم الماء فی مکان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یتبیّن وجوده حتّی بعد الطلب، وإلاّ یجب الطلب والإعادة بعد الوجدان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تقدیر الطلب غیر واجدٍ له فالأظهر صحة التیمّم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بعیدة فیما إذا کان الانکشاف فی سعة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وجود الماء واقعاً وعدمه، فیجب السعی، لو وجد الماء فتجب الإعادة أو القضاء، وإن لم یجد لا تجب الإعادة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بناءً علی جواز البدار لذوی الأعذار، وأمّا بناءً علی عدم جوازه فلا وجه لصحة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علی تقدیر الطلب واجداً له، ولا تُترک الإعادة فی هذه الصورة، وأمّا إذا کان علی تقدیر الطلب غیر واجد له فالأقوی صحة التیمّم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فیما إذا لو طلب لعثر؛ لأنّ تیمّمه حینئذٍ لم یکن فی محلّه؛ لکونه واجدَ الماء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تخیّل من جهة اعتقاده ضیق الوقت أنّ تکلیفه الصلاة مع تیمّم، فالصلاة التی صلاّها لم یکن مأموراً بها بالأمر الواقعیّ الثانویّ حتّی تکون مجزیة عن الإتیان بالمأمور به بالأمر الواقعی الأوّلی، کما هو مقتضی أدلّة الإجزاء، ولا فرق فی ذلک بین الإعادة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تترک الإعادة إن کان علی تقدیر الطلب واجداً للماء، وأمّا لو کان غیر واجد إیّاه علی تقدیر الطلب فالأقوی صحة التیمّم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إذا کان علی تقدیر الطلب لا یعثر علیه، فإنّ الأظهر حینئذٍ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الإعادة أو القضاء، بل لا یُترک الاحتیاط</w:t>
      </w:r>
    </w:p>
    <w:p>
      <w:pPr>
        <w:pStyle w:val="BookText"/>
        <w:rPr/>
      </w:pPr>
      <w:r>
        <w:rPr>
          <w:rFonts w:ascii="Amiri" w:hAnsi="Amiri" w:eastAsia="Amiri" w:cs="Amiri"/>
          <w:color w:val="111111"/>
          <w:sz w:val="28"/>
          <w:sz w:val="28"/>
          <w:szCs w:val="28"/>
          <w:rtl w:val="true"/>
          <w:lang w:bidi="ar-SA"/>
        </w:rPr>
        <w:t>بالإعادة</w:t>
      </w:r>
      <w:r>
        <w:rPr>
          <w:rStyle w:val="FootnoteAnchor"/>
          <w:rtl w:val="true"/>
        </w:rPr>
        <w:footnoteReference w:id="10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والقضاء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 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والقضاء، إلاّ أن یطلب فی ذلک المکان بعد ذلک ولم یجد، أو یتحقّق له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بالقضاء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القضاء أیضاً لو ترکها، ویأتی منه رحمه‌الله فی 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بوجوب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سیّما فیما إذا تبیّن له وجود الماء فی الحدّ الذّی یجب فیه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القضاء أیضاً لو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13276_136836"/>
    </w:p>
    <w:p>
      <w:pPr>
        <w:pStyle w:val="BookText"/>
        <w:rPr/>
      </w:pPr>
      <w:bookmarkEnd w:id="762"/>
      <w:r>
        <w:rPr>
          <w:rFonts w:ascii="IRNazanin" w:hAnsi="IRNazanin" w:eastAsia="IRNazanin"/>
          <w:color w:val="111111"/>
          <w:sz w:val="28"/>
          <w:sz w:val="28"/>
          <w:szCs w:val="28"/>
          <w:rtl w:val="true"/>
          <w:lang w:bidi="fa-IR"/>
        </w:rPr>
        <w:t>وأمّا إذا ترک الطلب باعتقاد عدم الماء فتبیّن وجوده، وأ نّه لو طلب لعثر فالظاهر وجوب</w:t>
      </w:r>
      <w:r>
        <w:rPr>
          <w:rStyle w:val="FootnoteAnchor"/>
          <w:rtl w:val="true"/>
        </w:rPr>
        <w:footnoteReference w:id="1029"/>
      </w:r>
      <w:r>
        <w:rPr>
          <w:rFonts w:ascii="Amiri" w:hAnsi="Amiri" w:eastAsia="Amiri" w:cs="Amiri"/>
          <w:color w:val="111111"/>
          <w:sz w:val="28"/>
          <w:sz w:val="28"/>
          <w:szCs w:val="28"/>
          <w:rtl w:val="true"/>
          <w:lang w:bidi="ar-SA"/>
        </w:rPr>
        <w:t>الإعادة</w:t>
      </w:r>
      <w:r>
        <w:rPr>
          <w:rStyle w:val="FootnoteAnchor"/>
          <w:rtl w:val="true"/>
        </w:rPr>
        <w:footnoteReference w:id="1030"/>
      </w:r>
      <w:r>
        <w:rPr>
          <w:rFonts w:ascii="IRNazanin" w:hAnsi="IRNazanin" w:eastAsia="IRNazanin"/>
          <w:color w:val="111111"/>
          <w:sz w:val="28"/>
          <w:sz w:val="28"/>
          <w:szCs w:val="28"/>
          <w:rtl w:val="true"/>
          <w:lang w:bidi="fa-IR"/>
        </w:rPr>
        <w:t>أو القضاء</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764110_2322387425"/>
      <w:bookmarkStart w:id="764" w:name="_Toc288"/>
      <w:bookmarkEnd w:id="763"/>
      <w:r>
        <w:rPr>
          <w:rtl w:val="true"/>
        </w:rPr>
        <w:t>حکم إراقة الماء بعد الوقت وقبله أو إبطال الوضوء</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إراقة الماء</w:t>
      </w:r>
      <w:r>
        <w:rPr>
          <w:rStyle w:val="FootnoteAnchor"/>
          <w:rtl w:val="true"/>
        </w:rPr>
        <w:footnoteReference w:id="1032"/>
      </w:r>
      <w:r>
        <w:rPr>
          <w:rFonts w:ascii="IRNazanin" w:hAnsi="IRNazanin" w:eastAsia="IRNazanin"/>
          <w:color w:val="111111"/>
          <w:sz w:val="28"/>
          <w:sz w:val="28"/>
          <w:szCs w:val="28"/>
          <w:rtl w:val="true"/>
          <w:lang w:bidi="fa-IR"/>
        </w:rPr>
        <w:t>الکافی للوضوء أو الغسل بعد دخول الوقت</w:t>
      </w:r>
      <w:r>
        <w:rPr>
          <w:rStyle w:val="FootnoteAnchor"/>
          <w:rtl w:val="true"/>
        </w:rPr>
        <w:footnoteReference w:id="1033"/>
      </w:r>
      <w:r>
        <w:rPr>
          <w:rFonts w:ascii="IRNazanin" w:hAnsi="IRNazanin" w:eastAsia="IRNazanin"/>
          <w:color w:val="111111"/>
          <w:sz w:val="28"/>
          <w:sz w:val="28"/>
          <w:szCs w:val="28"/>
          <w:rtl w:val="true"/>
          <w:lang w:bidi="fa-IR"/>
        </w:rPr>
        <w:t>إذا علم</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وجدانیّاً أو تعبّدیاً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احتمل،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وجدان ماء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کان علی 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یجوز له إبطاله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لزوم مشقّة أو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الشاهرودی،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 بعدم وجود الماء، بـل</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الإراقة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ومع الاحتمال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حُسن الاحتیاط، لکنّ القاعدة تقتضی جوازهما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الإراقة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وعدم الإبطال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الوقت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بعدم وجدانه بعد الوقت، ولو عصی فأراق أو أبطل یصحّ تیمّمه وصلاته، وإن کان الأحوط القضاء</w:t>
      </w:r>
      <w:r>
        <w:rPr>
          <w:rFonts w:eastAsia="IRNazanin" w:cs="IRNazanin"/>
          <w:color w:val="111111"/>
          <w:sz w:val="28"/>
          <w:szCs w:val="28"/>
          <w:rtl w:val="true"/>
          <w:lang w:bidi="fa-IR"/>
        </w:rPr>
        <w:t>.</w:t>
      </w:r>
      <w:bookmarkStart w:id="765" w:name="pg13276_136838"/>
    </w:p>
    <w:p>
      <w:pPr>
        <w:pStyle w:val="Heading3"/>
        <w:numPr>
          <w:ilvl w:val="2"/>
          <w:numId w:val="1"/>
        </w:numPr>
        <w:rPr/>
      </w:pPr>
      <w:bookmarkStart w:id="766" w:name="__RefHeading___Toc1764112_2322387425"/>
      <w:bookmarkStart w:id="767" w:name="_Toc289"/>
      <w:bookmarkEnd w:id="765"/>
      <w:bookmarkEnd w:id="766"/>
      <w:r>
        <w:rPr>
          <w:rtl w:val="true"/>
        </w:rPr>
        <w:t>حکم الطلب عند الخوف أو الحرج أو اختلاف الأرض</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وجوب الطلب إذا خاف علی نفسه أو ماله</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الجزم بسقوط الطهارة المائیة فی هذه الصورة علی نحو الإطلاق تأمّل؛ فإنّ الحدیث المتضمّن للخوف علی المال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لصّ أو سبع أو نحو ذلک، کالتأخّر عن القافلة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الموجب للخوف علی نفسه أو ماله،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وکذا إذا کان فیه حرج ومشقّة لا تُتَحمّل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فی بعض الجوانب</w:t>
      </w:r>
      <w:r>
        <w:rPr>
          <w:rStyle w:val="FootnoteAnchor"/>
          <w:rtl w:val="true"/>
        </w:rPr>
        <w:footnoteReference w:id="1037"/>
      </w:r>
      <w:r>
        <w:rPr>
          <w:rFonts w:ascii="Amiri" w:hAnsi="Amiri" w:eastAsia="Amiri" w:cs="Amiri"/>
          <w:color w:val="111111"/>
          <w:sz w:val="28"/>
          <w:sz w:val="28"/>
          <w:szCs w:val="28"/>
          <w:rtl w:val="true"/>
          <w:lang w:bidi="ar-SA"/>
        </w:rPr>
        <w:t>حَزْنة وفی بعضها سَهْلة یُلِحق</w:t>
      </w:r>
      <w:r>
        <w:rPr>
          <w:rStyle w:val="FootnoteAnchor"/>
          <w:rtl w:val="true"/>
        </w:rPr>
        <w:footnoteReference w:id="1038"/>
      </w:r>
      <w:r>
        <w:rPr>
          <w:rFonts w:ascii="Amiri" w:hAnsi="Amiri" w:eastAsia="Amiri" w:cs="Amiri"/>
          <w:color w:val="111111"/>
          <w:sz w:val="28"/>
          <w:sz w:val="28"/>
          <w:szCs w:val="28"/>
          <w:rtl w:val="true"/>
          <w:lang w:bidi="ar-SA"/>
        </w:rPr>
        <w:t>کلاًّ حکمه</w:t>
      </w:r>
      <w:r>
        <w:rPr>
          <w:rStyle w:val="FootnoteAnchor"/>
          <w:rtl w:val="true"/>
        </w:rPr>
        <w:footnoteReference w:id="1039"/>
      </w:r>
      <w:r>
        <w:rPr>
          <w:rFonts w:ascii="Amiri" w:hAnsi="Amiri" w:eastAsia="Amiri" w:cs="Amiri"/>
          <w:color w:val="111111"/>
          <w:sz w:val="28"/>
          <w:sz w:val="28"/>
          <w:szCs w:val="28"/>
          <w:rtl w:val="true"/>
          <w:lang w:bidi="ar-SA"/>
        </w:rPr>
        <w:t>من الغَلْوَة والغلوتین</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الجانب الواحد منها بعضه حزناً وبعضه سهلاً لحقه حکم السهلة علی الأحوط، فلابدّ فیه من الغلوتین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الرمیة أو الرمیتین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1764114_2322387425"/>
      <w:bookmarkStart w:id="769" w:name="_Toc290"/>
      <w:bookmarkEnd w:id="768"/>
      <w:r>
        <w:rPr>
          <w:rtl w:val="true"/>
        </w:rPr>
        <w:t>الثانی</w:t>
      </w:r>
      <w:r>
        <w:rPr>
          <w:rtl w:val="true"/>
        </w:rPr>
        <w:t xml:space="preserve">: </w:t>
      </w:r>
      <w:r>
        <w:rPr>
          <w:rtl w:val="true"/>
        </w:rPr>
        <w:t>عدم الوصلة إلی الماء</w:t>
      </w:r>
      <w:bookmarkEnd w:id="76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الوصلة إلی الماء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لعجز من کبر أو خوف من سبع أو لصّ، أو لکونه فی بئر مع عدم ما یستقی به من الدلو والحبل، وعدم </w:t>
      </w:r>
      <w:bookmarkStart w:id="770" w:name="pg13276_136839"/>
    </w:p>
    <w:p>
      <w:pPr>
        <w:pStyle w:val="BookText"/>
        <w:rPr/>
      </w:pPr>
      <w:bookmarkEnd w:id="770"/>
      <w:r>
        <w:rPr>
          <w:rFonts w:ascii="IRNazanin" w:hAnsi="IRNazanin" w:eastAsia="IRNazanin"/>
          <w:color w:val="111111"/>
          <w:sz w:val="28"/>
          <w:sz w:val="28"/>
          <w:szCs w:val="28"/>
          <w:rtl w:val="true"/>
          <w:lang w:bidi="fa-IR"/>
        </w:rPr>
        <w:t>إمکان إخراجه بوجه آخر</w:t>
      </w:r>
      <w:r>
        <w:rPr>
          <w:rStyle w:val="FootnoteAnchor"/>
          <w:rtl w:val="true"/>
        </w:rPr>
        <w:footnoteReference w:id="1041"/>
      </w:r>
      <w:r>
        <w:rPr>
          <w:rFonts w:ascii="IRNazanin" w:hAnsi="IRNazanin" w:eastAsia="IRNazanin"/>
          <w:color w:val="111111"/>
          <w:sz w:val="28"/>
          <w:sz w:val="28"/>
          <w:szCs w:val="28"/>
          <w:rtl w:val="true"/>
          <w:lang w:bidi="fa-IR"/>
        </w:rPr>
        <w:t>، ولو بإدخال ثوب</w:t>
      </w:r>
      <w:r>
        <w:rPr>
          <w:rStyle w:val="FootnoteAnchor"/>
          <w:rtl w:val="true"/>
        </w:rPr>
        <w:footnoteReference w:id="1042"/>
      </w:r>
      <w:r>
        <w:rPr>
          <w:rFonts w:ascii="IRNazanin" w:hAnsi="IRNazanin" w:eastAsia="IRNazanin"/>
          <w:color w:val="111111"/>
          <w:sz w:val="28"/>
          <w:sz w:val="28"/>
          <w:szCs w:val="28"/>
          <w:rtl w:val="true"/>
          <w:lang w:bidi="fa-IR"/>
        </w:rPr>
        <w:t>وإخراجه بعد جذبه الماء وعصره</w:t>
      </w:r>
      <w:r>
        <w:rPr>
          <w:rFonts w:eastAsia="IRNazanin" w:cs="IRNazanin"/>
          <w:color w:val="111111"/>
          <w:sz w:val="28"/>
          <w:szCs w:val="28"/>
          <w:rtl w:val="true"/>
          <w:lang w:bidi="fa-IR"/>
        </w:rPr>
        <w:t>.</w:t>
      </w:r>
    </w:p>
    <w:p>
      <w:pPr>
        <w:pStyle w:val="Heading3"/>
        <w:numPr>
          <w:ilvl w:val="2"/>
          <w:numId w:val="1"/>
        </w:numPr>
        <w:rPr/>
      </w:pPr>
      <w:bookmarkStart w:id="771" w:name="__RefHeading___Toc1764116_2322387425"/>
      <w:bookmarkStart w:id="772" w:name="_Toc291"/>
      <w:bookmarkEnd w:id="771"/>
      <w:r>
        <w:rPr>
          <w:rtl w:val="true"/>
        </w:rPr>
        <w:t>أنحاء تحصیل الماء</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تحصیل الماء علی شراء الدلو أو الحبل أو نحوهما أو استئجارهما، أو علی شراء الماء أو اقتراضه وجب ولو بأضعاف</w:t>
      </w:r>
      <w:r>
        <w:rPr>
          <w:rStyle w:val="FootnoteAnchor"/>
          <w:rtl w:val="true"/>
        </w:rPr>
        <w:footnoteReference w:id="1043"/>
      </w:r>
      <w:r>
        <w:rPr>
          <w:rFonts w:ascii="IRNazanin" w:hAnsi="IRNazanin" w:eastAsia="IRNazanin"/>
          <w:color w:val="111111"/>
          <w:sz w:val="28"/>
          <w:sz w:val="28"/>
          <w:szCs w:val="28"/>
          <w:rtl w:val="true"/>
          <w:lang w:bidi="fa-IR"/>
        </w:rPr>
        <w:t>العوض</w:t>
      </w:r>
      <w:r>
        <w:rPr>
          <w:rStyle w:val="FootnoteAnchor"/>
          <w:rtl w:val="true"/>
        </w:rPr>
        <w:footnoteReference w:id="10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الشراء ونحوه، وأمّا الاقتراض فلا یجوز بالأزید؛ لأنّه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یضرَّ بحاله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إذا کان مضرّاً بحاله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لیس دلیل معتبر علی المُدّعی، وعلیه یکون المیزان فی وصول النوبة إلی التیمّم تحقق الحرج، وممّا ذکرنا یظهر الإشکال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کما أ نّه لو أمکنه اقتراض نفس الماء أو عوضه مع العلم أو الظنّ بعدم إمکان الوفاء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کان الوفاء حرجیّاً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بحکمه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یجب</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773" w:name="pg13276_136840"/>
    </w:p>
    <w:p>
      <w:pPr>
        <w:pStyle w:val="BookText"/>
        <w:rPr/>
      </w:pPr>
      <w:bookmarkEnd w:id="773"/>
      <w:r>
        <w:rPr>
          <w:rFonts w:ascii="IRNazanin" w:hAnsi="IRNazanin" w:eastAsia="IRNazanin"/>
          <w:color w:val="111111"/>
          <w:sz w:val="28"/>
          <w:sz w:val="28"/>
          <w:szCs w:val="28"/>
          <w:rtl w:val="true"/>
          <w:lang w:bidi="fa-IR"/>
        </w:rPr>
        <w:t>ذلک</w:t>
      </w:r>
      <w:r>
        <w:rPr>
          <w:rStyle w:val="FootnoteAnchor"/>
          <w:rtl w:val="true"/>
        </w:rPr>
        <w:footnoteReference w:id="10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جوازه مع العلم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عدم الوفاء حرجاً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الوفاء حرجیّاً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أوجب له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أمکنه حفر البئر بلا حرج وجب</w:t>
      </w:r>
      <w:r>
        <w:rPr>
          <w:rStyle w:val="FootnoteAnchor"/>
          <w:rtl w:val="true"/>
        </w:rPr>
        <w:footnoteReference w:id="1046"/>
      </w:r>
      <w:r>
        <w:rPr>
          <w:rFonts w:ascii="Amiri" w:hAnsi="Amiri" w:eastAsia="Amiri" w:cs="Amiri"/>
          <w:color w:val="111111"/>
          <w:sz w:val="28"/>
          <w:sz w:val="28"/>
          <w:szCs w:val="28"/>
          <w:rtl w:val="true"/>
          <w:lang w:bidi="ar-SA"/>
        </w:rPr>
        <w:t>، کما أ نّه لو وهبه غیره بلا مِنّة</w:t>
      </w:r>
      <w:r>
        <w:rPr>
          <w:rStyle w:val="FootnoteAnchor"/>
          <w:rtl w:val="true"/>
        </w:rPr>
        <w:footnoteReference w:id="10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تُتَحمّل 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الإصطهباناتی، اللنکرانی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توجب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تحمّلها حرجاً علی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یسوغ تحمّلها عادة، وکذا الکلام فی الذلّة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لیست المِنّة بنفسها مجوّزة للتیمّم، نعم، لو استلزمت حرجاً تکون مجوّزةً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تتحمل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قبول المنّة التی لیست حرجاً تحمّلها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الوجوب فی صورة المنّة علی نحو الإطلاق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ذلّة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 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764118_2322387425"/>
      <w:bookmarkStart w:id="775" w:name="_Toc292"/>
      <w:bookmarkEnd w:id="774"/>
      <w:r>
        <w:rPr>
          <w:rtl w:val="true"/>
        </w:rPr>
        <w:t>الثالث</w:t>
      </w:r>
      <w:r>
        <w:rPr>
          <w:rtl w:val="true"/>
        </w:rPr>
        <w:t xml:space="preserve">: </w:t>
      </w:r>
      <w:r>
        <w:rPr>
          <w:rtl w:val="true"/>
        </w:rPr>
        <w:t>الخوف من استعمال الماء</w:t>
      </w:r>
      <w:bookmarkEnd w:id="77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Style w:val="FootnoteAnchor"/>
          <w:rtl w:val="true"/>
        </w:rPr>
        <w:footnoteReference w:id="1048"/>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 . . . . . . . . . . . . . . . . . . . . . . . . . . </w:t>
      </w:r>
    </w:p>
    <w:p>
      <w:pPr>
        <w:pStyle w:val="BookText"/>
        <w:rPr/>
      </w:pPr>
      <w:r>
        <w:rPr>
          <w:rFonts w:ascii="IRNazanin" w:hAnsi="IRNazanin" w:eastAsia="IRNazanin"/>
          <w:color w:val="111111"/>
          <w:sz w:val="28"/>
          <w:sz w:val="28"/>
          <w:szCs w:val="28"/>
          <w:rtl w:val="true"/>
          <w:lang w:bidi="fa-IR"/>
        </w:rPr>
        <w:t>استعماله</w:t>
      </w:r>
      <w:r>
        <w:rPr>
          <w:rStyle w:val="FootnoteAnchor"/>
          <w:rtl w:val="true"/>
        </w:rPr>
        <w:footnoteReference w:id="10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مع الوضوء، أو الغسل جبیرةً فی موارد مشروعیتها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نفسه، أو عضو من أعضائه بتلف أو عیب، أو حدوث مرض أو شدّته أو طول مدّته أو بُط‌ء برئه أو صعوبة علاجه أو نحو ذلک ممّا یعسر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وجه للتقیید المذکور؛ فإنّ المیزان فی عدم الوجوب حدوث مرض أو شدّته أو نحوهما، نعم، الاحتیاط یقتضی ما اُفید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تحمّله عادة، بل لو خاف من الشَین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العیب لغةً، وقد عرف ما هو المراد منه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یکون تحمّله شاقّاً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مشقّة لا یقدم علیها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یتحمّله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حرجیّاً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تیمّم، 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یعلو البشرة من الخشونة المشوِّهة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للخلقة، أو الموجبة لتشقّق الجلد وخروج الدم، ویکفی الظنَّ بالمذکورات، أو الاحتمال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 منشأٍ یعتنی العقلاء بمثله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الناشئ من منشأٍ یعتنی به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المعتدّ به لدی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 منشأ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الموجب للخوف، سواء حصل له من نفسه أم قول طبیب أم</w:t>
      </w:r>
      <w:bookmarkStart w:id="776" w:name="pg13276_136842"/>
    </w:p>
    <w:p>
      <w:pPr>
        <w:pStyle w:val="BookText"/>
        <w:rPr/>
      </w:pPr>
      <w:bookmarkEnd w:id="776"/>
      <w:r>
        <w:rPr>
          <w:rFonts w:ascii="IRNazanin" w:hAnsi="IRNazanin" w:eastAsia="IRNazanin"/>
          <w:color w:val="111111"/>
          <w:sz w:val="28"/>
          <w:sz w:val="28"/>
          <w:szCs w:val="28"/>
          <w:rtl w:val="true"/>
          <w:lang w:bidi="fa-IR"/>
        </w:rPr>
        <w:t>غیره، وإن کان فاسقاً أو کافراً، ولا یکفی الاحتمال المجرّد عن الخوف، کما أ نّه لا یکفی الضرر الیسیر الّذی لا یعتنی به العقلاء، وإذا أمکن علاج المذکورات بتسخین الماء</w:t>
      </w:r>
      <w:r>
        <w:rPr>
          <w:rStyle w:val="FootnoteAnchor"/>
          <w:rtl w:val="true"/>
        </w:rPr>
        <w:footnoteReference w:id="1050"/>
      </w:r>
      <w:r>
        <w:rPr>
          <w:rFonts w:ascii="IRNazanin" w:hAnsi="IRNazanin" w:eastAsia="IRNazanin"/>
          <w:color w:val="111111"/>
          <w:sz w:val="28"/>
          <w:sz w:val="28"/>
          <w:szCs w:val="28"/>
          <w:rtl w:val="true"/>
          <w:lang w:bidi="fa-IR"/>
        </w:rPr>
        <w:t>وجب ولم ینتقل إلی التیمّم</w:t>
      </w:r>
      <w:r>
        <w:rPr>
          <w:rFonts w:eastAsia="IRNazanin" w:cs="IRNazanin"/>
          <w:color w:val="111111"/>
          <w:sz w:val="28"/>
          <w:szCs w:val="28"/>
          <w:rtl w:val="true"/>
          <w:lang w:bidi="fa-IR"/>
        </w:rPr>
        <w:t>.</w:t>
      </w:r>
    </w:p>
    <w:p>
      <w:pPr>
        <w:pStyle w:val="Heading3"/>
        <w:numPr>
          <w:ilvl w:val="2"/>
          <w:numId w:val="1"/>
        </w:numPr>
        <w:rPr/>
      </w:pPr>
      <w:bookmarkStart w:id="777" w:name="__RefHeading___Toc1764120_2322387425"/>
      <w:bookmarkStart w:id="778" w:name="_Toc293"/>
      <w:bookmarkEnd w:id="777"/>
      <w:r>
        <w:rPr>
          <w:rtl w:val="true"/>
        </w:rPr>
        <w:t>حکم الطهارة المائیة مع الضرر والحرج</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تحمّل الضرر وتوضّأ أو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الضرر فی المقدّمات من تحصیل الماء ونحوه وجب الوضوء أو الغسل وصحّ</w:t>
      </w:r>
      <w:r>
        <w:rPr>
          <w:rStyle w:val="FootnoteAnchor"/>
          <w:rtl w:val="true"/>
        </w:rPr>
        <w:footnoteReference w:id="1051"/>
      </w:r>
      <w:r>
        <w:rPr>
          <w:rFonts w:ascii="IRNazanin" w:hAnsi="IRNazanin" w:eastAsia="IRNazanin"/>
          <w:color w:val="111111"/>
          <w:sz w:val="28"/>
          <w:sz w:val="28"/>
          <w:szCs w:val="28"/>
          <w:rtl w:val="true"/>
          <w:lang w:bidi="fa-IR"/>
        </w:rPr>
        <w:t>، وإن کان فی استعمال الماء</w:t>
      </w:r>
      <w:r>
        <w:rPr>
          <w:rStyle w:val="FootnoteAnchor"/>
          <w:rtl w:val="true"/>
        </w:rPr>
        <w:footnoteReference w:id="1052"/>
      </w:r>
      <w:r>
        <w:rPr>
          <w:rFonts w:ascii="IRNazanin" w:hAnsi="IRNazanin" w:eastAsia="IRNazanin"/>
          <w:color w:val="111111"/>
          <w:sz w:val="28"/>
          <w:sz w:val="28"/>
          <w:szCs w:val="28"/>
          <w:rtl w:val="true"/>
          <w:lang w:bidi="fa-IR"/>
        </w:rPr>
        <w:t>فی أحدهما بطل</w:t>
      </w:r>
      <w:r>
        <w:rPr>
          <w:rStyle w:val="FootnoteAnchor"/>
          <w:rtl w:val="true"/>
        </w:rPr>
        <w:footnoteReference w:id="10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البطلان لمطلق الضرر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ضرراً یحرم تحمّله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إلاّ إذا کان حرجاً فبطل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تبعد الصحّة فی بعض مراتب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الضرر بحدّ یکون حراماً، وإلاّ حاله حال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مع زوال الضرر بسرعة بحیث لا یعتنی به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ریب فی اختلاف مراتب الضرر؛ فإنّ بعضها یوجب تحریم تحمّله، وتحریم الفعل الذی یکون سبباً له، ولا ریب فی بطلان الوضوء والغسل إذا کان استعمال الماء فیهما سبباً لهذا النوع من الضرر، وبعضها یوجب نفی الحکم الإلزامی الذی یکون سبباً له، کما هو مفاد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صحّة الوضوء والغسل إذا کان استعمال الماء فیهما ضرریاً بهذا المقدار؛ لأنّ قاعدة نفی الضرر إنّما تنفی اللزوم، ولا تنفی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ضرراً لا یجوز تحمّله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الضرر ممّا یحرم إلقاء النفس فیه، وإلاّ حکمه حکم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وجه للبطلان؛ فإنّ الإضرار بالنفس علی نحو الإطلاق لا دلیل علی حرمته، بالإضافة إلی أنّ استعمال الماء مقدّمة للإضرار ومقدّمة الحرام غیر محرّمة،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عدم توجّه الخطاب بالطهارة المائیة لأجل الضرر أو الحرج لا مجال لقصد التقرّب بالوضوء، ولازمه البطلان ، فلابدّ من الاحتیاط فی کلا الموردین بالتیمّم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وإن لم یجب، وجاز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یحصل له قصد القربة، وإلاّ صحّ، ولکنّ الکلام فی تحقق قصد القربة مع التفاته إلی النهی والمبغوضیة الفعلیة، کما أشرنا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الضرر فی الاستعمال لا یوجب البطلان، إلاّ إذا کان حرجیّاً فإنّه حینئذٍ یوجبه؛ لأنّ الظاهر کون نفی الحرج من باب العزیمة، لا الرخصة، ومنه یظهر حکم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لم یکن استعمال</w:t>
      </w:r>
    </w:p>
    <w:p>
      <w:pPr>
        <w:pStyle w:val="BookText"/>
        <w:rPr/>
      </w:pPr>
      <w:r>
        <w:rPr>
          <w:rFonts w:ascii="Amiri" w:hAnsi="Amiri" w:eastAsia="Amiri" w:cs="Amiri"/>
          <w:color w:val="111111"/>
          <w:sz w:val="28"/>
          <w:sz w:val="28"/>
          <w:szCs w:val="28"/>
          <w:rtl w:val="true"/>
          <w:lang w:bidi="ar-SA"/>
        </w:rPr>
        <w:t>الماء مضرّاً بل کان موجباً للحرج والمشقّة، کتحمّل ألم البرد أو الشَین ـ مثلاًـ فلا تبعد الصحّة</w:t>
      </w:r>
      <w:r>
        <w:rPr>
          <w:rStyle w:val="FootnoteAnchor"/>
          <w:rtl w:val="true"/>
        </w:rPr>
        <w:footnoteReference w:id="10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غایته، بل یبعد التخییر بین الطهارة المائیة والترابیة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ویتقرّب بقصد الملاک، وهو الترجّح والمحبوبیة عند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الأظهر، فلا یجب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یجوز معه التیمّم؛ لأنّ نفی الحرج من</w:t>
      </w:r>
      <w:bookmarkStart w:id="779" w:name="pg13276_136844"/>
    </w:p>
    <w:p>
      <w:pPr>
        <w:pStyle w:val="BookText"/>
        <w:rPr/>
      </w:pPr>
      <w:bookmarkEnd w:id="779"/>
      <w:r>
        <w:rPr>
          <w:rFonts w:ascii="Amiri" w:hAnsi="Amiri" w:eastAsia="Amiri" w:cs="Amiri"/>
          <w:color w:val="111111"/>
          <w:sz w:val="28"/>
          <w:sz w:val="28"/>
          <w:szCs w:val="28"/>
          <w:rtl w:val="true"/>
          <w:lang w:bidi="ar-SA"/>
        </w:rPr>
        <w:t>باب الرخصة</w:t>
      </w:r>
      <w:r>
        <w:rPr>
          <w:rStyle w:val="FootnoteAnchor"/>
          <w:rtl w:val="true"/>
        </w:rPr>
        <w:footnoteReference w:id="1055"/>
      </w:r>
      <w:r>
        <w:rPr>
          <w:rFonts w:ascii="IRNazanin" w:hAnsi="IRNazanin" w:eastAsia="IRNazanin"/>
          <w:color w:val="111111"/>
          <w:sz w:val="28"/>
          <w:sz w:val="28"/>
          <w:szCs w:val="28"/>
          <w:rtl w:val="true"/>
          <w:lang w:bidi="fa-IR"/>
        </w:rPr>
        <w:t>لا العزیمة</w:t>
      </w:r>
      <w:r>
        <w:rPr>
          <w:rStyle w:val="FootnoteAnchor"/>
          <w:rtl w:val="true"/>
        </w:rPr>
        <w:footnoteReference w:id="1056"/>
      </w:r>
      <w:r>
        <w:rPr>
          <w:rFonts w:ascii="IRNazanin" w:hAnsi="IRNazanin" w:eastAsia="IRNazanin"/>
          <w:color w:val="111111"/>
          <w:sz w:val="28"/>
          <w:sz w:val="28"/>
          <w:szCs w:val="28"/>
          <w:rtl w:val="true"/>
          <w:lang w:bidi="fa-IR"/>
        </w:rPr>
        <w:t>، ولکنّ الأحوط ترک الاستعمال</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محمد تقی الخونساری، الإصطهباناتی، البروجردی، أحمد الخونساری، محمد رضا الگلپایگانی،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ومع الاستعمال لا یُترک الاحتیاط بضمّ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لا لزوماً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الاکتفاء به علی فرضه، فیتیمّم أیضاً</w:t>
      </w:r>
      <w:r>
        <w:rPr>
          <w:rFonts w:eastAsia="IRNazanin" w:cs="IRNazanin"/>
          <w:color w:val="111111"/>
          <w:sz w:val="28"/>
          <w:szCs w:val="28"/>
          <w:rtl w:val="true"/>
          <w:lang w:bidi="fa-IR"/>
        </w:rPr>
        <w:t>.</w:t>
      </w:r>
    </w:p>
    <w:p>
      <w:pPr>
        <w:pStyle w:val="Heading3"/>
        <w:numPr>
          <w:ilvl w:val="2"/>
          <w:numId w:val="1"/>
        </w:numPr>
        <w:rPr/>
      </w:pPr>
      <w:bookmarkStart w:id="780" w:name="__RefHeading___Toc1764122_2322387425"/>
      <w:bookmarkStart w:id="781" w:name="_Toc294"/>
      <w:bookmarkEnd w:id="780"/>
      <w:r>
        <w:rPr>
          <w:rtl w:val="true"/>
        </w:rPr>
        <w:t>التیمّم أو الوضوء باعتقاد الضرر أو خوفه وتبین الخلاف</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باعتقاد الضرر أو خوفه فتبیّـن عدمه</w:t>
      </w:r>
      <w:r>
        <w:rPr>
          <w:rStyle w:val="FootnoteAnchor"/>
          <w:rtl w:val="true"/>
        </w:rPr>
        <w:footnoteReference w:id="1058"/>
      </w:r>
      <w:r>
        <w:rPr>
          <w:rFonts w:ascii="Amiri" w:hAnsi="Amiri" w:eastAsia="Amiri" w:cs="Amiri"/>
          <w:color w:val="111111"/>
          <w:sz w:val="28"/>
          <w:sz w:val="28"/>
          <w:szCs w:val="28"/>
          <w:rtl w:val="true"/>
          <w:lang w:bidi="ar-SA"/>
        </w:rPr>
        <w:t>صحّ تیمّمه</w:t>
      </w:r>
      <w:r>
        <w:rPr>
          <w:rStyle w:val="FootnoteAnchor"/>
          <w:rtl w:val="true"/>
        </w:rPr>
        <w:footnoteReference w:id="1059"/>
      </w:r>
      <w:r>
        <w:rPr>
          <w:rFonts w:ascii="IRNazanin" w:hAnsi="IRNazanin" w:eastAsia="IRNazanin"/>
          <w:color w:val="111111"/>
          <w:sz w:val="28"/>
          <w:sz w:val="28"/>
          <w:szCs w:val="28"/>
          <w:rtl w:val="true"/>
          <w:lang w:bidi="fa-IR"/>
        </w:rPr>
        <w:t>وصلاته</w:t>
      </w:r>
      <w:r>
        <w:rPr>
          <w:rStyle w:val="FootnoteAnchor"/>
          <w:rtl w:val="true"/>
        </w:rPr>
        <w:footnoteReference w:id="1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والأوجه بطلانهما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بالإعادة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مشروعیة التیمّم هو نفس الضرر الواقعیّ أو خوفه، أمّا اعتقاد الضرر فإنّما هو طریق إثبات ما هو الموضوع؛ ولذلک فتشکل صحّة التیمّم إذا تیمّم باعتقاد الضرر وکان اعتقاده غیر موجبٍ للخوف، ثمّ تبیّن له عدم الضرر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تبیّن فی الوقت فالأحوط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القاعدة تقتضی البطلان؛ فإنّ الحکم تابع للموضوع الواقعیّ، فلا أقلّ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إلاّ مع تحقّق القلق النفسی الذی یعسر تحمّله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تبیّن قبل الدخول فی الصلاة وجب الوضوء</w:t>
      </w:r>
    </w:p>
    <w:p>
      <w:pPr>
        <w:pStyle w:val="BookText"/>
        <w:rPr/>
      </w:pPr>
      <w:r>
        <w:rPr>
          <w:rFonts w:ascii="IRNazanin" w:hAnsi="IRNazanin" w:eastAsia="IRNazanin"/>
          <w:color w:val="111111"/>
          <w:sz w:val="28"/>
          <w:sz w:val="28"/>
          <w:szCs w:val="28"/>
          <w:rtl w:val="true"/>
          <w:lang w:bidi="fa-IR"/>
        </w:rPr>
        <w:t>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توضّأ أو اغتسل باعتقاد عدم الضرر ثمّ تبیّـن وجوده صحَّ</w:t>
      </w:r>
      <w:r>
        <w:rPr>
          <w:rStyle w:val="FootnoteAnchor"/>
          <w:rtl w:val="true"/>
        </w:rPr>
        <w:footnoteReference w:id="10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الصورة الاُولی، خصوصاً إن لم یتحقّق الخوف العقلائی حین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 هذا الاحتیاط فی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ینبغی ترکه فی الصورة الاُولی إن لم یتحقّق الخوف حین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قویّ فی الصورة الثانیة فیما إذا کان الضرر الذی استبان وجوده ممّا یحرم ارتکابه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w:t>
      </w:r>
    </w:p>
    <w:p>
      <w:pPr>
        <w:pStyle w:val="BookText"/>
        <w:rPr/>
      </w:pPr>
      <w:r>
        <w:rPr>
          <w:rFonts w:ascii="IRNazanin" w:hAnsi="IRNazanin" w:eastAsia="IRNazanin"/>
          <w:color w:val="111111"/>
          <w:sz w:val="28"/>
          <w:sz w:val="28"/>
          <w:szCs w:val="28"/>
          <w:rtl w:val="true"/>
          <w:lang w:bidi="fa-IR"/>
        </w:rPr>
        <w:t>توضّأ أو اغتسل مع اعتقاد الضرر</w:t>
      </w:r>
      <w:r>
        <w:rPr>
          <w:rStyle w:val="FootnoteAnchor"/>
          <w:rtl w:val="true"/>
        </w:rPr>
        <w:footnoteReference w:id="1062"/>
      </w:r>
      <w:r>
        <w:rPr>
          <w:rFonts w:ascii="IRNazanin" w:hAnsi="IRNazanin" w:eastAsia="IRNazanin"/>
          <w:color w:val="111111"/>
          <w:sz w:val="28"/>
          <w:sz w:val="28"/>
          <w:szCs w:val="28"/>
          <w:rtl w:val="true"/>
          <w:lang w:bidi="fa-IR"/>
        </w:rPr>
        <w:t>أو خوفه لم یصحّ</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الوضوء أو الغسل فی هذه الصورة کصحّة التیمّم فی الصورة الثانیة إذا حصل منه قصد القربة غیر بعیدة، وإن کان الأحوط ما ذکر فی المتن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الصحّة فی کلا الفرعین مع عدم حصول نیة القربة منه ـ کما هو المفروض ظاهراً ـ لا إشکال فیه، وأمّا مع تحقق نیة القربة فلا تبعد الصحّة، وإن کان الأحوط ما فی المتن،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الوضوء أو الغسل فی هذه الصورة کصحّة التیمّم فی الصورة الثانیة إذا حصل منه قصد القربة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الوضوء أو الغسل فی هذه الصورة والتیمّم فیما بعدها مع حصول قصد القربة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مع حصول نیّة القربة إن تبیّن عدمه، وصحّة التیمّم إن تبیّن وجوده لو فرض حصول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الصحة فی صورة تمشّی القربة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حصل منه قصد القربة، وکذا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تحقّق قصد القربة، وأمّا معه فلا تبعد الصحّة فی الصورتین، وإن کان ما فی المتن أحوط، وقد مرّ منه رحمه‌الله الفتوی بالصحّة فی نظیر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الجبائر المسألة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لعدم الصحّة فی الصورتین مع تحقّق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تحقّق قصد القربة الحکم هو الصحة، وکذا 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تبیّـن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إذا حصل له قصد القربة،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وإن کان الضرر ممّا یجوز تحمّله، فالظاهر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عدمه</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إذا لم یتحقّق منه قصد القربة ولو رجاءً، وإلاّ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إذا لم یکن الضرر بالغاً حدّ الحرمة، وإلاّ فلا وجه مع عدم وجود الضرر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الضرر المعتَقَد ممّا یجوز ارتکابه فلا موجب للبطلان، سواء انکشف الخلاف أم لم ینکشف، وکذلک إذا کان الضرر الخوف ممّا لایجب فیه الاحتیاط، وأمّا إذا کان الضرر المعتَقَد ممّا یحرم ارتکابه فالوجه بطلان الوضوء والغسل إذا لم یتیّبن له عدم الضرر، وأمّا إذا تبیّن عدمه فالظاهر صحّتهما إذا تمشّی منه قصد القربة، ولکنّ الاحتیاط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الصحّة فی هذه الصورة، وفی الصورة التالیة 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تبیّن العدم أم لم یتبیّن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صحّته حینئذٍ مع تمشّی قصد القربة،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إذا تیمّــم مع اعتقـاد عدم الضــرر لم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منه رحمه‌الله فی أحکام الجبائر الصحّة فی هاتین الصورتین مع حصول قصد القربة، وهو الأظهر مع کون الضرر ممّا یجوز تحمّله، وإلاّ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تبیّن وجوده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مع فرض تحقّق نیة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التیمّم إذا تمشّی منه قصد القربة، ثمّ تبیّن وجود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حصول نیّة القربة کما هو المفروض، وإلاّ فالأظهر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3276_136848"/>
    </w:p>
    <w:p>
      <w:pPr>
        <w:pStyle w:val="Heading3"/>
        <w:numPr>
          <w:ilvl w:val="2"/>
          <w:numId w:val="1"/>
        </w:numPr>
        <w:rPr/>
      </w:pPr>
      <w:bookmarkStart w:id="783" w:name="__RefHeading___Toc1764124_2322387425"/>
      <w:bookmarkStart w:id="784" w:name="_Toc295"/>
      <w:bookmarkEnd w:id="782"/>
      <w:bookmarkEnd w:id="783"/>
      <w:r>
        <w:rPr>
          <w:rtl w:val="true"/>
        </w:rPr>
        <w:t>الإجناب عمداً مع العلم بالتضرر باستعمال الماء</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عمداً مع العلم بکون استعمال الماء مضرّاً وجب التیمّم</w:t>
      </w:r>
      <w:r>
        <w:rPr>
          <w:rStyle w:val="FootnoteAnchor"/>
          <w:rtl w:val="true"/>
        </w:rPr>
        <w:footnoteReference w:id="1065"/>
      </w:r>
      <w:r>
        <w:rPr>
          <w:rFonts w:ascii="IRNazanin" w:hAnsi="IRNazanin" w:eastAsia="IRNazanin"/>
          <w:color w:val="111111"/>
          <w:sz w:val="28"/>
          <w:sz w:val="28"/>
          <w:szCs w:val="28"/>
          <w:rtl w:val="true"/>
          <w:lang w:bidi="fa-IR"/>
        </w:rPr>
        <w:t>وصحّ عمله، لکن لمّا ذکر بعض العلماء</w:t>
      </w:r>
      <w:r>
        <w:rPr>
          <w:rStyle w:val="FootnoteAnchor"/>
          <w:rtl w:val="true"/>
        </w:rPr>
        <w:footnoteReference w:id="1066"/>
      </w:r>
      <w:r>
        <w:rPr>
          <w:rFonts w:ascii="IRNazanin" w:hAnsi="IRNazanin" w:eastAsia="IRNazanin"/>
          <w:color w:val="111111"/>
          <w:sz w:val="28"/>
          <w:sz w:val="28"/>
          <w:szCs w:val="28"/>
          <w:rtl w:val="true"/>
          <w:lang w:bidi="fa-IR"/>
        </w:rPr>
        <w:t>وجوب الغُسل فی الصورة المفروضة وإن کان مضرّاً</w:t>
      </w:r>
      <w:r>
        <w:rPr>
          <w:rStyle w:val="FootnoteAnchor"/>
          <w:rtl w:val="true"/>
        </w:rPr>
        <w:footnoteReference w:id="10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مراده قدس‌سره الضرر الیسیر الذی لایُعتنی به، وأمّا الضرر المعتنی به الّذی لا یُتحمّل فکیف یکون الأولی حینئذٍ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إعادة الصلاة بعد زوال العذر هو الأحوط، کما سیأتی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التیمّم المسألة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للأولویّة المزبورة مع فرض الضرر، نعم، لا بأس برعایة الأولویّة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أولویة فیه، بل 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الحرمة لا وجه لهذه الأولویّة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لو لم یکن الأقوی ترک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 الغسل 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بالضرر البدنی مقتضی الاحتیاط ترک الغسل دون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زوال العذر إعادة الصلاة مع الغسل 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الضرر ممّا یجوز تحمّله، وإلاّ اقتصر علی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ویقتصر علی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لهذه الأولویة مع احتمال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منع الغسل مع العلم بالضرر، کما هو الفرض، فلا مسرح للأولویة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الضرر ممّا لا یجوز تحمّله فلا وجه لهذه الأولویة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الأولویة تختصّ بموردٍ لایکون الإضرار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یبلغ الضرر حدّ المحرّم منه، وإلاّ اقتصر علی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وبین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لهذه الأولویة، بل یتعیّن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الضرر المترتّب علی الغسل ممّا یحرم إیجاده، أو قلنا بحرمة الإضرار بالنفس مطلقاً، کما ربّما یظهر من المتن ونُسب إلی المشهور فلا وجه لأولویّة الجمع، کما هو ظاهر، بل یتعیّن علیه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لهذه الأولویة إذا کان الضرر فی استعمال الماء ممّا یحرم ارتکابه لحرمة الغسل علیه، وإذا کان الضرر ممّا یجوز ارتکابه صحّ التیمّم منه وکفی أیضاً، کما تقدّم، ولعلّ هذا هو المراد من الروایات الآمرة بالغسل، وإن تضرّر فتکون محمولة علی الاستحباب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لعدم المنافاة بین وجوب فعله، وبین الحرمة المانعة من استعمال الماء، کمن یجب قتله قصاصاً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أولویة لهذا الجمع، فإذا کان استعمال الماء مضرّا فالاحتیاط بترک الطهارة المائیة، لا الجمع بینها وبین الطهارة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الأولی إعادة الصلاة بعد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785" w:name="pg13276_136850"/>
    </w:p>
    <w:p>
      <w:pPr>
        <w:pStyle w:val="BookText"/>
        <w:rPr/>
      </w:pPr>
      <w:bookmarkEnd w:id="785"/>
      <w:r>
        <w:rPr>
          <w:rFonts w:ascii="IRNazanin" w:hAnsi="IRNazanin" w:eastAsia="IRNazanin"/>
          <w:color w:val="111111"/>
          <w:sz w:val="28"/>
          <w:sz w:val="28"/>
          <w:szCs w:val="28"/>
          <w:rtl w:val="true"/>
          <w:lang w:bidi="fa-IR"/>
        </w:rPr>
        <w:t>بل الأولی</w:t>
      </w:r>
      <w:r>
        <w:rPr>
          <w:rStyle w:val="FootnoteAnchor"/>
          <w:rtl w:val="true"/>
        </w:rPr>
        <w:footnoteReference w:id="1069"/>
      </w:r>
      <w:r>
        <w:rPr>
          <w:rFonts w:ascii="IRNazanin" w:hAnsi="IRNazanin" w:eastAsia="IRNazanin"/>
          <w:color w:val="111111"/>
          <w:sz w:val="28"/>
          <w:sz w:val="28"/>
          <w:szCs w:val="28"/>
          <w:rtl w:val="true"/>
          <w:lang w:bidi="fa-IR"/>
        </w:rPr>
        <w:t>مع ذلک إعادة الغسل والصلاة بعد زوال العذر</w:t>
      </w:r>
      <w:r>
        <w:rPr>
          <w:rFonts w:eastAsia="IRNazanin" w:cs="IRNazanin"/>
          <w:color w:val="111111"/>
          <w:sz w:val="28"/>
          <w:szCs w:val="28"/>
          <w:rtl w:val="true"/>
          <w:lang w:bidi="fa-IR"/>
        </w:rPr>
        <w:t>.</w:t>
      </w:r>
    </w:p>
    <w:p>
      <w:pPr>
        <w:pStyle w:val="Heading3"/>
        <w:numPr>
          <w:ilvl w:val="2"/>
          <w:numId w:val="1"/>
        </w:numPr>
        <w:rPr/>
      </w:pPr>
      <w:bookmarkStart w:id="786" w:name="__RefHeading___Toc1764126_2322387425"/>
      <w:bookmarkStart w:id="787" w:name="_Toc296"/>
      <w:bookmarkEnd w:id="786"/>
      <w:r>
        <w:rPr>
          <w:rtl w:val="true"/>
        </w:rPr>
        <w:t>حکم إبطال الوضوء أو الجماع مع عدم التمکن من الماء</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0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للمتطهّر بعد دخول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إبطال وضوئه بالحدث الأصغر إذا لم یتمکّن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الوضوء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الجواز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یجوز له الجماع مع عدم إمکان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لعدم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الماء ونحوه، لا لمثل الضیق،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الجواز بفقد الماء، وأمّا غیره من الأعذار فالظاهر عدم الجواز؛ لاختصاص النصّ بالأوّل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والفارق وجود</w:t>
      </w:r>
      <w:bookmarkStart w:id="788" w:name="pg13276_136851"/>
    </w:p>
    <w:p>
      <w:pPr>
        <w:pStyle w:val="BookText"/>
        <w:rPr/>
      </w:pPr>
      <w:bookmarkEnd w:id="788"/>
      <w:r>
        <w:rPr>
          <w:rFonts w:ascii="Amiri" w:hAnsi="Amiri" w:eastAsia="Amiri" w:cs="Amiri"/>
          <w:color w:val="111111"/>
          <w:sz w:val="28"/>
          <w:sz w:val="28"/>
          <w:szCs w:val="28"/>
          <w:rtl w:val="true"/>
          <w:lang w:bidi="ar-SA"/>
        </w:rPr>
        <w:t>النصّ</w:t>
      </w:r>
      <w:r>
        <w:rPr>
          <w:rStyle w:val="FootnoteAnchor"/>
          <w:rtl w:val="true"/>
        </w:rPr>
        <w:footnoteReference w:id="10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یختصّ بصورة عدم وجدان الماء،فالحکم یختصّ بذلک المورد، فلا تغفل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الجماع، ومع ذلک الأحوط ترکه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764128_2322387425"/>
      <w:bookmarkStart w:id="790" w:name="_Toc297"/>
      <w:bookmarkEnd w:id="789"/>
      <w:r>
        <w:rPr>
          <w:rtl w:val="true"/>
        </w:rPr>
        <w:t>الرابع</w:t>
      </w:r>
      <w:r>
        <w:rPr>
          <w:rtl w:val="true"/>
        </w:rPr>
        <w:t xml:space="preserve">: </w:t>
      </w:r>
      <w:r>
        <w:rPr>
          <w:rtl w:val="true"/>
        </w:rPr>
        <w:t>الحرج فی تحصیل الماء أو استعماله</w:t>
      </w:r>
      <w:bookmarkEnd w:id="79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فی تحصیل الماء</w:t>
      </w:r>
      <w:r>
        <w:rPr>
          <w:rStyle w:val="FootnoteAnchor"/>
          <w:rtl w:val="true"/>
        </w:rPr>
        <w:footnoteReference w:id="1072"/>
      </w:r>
      <w:r>
        <w:rPr>
          <w:rFonts w:ascii="IRNazanin" w:hAnsi="IRNazanin" w:eastAsia="IRNazanin"/>
          <w:color w:val="111111"/>
          <w:sz w:val="28"/>
          <w:sz w:val="28"/>
          <w:szCs w:val="28"/>
          <w:rtl w:val="true"/>
          <w:lang w:bidi="fa-IR"/>
        </w:rPr>
        <w:t>، أو فی استعماله</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فیما یلازم استعماله، کما لو کان قلیلاً لا یکفی للجمع بین استعماله فی الوضوء وبین أن یبلّل رأسه به مع فرض حاجته إلیه؛ لشدّة حرارة الجو مثلاً بحیث یقع لولاه فی المشقّة والحرج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ضرر أو خوفه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1" w:name="pg13276_136852"/>
    </w:p>
    <w:p>
      <w:pPr>
        <w:pStyle w:val="Heading3"/>
        <w:numPr>
          <w:ilvl w:val="2"/>
          <w:numId w:val="1"/>
        </w:numPr>
        <w:rPr/>
      </w:pPr>
      <w:bookmarkStart w:id="792" w:name="__RefHeading___Toc1764130_2322387425"/>
      <w:bookmarkStart w:id="793" w:name="_Toc298"/>
      <w:bookmarkEnd w:id="791"/>
      <w:bookmarkEnd w:id="792"/>
      <w:r>
        <w:rPr>
          <w:rtl w:val="true"/>
        </w:rPr>
        <w:t>الخامس</w:t>
      </w:r>
      <w:r>
        <w:rPr>
          <w:rtl w:val="true"/>
        </w:rPr>
        <w:t xml:space="preserve">: </w:t>
      </w:r>
      <w:r>
        <w:rPr>
          <w:rtl w:val="true"/>
        </w:rPr>
        <w:t>الخوف علی نفسه أو غیره من العطش لو توضأ بالماء</w:t>
      </w:r>
      <w:bookmarkEnd w:id="79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Style w:val="FootnoteAnchor"/>
          <w:rtl w:val="true"/>
        </w:rPr>
        <w:footnoteReference w:id="10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المیزان فی جواز التیمّم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الخوف من قلّة الماء وعدم استبقائه، وأمّا وجوب صرفه فی غیر الطهارة المائیة، وبذلک یظهر الحال فی الفروع المذکورة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استعمال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یخاف علی غیره من التلف أو مادونه مع فرض وجوب حفظه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یخاف من العطش علی غیره ممّن یهمّه أمره علی نحو یقع فی الضرر أو الحرج، وفی غیر ذلک لا یجوز له حفظ الماء، بل یجب صرفه فی الطهارة، وبذلک یظهر الحال فی الفروع المذکورة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یسوّغ الخوف فیما إذا خاف علی نفسه، أو نفس محترمة من التلف لو صرف الماء فی الطهارة، أو خاف علی نفسه من عطشٍ مؤدٍّ إلی المرض أو الحرج، أو خاف علی من یهمّه أمره من العطش علی نحو یقع فی الضرر أو الحرج، وفی غیر ذلک لا یجوز التیمّم، وبذلک یظهر الحال فی الفروع المذکورة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هذا المسوّغ هو خوف العطش علی نفسه، أو علی من یرتبط به، ولو لم یکن من النفوس المحترمة إذا کان ممّن یهمّه أمره؛ لشدّة العلاقة به، أو لتضرّره المالی من عدم صرف الماء علیه، أو للزوم رعایته عرفاً ـ کالصاحب والجار ـ بحیث تترتّب علی ترکها حزازة عرفیة لا تتحمل عادة،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نفسه، أو أولاده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یخاف من صرف الماء فی الطهارة علی نفسه ـ فعلاً أو فیما بعد ـ من عطش موءدٍّ إلی التلف أو المرض أو الحرج</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المسوّغ للتیمّم إذا کان علی الغیر، فلابدّ وأن یکون ذلک الغیر ممّن یجب حفظه علیه، أو کون الضرر أو الحرج علی الغیر أو تلفه مستلزماً للضرر أو الحرج علیه، وإلاّ لا یجوز التیمّم، فحینئذٍ کلّما کان المسوّغ للتیمّم وجوب حفظ نفسه أو غیره من التلف أو الضرر یتعیّن التیمّم، وإن کان المسوّغ هو الحرج فیتخیّر بینه وبین الوضوء أو الغسل، وممّا ذکر یظهر حکم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وعیاله، أو بعض متعلّقیه أو صدیقه فعلاً، أو بعد ذلک من التلف بالعطش، أو حدوث مرض</w:t>
      </w:r>
      <w:r>
        <w:rPr>
          <w:rStyle w:val="FootnoteAnchor"/>
          <w:rtl w:val="true"/>
        </w:rPr>
        <w:footnoteReference w:id="1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الخوف من تلف نفسه وکذا تلف نفس محترمة لابدّ من حفظها، أو الخوف من الضرر والحرج ولو بجهة من الجهات، فیلزم مراعاة ذلک فیما یذکر من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أو حرج أو مشقّة لا تتحمّل، ولا یعتبر العلم بذلک، بل ولا الظنّ، بل یکفی 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یوجب الخوف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 منشأ عقلائی،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الخوف المعتنی به عند متعارف الناس، الحاصل من العلم أو الظنّ العقلائی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کان موهوماً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ممّا یعتنی به العقلاء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کان عقلائیاً، کما فیما فرضه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ممّا یعتنی به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بحیث یهتمّ العقلاء بشأنه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الاحتمال احتمالاً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کان معتنیَ به لدی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عقلائیاً ولو بلحاظ الاهتمام بالمحتمل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یحصل الخوف مع</w:t>
      </w:r>
    </w:p>
    <w:p>
      <w:pPr>
        <w:pStyle w:val="BookText"/>
        <w:rPr/>
      </w:pPr>
      <w:r>
        <w:rPr>
          <w:rFonts w:ascii="IRNazanin" w:hAnsi="IRNazanin" w:eastAsia="IRNazanin"/>
          <w:color w:val="111111"/>
          <w:sz w:val="28"/>
          <w:sz w:val="28"/>
          <w:szCs w:val="28"/>
          <w:rtl w:val="true"/>
          <w:lang w:bidi="fa-IR"/>
        </w:rPr>
        <w:t>الوهم</w:t>
      </w:r>
      <w:r>
        <w:rPr>
          <w:rStyle w:val="FootnoteAnchor"/>
          <w:rtl w:val="true"/>
        </w:rPr>
        <w:footnoteReference w:id="1076"/>
      </w:r>
      <w:r>
        <w:rPr>
          <w:rFonts w:ascii="IRNazanin" w:hAnsi="IRNazanin" w:eastAsia="IRNazanin"/>
          <w:color w:val="111111"/>
          <w:sz w:val="28"/>
          <w:sz w:val="28"/>
          <w:szCs w:val="28"/>
          <w:rtl w:val="true"/>
          <w:lang w:bidi="fa-IR"/>
        </w:rPr>
        <w:t>إذا کان المطلب عظیماً، فیتیمّم حینئذٍ، وکذا إذا خاف علی دوابّه أو علی نفس محترمة</w:t>
      </w:r>
      <w:r>
        <w:rPr>
          <w:rStyle w:val="FootnoteAnchor"/>
          <w:rtl w:val="true"/>
        </w:rPr>
        <w:footnoteReference w:id="1077"/>
      </w:r>
      <w:r>
        <w:rPr>
          <w:rFonts w:ascii="IRNazanin" w:hAnsi="IRNazanin" w:eastAsia="IRNazanin"/>
          <w:color w:val="111111"/>
          <w:sz w:val="28"/>
          <w:sz w:val="28"/>
          <w:szCs w:val="28"/>
          <w:rtl w:val="true"/>
          <w:lang w:bidi="fa-IR"/>
        </w:rPr>
        <w:t>، وإن لم تکن مرتبطة به</w:t>
      </w:r>
      <w:r>
        <w:rPr>
          <w:rStyle w:val="FootnoteAnchor"/>
          <w:rtl w:val="true"/>
        </w:rPr>
        <w:footnoteReference w:id="10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صرف الماء یوءدّی إلی تلفها، أمّا إذا کان یوءدّی إلی مرضها أو وقوعها فی الحرج فلا یشرع التیمّم، فمرجع هذا المسوّغ أن یکون صرف الماء موءدّیاً إلی وقوع الحرام، أو الوقوع فی الضرر المالی أو البدنی أو الحرج، والأوّل یعمّ نفسه وغیرها، والباقی یختصّ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لایرتبط به لایجوز حفظ الماء بخوف عطشه،نعم، لو کان فی معرض الهلاک فعلاً لعروض العطش یجوز صرف الماء فیه وحفظه من الهلاک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وإن لا یخلو من قوّة، هذا فی غیر الإنسان وبعض الحیوانات المحترمة الغالیة القیمة التی لم تُعدّ للذبح، وأمّا فیهما فینتقل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 المرتبطة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الاُولی یکفی خوف المشقّة حتّی بالنسبة إلی دوابّه، وفی الثانیة لا یکفی إلاّ خوف الهلاک، من غیر فرقٍ بین واجب الحفظ وجائزه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حفظ الماء فی الأوّل واجب، وفی الثانی جائز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مجرّد الخوف علی نفس محترمة إذا کانت غیر مرتبطة به لایوجب حفظ الماء وتسویغ التیمّم، إلاّ أن یسبّب ذلک له حرجاً لایتحمّل عادةً، کما فی بعض النفوس الرقیقة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وقع الشخص المحترم فی عطش مهلک وجب علیه صرف الماء لحفظه وتیمّم، وکذا إذا کان الشخص شدید الاحترام بحیث یجب الاحتیاط فی حفظه عند خوف تلفه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خاف العطش علی من لایرتبط به ولا یهمّه أمره فهو خارج عن حدود هذا المسوّغ، ولکن ربّما یندرج فی المسوّغ السادس بلحاظ وجوب حفظه علیه شرعاً، أوفی المسوّغ الرابع بلحاظ الاطمئنان بوقوعه فی الحرج، ولو من جهة القلق النفسی الحاصل من هلاکه عنده عطشاً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الخوف علی غیر المحترم</w:t>
      </w:r>
      <w:r>
        <w:rPr>
          <w:rStyle w:val="FootnoteAnchor"/>
          <w:rtl w:val="true"/>
        </w:rPr>
        <w:footnoteReference w:id="1079"/>
      </w:r>
      <w:r>
        <w:rPr>
          <w:rFonts w:ascii="Amiri" w:hAnsi="Amiri" w:eastAsia="Amiri" w:cs="Amiri"/>
          <w:color w:val="111111"/>
          <w:sz w:val="28"/>
          <w:sz w:val="28"/>
          <w:szCs w:val="28"/>
          <w:rtl w:val="true"/>
          <w:lang w:bidi="ar-SA"/>
        </w:rPr>
        <w:t>کالحربیّ والمرتدّ الفطریّ ومَن وجب قتله</w:t>
      </w:r>
      <w:r>
        <w:rPr>
          <w:rStyle w:val="FootnoteAnchor"/>
          <w:rtl w:val="true"/>
        </w:rPr>
        <w:footnoteReference w:id="1080"/>
      </w:r>
      <w:r>
        <w:rPr>
          <w:rFonts w:ascii="IRNazanin" w:hAnsi="IRNazanin" w:eastAsia="IRNazanin"/>
          <w:color w:val="111111"/>
          <w:sz w:val="28"/>
          <w:sz w:val="28"/>
          <w:szCs w:val="28"/>
          <w:rtl w:val="true"/>
          <w:lang w:bidi="fa-IR"/>
        </w:rPr>
        <w:t>فی الشرع</w:t>
      </w:r>
      <w:r>
        <w:rPr>
          <w:rStyle w:val="FootnoteAnchor"/>
          <w:rtl w:val="true"/>
        </w:rPr>
        <w:footnoteReference w:id="1081"/>
      </w:r>
      <w:r>
        <w:rPr>
          <w:rFonts w:ascii="Amiri" w:hAnsi="Amiri" w:eastAsia="Amiri" w:cs="Amiri"/>
          <w:color w:val="111111"/>
          <w:sz w:val="28"/>
          <w:sz w:val="28"/>
          <w:szCs w:val="28"/>
          <w:rtl w:val="true"/>
          <w:lang w:bidi="ar-SA"/>
        </w:rPr>
        <w:t>فلا یُسوّغ التیمّم</w:t>
      </w:r>
      <w:r>
        <w:rPr>
          <w:rStyle w:val="FootnoteAnchor"/>
          <w:rtl w:val="true"/>
        </w:rPr>
        <w:footnoteReference w:id="1082"/>
      </w:r>
      <w:r>
        <w:rPr>
          <w:rFonts w:ascii="IRNazanin" w:hAnsi="IRNazanin" w:eastAsia="IRNazanin"/>
          <w:color w:val="111111"/>
          <w:sz w:val="28"/>
          <w:sz w:val="28"/>
          <w:szCs w:val="28"/>
          <w:rtl w:val="true"/>
          <w:lang w:bidi="fa-IR"/>
        </w:rPr>
        <w:t xml:space="preserve">، کما أنّ غیر المحترم الّذی لایجب قتله بل یجوز کالکلب العقور والخنزیر والذئب ونحوها لا یوجبه، </w:t>
      </w:r>
    </w:p>
    <w:p>
      <w:pPr>
        <w:pStyle w:val="BookText"/>
        <w:rPr/>
      </w:pPr>
      <w:r>
        <w:rPr>
          <w:rFonts w:ascii="IRNazanin" w:hAnsi="IRNazanin" w:eastAsia="IRNazanin"/>
          <w:color w:val="111111"/>
          <w:sz w:val="28"/>
          <w:sz w:val="28"/>
          <w:szCs w:val="28"/>
          <w:rtl w:val="true"/>
          <w:lang w:bidi="fa-IR"/>
        </w:rPr>
        <w:t>وإن کان الظاهر جوازه</w:t>
      </w:r>
      <w:r>
        <w:rPr>
          <w:rStyle w:val="FootnoteAnchor"/>
          <w:rtl w:val="true"/>
        </w:rPr>
        <w:footnoteReference w:id="10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فی الأمثلة الثلاثة ونحوها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غیر الموءذی من الحیوان غیر المحترم لا یبعد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التیمّم إلاّ حیث یجب الحفظ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فی الأمثلة المذکورة من الحیوانات المؤذیة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لاظهور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أظهره عدم الجواز، نعم، فی غیر المؤذی من الحیوان غیر المحترم لایبعد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التیمّم فیه وفی النفس المحترمة التی لایجب حفظها مشکل، إلاّ إذا کان علیه فی تلفها حرج أو ضرر یجوز تحمّله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فی الأمثله الثلاثة ونحوها مشکل، بل فی غیر المؤذی من الحیوانات الغیر محترمة 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فیما إذا لم یکن عدم إشرابه الماء وإعطائه له حرجاً علیه، نعم، لابأس به ویجوز التیمّم إذا کان حرجیاً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نعم، لایبعد جواز صرف الماء علی الحیوانات المزبورة والانتقال إلی التیمّم، وأمّا حفظ الماء لاحتمال عطش الحیوانات وتلفها فیما بعده والتیمّم فعلاً فلا وجه له، اللهمّ إلاّ إذا کانت من توابع المسافر، کالکلب الحارس أو الصائد إذا کانا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قبل الوقت فلا مجال للإشکال، وأمّا بعده فالمنع بالنسبة إلی الأمثلة المذکورة من الحیوانات المؤذیة غیر المفیدة أوفق بحسب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کان مرتبطاً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التیمّم فیما مثّل به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جوازه لحفظ مال الغیر وإن لم یجب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إلاّ أن تکون ممّا تهمّه سقایتها وحفظها لبعض الأغراض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المسألة تفصیل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بعض صور خوف العطش یجب حفظ الماء وعدم استعماله، کخوف تلف النفس أو الغیر ممّن یجب حفظه، وکخوف حدوث مرض</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نفسه أو مَن فی حضانته، ویختصّ الوجوب فی الأول بالمرض الّذی یبلغ حدّ الإضرار المحرّم بالنفس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حفظه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یجب مثل تلف النفس المحترمة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لا یجب حفظها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کذلک لزمت الطهارة المائیة إذا لم یکن فی تلف النفس حرج أو ضرر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لاتخلو العبارة من الاضطراب؛ لأنّه قدس‌سره عبّر عنه أوّلاً بغیر المحترم، وقال بجواز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متضرّراً بتلفها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وتکون من المرتبطات به، لکن یکون تلفه سبباً لحرج أو ضرر جائز التحمّل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کالذمّی، فالعطش فی هذا المورد أیضاً یسوّغ معه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ممّن یهمّه أمرها، أو کان عدم صرف الماء علیها موجباً لوقوعه فی الحرج، کما تقدّم، وأمّا فی غیر ذلک فالظاهر وجوب حفظ الماء واستعماله فی 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w:t>
      </w:r>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1085"/>
      </w:r>
      <w:r>
        <w:rPr>
          <w:rFonts w:ascii="IRNazanin" w:hAnsi="IRNazanin" w:eastAsia="IRNazanin"/>
          <w:color w:val="111111"/>
          <w:sz w:val="28"/>
          <w:sz w:val="28"/>
          <w:szCs w:val="28"/>
          <w:rtl w:val="true"/>
          <w:lang w:bidi="fa-IR"/>
        </w:rPr>
        <w:t>قتلها</w:t>
      </w:r>
      <w:r>
        <w:rPr>
          <w:rStyle w:val="FootnoteAnchor"/>
          <w:rtl w:val="true"/>
        </w:rPr>
        <w:footnoteReference w:id="10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لاینافی ماتقدّم آنفاً من جواز القتل کما توهّم؛ لاختلاف الموضوع؛ لکونه فی ما تقدّم هوغیر المحترم، وهنا هی النفس المحترمة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کالذمّی والحیوانات المحلّلة الأکل، وإن جاز ذبحها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وفی بعضها یَحرُم حِفظه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یجب استعماله فی الوضوء أو الغسل، کما فی النفوس الّتی یجب إتلافها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ففی الصورة الثالثة لایجوز التیمّم، وفی الثانیة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التیمّم مع عدم صدق الإتلاف بصرفه فی تیمّمه نظر؛ لصدق الوجدان حینئذٍ جزماً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جاز وجب، ولا أری وجهاً للحکم بالتخییر بین الوضوء والتیمّم مع فرض عدم وجوب حفظ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مع فرض کون النفس محترمةً لایجوز قتلها، والأحوط تعیّن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یجوز، ویجب الوضوء أو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إعدام الماء بصرفه إلی ذلک الحیوان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الثانیة مثل الکلب العقور فقد تقدّم التأمّل فیه، ولا تخلو عبارته من نوع تشویش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ویجوز الوضوء أو الغسل أیضاً،</w:t>
      </w:r>
      <w:bookmarkStart w:id="794" w:name="pg13276_136859"/>
    </w:p>
    <w:p>
      <w:pPr>
        <w:pStyle w:val="BookText"/>
        <w:rPr/>
      </w:pPr>
      <w:bookmarkEnd w:id="794"/>
      <w:r>
        <w:rPr>
          <w:rFonts w:ascii="IRNazanin" w:hAnsi="IRNazanin" w:eastAsia="IRNazanin"/>
          <w:color w:val="111111"/>
          <w:sz w:val="28"/>
          <w:sz w:val="28"/>
          <w:szCs w:val="28"/>
          <w:rtl w:val="true"/>
          <w:lang w:bidi="fa-IR"/>
        </w:rPr>
        <w:t>وفی الاُولی یجب ولا یجوز الوضوء أو الغسل</w:t>
      </w:r>
      <w:r>
        <w:rPr>
          <w:rFonts w:eastAsia="IRNazanin" w:cs="IRNazanin"/>
          <w:color w:val="111111"/>
          <w:sz w:val="28"/>
          <w:szCs w:val="28"/>
          <w:rtl w:val="true"/>
          <w:lang w:bidi="fa-IR"/>
        </w:rPr>
        <w:t>.</w:t>
      </w:r>
    </w:p>
    <w:p>
      <w:pPr>
        <w:pStyle w:val="Heading3"/>
        <w:numPr>
          <w:ilvl w:val="2"/>
          <w:numId w:val="1"/>
        </w:numPr>
        <w:rPr/>
      </w:pPr>
      <w:bookmarkStart w:id="795" w:name="__RefHeading___Toc1764132_2322387425"/>
      <w:bookmarkStart w:id="796" w:name="_Toc299"/>
      <w:bookmarkEnd w:id="795"/>
      <w:r>
        <w:rPr>
          <w:rtl w:val="true"/>
        </w:rPr>
        <w:t>وظیفة من کان معه ماءان</w:t>
      </w:r>
      <w:r>
        <w:rPr>
          <w:rtl w:val="true"/>
        </w:rPr>
        <w:t xml:space="preserve">: </w:t>
      </w:r>
      <w:r>
        <w:rPr>
          <w:rtl w:val="true"/>
        </w:rPr>
        <w:t>طاهر ونجس</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ماء طاهر یکفی لطهارته وماء نجس بقدر حاجته إلی شربه لا یکفی فی عدم الانتقال إلی التیمّم؛ لأنّ وجود الماء النجس</w:t>
      </w:r>
      <w:r>
        <w:rPr>
          <w:rStyle w:val="FootnoteAnchor"/>
          <w:rtl w:val="true"/>
        </w:rPr>
        <w:footnoteReference w:id="1087"/>
      </w:r>
      <w:r>
        <w:rPr>
          <w:rFonts w:ascii="IRNazanin" w:hAnsi="IRNazanin" w:eastAsia="IRNazanin"/>
          <w:color w:val="111111"/>
          <w:sz w:val="28"/>
          <w:sz w:val="28"/>
          <w:szCs w:val="28"/>
          <w:rtl w:val="true"/>
          <w:lang w:bidi="fa-IR"/>
        </w:rPr>
        <w:t>حیث إنّه یحرم شربه کالعدم</w:t>
      </w:r>
      <w:r>
        <w:rPr>
          <w:rStyle w:val="FootnoteAnchor"/>
          <w:rtl w:val="true"/>
        </w:rPr>
        <w:footnoteReference w:id="1088"/>
      </w:r>
      <w:r>
        <w:rPr>
          <w:rFonts w:ascii="IRNazanin" w:hAnsi="IRNazanin" w:eastAsia="IRNazanin"/>
          <w:color w:val="111111"/>
          <w:sz w:val="28"/>
          <w:sz w:val="28"/>
          <w:szCs w:val="28"/>
          <w:rtl w:val="true"/>
          <w:lang w:bidi="fa-IR"/>
        </w:rPr>
        <w:t>فیجب التیمّم وحفظ الماء الطاهر لشربه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الخوف علی دابّته لا علی نفسه یجب علیه الوضوء أو الغسل وصرف الماء النجس فی حفظ دابّته، بل وکذا إذا خاف علی طفل من العطش</w:t>
      </w:r>
      <w:r>
        <w:rPr>
          <w:rStyle w:val="FootnoteAnchor"/>
          <w:rtl w:val="true"/>
        </w:rPr>
        <w:footnoteReference w:id="10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أعمّ من أن یکون الطفل متعلّقاً به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منّا فیه فی أحکام الماء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إشکال،بل یتعیّن أن یُشرِبه الماء الطاهر ویتیمّم هو إذا کان الطفل مرتبطاً به، وکذلک الحکم فی رفیقه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دلیل علی حرمة إشرابه الماء</w:t>
      </w:r>
    </w:p>
    <w:p>
      <w:pPr>
        <w:pStyle w:val="BookText"/>
        <w:rPr/>
      </w:pPr>
      <w:r>
        <w:rPr>
          <w:rFonts w:ascii="Amiri" w:hAnsi="Amiri" w:eastAsia="Amiri" w:cs="Amiri"/>
          <w:color w:val="111111"/>
          <w:sz w:val="28"/>
          <w:sz w:val="28"/>
          <w:szCs w:val="28"/>
          <w:rtl w:val="true"/>
          <w:lang w:bidi="ar-SA"/>
        </w:rPr>
        <w:t>المتنجّس</w:t>
      </w:r>
      <w:r>
        <w:rPr>
          <w:rStyle w:val="FootnoteAnchor"/>
          <w:rtl w:val="true"/>
        </w:rPr>
        <w:footnoteReference w:id="10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لو فرض شرب الطفل بنفسه فالأمر أسهل، فیستعمل الماء الطاهر فی الوضوء ـ مثلاً ـ ویحفظ الماء النجس لیشربه الطفل،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 علی رفیقه أیضاً یجوز التوضّؤ</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القول بتعیّنه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تعیّنه، وکذا فی الصورة التالیة، ولکن لا یباشر الإعطاء، بل یجوز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کما یفهم ممّا ورد فی وجوب الإعلام بالنجاسة فی بیع الدهن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الصدیق بالنجاسة فعلاً، وإلاّ ففیه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إبقاء الطاهر إذا وجب رفع عطشه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إذا کان رفیقه جاهلاً بنجاسته، أو لم یکن یتورّع عن شرب الماء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وإبقاء  الماء النجس لشربه؛ فإنّه لا دلیل علی وجوب رفع اضطرار الغیر من شرب النجس، نعم، لو کان رفیقه عطشاناً فعلاً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لادلیل علی وجوب إعطائه الماء الطاهر، بل له منعه عن ذلک فیضطرّ إلی شرب الماء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إعطاوءه</w:t>
      </w:r>
      <w:r>
        <w:rPr>
          <w:rStyle w:val="FootnoteAnchor"/>
          <w:rtl w:val="true"/>
        </w:rPr>
        <w:footnoteReference w:id="10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عدم إعطائه الماء الطاهر؛ حتی یضطرّ بنفسه إلی شرب النجس، ولا یجب علیه رفع اضطراره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وعلی فرض عدم الجواز یجب المنع ولو باشر الشرب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النجس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جواز الامتناع عن بذل الماء الطاهر له، وإن انحصر طریق رفع عطشه حینئذٍ بشرب الماء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لیشرب مع وجود الماء الطاهر، کما أ نّه لو باشر الشرب بنفسه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یجب منعه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جاهلاً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معذوراً فی شربه بجهلٍ أو غیره، وإلاّ وجب النهی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جاهلاً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اضطراره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لایجب منعه إذا شرب الماء النجس غفلة، وأمّا إذا شربه مضطراً کما هو مفروض الکلام فعلیه منعه وإعطاؤه الماء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المنع من باب النهی عن المنکر إلاّ إذا کان جاهلاً بنجاسته، أو صار مضطراً إلی شربه؛ لعدم بذل الماء الطاهر له، وفی الصورة الأخیرة تجوز مباشرة الإعطاء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3276_136862"/>
    </w:p>
    <w:p>
      <w:pPr>
        <w:pStyle w:val="Heading3"/>
        <w:numPr>
          <w:ilvl w:val="2"/>
          <w:numId w:val="1"/>
        </w:numPr>
        <w:rPr/>
      </w:pPr>
      <w:bookmarkStart w:id="798" w:name="__RefHeading___Toc1764134_2322387425"/>
      <w:bookmarkStart w:id="799" w:name="_Toc300"/>
      <w:bookmarkEnd w:id="797"/>
      <w:bookmarkEnd w:id="798"/>
      <w:r>
        <w:rPr>
          <w:rtl w:val="true"/>
        </w:rPr>
        <w:t>السادس</w:t>
      </w:r>
      <w:r>
        <w:rPr>
          <w:rtl w:val="true"/>
        </w:rPr>
        <w:t xml:space="preserve">: </w:t>
      </w:r>
      <w:r>
        <w:rPr>
          <w:rtl w:val="true"/>
        </w:rPr>
        <w:t>إذا عارض الوضوء أو الغسل واجب أهم</w:t>
      </w:r>
      <w:bookmarkEnd w:id="799"/>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عارض استعمال الماء فی الوضوء أو الغسل واجب</w:t>
      </w:r>
      <w:r>
        <w:rPr>
          <w:rStyle w:val="FootnoteAnchor"/>
          <w:rtl w:val="true"/>
        </w:rPr>
        <w:footnoteReference w:id="1092"/>
      </w:r>
      <w:r>
        <w:rPr>
          <w:rFonts w:ascii="Amiri" w:hAnsi="Amiri" w:eastAsia="Amiri" w:cs="Amiri"/>
          <w:color w:val="111111"/>
          <w:sz w:val="28"/>
          <w:sz w:val="28"/>
          <w:szCs w:val="28"/>
          <w:rtl w:val="true"/>
          <w:lang w:bidi="ar-SA"/>
        </w:rPr>
        <w:t>أهمّ</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لا بدل له، کما یظهر من الأمثلة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یکون کل واجب لیس له البدل أهّم مما له البدل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ما یأتی من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بدل له، ولکنّه علی إطلاقه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إذا کان الواجب محتمل الأهمّیة، بل وکذا إذا کان مساویاً للطهارة المائیة، أو کان کلّ منهما محتمل الأهمّیة، فإنّ الحکم فی هاتین الصورتین هو التخییر بینها وبین ذلک الواجب، وإذا سقط وجوب الطهارة المائیة ولو لأجل التخییر ساغَ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الطهارة المائیة أهمّ، أو کانت محتملة الأهمّیة بالخصوص فالأقوی وجوب الطهارة المائیة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مساوٍ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الروایات بل من الفطریات تقدیم الأهمّ علی المهمّ، بل محتمل الأهمّیة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لا بدل له یُقدّم علی ما له بدل، ولکن 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ترک الواجب، أو فعل الحرام، أو ترک شرط معتبر فی الصلاة، أو حصول مانع، ولا دلالة لثبوت البدل علی عدم الأهمّیة، ولا لعدمه علی ثبوتها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کان بدنه أو ثوبه نجساً ولم یکن عنده من الماء إلاّ بقدر</w:t>
      </w:r>
      <w:bookmarkStart w:id="800" w:name="pg13276_136863"/>
    </w:p>
    <w:p>
      <w:pPr>
        <w:pStyle w:val="BookText"/>
        <w:rPr/>
      </w:pPr>
      <w:bookmarkEnd w:id="800"/>
      <w:r>
        <w:rPr>
          <w:rFonts w:ascii="IRNazanin" w:hAnsi="IRNazanin" w:eastAsia="IRNazanin"/>
          <w:color w:val="111111"/>
          <w:sz w:val="28"/>
          <w:sz w:val="28"/>
          <w:szCs w:val="28"/>
          <w:rtl w:val="true"/>
          <w:lang w:bidi="fa-IR"/>
        </w:rPr>
        <w:t>أحد الأمرین من رفع الحدث أو الخبث، ففی هذه الصورة یجب</w:t>
      </w:r>
      <w:r>
        <w:rPr>
          <w:rStyle w:val="FootnoteAnchor"/>
          <w:rtl w:val="true"/>
        </w:rPr>
        <w:footnoteReference w:id="1094"/>
      </w:r>
      <w:r>
        <w:rPr>
          <w:rFonts w:ascii="IRNazanin" w:hAnsi="IRNazanin" w:eastAsia="IRNazanin"/>
          <w:color w:val="111111"/>
          <w:sz w:val="28"/>
          <w:sz w:val="28"/>
          <w:szCs w:val="28"/>
          <w:rtl w:val="true"/>
          <w:lang w:bidi="fa-IR"/>
        </w:rPr>
        <w:t>استعماله</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فیها التخییر بین استعماله فی رفع الحدث، أو الخبث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رفع الخبث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ویتیمّم لأنّ الوضوء له بدل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لوجه آخر غیر الوجهین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801" w:name="__RefHeading___Toc1764136_2322387425"/>
      <w:bookmarkStart w:id="802" w:name="_Toc301"/>
      <w:bookmarkEnd w:id="801"/>
      <w:r>
        <w:rPr>
          <w:rtl w:val="true"/>
        </w:rPr>
        <w:t>لو قدم الطهارة الحدثیة علی الخبثیة</w:t>
      </w:r>
      <w:bookmarkEnd w:id="80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التیمّم</w:t>
      </w:r>
      <w:r>
        <w:rPr>
          <w:rStyle w:val="FootnoteAnchor"/>
          <w:rtl w:val="true"/>
        </w:rPr>
        <w:footnoteReference w:id="1096"/>
      </w:r>
      <w:r>
        <w:rPr>
          <w:rFonts w:ascii="IRNazanin" w:hAnsi="IRNazanin" w:eastAsia="IRNazanin"/>
          <w:color w:val="111111"/>
          <w:sz w:val="28"/>
          <w:sz w:val="28"/>
          <w:szCs w:val="28"/>
          <w:rtl w:val="true"/>
          <w:lang w:bidi="fa-IR"/>
        </w:rPr>
        <w:t>، بخلاف رفع الخبث، مع أ نّه منصوص</w:t>
      </w:r>
      <w:r>
        <w:rPr>
          <w:rStyle w:val="FootnoteAnchor"/>
          <w:rtl w:val="true"/>
        </w:rPr>
        <w:footnoteReference w:id="1097"/>
      </w:r>
      <w:r>
        <w:rPr>
          <w:rFonts w:ascii="IRNazanin" w:hAnsi="IRNazanin" w:eastAsia="IRNazanin"/>
          <w:color w:val="111111"/>
          <w:sz w:val="28"/>
          <w:sz w:val="28"/>
          <w:szCs w:val="28"/>
          <w:rtl w:val="true"/>
          <w:lang w:bidi="fa-IR"/>
        </w:rPr>
        <w:t xml:space="preserve">فی بعض صوره، </w:t>
      </w:r>
    </w:p>
    <w:p>
      <w:pPr>
        <w:pStyle w:val="BookText"/>
        <w:rPr/>
      </w:pPr>
      <w:r>
        <w:rPr>
          <w:rFonts w:ascii="IRNazanin" w:hAnsi="IRNazanin" w:eastAsia="IRNazanin"/>
          <w:color w:val="111111"/>
          <w:sz w:val="28"/>
          <w:sz w:val="28"/>
          <w:szCs w:val="28"/>
          <w:rtl w:val="true"/>
          <w:lang w:bidi="fa-IR"/>
        </w:rPr>
        <w:t>والأولی</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استحبابا أن یصرف الماء أوّلاً فی إزالة الخبث، ثمّ التیمّم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یرفع الخبث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لعلّه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ثمّ یتیمّـم لیتحقّق کونه فاقداً للماء حال التیمّم، وإذا 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اغتسل حینئذٍ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والتعلیل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وللصحّة وجه، حتی علی القول بوجوب صرف الماء فی رفع الخبث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لایخفی أنّ المسألة من مصادیق مسألة الضدّ، فبناءً علی عدم اقتضاء الأمر بالشیء النهی عن ضدّه وکفایة وجود الملاک أو تصحیح الأمر الترتّبیّ یصحّ الوضوء، وهو الأظهر، وإن کان عاصیاً بترک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وإن أمکن المصیر إلی القول بالعقوبة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ویمکن التصحیح بالترتّب، والأحوط ضمّ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بالبطلان وفی التعلیل نظر، ولا یُترک الاحتیاط بضمّ التیمّم إلی 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للبطلان حتّی علی القول بوجوب استعمال الماء فی رفع الخبث؛ إذ الأمر بالشیء لا یقتضی النهی عن ضده، ومن ناحیة اُخری أنّ الترتّب علی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قُرّر فی الاُصول من امتناع الترتّب، وأمّا بناءً علی جوازه صحّ عمله؛ لوجود الخطاب، بل صحّ لوجود الملاک وصحّة تقرّبه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غفل عن تکلیفه وتوضّأ بالماء أو اغتسل صحّ وضوؤه وغُسله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803" w:name="pg13276_136865"/>
    </w:p>
    <w:p>
      <w:pPr>
        <w:pStyle w:val="BookText"/>
        <w:rPr/>
      </w:pPr>
      <w:bookmarkEnd w:id="803"/>
      <w:r>
        <w:rPr>
          <w:rFonts w:ascii="Amiri" w:hAnsi="Amiri" w:eastAsia="Amiri" w:cs="Amiri"/>
          <w:color w:val="111111"/>
          <w:sz w:val="28"/>
          <w:sz w:val="28"/>
          <w:szCs w:val="28"/>
          <w:rtl w:val="true"/>
          <w:lang w:bidi="ar-SA"/>
        </w:rPr>
        <w:t>لأ نّه</w:t>
      </w:r>
      <w:r>
        <w:rPr>
          <w:rStyle w:val="FootnoteAnchor"/>
          <w:rtl w:val="true"/>
        </w:rPr>
        <w:footnoteReference w:id="1099"/>
      </w:r>
      <w:r>
        <w:rPr>
          <w:rFonts w:ascii="IRNazanin" w:hAnsi="IRNazanin" w:eastAsia="IRNazanin"/>
          <w:color w:val="111111"/>
          <w:sz w:val="28"/>
          <w:sz w:val="28"/>
          <w:szCs w:val="28"/>
          <w:rtl w:val="true"/>
          <w:lang w:bidi="fa-IR"/>
        </w:rPr>
        <w:t>مأمور بالتیمّم،</w:t>
      </w:r>
    </w:p>
    <w:p>
      <w:pPr>
        <w:pStyle w:val="Heading3"/>
        <w:numPr>
          <w:ilvl w:val="2"/>
          <w:numId w:val="1"/>
        </w:numPr>
        <w:rPr/>
      </w:pPr>
      <w:bookmarkStart w:id="804" w:name="__RefHeading___Toc1764138_2322387425"/>
      <w:bookmarkStart w:id="805" w:name="_Toc302"/>
      <w:bookmarkEnd w:id="804"/>
      <w:r>
        <w:rPr>
          <w:rtl w:val="true"/>
        </w:rPr>
        <w:t>تعیّن تقدیم الطهارة الحدثیة لو فقد التراب</w:t>
      </w:r>
      <w:bookmarkEnd w:id="805"/>
    </w:p>
    <w:p>
      <w:pPr>
        <w:pStyle w:val="BookText"/>
        <w:rPr/>
      </w:pPr>
      <w:r>
        <w:rPr>
          <w:rFonts w:ascii="IRNazanin" w:hAnsi="IRNazanin" w:eastAsia="IRNazanin"/>
          <w:color w:val="111111"/>
          <w:sz w:val="28"/>
          <w:sz w:val="28"/>
          <w:szCs w:val="28"/>
          <w:rtl w:val="true"/>
          <w:lang w:bidi="fa-IR"/>
        </w:rPr>
        <w:t>ولا أمر</w:t>
      </w:r>
      <w:r>
        <w:rPr>
          <w:rStyle w:val="FootnoteAnchor"/>
          <w:rtl w:val="true"/>
        </w:rPr>
        <w:footnoteReference w:id="1100"/>
      </w:r>
      <w:r>
        <w:rPr>
          <w:rFonts w:ascii="IRNazanin" w:hAnsi="IRNazanin" w:eastAsia="IRNazanin"/>
          <w:color w:val="111111"/>
          <w:sz w:val="28"/>
          <w:sz w:val="28"/>
          <w:szCs w:val="28"/>
          <w:rtl w:val="true"/>
          <w:lang w:bidi="fa-IR"/>
        </w:rPr>
        <w:t>بالوضوء أو الغسل، نعم لو لم یکن عنده ما یتیمّم به أیضاً یتعیّن صرفه فی رفع الحدث</w:t>
      </w:r>
      <w:r>
        <w:rPr>
          <w:rStyle w:val="FootnoteAnchor"/>
          <w:rtl w:val="true"/>
        </w:rPr>
        <w:footnoteReference w:id="1101"/>
      </w:r>
      <w:r>
        <w:rPr>
          <w:rFonts w:ascii="IRNazanin" w:hAnsi="IRNazanin" w:eastAsia="IRNazanin"/>
          <w:color w:val="111111"/>
          <w:sz w:val="28"/>
          <w:sz w:val="28"/>
          <w:szCs w:val="28"/>
          <w:rtl w:val="true"/>
          <w:lang w:bidi="fa-IR"/>
        </w:rPr>
        <w:t>لأنّ الأمر یدور بین الصـلاة مع نجاسة البدن أو الثوب أو مع الحدث وفقد الطهورین، فمراعاة رفع الحدث أهمّ، مع أنّ الأقوی</w:t>
      </w:r>
      <w:r>
        <w:rPr>
          <w:rStyle w:val="FootnoteAnchor"/>
          <w:rtl w:val="true"/>
        </w:rPr>
        <w:footnoteReference w:id="1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وإن کان الأمر کما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التعرّض له فی الفصل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نظر، بل منع؛ فإنّ الصلاة لاتُترک بحال؛ لأنّها عماد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البطلان هو الأقوی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لزوم الإتیان بها علیه فی الوقت، و لزوم قضائها فی خارج الوقت لو تمکّن من الطَهور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عدم کفایتها عن القضاء إن تمکّن من الطَهور بعد الوقت، بل الأداء فی الوقت، ولکنّ التعلیل المذکور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أن 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هذا القول یتعیّن رفع الحدث، فلا یکون هنا تزاحم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فاقد</w:t>
      </w:r>
      <w:bookmarkStart w:id="806" w:name="pg13276_136866"/>
    </w:p>
    <w:p>
      <w:pPr>
        <w:pStyle w:val="BookText"/>
        <w:rPr/>
      </w:pPr>
      <w:bookmarkEnd w:id="806"/>
      <w:r>
        <w:rPr>
          <w:rFonts w:ascii="IRNazanin" w:hAnsi="IRNazanin" w:eastAsia="IRNazanin"/>
          <w:color w:val="111111"/>
          <w:sz w:val="28"/>
          <w:sz w:val="28"/>
          <w:szCs w:val="28"/>
          <w:rtl w:val="true"/>
          <w:lang w:bidi="fa-IR"/>
        </w:rPr>
        <w:t>الطهورین</w:t>
      </w:r>
      <w:r>
        <w:rPr>
          <w:rStyle w:val="FootnoteAnchor"/>
          <w:rtl w:val="true"/>
        </w:rPr>
        <w:footnoteReference w:id="1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القول فیه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ینفعه رفع الخبث حینئذٍ</w:t>
      </w:r>
      <w:r>
        <w:rPr>
          <w:rFonts w:eastAsia="IRNazanin" w:cs="IRNazanin"/>
          <w:color w:val="111111"/>
          <w:sz w:val="28"/>
          <w:szCs w:val="28"/>
          <w:rtl w:val="true"/>
          <w:lang w:bidi="fa-IR"/>
        </w:rPr>
        <w:t>.</w:t>
      </w:r>
    </w:p>
    <w:p>
      <w:pPr>
        <w:pStyle w:val="Heading3"/>
        <w:numPr>
          <w:ilvl w:val="2"/>
          <w:numId w:val="1"/>
        </w:numPr>
        <w:rPr/>
      </w:pPr>
      <w:bookmarkStart w:id="807" w:name="__RefHeading___Toc1764140_2322387425"/>
      <w:bookmarkStart w:id="808" w:name="_Toc303"/>
      <w:bookmarkEnd w:id="807"/>
      <w:r>
        <w:rPr>
          <w:rtl w:val="true"/>
        </w:rPr>
        <w:t>دوران الأمر بین صرف الماء للوضوء أو إزالة بعض الخبث</w:t>
      </w:r>
      <w:bookmarkEnd w:id="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r>
        <w:rPr>
          <w:rStyle w:val="FootnoteAnchor"/>
          <w:rtl w:val="true"/>
        </w:rPr>
        <w:footnoteReference w:id="1104"/>
      </w:r>
      <w:r>
        <w:rPr>
          <w:rFonts w:ascii="IRNazanin" w:hAnsi="IRNazanin" w:eastAsia="IRNazanin"/>
          <w:color w:val="111111"/>
          <w:sz w:val="28"/>
          <w:sz w:val="28"/>
          <w:szCs w:val="28"/>
          <w:rtl w:val="true"/>
          <w:lang w:bidi="fa-IR"/>
        </w:rPr>
        <w:t>معه ما یکفیه لوضوئه، أو غسل بعض مواضع النجس من بدنه، أو ثوبه بحیث لو تیمّم أیضاً یلزم الصلاة مع النجاسة ففی تقدیم رفع الخبث حینئذٍ علی رفع الحدث إشکال</w:t>
      </w:r>
      <w:r>
        <w:rPr>
          <w:rStyle w:val="FootnoteAnchor"/>
          <w:rtl w:val="true"/>
        </w:rPr>
        <w:footnoteReference w:id="1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تقدیم رفع الحدث ثمّ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الإشکال ما إذا لم یکن تقلیل الخبث بحدٍّ یصیر معفوّاً عنه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تقدیم الأوّل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بناءً علی وجوب تقلیل النجاسة، کما مرّ منه فی محلّه، ولکنّ وجوبه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 السیستانی،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ضمّ التیمّم إلیه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یصرف الماء فی رفع الخبث أوّلاً، ثمّ یتیمّم،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تقدیم رفع الخبث وتقلیله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لأنّ الأمر بإزالة النجاسة عن الثوب والبدن للصلاة تکلیف انحلالی، ففی کلّ قطعةٍ منها تکلیف مستقلّ، له امتثال مستقلّ، فیزاحم فی المقدار الممکن رفعه وجوب الطهارة المائیة التی لها بدل فیقدّم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إذ لا دلیل علی وجوب تقلیل النجاسة، خصوصاً إذا کان مزاحماً 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القول بالتقدیم ولا سیما بالنسبة إلی بعض الأخباث تأمّل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یتمّ بناءً علی عدم لزوم تخفیف النجاسة وتقلیلها، وأمّا بناءً علی اللزوم مطلقاً حتّی فی صورة المزاحمة فلا یبعد الأوّل، 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والأظهر التخییر، وإن کان الأولی استعماله فی رفع الخبث، وکذا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تقدیم الأوّل؛ إذ مانعیة الخبث فی الصلاة علی نحو الطبیعة الساریة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الأوفق بالقواعد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الأوّل، ولو توضأ فالأحوط ضمّ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 جمع الماء بعد الوضوء فی إناء، ثمّ تطهیر بعض مواضع النجاسة به تعیّن ذلک، وإلاّ تیمّم بعد الوضوء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ولاحتمال التخییر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ویحتاط بضمّ التیمّم بعد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التخییر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التقدیم ـ أی تقدیم رفع الخبث ـ بناءً علی ما تقدّم من تقدیم ما لا بدل له علی ماله البدل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بدنه</w:t>
      </w:r>
      <w:r>
        <w:rPr>
          <w:rStyle w:val="FootnoteAnchor"/>
          <w:rtl w:val="true"/>
        </w:rPr>
        <w:footnoteReference w:id="1106"/>
      </w:r>
      <w:r>
        <w:rPr>
          <w:rFonts w:ascii="IRNazanin" w:hAnsi="IRNazanin" w:eastAsia="IRNazanin"/>
          <w:color w:val="111111"/>
          <w:sz w:val="28"/>
          <w:sz w:val="28"/>
          <w:szCs w:val="28"/>
          <w:rtl w:val="true"/>
          <w:lang w:bidi="fa-IR"/>
        </w:rPr>
        <w:t>وثوبه کلاهما نجسان، وکان معه من الماء ما یکفی لأحد الاُمور من الوضوء، أو تطهیر البدن، أو الثوب</w:t>
      </w:r>
      <w:r>
        <w:rPr>
          <w:rStyle w:val="FootnoteAnchor"/>
          <w:rtl w:val="true"/>
        </w:rPr>
        <w:footnoteReference w:id="1107"/>
      </w:r>
      <w:r>
        <w:rPr>
          <w:rFonts w:ascii="Amiri" w:hAnsi="Amiri" w:eastAsia="Amiri" w:cs="Amiri"/>
          <w:color w:val="111111"/>
          <w:sz w:val="28"/>
          <w:sz w:val="28"/>
          <w:szCs w:val="28"/>
          <w:rtl w:val="true"/>
          <w:lang w:bidi="ar-SA"/>
        </w:rPr>
        <w:t>ربّما یقال</w:t>
      </w:r>
      <w:r>
        <w:rPr>
          <w:rStyle w:val="FootnoteAnchor"/>
          <w:rtl w:val="true"/>
        </w:rPr>
        <w:footnoteReference w:id="1108"/>
      </w:r>
      <w:r>
        <w:rPr>
          <w:rFonts w:ascii="IRNazanin" w:hAnsi="IRNazanin" w:eastAsia="IRNazanin"/>
          <w:color w:val="111111"/>
          <w:sz w:val="28"/>
          <w:sz w:val="28"/>
          <w:szCs w:val="28"/>
          <w:rtl w:val="true"/>
          <w:lang w:bidi="fa-IR"/>
        </w:rPr>
        <w:t>بتقدیم</w:t>
      </w:r>
      <w:r>
        <w:rPr>
          <w:rStyle w:val="FootnoteAnchor"/>
          <w:rtl w:val="true"/>
        </w:rPr>
        <w:footnoteReference w:id="1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البدن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والتیمّم والصلاة مع نجاسة الثوب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عریاناً علی اختلاف القولین، ولا یخلو ما ذکره من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علی ما هو الأقوی من وجوب الصلاة عاریاً مع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الوجه بناءً علی ما قوّیناه آنفاً من الصلاة عاریاً مع انحصار الساتر فی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بناءً علی وجوب الصلاة عاریاً عند انحصار الساتر فی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الوجه؛ لأنّه بعد لزوم تقدیم طهارة البدن علی الثوب یقع التزاحم بین وجوب طهارة البدن ووجوب تحصیل الطهارة المائیة التی لها بدل فتُقدّم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الأقوی بناءً علی وجوب الصلاة عاریاً عند انحصار الساتر فی النجس أو جوازها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ولا فرق بین أن یقال بوجوب الصلاة عاریاً أو التخییر بینه وبین الصلاة فی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تقدم یظهر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التخییر بین صرف الماء فی تطهیر البدن والصلاة عریاناً مع التیمّم وبین صرفه فی الوضوء والصلاة عاریاً، وإن کان الأول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قلنا بوجوب الصلاة علیه عریاناً، وأمّا بناءً علی عدم وجوب الصلاة عُرْیاً یصرف الماء فی الطهارة الخبثیة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3276_136869"/>
    </w:p>
    <w:p>
      <w:pPr>
        <w:pStyle w:val="Heading3"/>
        <w:numPr>
          <w:ilvl w:val="2"/>
          <w:numId w:val="1"/>
        </w:numPr>
        <w:rPr/>
      </w:pPr>
      <w:bookmarkStart w:id="810" w:name="__RefHeading___Toc1764142_2322387425"/>
      <w:bookmarkStart w:id="811" w:name="_Toc304"/>
      <w:bookmarkEnd w:id="809"/>
      <w:bookmarkEnd w:id="810"/>
      <w:r>
        <w:rPr>
          <w:rtl w:val="true"/>
        </w:rPr>
        <w:t>الدوران بین الترک فی الوقت أو شرب النجس</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أمره بین ترک الصلاة فی الوقت أو شرب الماء النجس ـ کما إذا کان معه ما یکفی لوضوئه من الماء الطاهر، وکان معه ماء نجس بمقدار حاجته لشربه، ومع ذلک لم یکن معه ما یتیمّم به بحیث لو شرب الماء الطاهر بقی فاقد الطهورین ـ ففی تقدیم أیّهما إشکال</w:t>
      </w:r>
      <w:r>
        <w:rPr>
          <w:rStyle w:val="FootnoteAnchor"/>
          <w:rtl w:val="true"/>
        </w:rPr>
        <w:footnoteReference w:id="1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الشکّ فی الأهمّ هنا وفی غیره یتخیّر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استلزام ترک الشرب ضرراً أو حرجاً یقدّم الشرب علی الصلاة، وإن کان الأحوط حینئذٍ الصلاة بلا طَهور مع قضائها بعد الوقت عند التمکّن من الطَهور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الصلاة بناءً علی بطلان صلاة فاقد الطَهورین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تقدیم الصلاة مع الوضوء، والأحوط أن یقصد به غایة غیرها، ولایؤخر شرب الماء النجس عن الوضوء، بل وعن الصلاة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یبعد وجوب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شرب الماء النجس، وصرف الماء الطاهر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إن حضر وقت الصلاة ولم یحتج فعلاً إلی الماء یتوضّأ ویصلّی وإن اضطرّ بعد ذلک إلی شرب الماء النجس، ولایجب علیه حفظه لدفع الاضطرار وإن احتاج إلی الماء قبل حضور وقت الصلاة، سواء اضطرّ إلیه أم لا، فیحرم علیه شرب الماء النجس، وإن تزاحما فیقدّم حرمة الشرب، ویکون فاقد الطَهورین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الوضوء بناءً علی بطلان صلاة فاقد الطَهورین، ویشرب بعد ذلک من الماء النجس بمقدار رفع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شرب الماء الطاهر، والصلاة فاقداً للطَهورین، ثمّ القضاء خارج الوقت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تقدیم الصلاة بناءً علی بطلانها مع فقد الطَهورین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یرجّح دفع الاضطرار بالماء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تقدیم الصلاة عن طهارة مائیة، والأولی تأخیرها عن شرب الماء إن لم تنجس به شفتاه، أو طهّرهما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تقدیم الصلاة مع الطهارة بالماء الطاهر؛ لأنّها أهمّ من شرب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وجوب الوضوء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صرف الماء الطاهر لشربه، ثمّ العمل بوظیفة فاقد الطَهورین من الصلاة فی الوقت والقضاء 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لزوم تقدیم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تقدیم الصلاة مع الوضوء بالماء الطاهر إن کان فی الوقت، ولم یضطرَّ بعدُ إلی شرب الماء، وجواز شرب الماء النجس بعد طروء الاضطرار بقدر رفعه لا الرَیّ، وکذا لو کان هناک تزاحم علی الأظهر، وأمّا لو کان الاضطرار قبل دخول الوقت مع العلم بعدم التمکّن من تحصیل الماء الطاهر بعد دخوله ـ کما لعلّه هو الفرض ـ ففی جواز شرب الطاهر حینئذٍ وعدمه إشکال، والأظهر الأول، فیعامل بعد دخوله معاملة فاقد الطَهورین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تقدیم الصلاة عن 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تقدیم الصلاة مع الوضوء بناءً علی بطلان صلاة فاقد الطَهورین؛ لاحتمال أهمّیة الطَهور علی ترک شرب النجس، هذا إذا لم یکن شرب النجس حرجیاً لبعض الجهات، وإلاّ یقدّم 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تقدیم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أمکنه الوضوء وجمع الغُسالة ثمّ شربها تعیّن ذلک، وإلاّ فالمقام من دوران الأمر بین ترک الصلاة وشرب النجس والصلاة محتملة الأهمّیة من الثانی، فتُقدّم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یقدّم الصلاة علی الأقرب، فیتوضّأ بالماء الطاهر ویرفع اضطراره بشرب الماء النجس، ویؤخّر شربه النجس إلی ما بعد الوضوء، بل وإلی ما بعد الصلاة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والتخییر غیر بعید، والاحتیاط لا ینبغی ترکه، وکذا فی فرعَی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تقدیم الصلاة مع الوضوء، والأحوط أن یقصد به غایة اُخری، ویؤخّر شرب الماء النجس عن الوضوء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مع الطهارة محتملة الأهمّیة لو لم تکن مقطوعاً بها، فیلزم تقدیمها علی ترک شرب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جواز شرب النجس، وتقدیم الصلاة عن طهارة وعدم ترکها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أهمّیة الصلاة فی وقتها؛ لذا فهو یشرب الماء النجس بقدر رفع الضرورة، فیصلی مع الطهارة المائیة، نعم، إذا تمکّن من الوضوء بالماء الطاهر، ثمّ الأخذ من غُسالة الوضوء للشرب یتعیّن علیه هذا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تقدیم الصلاة مع الطهارة، إلاّ إذا کان الماء النجس من الخبائث التی تستقذرها الطباع السلیمة فإنّه مورد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لزوم تقدیم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13276_136872"/>
      <w:bookmarkStart w:id="813" w:name="pg13276_136872"/>
      <w:bookmarkEnd w:id="813"/>
    </w:p>
    <w:p>
      <w:pPr>
        <w:pStyle w:val="Heading3"/>
        <w:numPr>
          <w:ilvl w:val="2"/>
          <w:numId w:val="1"/>
        </w:numPr>
        <w:rPr/>
      </w:pPr>
      <w:bookmarkStart w:id="814" w:name="pg13276_136872"/>
      <w:bookmarkStart w:id="815" w:name="__RefHeading___Toc1764144_2322387425"/>
      <w:bookmarkStart w:id="816" w:name="_Toc305"/>
      <w:bookmarkEnd w:id="814"/>
      <w:bookmarkEnd w:id="815"/>
      <w:r>
        <w:rPr>
          <w:rtl w:val="true"/>
        </w:rPr>
        <w:t>دوران الأمر بین تحصیل الماء وتحصیل الساتر</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ما یمکن تحصیل أحد الأمرین من ماء الوضوء أو الساتر</w:t>
      </w:r>
      <w:r>
        <w:rPr>
          <w:rStyle w:val="FootnoteAnchor"/>
          <w:rtl w:val="true"/>
        </w:rPr>
        <w:footnoteReference w:id="1111"/>
      </w:r>
      <w:r>
        <w:rPr>
          <w:rFonts w:ascii="IRNazanin" w:hAnsi="IRNazanin" w:eastAsia="IRNazanin"/>
          <w:color w:val="111111"/>
          <w:sz w:val="28"/>
          <w:sz w:val="28"/>
          <w:szCs w:val="28"/>
          <w:rtl w:val="true"/>
          <w:lang w:bidi="fa-IR"/>
        </w:rPr>
        <w:t>لا یبعد</w:t>
      </w:r>
      <w:r>
        <w:rPr>
          <w:rStyle w:val="FootnoteAnchor"/>
          <w:rtl w:val="true"/>
        </w:rPr>
        <w:footnoteReference w:id="1112"/>
      </w:r>
      <w:r>
        <w:rPr>
          <w:rFonts w:ascii="IRNazanin" w:hAnsi="IRNazanin" w:eastAsia="IRNazanin"/>
          <w:color w:val="111111"/>
          <w:sz w:val="28"/>
          <w:sz w:val="28"/>
          <w:szCs w:val="28"/>
          <w:rtl w:val="true"/>
          <w:lang w:bidi="fa-IR"/>
        </w:rPr>
        <w:t>ترجیح الساتر</w:t>
      </w:r>
      <w:r>
        <w:rPr>
          <w:rStyle w:val="FootnoteAnchor"/>
          <w:rtl w:val="true"/>
        </w:rPr>
        <w:footnoteReference w:id="1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التخییر بینهما، إلاّ إذا کان تحصیل کلٍّ منهما متوقّفاً علی بذل مال کثیر غیر مضرّ بحاله، مع کونه أزید من قیمة کلٍّ منها، فإنّه حینئذٍ یسقط وجوب تحصیل الساتر، ولیس کذلک وجوب تحصیل الطهارة علی الأحوط لو لم یکن أظهر؛ وعلیه فیتعیّن صرفه فی تحصیل ماء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والانتقال إلی التیمّم،</w:t>
      </w:r>
      <w:bookmarkStart w:id="817" w:name="pg13276_136873"/>
    </w:p>
    <w:p>
      <w:pPr>
        <w:pStyle w:val="Heading3"/>
        <w:numPr>
          <w:ilvl w:val="2"/>
          <w:numId w:val="1"/>
        </w:numPr>
        <w:rPr/>
      </w:pPr>
      <w:bookmarkStart w:id="818" w:name="__RefHeading___Toc1764146_2322387425"/>
      <w:bookmarkStart w:id="819" w:name="_Toc306"/>
      <w:bookmarkEnd w:id="817"/>
      <w:bookmarkEnd w:id="818"/>
      <w:r>
        <w:rPr>
          <w:rtl w:val="true"/>
        </w:rPr>
        <w:t>الدوران بین تحصیل الماء أو القبلة</w:t>
      </w:r>
      <w:bookmarkEnd w:id="819"/>
    </w:p>
    <w:p>
      <w:pPr>
        <w:pStyle w:val="BookText"/>
        <w:rPr/>
      </w:pPr>
      <w:r>
        <w:rPr>
          <w:rFonts w:ascii="IRNazanin" w:hAnsi="IRNazanin" w:eastAsia="IRNazanin"/>
          <w:color w:val="111111"/>
          <w:sz w:val="28"/>
          <w:sz w:val="28"/>
          <w:szCs w:val="28"/>
          <w:rtl w:val="true"/>
          <w:lang w:bidi="fa-IR"/>
        </w:rPr>
        <w:t>لکن لا یخلو من إشکال</w:t>
      </w:r>
      <w:r>
        <w:rPr>
          <w:rStyle w:val="FootnoteAnchor"/>
          <w:rtl w:val="true"/>
        </w:rPr>
        <w:footnoteReference w:id="1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إشکال جواز الصلاة عاریاً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والأصحّ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شرطیة الطهارة فی المرتبة المتقدمة علی تحصیل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التخییر، وکذا الحال فیمابعده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التخییر؛ لعدم إحراز الأهمیّة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من جهة تقدیم مالا بدل له علی ماله البدل فی تقدیم الصرف فی تحصیل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والأولی صرفه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تحصیل الساتر أوّلاً؛ لیتحقّق کونه فاقد الماء، ثمّ یتیمّم، وإذا دار الأمر بین تحصیل الماء أو القبلة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ففی تقدیم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أیّهما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یبعد تقدیم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القبلة، وتیمّمَ علی الأظهر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الدین 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تمکّن من الصلاة إلی القبلة ولو بالاحتیاط فالظاهر وجوب تحصیل الماء، وإن لم یتمکّن أو کونه حرجیاً علیه فالأولی تقدیم تحصیل القبلة، ولزوم التیمّم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تقدیم القبلة، مع إمکان الصلاة إلی أربع جهات، وإلاّ فلا ینبغی الإشکال فی تقدیمها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تمکّن من الصلاة إلی أربع جهات وجب تحصیل الماء، وإلاّ فالأقرب تقدیم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ترجیح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تقدیم الأوّل إن تمکّن من العلم إجمالاً بالصلاة إلی القبلة بتکرارها وتقدیم الثانی إن لم یمکن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لا یسعه الوقت للصلاة إلی 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القبلة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القبلة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تقدیم القبلة إذا کان الطرف استدبارها، وفی غیره محلّ تأمّل، وإن لا یبعد تقدیم القبلة أیضاً إذا کان الطرف هو نقطة المشرق والمغرب، وإذا کان الطرف بین المشرق والمغرب فالظاهر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القبلة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یستلزم الخروج من بین المشرق والمغرب، وإلاّ فالتیمّم 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تقدیم القبلة لو لم یمکنه الصلاة إلی أربع 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أمکنت له الصلاة إلی الجهات الأربع وجب علیه تحصیل الماء للوضوء وإن لم یمکن ذلک فالأقرب تقدیم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تقدیم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تمکن من الاحتیاط بالنسبة إلی القبلة لو حصل الماء یجب تحصیل الماء تعییناً، ولعلّه خارج عن مفروض المتن ، وإن لم یتمکّن منه أو کان الاحتیاط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الأمر دائراً بین الصلاة من غیر وضوء وبین الصلاة إلی غیر القبلة یقیناً الأظهر هو التخییر، وإن کان الأمر دائراً بین الصلاة من غیر وضوء وبین الصلاة إلی طرف یحتمل کونه قبلةً الأحوط تحصیل الماء والصلاة مع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تقدیم القبلة مع عدم التمکن من الصلاة إلی أربع جهات لاحتمال أهمیتها عن الطهارة المائیة التی لها البدل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مستلزماً للخروج عمّا بین المشرق والمغرب ، وأمّا معه فلا یبعد تقدیم القبلة، وإذا تمکّن من تحصیل العلم بوقوع الصلاة إلی القِبلة من جهة التکرار یتقدّم الوضوء، ولکنّه خارج عن محلّ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تقدیم القبلة، خصوصاً فیما إذا کان ترک رعایتها بالاستدبار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0" w:name="pg13276_136875"/>
      <w:bookmarkStart w:id="821" w:name="pg13276_136875"/>
      <w:bookmarkEnd w:id="821"/>
    </w:p>
    <w:p>
      <w:pPr>
        <w:pStyle w:val="Heading3"/>
        <w:numPr>
          <w:ilvl w:val="2"/>
          <w:numId w:val="1"/>
        </w:numPr>
        <w:rPr/>
      </w:pPr>
      <w:bookmarkStart w:id="822" w:name="pg13276_136875"/>
      <w:bookmarkStart w:id="823" w:name="__RefHeading___Toc1764148_2322387425"/>
      <w:bookmarkStart w:id="824" w:name="_Toc307"/>
      <w:bookmarkEnd w:id="822"/>
      <w:bookmarkEnd w:id="823"/>
      <w:r>
        <w:rPr>
          <w:rtl w:val="true"/>
        </w:rPr>
        <w:t>السابع</w:t>
      </w:r>
      <w:r>
        <w:rPr>
          <w:rtl w:val="true"/>
        </w:rPr>
        <w:t xml:space="preserve">: </w:t>
      </w:r>
      <w:r>
        <w:rPr>
          <w:rtl w:val="true"/>
        </w:rPr>
        <w:t>ضیق الوقت عن استعمال الماء</w:t>
      </w:r>
      <w:bookmarkEnd w:id="824"/>
    </w:p>
    <w:p>
      <w:pPr>
        <w:pStyle w:val="Heading4"/>
        <w:numPr>
          <w:ilvl w:val="3"/>
          <w:numId w:val="1"/>
        </w:numPr>
        <w:rPr/>
      </w:pPr>
      <w:bookmarkStart w:id="825" w:name="__RefHeading___Toc1764150_2322387425"/>
      <w:bookmarkStart w:id="826" w:name="_Toc308"/>
      <w:bookmarkEnd w:id="825"/>
      <w:r>
        <w:rPr>
          <w:rtl w:val="true"/>
        </w:rPr>
        <w:t>لو ضیّق الوقت علی نفسه بالاختیار</w:t>
      </w:r>
      <w:bookmarkEnd w:id="82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الوقت عن استعمال الماء بحیث لزم من الوضوء أو الغسل خروج وقت الصلاة، ولو کان لوقوع جزء منها خارج الوقت</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عدم إدراک رکعة منها فی الوقت، فلو دار الأمر بین التیمّم وإدراک تمام الوقت أو الوضوء وإدراک رکعة أو أزید قدّم الثانی</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لأنّ من أدرک رکعة من الوقت فقد أدرک الوقت</w:t>
      </w:r>
      <w:r>
        <w:rPr>
          <w:rStyle w:val="FootnoteAnchor"/>
          <w:rtl w:val="true"/>
        </w:rPr>
        <w:footnoteReference w:id="1117"/>
      </w:r>
      <w:r>
        <w:rPr>
          <w:rFonts w:ascii="IRNazanin" w:hAnsi="IRNazanin" w:eastAsia="IRNazanin"/>
          <w:color w:val="111111"/>
          <w:sz w:val="28"/>
          <w:sz w:val="28"/>
          <w:szCs w:val="28"/>
          <w:rtl w:val="true"/>
          <w:lang w:bidi="fa-IR"/>
        </w:rPr>
        <w:t>، لکنّ الأقوی ما ذکرنا</w:t>
      </w:r>
      <w:r>
        <w:rPr>
          <w:rStyle w:val="FootnoteAnchor"/>
          <w:rtl w:val="true"/>
        </w:rPr>
        <w:footnoteReference w:id="1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والأحوط فی المقام أن یتوضّأ بقصد غایة اُخری ثمّ الصلاة بعده، ولا یلزمه حینئذٍ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وإن کان التخییر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ولو توضّأ لغایة اُخری وصلّی مدرکا للرکعة فلا إشکال فی صحّة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التخییر، سواء کان الأمر دائراً بین إیقاع الصلاة بتمامها فی الوقت مع الطهارة الترابیة وإیقاعها بتمامها فی خارجه مع المائیة، أم کان دائراً بین التیمّم وإدراک تمام الوقت، والوضوء وإدراک رکعة من الوقت أو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والقاعدة مختصّة بما إذا لم یبقَ من الوقت فعلاً إلاّ مقدار رکعة، فلا تشمل ما إذا بقی بمقدار تمام الصلاة ویوءخّرها إلی أن یبقی مقدار رکعة، فالمسألة من باب الدوران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مراعاة الوقت ومراعاة الطهارة المائیّة، والأوّل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الوقت معتبر فی تمام أجزاء الصلاة، فمع استلزام الطهارة المائیّة خروج جزء من أجزائها خارج الوقت لا یجوز تحصیلها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ینتقل إلی التیمّم، لکنّ الأحوط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بعد خروج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استلزم وقوع جزء من الرکعة خارج الوقت</w:t>
      </w:r>
      <w:r>
        <w:rPr>
          <w:rFonts w:eastAsia="IRNazanin" w:cs="IRNazanin"/>
          <w:color w:val="111111"/>
          <w:sz w:val="28"/>
          <w:szCs w:val="28"/>
          <w:rtl w:val="true"/>
          <w:lang w:bidi="fa-IR"/>
        </w:rPr>
        <w:t>.</w:t>
      </w:r>
      <w:bookmarkStart w:id="827" w:name="pg13276_136877"/>
    </w:p>
    <w:p>
      <w:pPr>
        <w:pStyle w:val="BookText"/>
        <w:rPr/>
      </w:pPr>
      <w:bookmarkEnd w:id="8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واجداً للماء وأخّر الصلاة عمداً إلی أن ضاق الوقت عصی، ولکن یجب علیه التیمّم</w:t>
      </w:r>
      <w:r>
        <w:rPr>
          <w:rStyle w:val="FootnoteAnchor"/>
          <w:rtl w:val="true"/>
        </w:rPr>
        <w:footnoteReference w:id="1119"/>
      </w:r>
      <w:r>
        <w:rPr>
          <w:rFonts w:ascii="IRNazanin" w:hAnsi="IRNazanin" w:eastAsia="IRNazanin"/>
          <w:color w:val="111111"/>
          <w:sz w:val="28"/>
          <w:sz w:val="28"/>
          <w:szCs w:val="28"/>
          <w:rtl w:val="true"/>
          <w:lang w:bidi="fa-IR"/>
        </w:rPr>
        <w:t>والصلاة، ولا یلزم القضاء وإن کان الأحوط</w:t>
      </w:r>
      <w:r>
        <w:rPr>
          <w:rStyle w:val="FootnoteAnchor"/>
          <w:rtl w:val="true"/>
        </w:rPr>
        <w:footnoteReference w:id="1120"/>
      </w:r>
      <w:r>
        <w:rPr>
          <w:rFonts w:ascii="Amiri" w:hAnsi="Amiri" w:eastAsia="Amiri" w:cs="Amiri"/>
          <w:color w:val="111111"/>
          <w:sz w:val="28"/>
          <w:sz w:val="28"/>
          <w:szCs w:val="28"/>
          <w:rtl w:val="true"/>
          <w:lang w:bidi="ar-SA"/>
        </w:rPr>
        <w:t>احتیاطاً شدیداً</w:t>
      </w:r>
      <w:r>
        <w:rPr>
          <w:rStyle w:val="FootnoteAnchor"/>
          <w:rtl w:val="true"/>
        </w:rPr>
        <w:footnoteReference w:id="1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 الاحتیاط، ولم یعلم وجه شدة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828" w:name="__RefHeading___Toc1764152_2322387425"/>
      <w:bookmarkStart w:id="829" w:name="_Toc309"/>
      <w:bookmarkEnd w:id="828"/>
      <w:r>
        <w:rPr>
          <w:rtl w:val="true"/>
        </w:rPr>
        <w:t>الشک فی ضیق الوقت وسعته</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ضیق الوقت وسعته بنی علی البقاء</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التیمّم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وتوضّأ أو اغتسل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علی خوف الفوت، فمتی تحقّق خوف الفوت انتقل إلی التیمّم، من دون فرق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 ولم یتضح الفرق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ضیقه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عَلِم مقدار الوقت ولو تقریباً بحیث لا یجری فیه الاستصحاب، ولولا ذلک لم یکن فرق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وشکّ فی کفایته لتحصیل الطهارة والصلاة وعدمها وخاف الفوت إذا حصّلها 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یبعد الانتقال إلی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یصدق خوف الفوت فی الاُولی أیضا والمدار علیه، فإذا صدق الخوف فی شیء من الصورتین فینتقل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مظنّة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فی هذه الصورة أیضاً تعیّن الوضوء کسابقتها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w:t>
      </w:r>
      <w:r>
        <w:rPr>
          <w:rStyle w:val="FootnoteAnchor"/>
          <w:rtl w:val="true"/>
        </w:rPr>
        <w:footnoteReference w:id="1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بعد کون احتمال الضیق مستلزماً لخوف الفوت،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الصورتین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 الصورتین إلاّ فی مجرّد العبارة، إلاّ أن یکون المراد من الصورة الثانیة ما إذا أحرز مقدار ما بقی من الوقت ولو تقریباً وشکّ فی کفایته لتحصیل الطهارة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یتّضح الفرق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بینهما غیر واضح، ولو کان فغیر فارق، ففی صورة العلم بالضیق والشکّ فی الکفایة مثل الشکّ فی الضیق والسعة، واحتمال الفوت محقّق فیهما معاً، وکذلک الخوف بلا فرق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فرق بینهما، کیف واحتمال الضیق مستلزم لخوف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بینهما من حیث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غیر ظاهر، ومع خوف الفوت یتیمّم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مبنی کلامه أنّ الاحتمال لم یبلغ مرتبةً یورث الخوف، بل مجرّد خطرة، وبالجملة الاحتمال غیر العقلائی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بینهما فی احتمال سعة الوقت للصلاة مع الوضوء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خوف الفوت لو لم یتیمّم یکون فی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الاستصحاب فی الصورة الاُولی؛ لعدم العلم بمقدار الوقت الباقی دون الثانیة؛ لمعلومیته علی الفرض بناءً علی أنّ المراد من العلم بالضیق هو العلم بمقدار الوقت الباقی مع الشکّ فی إمکان أداء الصلاة مع الطهارة المائیة فی ذلک المقدار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الفرق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من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بما بقی من الوقت وشکّ فی کفایته له فیوجب خوف الفوت، ولا یجری استصحاب بقاء الوقت لتحصیل الطهارة والصلاة، فیرتفع موضوع الخوف؛ لأنّه بحکم الشارع الوقت باقٍ، ومع ذلک العمل بالاستصحاب ـ مع کون احتمال الضیق غالباً یلازم مع خوف الفوت خصوصاً إذا ظنّ بالضیق ـ مشکل؛ لأنّ الموضوع فی النصّ خوف فوت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فی الحکم بین الصورتین بعد احتمال الضیق فی الاُولی الملازم لخوف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الصورتین ومع خوف الفوت یجب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وجوب التیمّم إنّما هو خوف فوت الوقت، وهو متحقّق فیهما، فلا فرق بینهما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الأصل الموضوعی فی الصورة الاُولی ولایجری فی الثانیة، ولکنّه لاینفع مع تحقّق خوف الفوت فعلاً؛ إذ لا أثر للأصل مع الأمارة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لایعلم أنّ الوقت أوّل الظهر أو قریب الغروب، وفی الثانی یعلم أنّه بقی إلی الغروب ربع ساعة فقط ولایعلم کفایته، لکنّ فی الفارقیة إشکالاً؛ لصدق خوف الفوت علیهما، وجریان أرکان الاستصحاب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بالأصل ـ وهو الاستصحاب ـ یجری فی الاُولی ولا یجری فی الثانیة؛ للعلم بمقدار الزمان والشکّ فی کفایته، والاستصحاب حاکم علی أدلة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إجراء الأصل الموضوعی ـ وهو الاستصحاب ـ لاینفع مع جریان أدلة الخوف التی هی من الأمارات المعتبرة، الظاهر عدم الفرق فی الحکم بین الصورتین بعد احتمال الضیق فی الاُولی الملازم لضیق الوقت، فبعد جعل الملاک والمناط خوف الفوت فیتعیّن التیمّم فی الصورة الثانیة أیضاً؛ لأنّه متحقّق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بینهما؛ لصدق الخوف فی الاُولی أیضا، وعلیه فالحکم فیهما هو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الاُولـی یحتمل سعة الوقـت،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0" w:name="pg13276_136880"/>
      <w:bookmarkStart w:id="831" w:name="pg13276_136880"/>
      <w:bookmarkEnd w:id="831"/>
    </w:p>
    <w:p>
      <w:pPr>
        <w:pStyle w:val="BookText"/>
        <w:rPr/>
      </w:pPr>
      <w:bookmarkStart w:id="832" w:name="pg13276_136880"/>
      <w:bookmarkEnd w:id="832"/>
      <w:r>
        <w:rPr>
          <w:rFonts w:ascii="IRNazanin" w:hAnsi="IRNazanin" w:eastAsia="IRNazanin"/>
          <w:color w:val="111111"/>
          <w:sz w:val="28"/>
          <w:sz w:val="28"/>
          <w:szCs w:val="28"/>
          <w:rtl w:val="true"/>
          <w:lang w:bidi="fa-IR"/>
        </w:rPr>
        <w:t>وفی الثانیة</w:t>
      </w:r>
      <w:r>
        <w:rPr>
          <w:rStyle w:val="FootnoteAnchor"/>
          <w:rtl w:val="true"/>
        </w:rPr>
        <w:footnoteReference w:id="1124"/>
      </w:r>
      <w:r>
        <w:rPr>
          <w:rFonts w:ascii="IRNazanin" w:hAnsi="IRNazanin" w:eastAsia="IRNazanin"/>
          <w:color w:val="111111"/>
          <w:sz w:val="28"/>
          <w:sz w:val="28"/>
          <w:szCs w:val="28"/>
          <w:rtl w:val="true"/>
          <w:lang w:bidi="fa-IR"/>
        </w:rPr>
        <w:t>یعلم ضیقه، فیصدق خوف الفوت فیها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المجوّز للانتقال إلی التیمّم</w:t>
      </w:r>
      <w:r>
        <w:rPr>
          <w:rStyle w:val="FootnoteAnchor"/>
          <w:rtl w:val="true"/>
        </w:rPr>
        <w:footnoteReference w:id="1125"/>
      </w:r>
      <w:r>
        <w:rPr>
          <w:rFonts w:ascii="IRNazanin" w:hAnsi="IRNazanin" w:eastAsia="IRNazanin"/>
          <w:color w:val="111111"/>
          <w:sz w:val="28"/>
          <w:sz w:val="28"/>
          <w:szCs w:val="28"/>
          <w:rtl w:val="true"/>
          <w:lang w:bidi="fa-IR"/>
        </w:rPr>
        <w:t>خوف الفوت</w:t>
      </w:r>
      <w:r>
        <w:rPr>
          <w:rStyle w:val="FootnoteAnchor"/>
          <w:rtl w:val="true"/>
        </w:rPr>
        <w:footnoteReference w:id="1126"/>
      </w:r>
      <w:r>
        <w:rPr>
          <w:rFonts w:ascii="IRNazanin" w:hAnsi="IRNazanin" w:eastAsia="IRNazanin"/>
          <w:color w:val="111111"/>
          <w:sz w:val="28"/>
          <w:sz w:val="28"/>
          <w:szCs w:val="28"/>
          <w:rtl w:val="true"/>
          <w:lang w:bidi="fa-IR"/>
        </w:rPr>
        <w:t>الصادق فی الصورة الثانیة دون الاُولی</w:t>
      </w:r>
      <w:r>
        <w:rPr>
          <w:rFonts w:eastAsia="IRNazanin" w:cs="IRNazanin"/>
          <w:color w:val="111111"/>
          <w:sz w:val="28"/>
          <w:szCs w:val="28"/>
          <w:rtl w:val="true"/>
          <w:lang w:bidi="fa-IR"/>
        </w:rPr>
        <w:t>.</w:t>
      </w:r>
    </w:p>
    <w:p>
      <w:pPr>
        <w:pStyle w:val="Heading3"/>
        <w:numPr>
          <w:ilvl w:val="2"/>
          <w:numId w:val="1"/>
        </w:numPr>
        <w:rPr/>
      </w:pPr>
      <w:bookmarkStart w:id="833" w:name="__RefHeading___Toc1764154_2322387425"/>
      <w:bookmarkStart w:id="834" w:name="_Toc310"/>
      <w:bookmarkEnd w:id="833"/>
      <w:r>
        <w:rPr>
          <w:rtl w:val="true"/>
        </w:rPr>
        <w:t>ضیق الوقت عن تحصیل الماء الموجود</w:t>
      </w:r>
      <w:bookmarkEnd w:id="83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الماء وضاق الوقت عن تحصیله مع قدرته علیه بحیث استلزم خروج الوقت ولو فی بعض أجزاء الصلاة</w:t>
      </w:r>
      <w:r>
        <w:rPr>
          <w:rStyle w:val="FootnoteAnchor"/>
          <w:rtl w:val="true"/>
        </w:rPr>
        <w:footnoteReference w:id="1127"/>
      </w:r>
      <w:r>
        <w:rPr>
          <w:rFonts w:ascii="Amiri" w:hAnsi="Amiri" w:eastAsia="Amiri" w:cs="Amiri"/>
          <w:color w:val="111111"/>
          <w:sz w:val="28"/>
          <w:sz w:val="28"/>
          <w:szCs w:val="28"/>
          <w:rtl w:val="true"/>
          <w:lang w:bidi="ar-SA"/>
        </w:rPr>
        <w:t>انتقل أیضاً إلی التیمّم</w:t>
      </w:r>
      <w:r>
        <w:rPr>
          <w:rStyle w:val="FootnoteAnchor"/>
          <w:rtl w:val="true"/>
        </w:rPr>
        <w:footnoteReference w:id="1128"/>
      </w:r>
      <w:r>
        <w:rPr>
          <w:rFonts w:ascii="IRNazanin" w:hAnsi="IRNazanin" w:eastAsia="IRNazanin"/>
          <w:color w:val="111111"/>
          <w:sz w:val="28"/>
          <w:sz w:val="28"/>
          <w:szCs w:val="28"/>
          <w:rtl w:val="true"/>
          <w:lang w:bidi="fa-IR"/>
        </w:rPr>
        <w:t xml:space="preserve">، وهذه الصورة أقلّ إشکالاً من الصورة السابقة، </w:t>
      </w:r>
      <w:bookmarkStart w:id="835" w:name="pg13276_136881"/>
    </w:p>
    <w:p>
      <w:pPr>
        <w:pStyle w:val="BookText"/>
        <w:rPr/>
      </w:pPr>
      <w:bookmarkEnd w:id="835"/>
      <w:r>
        <w:rPr>
          <w:rFonts w:ascii="IRNazanin" w:hAnsi="IRNazanin" w:eastAsia="IRNazanin"/>
          <w:color w:val="111111"/>
          <w:sz w:val="28"/>
          <w:sz w:val="28"/>
          <w:szCs w:val="28"/>
          <w:rtl w:val="true"/>
          <w:lang w:bidi="fa-IR"/>
        </w:rPr>
        <w:t>وهی ضیقه عن استعماله مع وجوده؛ لصدق عدم الوجدان فی هذه الصورة، بخـلاف السابقـة</w:t>
      </w:r>
      <w:r>
        <w:rPr>
          <w:rStyle w:val="FootnoteAnchor"/>
          <w:rtl w:val="true"/>
        </w:rPr>
        <w:footnoteReference w:id="1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صدق عدم الوجدان فیها أیضاً، فإنّ العبرة بعدم الوجدان بالإضافة إلی الصلاة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یمکـن أن یقـال بعدم الإشکـال أصـلاً، فـلا 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الاحتیاط بالقضاء هنا</w:t>
      </w:r>
      <w:r>
        <w:rPr>
          <w:rFonts w:eastAsia="IRNazanin" w:cs="IRNazanin"/>
          <w:color w:val="111111"/>
          <w:sz w:val="28"/>
          <w:szCs w:val="28"/>
          <w:rtl w:val="true"/>
          <w:lang w:bidi="fa-IR"/>
        </w:rPr>
        <w:t>.</w:t>
      </w:r>
    </w:p>
    <w:p>
      <w:pPr>
        <w:pStyle w:val="Heading3"/>
        <w:numPr>
          <w:ilvl w:val="2"/>
          <w:numId w:val="1"/>
        </w:numPr>
        <w:rPr/>
      </w:pPr>
      <w:bookmarkStart w:id="836" w:name="__RefHeading___Toc1764156_2322387425"/>
      <w:bookmarkStart w:id="837" w:name="_Toc311"/>
      <w:bookmarkEnd w:id="836"/>
      <w:r>
        <w:rPr>
          <w:rtl w:val="true"/>
        </w:rPr>
        <w:t>من ضاق وقته عن استعمال الماء فخالف واستعمله</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التیمّم من جهة ضیق الوقت عن استعمال الماء إذا خالف وتوضّأ أو اغتسل بطل</w:t>
      </w:r>
      <w:r>
        <w:rPr>
          <w:rStyle w:val="FootnoteAnchor"/>
          <w:rtl w:val="true"/>
        </w:rPr>
        <w:footnoteReference w:id="1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القول بالصحّة وإن کان عاصیا بتفویت الوقت، ولا مدخلیة لقصد الغایة فی صحّة 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صحّتهما فی جمیع صور المسألة؛ لِمَا تقدّم من أنّ صحّتهما لا تتقوّم بالأمر الغیری، بل هو غیر دخیل فیها علی فرض صحّته وتحقّقه، مع أ نّه لا أصل له رأساً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لِمَا عرفت من عدم تعیّن التیمّم عند ضیق الوقت مطلقاً، وبه یظهر 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لاتبعد الصحّة فیما إذا لم یقصد التشریع المنافی لقصد القربة، وکذا الحال فیما إذا کان جاهلاً بالضیق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الحکم هو الصحّة فی جمیع مثل هذه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لیس مأموراً بالوضوء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تلک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قصد الوضوء لأجل تلک</w:t>
      </w:r>
    </w:p>
    <w:p>
      <w:pPr>
        <w:pStyle w:val="BookText"/>
        <w:rPr/>
      </w:pPr>
      <w:r>
        <w:rPr>
          <w:rFonts w:ascii="IRNazanin" w:hAnsi="IRNazanin" w:eastAsia="IRNazanin"/>
          <w:color w:val="111111"/>
          <w:sz w:val="28"/>
          <w:sz w:val="28"/>
          <w:szCs w:val="28"/>
          <w:rtl w:val="true"/>
          <w:lang w:bidi="fa-IR"/>
        </w:rPr>
        <w:t>الصلاة،وأمّا إذا توضّأ بقصد غایة اُخری</w:t>
      </w:r>
      <w:r>
        <w:rPr>
          <w:rStyle w:val="FootnoteAnchor"/>
          <w:rtl w:val="true"/>
        </w:rPr>
        <w:footnoteReference w:id="1131"/>
      </w:r>
      <w:r>
        <w:rPr>
          <w:rFonts w:ascii="IRNazanin" w:hAnsi="IRNazanin" w:eastAsia="IRNazanin"/>
          <w:color w:val="111111"/>
          <w:sz w:val="28"/>
          <w:sz w:val="28"/>
          <w:szCs w:val="28"/>
          <w:rtl w:val="true"/>
          <w:lang w:bidi="fa-IR"/>
        </w:rPr>
        <w:t>من غایاته، أو بقصد الکون</w:t>
      </w:r>
      <w:r>
        <w:rPr>
          <w:rStyle w:val="FootnoteAnchor"/>
          <w:rtl w:val="true"/>
        </w:rPr>
        <w:footnoteReference w:id="1132"/>
      </w:r>
      <w:r>
        <w:rPr>
          <w:rFonts w:ascii="IRNazanin" w:hAnsi="IRNazanin" w:eastAsia="IRNazanin"/>
          <w:color w:val="111111"/>
          <w:sz w:val="28"/>
          <w:sz w:val="28"/>
          <w:szCs w:val="28"/>
          <w:rtl w:val="true"/>
          <w:lang w:bidi="fa-IR"/>
        </w:rPr>
        <w:t>علی الطهارة</w:t>
      </w:r>
      <w:r>
        <w:rPr>
          <w:rStyle w:val="FootnoteAnchor"/>
          <w:rtl w:val="true"/>
        </w:rPr>
        <w:footnoteReference w:id="1133"/>
      </w:r>
      <w:r>
        <w:rPr>
          <w:rFonts w:ascii="Amiri" w:hAnsi="Amiri" w:eastAsia="Amiri" w:cs="Amiri"/>
          <w:color w:val="111111"/>
          <w:sz w:val="28"/>
          <w:sz w:val="28"/>
          <w:szCs w:val="28"/>
          <w:rtl w:val="true"/>
          <w:lang w:bidi="ar-SA"/>
        </w:rPr>
        <w:t>صحّ</w:t>
      </w:r>
      <w:r>
        <w:rPr>
          <w:rStyle w:val="FootnoteAnchor"/>
          <w:rtl w:val="true"/>
        </w:rPr>
        <w:footnoteReference w:id="1134"/>
      </w:r>
      <w:r>
        <w:rPr>
          <w:rFonts w:ascii="IRNazanin" w:hAnsi="IRNazanin" w:eastAsia="IRNazanin"/>
          <w:color w:val="111111"/>
          <w:sz w:val="28"/>
          <w:sz w:val="28"/>
          <w:szCs w:val="28"/>
          <w:rtl w:val="true"/>
          <w:lang w:bidi="fa-IR"/>
        </w:rPr>
        <w:t>علی ما هو الأقوی</w:t>
      </w:r>
      <w:r>
        <w:rPr>
          <w:rStyle w:val="FootnoteAnchor"/>
          <w:rtl w:val="true"/>
        </w:rPr>
        <w:footnoteReference w:id="1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صحّته إشکال، لا من جهة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 الأمر بالشیء 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جهة مزاحمة الاستعمال المشروط بالقدرة الشرعیّة للوقت، وأهمّیة الوقت منه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الوضوء مزاحما للوقت وکان الوقت أهمَّ فالوضوء لیس مأمورا به مطلقا، فیشکل صحّة الوضوء حینئذٍ؛ لعدم الأمر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الأمر بالشیء لایقتضی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جاهلاً بالضیق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بالصحة فی هذه الصورة؛ إذ الأمر الغیری فی باب الطهارة غیر مقرّب، إلاّ باعتبار أنّه یدعو إلی متعلّقه، وهو أمر راجح وعبادة، وقصدها مشتمل علی قصد القربة، ولایضرّ فی ذلک عدم تحقّق الأمر الغیری واقعا بعد فرض القطع به، کما لایخفی، بل یمکن أن یقال فی صورة العلم بالضیق أیضا بالصحّة إذا فرض علی وجهٍ تمشّی منه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یبعد الحکم بالصحّة فی هذه الصورة، بل فی صورة العلم بالضیق أیضاً إذا تحقّق منه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وظیفته التیمّم</w:t>
      </w:r>
      <w:bookmarkStart w:id="838" w:name="pg13276_136883"/>
    </w:p>
    <w:p>
      <w:pPr>
        <w:pStyle w:val="BookText"/>
        <w:rPr/>
      </w:pPr>
      <w:bookmarkEnd w:id="838"/>
      <w:r>
        <w:rPr>
          <w:rFonts w:ascii="Amiri" w:hAnsi="Amiri" w:eastAsia="Amiri" w:cs="Amiri"/>
          <w:color w:val="111111"/>
          <w:sz w:val="28"/>
          <w:sz w:val="28"/>
          <w:szCs w:val="28"/>
          <w:rtl w:val="true"/>
          <w:lang w:bidi="ar-SA"/>
        </w:rPr>
        <w:t>فتوضّأ فالظاهر أ نّه کذلک فیصحّ</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حکم صورة الجهل من سابقها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 کان قاصداً لإحدی الغایات الاُخر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بقصد الملاک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بطلانه مع عدم الإخلال بقربیّته ولو بصرف تشریعه إلی تطبیقه نظر، بل الأقوی صحّته، کما هو الشأن فی جمیع موارد قصوده التشریعیّة، فاحفظ ذلک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فی فرض الجهل، بل مع العلم أیضاً إذا لم یقصد به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لو تمشی قصد القربة حیث یکون التشریع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أنّ الحکم هو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قصد الأمر المتوجّه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قبل تلک الصلاة</w:t>
      </w:r>
      <w:r>
        <w:rPr>
          <w:rFonts w:eastAsia="IRNazanin" w:cs="IRNazanin"/>
          <w:color w:val="111111"/>
          <w:sz w:val="28"/>
          <w:szCs w:val="28"/>
          <w:rtl w:val="true"/>
          <w:lang w:bidi="fa-IR"/>
        </w:rPr>
        <w:t>.</w:t>
      </w:r>
    </w:p>
    <w:p>
      <w:pPr>
        <w:pStyle w:val="Heading3"/>
        <w:numPr>
          <w:ilvl w:val="2"/>
          <w:numId w:val="1"/>
        </w:numPr>
        <w:rPr/>
      </w:pPr>
      <w:bookmarkStart w:id="839" w:name="__RefHeading___Toc1764158_2322387425"/>
      <w:bookmarkStart w:id="840" w:name="_Toc312"/>
      <w:bookmarkEnd w:id="839"/>
      <w:r>
        <w:rPr>
          <w:rtl w:val="true"/>
        </w:rPr>
        <w:t>التیمّم لصلاة أو غایة ضاق وقتها لایبیح غیرها</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لأجل الضیق مع وجدان الماء لا یبیح إلاّ الصلاة الّتی ضاق وقتها، فلا ینفع لصلاة اُخری غیر تلک الصلاة، ولو صار فاقداً للماء حینها</w:t>
      </w:r>
      <w:r>
        <w:rPr>
          <w:rStyle w:val="FootnoteAnchor"/>
          <w:rtl w:val="true"/>
        </w:rPr>
        <w:footnoteReference w:id="1137"/>
      </w:r>
      <w:r>
        <w:rPr>
          <w:rFonts w:ascii="IRNazanin" w:hAnsi="IRNazanin" w:eastAsia="IRNazanin"/>
          <w:color w:val="111111"/>
          <w:sz w:val="28"/>
          <w:sz w:val="28"/>
          <w:szCs w:val="28"/>
          <w:rtl w:val="true"/>
          <w:lang w:bidi="fa-IR"/>
        </w:rPr>
        <w:t>بل لو فقد الماء</w:t>
      </w:r>
      <w:r>
        <w:rPr>
          <w:rStyle w:val="FootnoteAnchor"/>
          <w:rtl w:val="true"/>
        </w:rPr>
        <w:footnoteReference w:id="1138"/>
      </w:r>
      <w:r>
        <w:rPr>
          <w:rFonts w:ascii="IRNazanin" w:hAnsi="IRNazanin" w:eastAsia="IRNazanin"/>
          <w:color w:val="111111"/>
          <w:sz w:val="28"/>
          <w:sz w:val="28"/>
          <w:szCs w:val="28"/>
          <w:rtl w:val="true"/>
          <w:lang w:bidi="fa-IR"/>
        </w:rPr>
        <w:t>فی أثناء الصلاة</w:t>
      </w:r>
      <w:r>
        <w:rPr>
          <w:rStyle w:val="FootnoteAnchor"/>
          <w:rtl w:val="true"/>
        </w:rPr>
        <w:footnoteReference w:id="11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أنّه لا عبرة بالوجدان فی حال الصلاة کما سیجیء، وکذا فیما بعدها إذا لم یتّسع الزمان للطهارة المائیة، ففی هاتین الصورتین یحکم بکفایة التیمّم لصلاةٍ اُخری، حتّی مع التمکّن من الوضوء أثناء الصلاة الاُولی علی وجه لا یستلزم وجود المنافی لها، واحتمال وجوب الوضوء فی هذه الصورة لانتقاض التیمّم بالنسبة إلی ما بعدها ولو من بقیة تلک الصلاة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أیضاً لا تکفی</w:t>
      </w:r>
    </w:p>
    <w:p>
      <w:pPr>
        <w:pStyle w:val="BookText"/>
        <w:rPr/>
      </w:pPr>
      <w:r>
        <w:rPr>
          <w:rFonts w:ascii="Amiri" w:hAnsi="Amiri" w:eastAsia="Amiri" w:cs="Amiri"/>
          <w:color w:val="111111"/>
          <w:sz w:val="28"/>
          <w:sz w:val="28"/>
          <w:szCs w:val="28"/>
          <w:rtl w:val="true"/>
          <w:lang w:bidi="ar-SA"/>
        </w:rPr>
        <w:t>لصلاة اُخری</w:t>
      </w:r>
      <w:r>
        <w:rPr>
          <w:rStyle w:val="FootnoteAnchor"/>
          <w:rtl w:val="true"/>
        </w:rPr>
        <w:footnoteReference w:id="1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الکفایة، وکذا لو طرأ مسوّغ آخر قبل التمکّن من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کفایته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تیمّمه الأول للصلاة الاُخری فی هذه الصورة، ویکفی لها أیضاً إذا فقد الماء بعد الصلاة الاُولی بمقدار لایسع الطهارة المائیة، ولکنّ الأحوط تجدید التیمّم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لابدّ من تجدید التیمّم لها، وإن کان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قویّ؛ لصدق عدم الوجدان حینئذٍ ولو بملاحظة عدم تمکّنه من تحصیل الوضوء حین صلاته ولا قبلها، نعم، مع التمکّن منه حالها بلا لزوم محذور فعل کثیر الأقوی عدم الکفایة؛ لصدق وجدانه حین تیمّمه، فلا یجدی بالنسبة إلی سائر أعماله،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الصورة الاُولی أیضاً إذا کان الفقدان مقارناً للفراغ من الصلاة الاُولی، بل قبل تخلّل مقدار زمان الوضوء بین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 مع عدم التمکّن من الوضوء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کفایته عن تجدیده لغایة اُخری فی الصورة المذکورة لایخلو من قوّة، وإن کان الأحوط تجدیده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ولا یبعد ذلک لو فقده بعد الصلاة بمقدار لا یسع 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وکذا فی الصورة الاُولی إذا لم یکن زمان الوجدان کافیا للطهارة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الأقرب، لکنّ ذلک فی صورة عدم التمکّن من الوضوء فی أثناء الصلاة بدون لزوم محذور من المحاذیر الشرعیة، ککثرة الفعل، أو الانحراف عن القبلة ونحوهما، وإلاّ فعلیهِ الوضوء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لصدق عدم الوجدان، نعم، مع التمکّن منه حالها بلا لزوم محذور فعل الکثیر فالأقوی عدم الکفایة؛ لصدق وجدانه، فلا یجدی بالنسبة إلی سائر أعماله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وکذا لو فقد بعدها بحیث لایسع الوقت للطهارة المائیة، وإن وسع لتجدید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 هذه الصورة، وفی تلک الصورة أیضاً إذا لم یکن مجال للطهارة المائیة، فإنّ التراب أحد الطهورین یکفی عشر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الکفایة بناءً علی تعیّن التیمّم عند الضیق وعدمها بناءً علی عدم التعیّن کما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الکفایة</w:t>
      </w:r>
    </w:p>
    <w:p>
      <w:pPr>
        <w:pStyle w:val="BookText"/>
        <w:rPr/>
      </w:pPr>
      <w:r>
        <w:rPr>
          <w:rFonts w:ascii="IRNazanin" w:hAnsi="IRNazanin" w:eastAsia="IRNazanin"/>
          <w:color w:val="111111"/>
          <w:sz w:val="28"/>
          <w:sz w:val="28"/>
          <w:szCs w:val="28"/>
          <w:rtl w:val="true"/>
          <w:lang w:bidi="fa-IR"/>
        </w:rPr>
        <w:t>فی هذه الصورة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یستباح</w:t>
      </w:r>
      <w:r>
        <w:rPr>
          <w:rStyle w:val="FootnoteAnchor"/>
          <w:rtl w:val="true"/>
        </w:rPr>
        <w:footnoteReference w:id="1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یستباح به کلّ غایة بشرط تحقق الموضوع؛ فإنّ التراب أحد الطهورین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یستباح بالطهارة الحاصلة لهذه الغایة؛ لأنّ هذه الطهارة واقعیة حین الصلاة ما دام غیر متمکّن من استعمال الماء، فیصحّ بهذا التیمم الإتیان بالغایات المشروطة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الاقتصار علی خصوص الصلاة التی ضاق وقتها وترک قراءة العزائم، وترک مسّ المصحف، وإن کان بدلاً عن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 . . . . . . . . . . . . . . . . . .</w:t>
      </w:r>
    </w:p>
    <w:p>
      <w:pPr>
        <w:pStyle w:val="BookText"/>
        <w:rPr/>
      </w:pPr>
      <w:r>
        <w:rPr>
          <w:rFonts w:ascii="Amiri" w:hAnsi="Amiri" w:eastAsia="Amiri" w:cs="Amiri"/>
          <w:color w:val="111111"/>
          <w:sz w:val="28"/>
          <w:sz w:val="28"/>
          <w:szCs w:val="28"/>
          <w:rtl w:val="true"/>
          <w:lang w:bidi="ar-SA"/>
        </w:rPr>
        <w:t>بالتیمّم</w:t>
      </w:r>
      <w:r>
        <w:rPr>
          <w:rStyle w:val="FootnoteAnchor"/>
          <w:rtl w:val="true"/>
        </w:rPr>
        <w:footnoteReference w:id="1143"/>
      </w:r>
      <w:r>
        <w:rPr>
          <w:rFonts w:ascii="IRNazanin" w:hAnsi="IRNazanin" w:eastAsia="IRNazanin"/>
          <w:color w:val="111111"/>
          <w:sz w:val="28"/>
          <w:sz w:val="28"/>
          <w:szCs w:val="28"/>
          <w:rtl w:val="true"/>
          <w:lang w:bidi="fa-IR"/>
        </w:rPr>
        <w:t>لأجل الضیق غیر تلک الصلاة من الغایات الاُخر</w:t>
      </w:r>
      <w:r>
        <w:rPr>
          <w:rStyle w:val="FootnoteAnchor"/>
          <w:rtl w:val="true"/>
        </w:rPr>
        <w:footnoteReference w:id="1144"/>
      </w:r>
      <w:r>
        <w:rPr>
          <w:rFonts w:ascii="IRNazanin" w:hAnsi="IRNazanin" w:eastAsia="IRNazanin"/>
          <w:color w:val="111111"/>
          <w:sz w:val="28"/>
          <w:sz w:val="28"/>
          <w:szCs w:val="28"/>
          <w:rtl w:val="true"/>
          <w:lang w:bidi="fa-IR"/>
        </w:rPr>
        <w:t>، حتّی فی حال الصلاة</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لاتکلیف بها ولو استحباباً فی خصوص هذا الوقت ولو عرضا، وکذا فی المسألة الخامسة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احتمالاً قوّیاً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ما دامت وظیفته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لاتبعد الاستباحة فی هذا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یجوز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المسّ واجباً مضیّقاً فلا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کتابة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 یبعد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 وکذا قراءة العزائم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فی حال</w:t>
      </w:r>
      <w:bookmarkStart w:id="841" w:name="pg13276_136887"/>
    </w:p>
    <w:p>
      <w:pPr>
        <w:pStyle w:val="BookText"/>
        <w:rPr/>
      </w:pPr>
      <w:bookmarkEnd w:id="841"/>
      <w:r>
        <w:rPr>
          <w:rFonts w:ascii="Amiri" w:hAnsi="Amiri" w:eastAsia="Amiri" w:cs="Amiri"/>
          <w:color w:val="111111"/>
          <w:sz w:val="28"/>
          <w:sz w:val="28"/>
          <w:szCs w:val="28"/>
          <w:rtl w:val="true"/>
          <w:lang w:bidi="ar-SA"/>
        </w:rPr>
        <w:t>الصلاة</w:t>
      </w:r>
      <w:r>
        <w:rPr>
          <w:rStyle w:val="FootnoteAnchor"/>
          <w:rtl w:val="true"/>
        </w:rPr>
        <w:footnoteReference w:id="1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الجواز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إحتمال الجواز فی صورة لزوم المسارعة إلی المسّ کما لو کان منذور الإتیان فی تلک السّاعة التی هو فی الصلاة لا یخلو عن قوّة إن لم یناقش فی انعقاد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فی تلک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وجب علیه مسّ کتابة القرآن قبل الفراغ من الصلاة أو بعدها بدون فصل یسع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لا یجوز له قراءة العزائم إن کان بدلاً عن الغسل، فصحّته واستباحته مقصورة علی خصوص تلک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1764160_2322387425"/>
      <w:bookmarkStart w:id="843" w:name="_Toc313"/>
      <w:bookmarkEnd w:id="842"/>
      <w:r>
        <w:rPr>
          <w:rtl w:val="true"/>
        </w:rPr>
        <w:t>المدار ضیق الوقت عن الواجبات لا مع المستحبات</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الانتقال إلی التیمّم ضیق الوقت عن واجبات الصلاة فقط، فلو کان کافیاً لها دون المستحبّات وجب الوضوء والاقتصار علیها، بل لو لم یکفِ لقراءة السورة ترکها وتوضّأ؛ لسقوط وجوبها</w:t>
      </w:r>
      <w:r>
        <w:rPr>
          <w:rStyle w:val="FootnoteAnchor"/>
          <w:rtl w:val="true"/>
        </w:rPr>
        <w:footnoteReference w:id="11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ضیق الوقت</w:t>
      </w:r>
      <w:r>
        <w:rPr>
          <w:rFonts w:eastAsia="IRNazanin" w:cs="IRNazanin"/>
          <w:color w:val="111111"/>
          <w:sz w:val="28"/>
          <w:szCs w:val="28"/>
          <w:rtl w:val="true"/>
          <w:lang w:bidi="fa-IR"/>
        </w:rPr>
        <w:t>.</w:t>
      </w:r>
      <w:bookmarkStart w:id="844" w:name="pg13276_136888"/>
    </w:p>
    <w:p>
      <w:pPr>
        <w:pStyle w:val="Heading3"/>
        <w:numPr>
          <w:ilvl w:val="2"/>
          <w:numId w:val="1"/>
        </w:numPr>
        <w:rPr/>
      </w:pPr>
      <w:bookmarkStart w:id="845" w:name="__RefHeading___Toc1764162_2322387425"/>
      <w:bookmarkStart w:id="846" w:name="_Toc314"/>
      <w:bookmarkEnd w:id="844"/>
      <w:bookmarkEnd w:id="845"/>
      <w:r>
        <w:rPr>
          <w:rtl w:val="true"/>
        </w:rPr>
        <w:t>حکم ضیق الوقت فی المستحبّات</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التیمّم لضیق الوقت عن المستحبّات الموقّتة إشکال</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أحمد الخونساری،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الإتیان به رجاءً ثمّ بالغایة المستحبّة کذلک خالٍ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الجواز، 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 إذا استلزمت المائیة فواتها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بل لا یخلو الجواز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الجواز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یمکنه أن یتیمّم برجاء المطلوبیة، ثمّ یأتی بالغایة المستحبة برجاء المطلوبیة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والجواز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المستحبّ ممّا لا قضاء له، وإلاّ فالأظهر الانتقال إلی التیمّم رخصةً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ضاق وقت صلاة اللیل مع وجود الماء والتمکّن من استعماله 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الانتقال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یأتی بتلک المستحبّات مع التیمّم بقصد الرجاء، لاسیّما إذا کانت ممّا لا قضاء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 لما یستفاد من الأخبار أهمیّة الوقت، فهی مرخّصة للتیمّم، مضافا إلی ما مرّ من أنّه لو قصد أمرها الواقعی أو الظاهری یلزمه قصد الکون علی الطهارة، فلا مانع من الحکم بالصحّة، کما لو قصد الملاک والمناط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الانتقال غیر بعید، خصوصا فیما لایکون له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التیمّم</w:t>
      </w:r>
      <w:r>
        <w:rPr>
          <w:rFonts w:eastAsia="Amiri" w:cs="Amiri" w:ascii="Amiri" w:hAnsi="Amiri"/>
          <w:color w:val="111111"/>
          <w:sz w:val="28"/>
          <w:szCs w:val="28"/>
          <w:rtl w:val="true"/>
          <w:lang w:bidi="ar-SA"/>
        </w:rPr>
        <w:t>.</w:t>
      </w:r>
      <w:bookmarkStart w:id="847" w:name="pg13276_136889"/>
    </w:p>
    <w:p>
      <w:pPr>
        <w:pStyle w:val="Heading3"/>
        <w:numPr>
          <w:ilvl w:val="2"/>
          <w:numId w:val="1"/>
        </w:numPr>
        <w:rPr/>
      </w:pPr>
      <w:bookmarkStart w:id="848" w:name="__RefHeading___Toc1764164_2322387425"/>
      <w:bookmarkStart w:id="849" w:name="_Toc315"/>
      <w:bookmarkEnd w:id="847"/>
      <w:bookmarkEnd w:id="848"/>
      <w:r>
        <w:rPr>
          <w:rtl w:val="true"/>
        </w:rPr>
        <w:t>التیمّم باعتقاد السعة فتبیّن الضیق أو العکس</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باعتقاد سعة الوقت فبان ضیقه فقد مرّ</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ما هو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إن کان وضووءه بقصد الأمر المتوجّه إلیه من قبل تلک الصلاة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صحّته لا 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صحّ،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سواء قصد الأمر المتوجّه إلیه من قبل تلک الصلاة، أم أتی به بقصد غایة اُخری، وإن علم ضیق الوقت کما تقدم، وعلیه فیصحّ لو اعتقد السعة فبان ضیقه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أنّه لاتبعد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لعدم الأمر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إمکان التصحیح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من أنّ قصد الأمر غیر معتبر، ومن إمکان التصحیح بما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أتی به بقصد غایة</w:t>
      </w:r>
    </w:p>
    <w:p>
      <w:pPr>
        <w:pStyle w:val="BookText"/>
        <w:rPr/>
      </w:pPr>
      <w:r>
        <w:rPr>
          <w:rFonts w:ascii="Amiri" w:hAnsi="Amiri" w:eastAsia="Amiri" w:cs="Amiri"/>
          <w:color w:val="111111"/>
          <w:sz w:val="28"/>
          <w:sz w:val="28"/>
          <w:szCs w:val="28"/>
          <w:rtl w:val="true"/>
          <w:lang w:bidi="ar-SA"/>
        </w:rPr>
        <w:t>اُخری</w:t>
      </w:r>
      <w:r>
        <w:rPr>
          <w:rStyle w:val="FootnoteAnchor"/>
          <w:rtl w:val="true"/>
        </w:rPr>
        <w:footnoteReference w:id="1150"/>
      </w:r>
      <w:r>
        <w:rPr>
          <w:rFonts w:ascii="IRNazanin" w:hAnsi="IRNazanin" w:eastAsia="IRNazanin"/>
          <w:color w:val="111111"/>
          <w:sz w:val="28"/>
          <w:sz w:val="28"/>
          <w:szCs w:val="28"/>
          <w:rtl w:val="true"/>
          <w:lang w:bidi="fa-IR"/>
        </w:rPr>
        <w:t>أو الکون</w:t>
      </w:r>
      <w:r>
        <w:rPr>
          <w:rStyle w:val="FootnoteAnchor"/>
          <w:rtl w:val="true"/>
        </w:rPr>
        <w:footnoteReference w:id="1151"/>
      </w:r>
      <w:r>
        <w:rPr>
          <w:rFonts w:ascii="IRNazanin" w:hAnsi="IRNazanin" w:eastAsia="IRNazanin"/>
          <w:color w:val="111111"/>
          <w:sz w:val="28"/>
          <w:sz w:val="28"/>
          <w:szCs w:val="28"/>
          <w:rtl w:val="true"/>
          <w:lang w:bidi="fa-IR"/>
        </w:rPr>
        <w:t>علی الطهارة صحّ</w:t>
      </w:r>
      <w:r>
        <w:rPr>
          <w:rStyle w:val="FootnoteAnchor"/>
          <w:rtl w:val="true"/>
        </w:rPr>
        <w:footnoteReference w:id="1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الفرق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قصد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الغایات التی یکون مأموراً بالوضوء فعلاً لأجلها، وأمّا لو تیمّم باعتقاد الضیق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ضیق الوقت عن الوضوء مع التمکّن من الماء، وهذا غیر ما یأتی فی المسألة السابعة من أحکام التیمّم، فلا منافاة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فبان سعته بعد الصلاة فالظاهر وجوب 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 إعادة التیمّم 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وجوب إعادتها علی مختارنا ومختار المصنّف رحمه‌الله أیضاً، وهو أیضاً حکم بصحّة الصلاة فی فصل أحکام التیمّم فی المسألة السابعة،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اعتقد عدم سعة الوقت فتیمّم وصلّی ثمّ بان السعة فعلی المختار صحّت صلاته ویحتاط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تبیّن سعة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تبعد الصحّة بناءً علی جواز البدار، وأمّا بناءً علی عدمه فالحکم بالبطلان من 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تبیّن قبل</w:t>
      </w:r>
      <w:bookmarkStart w:id="850" w:name="pg13276_136891"/>
    </w:p>
    <w:p>
      <w:pPr>
        <w:pStyle w:val="BookText"/>
        <w:rPr/>
      </w:pPr>
      <w:bookmarkEnd w:id="850"/>
      <w:r>
        <w:rPr>
          <w:rFonts w:ascii="IRNazanin" w:hAnsi="IRNazanin" w:eastAsia="IRNazanin"/>
          <w:color w:val="111111"/>
          <w:sz w:val="28"/>
          <w:sz w:val="28"/>
          <w:szCs w:val="28"/>
          <w:rtl w:val="true"/>
          <w:lang w:bidi="fa-IR"/>
        </w:rPr>
        <w:t>الشروع فیها وکان الوقت واسعاً توضّأ وجوباً، وإن لم یکن واسعاً فعلاً بعد ما کان واسعاً أوّلاً وجب إعادة التیمّم</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السیستانی</w:t>
      </w:r>
      <w:r>
        <w:rPr>
          <w:rFonts w:eastAsia="IRNazanin" w:cs="IRNazanin"/>
          <w:color w:val="111111"/>
          <w:sz w:val="28"/>
          <w:szCs w:val="28"/>
          <w:rtl w:val="true"/>
          <w:lang w:bidi="fa-IR"/>
        </w:rPr>
        <w:t>)..</w:t>
      </w:r>
    </w:p>
    <w:p>
      <w:pPr>
        <w:pStyle w:val="Heading3"/>
        <w:numPr>
          <w:ilvl w:val="2"/>
          <w:numId w:val="1"/>
        </w:numPr>
        <w:rPr/>
      </w:pPr>
      <w:bookmarkStart w:id="851" w:name="__RefHeading___Toc1764166_2322387425"/>
      <w:bookmarkStart w:id="852" w:name="_Toc316"/>
      <w:bookmarkEnd w:id="851"/>
      <w:r>
        <w:rPr>
          <w:rtl w:val="true"/>
        </w:rPr>
        <w:t>الثامن</w:t>
      </w:r>
      <w:r>
        <w:rPr>
          <w:rtl w:val="true"/>
        </w:rPr>
        <w:t xml:space="preserve">: </w:t>
      </w:r>
      <w:r>
        <w:rPr>
          <w:rtl w:val="true"/>
        </w:rPr>
        <w:t>العجز عن استعمال الماء لمانع شرعی</w:t>
      </w:r>
      <w:bookmarkEnd w:id="852"/>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استعمال الماء لمانع شرعیّ، کما إذا کان الماء</w:t>
      </w:r>
      <w:r>
        <w:rPr>
          <w:rStyle w:val="FootnoteAnchor"/>
          <w:rtl w:val="true"/>
        </w:rPr>
        <w:footnoteReference w:id="1154"/>
      </w:r>
      <w:r>
        <w:rPr>
          <w:rFonts w:ascii="IRNazanin" w:hAnsi="IRNazanin" w:eastAsia="IRNazanin"/>
          <w:color w:val="111111"/>
          <w:sz w:val="28"/>
          <w:sz w:val="28"/>
          <w:szCs w:val="28"/>
          <w:rtl w:val="true"/>
          <w:lang w:bidi="fa-IR"/>
        </w:rPr>
        <w:t>فی آنیة الذهب أو الفضّة</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 الوضوء والغسل فی آنیة الذهب والفضة أو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حرمة استعمالها فی غیر الأکل والشرب أیضا، کما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وکان ظرفه منحصراً فیها بحیث لا یمکن تفریغه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إخراج الماء منه بنحو غیر محرّم، وقد تقدّم الکلام المرتبط بالمقام فی باب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ظرف</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1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فی مبحث الأوانی، وفی المسألة الثامنة عشرة من مسوّغات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تمکّن منه، ولکن کان التفریغ إعمالاً للإناء فیما اُعدّ له، أو فیما یسانخه، وکان التوضّؤ أو الاغتسال منه مباشرة أیضا کذلک، وقد مرّ توضیح ذلک فی بحث 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الوضوء أو الغسل منهما استعمالاً لهما أو متوقّفا علیه فلا تصل النوبة إلی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فرض کون التفریغ واجبا ولم یمکن إلاّ بالتوضّؤ أو الاغتسال ـ کما مرّ منه قدس‌سره فی شرائط الوضوء ـ ففی هذه الموارد تتعیّن الطهارة المائیة وفی غیرها یشکل الحکم بسقوطها، کما مرّ فی بحث 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آنیة الذهب والفضة، وأمّا المغصوب فینتقل الأمر فیه إلی التیمّم إذا کان الوضوء أو الغسل تصرّفا فیه، أو متوقّفا علیه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کان فی إناء مغصوب کذلک فإنّه ینتقل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للمناقشة فی الانتقال مجال واسع؛ لکون المقام داخلاً فی باب التزاحم، وعدم کون مالیس له البدل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التیمّم طریق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کان محرّم الاستعمال من جهة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3276_136893"/>
    </w:p>
    <w:p>
      <w:pPr>
        <w:pStyle w:val="Heading3"/>
        <w:numPr>
          <w:ilvl w:val="2"/>
          <w:numId w:val="1"/>
        </w:numPr>
        <w:rPr/>
      </w:pPr>
      <w:bookmarkStart w:id="854" w:name="__RefHeading___Toc1764168_2322387425"/>
      <w:bookmarkStart w:id="855" w:name="_Toc317"/>
      <w:bookmarkEnd w:id="853"/>
      <w:bookmarkEnd w:id="854"/>
      <w:r>
        <w:rPr>
          <w:rtl w:val="true"/>
        </w:rPr>
        <w:t>حکم من کان جنباً مع عدم الماء إلاّ فی المسجد</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جُنُباً ولم یکن عنده ماء وکان موجوداً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أمکنه</w:t>
      </w:r>
      <w:r>
        <w:rPr>
          <w:rStyle w:val="FootnoteAnchor"/>
          <w:rtl w:val="true"/>
        </w:rPr>
        <w:footnoteReference w:id="1157"/>
      </w:r>
      <w:r>
        <w:rPr>
          <w:rFonts w:ascii="IRNazanin" w:hAnsi="IRNazanin" w:eastAsia="IRNazanin"/>
          <w:color w:val="111111"/>
          <w:sz w:val="28"/>
          <w:sz w:val="28"/>
          <w:szCs w:val="28"/>
          <w:rtl w:val="true"/>
          <w:lang w:bidi="fa-IR"/>
        </w:rPr>
        <w:t>أخذ الماء بالمرور وجب ولم ینتقل إلی التیمّم، وإن لم یکن له آنیة لأخذ الماء، أو کان عنده ولکن لم یمکن أخذ الماء إلاّ بالمکث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أمکنه الاغتسال فیه بالمرور وجب ذلک، وإن لم یمکن ذلک أیضاً، أو کان الماء فی أحد المسجدین ـ أعنی المسجد الحرام أو مسجد النبیّ صلی‌الله‌علیه‌و‌آله ـ فالظاهر</w:t>
      </w:r>
      <w:r>
        <w:rPr>
          <w:rStyle w:val="FootnoteAnchor"/>
          <w:rtl w:val="true"/>
        </w:rPr>
        <w:footnoteReference w:id="1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الذی أشار إلیه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استباحة المکث فی المساجد والعبور فی المسجدین لأخذ الماء، أو للاغتسال بهذا التیمّم، فهو کفاقد الماء یتیمّم للصلاة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کونه فاقد الماء، یتیمّم للصلاة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وجوبه، وإنّما یتیمّم لأجل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فی المسألة الثامنة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یعلّل بأنّه فاقد الماء یلزم علیه التیمّم، والأحوط استحباباً أن یکون تیمّمه بقصد غایة اُخری؛ حتی یکون تیمّمه لدخول المسجد خالیاً من إشکال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دلیل علی مشروعیة هذا التیمّم، بل الظاهر الانتقال إلی التیمّم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w:t>
      </w:r>
      <w:r>
        <w:rPr>
          <w:rStyle w:val="FootnoteAnchor"/>
          <w:rtl w:val="true"/>
        </w:rPr>
        <w:footnoteReference w:id="1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المکث فی المسجد ودخول المسجدین مع التیمّم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 فی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وأخذ الماء أو الاغتسال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لزوم محذور من التلویث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تعیّن الأول فی بعض الموارد، وتعیّن الثانی فی البعض الآخر فی المسألة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یحرم علی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التیمّم إنّما یُبِیح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خصوص هذا الفعل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أی الدخول والأخذ أو الدخول والاغتسال، ولا یرد الإشکال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والوجدان وإن کان مبطلاً للتیمم لکنّ المراد منه الوجدان حین التیمّم، لا وجدان الماء بالتیمّم، فلایستلزم وجوده فی زمان عدمه فی هذا الزمان بعینه، بل فی زمان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 نّه یلزم من صحّته بطلانه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الوجدان الحاصل من ناحیة التیمّم لا یعقل تأثیره فی بطلان التیمّم؛ لأنّ المعلول لا یکون علّة لعدم علّته، مع أنّ الوجدان إنّما یصدق بعد التیمّم بالقیاس إلی غیر المکث من الغایات، وأمّا بالقیاس إلیه فلا یصدق ما لم یغتسل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إنّه</w:t>
      </w:r>
      <w:bookmarkStart w:id="856" w:name="pg13276_136895"/>
    </w:p>
    <w:p>
      <w:pPr>
        <w:pStyle w:val="BookText"/>
        <w:rPr/>
      </w:pPr>
      <w:bookmarkEnd w:id="856"/>
      <w:r>
        <w:rPr>
          <w:rFonts w:ascii="IRNazanin" w:hAnsi="IRNazanin" w:eastAsia="IRNazanin"/>
          <w:color w:val="111111"/>
          <w:sz w:val="28"/>
          <w:sz w:val="28"/>
          <w:szCs w:val="28"/>
          <w:rtl w:val="true"/>
          <w:lang w:bidi="fa-IR"/>
        </w:rPr>
        <w:t>یلزم منه کونه واجداً للماء فیبطل، کما لا یخفی</w:t>
      </w:r>
      <w:r>
        <w:rPr>
          <w:rStyle w:val="FootnoteAnchor"/>
          <w:rtl w:val="true"/>
        </w:rPr>
        <w:footnoteReference w:id="1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الوجدان الناشئ من قبله لا یصلح لرفع موضوعه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Heading3"/>
        <w:numPr>
          <w:ilvl w:val="2"/>
          <w:numId w:val="1"/>
        </w:numPr>
        <w:rPr/>
      </w:pPr>
      <w:bookmarkStart w:id="857" w:name="__RefHeading___Toc1764170_2322387425"/>
      <w:bookmarkStart w:id="858" w:name="_Toc318"/>
      <w:bookmarkEnd w:id="857"/>
      <w:r>
        <w:rPr>
          <w:rtl w:val="true"/>
        </w:rPr>
        <w:t>موارد مشروعیة التیمّم مع وجدان الماء</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 مع التمکّن من استعمال الماء إلاّ فی موضعین</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مبناه قدس‌سره من جواز التیمّم مع التمکّن من الطهارة المائیة، کما فی بعض صور النوع الخامس، وبعض موارد الحرج إن تحمّله، وبعض مراتب الضرر کذلک؛ لا اختصاص للجواز بموضعین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هل یُستباح بمثل هذا التیمّم الغایات المشروطة بالطهارة مع فقد الماء بعده بلا فصل، أو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الجواز مختصّاً بهما، بل یجوز فی بعض الضرر والحرج وغیرهما، فلا مانع من تحمّلهما، ولا یُستباح بمثل هذا التیمّم سائر الغایات المشروطة بالطهارة مع فقد الماء بعده بلا فصل، إلاّ علی الوجه الذی تقدّم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الجنازة، فیجوز مع التمکّن من الوضوء أو الغسل علی المشهور مطلقاً</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القدر المتیقّن صورة خوف فوت الصلاة منه لو أراد أن یتوضّأ أو یغتسل، نعم، لمّا کان الحکم استحبابیّاً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یتیمّم</w:t>
      </w:r>
    </w:p>
    <w:p>
      <w:pPr>
        <w:pStyle w:val="BookText"/>
        <w:rPr/>
      </w:pPr>
      <w:r>
        <w:rPr>
          <w:rFonts w:ascii="IRNazanin" w:hAnsi="IRNazanin" w:eastAsia="IRNazanin"/>
          <w:color w:val="111111"/>
          <w:sz w:val="28"/>
          <w:sz w:val="28"/>
          <w:szCs w:val="28"/>
          <w:rtl w:val="true"/>
          <w:lang w:bidi="fa-IR"/>
        </w:rPr>
        <w:t>مع عدم خوف الفوت أیضاً، لکن برجاء المطلوبیّة</w:t>
      </w:r>
      <w:r>
        <w:rPr>
          <w:rStyle w:val="FootnoteAnchor"/>
          <w:rtl w:val="true"/>
        </w:rPr>
        <w:footnoteReference w:id="1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الأمر، وکذا فی المورد الثانی، ولو فی غیر الصورة الخاصة المذکورة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بقصد الورود والمشروعیّة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للنوم، فإنّه یجوز أن یتیمّم مع إمکان الوضوء أو الغسل</w:t>
      </w:r>
      <w:r>
        <w:rPr>
          <w:rStyle w:val="FootnoteAnchor"/>
          <w:rtl w:val="true"/>
        </w:rPr>
        <w:footnoteReference w:id="1165"/>
      </w:r>
      <w:r>
        <w:rPr>
          <w:rFonts w:ascii="IRNazanin" w:hAnsi="IRNazanin" w:eastAsia="IRNazanin"/>
          <w:color w:val="111111"/>
          <w:sz w:val="28"/>
          <w:sz w:val="28"/>
          <w:szCs w:val="28"/>
          <w:rtl w:val="true"/>
          <w:lang w:bidi="fa-IR"/>
        </w:rPr>
        <w:t>علی المشهور أیضاً مطلقاً</w:t>
      </w:r>
      <w:r>
        <w:rPr>
          <w:rStyle w:val="FootnoteAnchor"/>
          <w:rtl w:val="true"/>
        </w:rPr>
        <w:footnoteReference w:id="1166"/>
      </w:r>
      <w:r>
        <w:rPr>
          <w:rFonts w:ascii="IRNazanin" w:hAnsi="IRNazanin" w:eastAsia="IRNazanin"/>
          <w:color w:val="111111"/>
          <w:sz w:val="28"/>
          <w:sz w:val="28"/>
          <w:szCs w:val="28"/>
          <w:rtl w:val="true"/>
          <w:lang w:bidi="fa-IR"/>
        </w:rPr>
        <w:t>، وخصّ بعضهم بخصوص الوضوء، ولکنّ القدر المتیقّن من هذا أیضاً صورة خاصّة، وهی ما إذا آوی إلی فراشه فتذکّر أ نّه لیس علی وضوء فیتیمّم من دثاره، لا أن یتیمّم قبل دخوله فی فراشه متعمّداً مع إمکان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أیضاً لا بأس به، لا بعنوان الورود، بل برجاء المطلوبیّة، حیث إنَّ الحکم استحبابیّ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بعضهم</w:t>
      </w:r>
      <w:r>
        <w:rPr>
          <w:rStyle w:val="FootnoteAnchor"/>
          <w:rtl w:val="true"/>
        </w:rPr>
        <w:footnoteReference w:id="1167"/>
      </w:r>
      <w:r>
        <w:rPr>
          <w:rFonts w:ascii="IRNazanin" w:hAnsi="IRNazanin" w:eastAsia="IRNazanin"/>
          <w:color w:val="111111"/>
          <w:sz w:val="28"/>
          <w:sz w:val="28"/>
          <w:szCs w:val="28"/>
          <w:rtl w:val="true"/>
          <w:lang w:bidi="fa-IR"/>
        </w:rPr>
        <w:t>موضعاً ثالثاً،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احتلم فی أحد المسجدین فإنّـه یجب أن یتیمّم للخروج وإن أمکنه الغسل، لکنّه مشکل</w:t>
      </w:r>
      <w:r>
        <w:rPr>
          <w:rStyle w:val="FootnoteAnchor"/>
          <w:rtl w:val="true"/>
        </w:rPr>
        <w:footnoteReference w:id="1168"/>
      </w:r>
      <w:r>
        <w:rPr>
          <w:rFonts w:ascii="IRNazanin" w:hAnsi="IRNazanin" w:eastAsia="IRNazanin"/>
          <w:color w:val="111111"/>
          <w:sz w:val="28"/>
          <w:sz w:val="28"/>
          <w:szCs w:val="28"/>
          <w:rtl w:val="true"/>
          <w:lang w:bidi="fa-IR"/>
        </w:rPr>
        <w:t xml:space="preserve">، بل </w:t>
      </w:r>
      <w:bookmarkStart w:id="859" w:name="pg13276_136897"/>
    </w:p>
    <w:p>
      <w:pPr>
        <w:pStyle w:val="BookText"/>
        <w:rPr/>
      </w:pPr>
      <w:bookmarkEnd w:id="859"/>
      <w:r>
        <w:rPr>
          <w:rFonts w:ascii="IRNazanin" w:hAnsi="IRNazanin" w:eastAsia="IRNazanin"/>
          <w:color w:val="111111"/>
          <w:sz w:val="28"/>
          <w:sz w:val="28"/>
          <w:szCs w:val="28"/>
          <w:rtl w:val="true"/>
          <w:lang w:bidi="fa-IR"/>
        </w:rPr>
        <w:t>المدار</w:t>
      </w:r>
      <w:r>
        <w:rPr>
          <w:rStyle w:val="FootnoteAnchor"/>
          <w:rtl w:val="true"/>
        </w:rPr>
        <w:footnoteReference w:id="1169"/>
      </w:r>
      <w:r>
        <w:rPr>
          <w:rFonts w:ascii="IRNazanin" w:hAnsi="IRNazanin" w:eastAsia="IRNazanin"/>
          <w:color w:val="111111"/>
          <w:sz w:val="28"/>
          <w:sz w:val="28"/>
          <w:szCs w:val="28"/>
          <w:rtl w:val="true"/>
          <w:lang w:bidi="fa-IR"/>
        </w:rPr>
        <w:t>علی أقلّیّة زمان التیمّم، أو زمان الغسل</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أقلّیة زمان الغسل فیهما عن زمان التیمّم مجرّد الفرض؛ لوضوح احتیاج الغسل إلی أزید من زمان التیمّم، مع أنّه یحتاج إلی تطهیر البدن ولو رأس الآلة، وهو متعسّر أو متعذّر غالباً، مع أنّه یحتاج إلی زمان، ولعلّه هو السرّ فی وجوب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زمان 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حیث إنّ الکون فی المسجدین جنباً حرام، فلابدّ من اختیار ما هو أقلّ زماناً من الاُمور الثلاثة، فإذا کان زمان التیمّم أقلّ من زمان الغسل یدخل تحت ما ذکرنا فی مسوِّغات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هناک مانع شرعیّ من استعمال الماء، فإنّ زیادة الکون فی المسجدین جنباً مانع شرعیّ من استعمال الماء</w:t>
      </w:r>
      <w:r>
        <w:rPr>
          <w:rFonts w:eastAsia="IRNazanin" w:cs="IRNazanin"/>
          <w:color w:val="111111"/>
          <w:sz w:val="28"/>
          <w:szCs w:val="28"/>
          <w:rtl w:val="true"/>
          <w:lang w:bidi="fa-IR"/>
        </w:rPr>
        <w:t>.</w:t>
      </w:r>
    </w:p>
    <w:p>
      <w:pPr>
        <w:pStyle w:val="Heading3"/>
        <w:numPr>
          <w:ilvl w:val="2"/>
          <w:numId w:val="1"/>
        </w:numPr>
        <w:rPr/>
      </w:pPr>
      <w:bookmarkStart w:id="860" w:name="__RefHeading___Toc1764172_2322387425"/>
      <w:bookmarkStart w:id="861" w:name="_Toc319"/>
      <w:bookmarkEnd w:id="860"/>
      <w:r>
        <w:rPr>
          <w:rtl w:val="true"/>
        </w:rPr>
        <w:t>خلط المطلق بالمضاف</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مقدار من الماء لا یکفیه لوضوئه أو غسله، وأمکن تتمیمه بخلط شیء من الماء المضاف الّذی لا یخرجه عن الإطلاق، لا یبعد وجوبه</w:t>
      </w:r>
      <w:r>
        <w:rPr>
          <w:rStyle w:val="FootnoteAnchor"/>
          <w:rtl w:val="true"/>
        </w:rPr>
        <w:footnoteReference w:id="1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فی الخلط بالمضاف، بخلاف الخلط بالتراب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الخلط یجب الوضوء أو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الوجوب فی غایة البُعد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 هذه المسألة وماهو المختار فیها، فلیراجع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وجوبه محلّ نظر، لکنّه 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بعید،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الخلط یجب</w:t>
      </w:r>
      <w:bookmarkStart w:id="862" w:name="pg13276_136898"/>
    </w:p>
    <w:p>
      <w:pPr>
        <w:pStyle w:val="BookText"/>
        <w:rPr/>
      </w:pPr>
      <w:bookmarkEnd w:id="862"/>
      <w:r>
        <w:rPr>
          <w:rFonts w:ascii="IRNazanin" w:hAnsi="IRNazanin" w:eastAsia="IRNazanin"/>
          <w:color w:val="111111"/>
          <w:sz w:val="28"/>
          <w:sz w:val="28"/>
          <w:szCs w:val="28"/>
          <w:rtl w:val="true"/>
          <w:lang w:bidi="fa-IR"/>
        </w:rPr>
        <w:t>الوضوء</w:t>
      </w:r>
      <w:r>
        <w:rPr>
          <w:rStyle w:val="FootnoteAnchor"/>
          <w:rtl w:val="true"/>
        </w:rPr>
        <w:footnoteReference w:id="1172"/>
      </w:r>
      <w:r>
        <w:rPr>
          <w:rFonts w:ascii="IRNazanin" w:hAnsi="IRNazanin" w:eastAsia="IRNazanin"/>
          <w:color w:val="111111"/>
          <w:sz w:val="28"/>
          <w:sz w:val="28"/>
          <w:szCs w:val="28"/>
          <w:rtl w:val="true"/>
          <w:lang w:bidi="fa-IR"/>
        </w:rPr>
        <w:t>أو الغسل، وإن قلنا بعدم وجوب الخلط؛ لصدق وجدان الماء حینئذٍ</w:t>
      </w:r>
      <w:r>
        <w:rPr>
          <w:rFonts w:eastAsia="IRNazanin" w:cs="IRNazanin"/>
          <w:color w:val="111111"/>
          <w:sz w:val="28"/>
          <w:szCs w:val="28"/>
          <w:rtl w:val="true"/>
          <w:lang w:bidi="fa-IR"/>
        </w:rPr>
        <w:t>.</w:t>
      </w:r>
    </w:p>
    <w:p>
      <w:pPr>
        <w:pStyle w:val="Heading2"/>
        <w:numPr>
          <w:ilvl w:val="1"/>
          <w:numId w:val="1"/>
        </w:numPr>
        <w:rPr/>
      </w:pPr>
      <w:bookmarkStart w:id="863" w:name="__RefHeading___Toc1764174_2322387425"/>
      <w:bookmarkStart w:id="864" w:name="_Toc320"/>
      <w:bookmarkEnd w:id="863"/>
      <w:r>
        <w:rPr>
          <w:rtl w:val="true"/>
        </w:rPr>
        <w:t>فصل</w:t>
      </w:r>
      <w:r>
        <w:rPr>
          <w:rtl w:val="true"/>
        </w:rPr>
        <w:t xml:space="preserve">: </w:t>
      </w:r>
      <w:r>
        <w:rPr>
          <w:rtl w:val="true"/>
        </w:rPr>
        <w:t>فی بیان ما یصحّ التیمّم به</w:t>
      </w:r>
      <w:bookmarkEnd w:id="864"/>
    </w:p>
    <w:p>
      <w:pPr>
        <w:pStyle w:val="Heading3"/>
        <w:numPr>
          <w:ilvl w:val="2"/>
          <w:numId w:val="1"/>
        </w:numPr>
        <w:rPr/>
      </w:pPr>
      <w:bookmarkStart w:id="865" w:name="__RefHeading___Toc1764176_2322387425"/>
      <w:bookmarkStart w:id="866" w:name="_Toc321"/>
      <w:bookmarkEnd w:id="865"/>
      <w:r>
        <w:rPr>
          <w:rtl w:val="true"/>
        </w:rPr>
        <w:t>جواز التیمّم علی مطلق وجه الأرض</w:t>
      </w:r>
      <w:bookmarkEnd w:id="866"/>
    </w:p>
    <w:p>
      <w:pPr>
        <w:pStyle w:val="BookText"/>
        <w:rPr/>
      </w:pPr>
      <w:r>
        <w:rPr>
          <w:rFonts w:ascii="IRNazanin" w:hAnsi="IRNazanin" w:eastAsia="IRNazanin"/>
          <w:color w:val="111111"/>
          <w:sz w:val="28"/>
          <w:sz w:val="28"/>
          <w:szCs w:val="28"/>
          <w:rtl w:val="true"/>
          <w:lang w:bidi="fa-IR"/>
        </w:rPr>
        <w:t>یجوز التیمّم علی مطلق</w:t>
      </w:r>
      <w:r>
        <w:rPr>
          <w:rStyle w:val="FootnoteAnchor"/>
          <w:rtl w:val="true"/>
        </w:rPr>
        <w:footnoteReference w:id="1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تقدیم التراب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تقدیم التراب علی غیره مع وجوده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سواء کان تراباً أو رملاً أو حجراً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مدراً أو غیر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حجر الجصّ</w:t>
      </w:r>
      <w:bookmarkStart w:id="867" w:name="pg13276_136899"/>
    </w:p>
    <w:p>
      <w:pPr>
        <w:pStyle w:val="BookText"/>
        <w:rPr/>
      </w:pPr>
      <w:bookmarkEnd w:id="867"/>
      <w:r>
        <w:rPr>
          <w:rFonts w:ascii="Amiri" w:hAnsi="Amiri" w:eastAsia="Amiri" w:cs="Amiri"/>
          <w:color w:val="111111"/>
          <w:sz w:val="28"/>
          <w:sz w:val="28"/>
          <w:szCs w:val="28"/>
          <w:rtl w:val="true"/>
          <w:lang w:bidi="ar-SA"/>
        </w:rPr>
        <w:t>والنورة قبل الإحراق،</w:t>
      </w:r>
    </w:p>
    <w:p>
      <w:pPr>
        <w:pStyle w:val="Heading3"/>
        <w:numPr>
          <w:ilvl w:val="2"/>
          <w:numId w:val="1"/>
        </w:numPr>
        <w:rPr/>
      </w:pPr>
      <w:bookmarkStart w:id="868" w:name="__RefHeading___Toc1764178_2322387425"/>
      <w:bookmarkStart w:id="869" w:name="_Toc322"/>
      <w:bookmarkEnd w:id="868"/>
      <w:r>
        <w:rPr>
          <w:rtl w:val="true"/>
        </w:rPr>
        <w:t>حکم التیمّم بالجص والنّورة والطین قبل الإحراق وبعده</w:t>
      </w:r>
      <w:bookmarkEnd w:id="869"/>
    </w:p>
    <w:p>
      <w:pPr>
        <w:pStyle w:val="BookText"/>
        <w:rPr/>
      </w:pPr>
      <w:r>
        <w:rPr>
          <w:rFonts w:ascii="IRNazanin" w:hAnsi="IRNazanin" w:eastAsia="IRNazanin"/>
          <w:color w:val="111111"/>
          <w:sz w:val="28"/>
          <w:sz w:val="28"/>
          <w:szCs w:val="28"/>
          <w:rtl w:val="true"/>
          <w:lang w:bidi="fa-IR"/>
        </w:rPr>
        <w:t>وأمّا بعده فلا یجوز</w:t>
      </w:r>
      <w:r>
        <w:rPr>
          <w:rStyle w:val="FootnoteAnchor"/>
          <w:rtl w:val="true"/>
        </w:rPr>
        <w:footnoteReference w:id="1174"/>
      </w:r>
      <w:r>
        <w:rPr>
          <w:rFonts w:ascii="IRNazanin" w:hAnsi="IRNazanin" w:eastAsia="IRNazanin"/>
          <w:color w:val="111111"/>
          <w:sz w:val="28"/>
          <w:sz w:val="28"/>
          <w:szCs w:val="28"/>
          <w:rtl w:val="true"/>
          <w:lang w:bidi="fa-IR"/>
        </w:rPr>
        <w:t>علی الأقوی</w:t>
      </w:r>
      <w:r>
        <w:rPr>
          <w:rStyle w:val="FootnoteAnchor"/>
          <w:rtl w:val="true"/>
        </w:rPr>
        <w:footnoteReference w:id="1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مع وجود غیره من التراب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الأحوط مع التمکّن من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إذا وجد غیره ممّا تقدّم، وکذا الحکم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إن وجد شیئا ممّا تقدّم، وکذلک الحکم فی التیمّم بالطین المطبوخ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الخمینی،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مع وجود غیره من المرتبة الاُولی، وإلاّ فیراعی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بالجواز لایخلو من قوّة، لکن لاینبغی ترک الاحتیاط بترک التیمّم علیه مع وجود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أقوائیّته تأمّل،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ومثله التیمّم علی الطین المطبوخ والعقیق، وعلیه فالأحوط الجمع بین التیمّم بالغبار والتیمّم بأحد هذه الاُمور عند عدم التمکّن من التیمّم بالتراب وغیره من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مع وجود غیره مما تقدّم ذکره، ومع عدمه فالأقوی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إذا وجد غیره مما یجوز التیمّم به، وکذا فی الطین المطبوخ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الجواز، وکذا فی الطین المطبوخ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جوازه، وکذا جواز التیمّم بالآجرّ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التمکّن من التراب ونحوه، ومع عدم التمکّن یتیمّم بالغبار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وفیما بعده الجواز بشرط تحقّق العلوق؛ لما سیجیء من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الاحوط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کما أنّ</w:t>
      </w:r>
      <w:bookmarkStart w:id="870" w:name="pg13276_136900"/>
    </w:p>
    <w:p>
      <w:pPr>
        <w:pStyle w:val="BookText"/>
        <w:rPr/>
      </w:pPr>
      <w:bookmarkEnd w:id="870"/>
      <w:r>
        <w:rPr>
          <w:rFonts w:ascii="IRNazanin" w:hAnsi="IRNazanin" w:eastAsia="IRNazanin"/>
          <w:color w:val="111111"/>
          <w:sz w:val="28"/>
          <w:sz w:val="28"/>
          <w:szCs w:val="28"/>
          <w:rtl w:val="true"/>
          <w:lang w:bidi="fa-IR"/>
        </w:rPr>
        <w:t>الأ قوی</w:t>
      </w:r>
      <w:r>
        <w:rPr>
          <w:rStyle w:val="FootnoteAnchor"/>
          <w:rtl w:val="true"/>
        </w:rPr>
        <w:footnoteReference w:id="1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 کسابقه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فی الموردین مع التمکّن من غیرها، ثمّ إنّه قدس‌سره تأمّل فی کتاب الطهارة فی تحقّق الاستحالة فی الخزف والآجرّ، وهو ینافی الفتوی هنا وفیما یأتی من مسجد الجبهة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فیها مع وجود غیرهما من التراب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بالطین المطبوخ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فیه لا یخلو من وجه، وإن کان الاحتیاط لا 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فیه وفی ما قبله وفی المسألتین الثانیة والثالثة لا یخلو من قوّة، وما ذکره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 فی صورة التمکّن من التراب أو وجه الأرض، أمّا مع عدمه فیتیمّم بالخزف والآجرّ، ومع عدمهما فبالجصّ والنورة، کما ذکره قدس‌سره فی المسألة الثانیة من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کالخزف والآجرِّ،</w:t>
      </w:r>
    </w:p>
    <w:p>
      <w:pPr>
        <w:pStyle w:val="Heading3"/>
        <w:numPr>
          <w:ilvl w:val="2"/>
          <w:numId w:val="1"/>
        </w:numPr>
        <w:rPr/>
      </w:pPr>
      <w:bookmarkStart w:id="871" w:name="__RefHeading___Toc1764180_2322387425"/>
      <w:bookmarkStart w:id="872" w:name="_Toc323"/>
      <w:bookmarkEnd w:id="871"/>
      <w:r>
        <w:rPr>
          <w:rtl w:val="true"/>
        </w:rPr>
        <w:t>حکم التیمّم بالمعادن ونحوها ممّا خرج عن اسم الأرض</w:t>
      </w:r>
      <w:bookmarkEnd w:id="872"/>
    </w:p>
    <w:p>
      <w:pPr>
        <w:pStyle w:val="BookText"/>
        <w:rPr/>
      </w:pPr>
      <w:r>
        <w:rPr>
          <w:rFonts w:ascii="IRNazanin" w:hAnsi="IRNazanin" w:eastAsia="IRNazanin"/>
          <w:color w:val="111111"/>
          <w:sz w:val="28"/>
          <w:sz w:val="28"/>
          <w:szCs w:val="28"/>
          <w:rtl w:val="true"/>
          <w:lang w:bidi="fa-IR"/>
        </w:rPr>
        <w:t>وإن کان مسحوقاً مثل التراب، ولا یجوز علی المعادن، کالملح والزَرنیخ والذهب والفضّة والعقیق</w:t>
      </w:r>
      <w:r>
        <w:rPr>
          <w:rStyle w:val="FootnoteAnchor"/>
          <w:rtl w:val="true"/>
        </w:rPr>
        <w:footnoteReference w:id="11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خروجه عن اسم الأرض تأمّل، فلا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ممّا خرج عن اسم</w:t>
      </w:r>
      <w:bookmarkStart w:id="873" w:name="pg13276_136901"/>
    </w:p>
    <w:p>
      <w:pPr>
        <w:pStyle w:val="BookText"/>
        <w:rPr/>
      </w:pPr>
      <w:bookmarkEnd w:id="873"/>
      <w:r>
        <w:rPr>
          <w:rFonts w:ascii="IRNazanin" w:hAnsi="IRNazanin" w:eastAsia="IRNazanin"/>
          <w:color w:val="111111"/>
          <w:sz w:val="28"/>
          <w:sz w:val="28"/>
          <w:szCs w:val="28"/>
          <w:rtl w:val="true"/>
          <w:lang w:bidi="fa-IR"/>
        </w:rPr>
        <w:t>الأرض</w:t>
      </w:r>
      <w:r>
        <w:rPr>
          <w:rStyle w:val="FootnoteAnchor"/>
          <w:rtl w:val="true"/>
        </w:rPr>
        <w:footnoteReference w:id="1178"/>
      </w:r>
      <w:r>
        <w:rPr>
          <w:rFonts w:ascii="IRNazanin" w:hAnsi="IRNazanin" w:eastAsia="IRNazanin"/>
          <w:color w:val="111111"/>
          <w:sz w:val="28"/>
          <w:sz w:val="28"/>
          <w:szCs w:val="28"/>
          <w:rtl w:val="true"/>
          <w:lang w:bidi="fa-IR"/>
        </w:rPr>
        <w:t>،</w:t>
      </w:r>
    </w:p>
    <w:p>
      <w:pPr>
        <w:pStyle w:val="Heading3"/>
        <w:numPr>
          <w:ilvl w:val="2"/>
          <w:numId w:val="1"/>
        </w:numPr>
        <w:rPr/>
      </w:pPr>
      <w:bookmarkStart w:id="874" w:name="__RefHeading___Toc1764182_2322387425"/>
      <w:bookmarkStart w:id="875" w:name="_Toc324"/>
      <w:bookmarkEnd w:id="874"/>
      <w:r>
        <w:rPr>
          <w:rtl w:val="true"/>
        </w:rPr>
        <w:t>جواز التیمّم بالغبار ومع فقده فبالطین</w:t>
      </w:r>
      <w:bookmarkEnd w:id="875"/>
    </w:p>
    <w:p>
      <w:pPr>
        <w:pStyle w:val="BookText"/>
        <w:rPr/>
      </w:pPr>
      <w:r>
        <w:rPr>
          <w:rFonts w:ascii="IRNazanin" w:hAnsi="IRNazanin" w:eastAsia="IRNazanin"/>
          <w:color w:val="111111"/>
          <w:sz w:val="28"/>
          <w:sz w:val="28"/>
          <w:szCs w:val="28"/>
          <w:rtl w:val="true"/>
          <w:lang w:bidi="fa-IR"/>
        </w:rPr>
        <w:t>ومع فقد ما ذُکرمن وجه الأرض یتیمّم بغبار الثوب</w:t>
      </w:r>
      <w:r>
        <w:rPr>
          <w:rStyle w:val="FootnoteAnchor"/>
          <w:rtl w:val="true"/>
        </w:rPr>
        <w:footnoteReference w:id="1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وجهها، ولا یکفی الغبار الباطنی، وإن ینشر بالضرب، ولو ضرب فینشر ثمّ ضرب علی ذی الغبار یجوز، ویقدّم علی الطین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الکائن علی وجهه، وأمّا لو کان فی الباطن ولکن بالضرب یعلو علی الجسم ففی تقدیمه علی الطین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ظاهرها غبار الأرض ضارباً علی ذی الغبار، وأمّا الضرب علی ما فی بطنه بحیث لو أثاره بالضرب ففی تقدیمه علی الطین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وجهها الغبار، وإلاّ ففی تقدیمه علی الطین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تأخّر الغبار ـ إذا عدّ ترابا دقیقا بأن کان له جرم فی النظر العرفی ـ مبنیّ علی الاحتیاط الاستحبابی، نعم، الشیء المغبّر متأخّر حتّی عن الطین، ومن ذلک یظهر مراتب ما یتیمّم به علی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اللبد، أو عرف الدابّة ونحوهاممّا فیه غبار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علی ظاهره، وأمّا الغبار فی الباطن وإن کان بحیث ینتشر بالضرب علیه ففی تقدیمه علی الطین إشکال، والأحوط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ظاهرا علیه، وإلاّ فالأحوط أن یتیمّم بالطین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وأمّا ما کان باطنا ویظهر بالضرب فالأحوط الجمع بین التیمّم به وبالطین، بل لایبعد تعیّن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الغبار فی الباطن فالأحوط إن لم یکن أقوی أن یثیر الغبار أوّلاً لینتشر علی الظاهر، ثمّ یضرب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یمکن جمعه تراباً</w:t>
      </w:r>
    </w:p>
    <w:p>
      <w:pPr>
        <w:pStyle w:val="BookText"/>
        <w:rPr/>
      </w:pPr>
      <w:r>
        <w:rPr>
          <w:rFonts w:ascii="IRNazanin" w:hAnsi="IRNazanin" w:eastAsia="IRNazanin"/>
          <w:color w:val="111111"/>
          <w:sz w:val="28"/>
          <w:sz w:val="28"/>
          <w:szCs w:val="28"/>
          <w:rtl w:val="true"/>
          <w:lang w:bidi="fa-IR"/>
        </w:rPr>
        <w:t>بالنَفْض، وإلاّ وجب ودخل فی القسم الأوّل، والأحوط</w:t>
      </w:r>
      <w:r>
        <w:rPr>
          <w:rStyle w:val="FootnoteAnchor"/>
          <w:rtl w:val="true"/>
        </w:rPr>
        <w:footnoteReference w:id="1180"/>
      </w:r>
      <w:r>
        <w:rPr>
          <w:rFonts w:ascii="IRNazanin" w:hAnsi="IRNazanin" w:eastAsia="IRNazanin"/>
          <w:color w:val="111111"/>
          <w:sz w:val="28"/>
          <w:sz w:val="28"/>
          <w:szCs w:val="28"/>
          <w:rtl w:val="true"/>
          <w:lang w:bidi="fa-IR"/>
        </w:rPr>
        <w:t>اختیار ما غباره أکثر</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فقد الغبار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یتیمّـم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بالطین ما هو الغلیظ المتماسک فالظاهر أنّه من القسم الأوّل، فاللازم أن یکون المراد الوحل الذی هو الطین الرقیق الخارج عن صدق اسم الأرض، وسیأتی ذلک فی بعض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یمکـن تجفیفـه، وإلاّ وجب ودخـل فـی القسـم الأوّل، فَلِمَـا یتیمّـم به مراتـب 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التراب الخالص، ثمّ الرمل، ثمّ أخواه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احتمال مرتبة رابعة، وهی التیمّم علی الجسم المغبرّ الّذی لا یصدق علی التیمّم به التیمّم علی الغبار، بل علی المغبرّ، وهی متأخّرة عن التیمّم علی الطین، ولا ریب أنّ الأوّل من هذین مقدّم علی الطین، والثانی مؤخّر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6" w:name="pg13276_136903"/>
    </w:p>
    <w:p>
      <w:pPr>
        <w:pStyle w:val="Heading3"/>
        <w:numPr>
          <w:ilvl w:val="2"/>
          <w:numId w:val="1"/>
        </w:numPr>
        <w:rPr/>
      </w:pPr>
      <w:bookmarkStart w:id="877" w:name="__RefHeading___Toc1764184_2322387425"/>
      <w:bookmarkStart w:id="878" w:name="_Toc325"/>
      <w:bookmarkEnd w:id="876"/>
      <w:bookmarkEnd w:id="877"/>
      <w:r>
        <w:rPr>
          <w:rtl w:val="true"/>
        </w:rPr>
        <w:t>وظیفة من فقد الأرض والغبار والطین</w:t>
      </w:r>
      <w:bookmarkEnd w:id="878"/>
    </w:p>
    <w:p>
      <w:pPr>
        <w:pStyle w:val="BookText"/>
        <w:rPr/>
      </w:pPr>
      <w:r>
        <w:rPr>
          <w:rFonts w:ascii="Amiri" w:hAnsi="Amiri" w:eastAsia="Amiri" w:cs="Amiri"/>
          <w:color w:val="111111"/>
          <w:sz w:val="28"/>
          <w:sz w:val="28"/>
          <w:szCs w:val="28"/>
          <w:rtl w:val="true"/>
          <w:lang w:bidi="ar-SA"/>
        </w:rPr>
        <w:t>الاُولی</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مطلقاً</w:t>
      </w:r>
      <w:r>
        <w:rPr>
          <w:rStyle w:val="FootnoteAnchor"/>
          <w:rtl w:val="true"/>
        </w:rPr>
        <w:footnoteReference w:id="1183"/>
      </w:r>
      <w:r>
        <w:rPr>
          <w:rFonts w:ascii="IRNazanin" w:hAnsi="IRNazanin" w:eastAsia="IRNazanin"/>
          <w:color w:val="111111"/>
          <w:sz w:val="28"/>
          <w:sz w:val="28"/>
          <w:szCs w:val="28"/>
          <w:rtl w:val="true"/>
          <w:lang w:bidi="fa-IR"/>
        </w:rPr>
        <w:t>غیر المعادن،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ومـع فقد الجمیع</w:t>
      </w:r>
      <w:r>
        <w:rPr>
          <w:rStyle w:val="FootnoteAnchor"/>
          <w:rtl w:val="true"/>
        </w:rPr>
        <w:footnoteReference w:id="1185"/>
      </w:r>
      <w:r>
        <w:rPr>
          <w:rFonts w:ascii="IRNazanin" w:hAnsi="IRNazanin" w:eastAsia="IRNazanin"/>
          <w:color w:val="111111"/>
          <w:sz w:val="28"/>
          <w:sz w:val="28"/>
          <w:szCs w:val="28"/>
          <w:rtl w:val="true"/>
          <w:lang w:bidi="fa-IR"/>
        </w:rPr>
        <w:t>یکون فاقد الطَهورین، والأقوی</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للأقوائیة مع التعلیل الوارد فی الصحیح؛ فإنّه علیه‌السلام علّل حکمه بعدم ترک الصلاة بحال، بقول النبی صلی‌الله‌علیه‌و‌آله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المستحاضة،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سقوط الأداء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إتیان الصلاة فاقدا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والقضاء، وعدم وجوب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القضاء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عبداللّه الشیرازی، المرعشی، الآملی، 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الأداء أیضاً،</w:t>
      </w:r>
    </w:p>
    <w:p>
      <w:pPr>
        <w:pStyle w:val="Heading3"/>
        <w:numPr>
          <w:ilvl w:val="2"/>
          <w:numId w:val="1"/>
        </w:numPr>
        <w:rPr/>
      </w:pPr>
      <w:bookmarkStart w:id="879" w:name="__RefHeading___Toc1764186_2322387425"/>
      <w:bookmarkStart w:id="880" w:name="_Toc326"/>
      <w:bookmarkEnd w:id="879"/>
      <w:r>
        <w:rPr>
          <w:rtl w:val="true"/>
        </w:rPr>
        <w:t>حکم التیمّم بالثلج</w:t>
      </w:r>
      <w:bookmarkEnd w:id="88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w:t>
      </w:r>
    </w:p>
    <w:p>
      <w:pPr>
        <w:pStyle w:val="BookText"/>
        <w:rPr/>
      </w:pPr>
      <w:r>
        <w:rPr>
          <w:rFonts w:ascii="IRNazanin" w:hAnsi="IRNazanin" w:eastAsia="IRNazanin"/>
          <w:color w:val="111111"/>
          <w:sz w:val="28"/>
          <w:sz w:val="28"/>
          <w:szCs w:val="28"/>
          <w:rtl w:val="true"/>
          <w:lang w:bidi="fa-IR"/>
        </w:rPr>
        <w:t>وجد فاقِدُ الطهورین ثلجاً أو جمداً قال بعض العلماء بوجوب</w:t>
      </w:r>
      <w:r>
        <w:rPr>
          <w:rStyle w:val="FootnoteAnchor"/>
          <w:rtl w:val="true"/>
        </w:rPr>
        <w:footnoteReference w:id="1187"/>
      </w:r>
      <w:r>
        <w:rPr>
          <w:rFonts w:ascii="IRNazanin" w:hAnsi="IRNazanin" w:eastAsia="IRNazanin"/>
          <w:color w:val="111111"/>
          <w:sz w:val="28"/>
          <w:sz w:val="28"/>
          <w:szCs w:val="28"/>
          <w:rtl w:val="true"/>
          <w:lang w:bidi="fa-IR"/>
        </w:rPr>
        <w:t>مسحه علی أعضاء الوضوء أو الغسل وإن لم یجرِ</w:t>
      </w:r>
      <w:r>
        <w:rPr>
          <w:rStyle w:val="FootnoteAnchor"/>
          <w:rtl w:val="true"/>
        </w:rPr>
        <w:footnoteReference w:id="1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کان کالتدهین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ومع عدم إمکانه حُکِمَ بوجوب التیمّم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ومراعاة هذا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بالجمع بین التیمّم به والدَلک مع إمکانه، وعدم لزوم أو حرج لا یتحمّل عادة، ضرر وإلاّ فیتیمّم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أوّل مرتبة من الغسل یجب، وإلاّ فلا دلیل علیه، بل ولا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القسم الأوّل مع إمکانه، ولیکن علی وجهٍ تتندّی به الأعضاء کالدُهن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لمراعاة التیمّم به، نعم، المسح به علی أعضاء الوضوء والغسل علی وجهٍ تصیر ندیّة له وجه،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المسح علی الأعضاء إن أمکن بحیث تحصل لها النداوة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إن کان بنحو یبلّ المحلّ ولو بنحو التدهین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مراعاة هذا الاحتیاط، وإذا راعاه فلابدّ من قضاء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أمکن استعمال الثلج بإمراره علی مواضع الغسل من الوضوء بنحو یجری الماء علی الأعضاء یتعیّن ذلک، ویکون مقدّماً علی التیمّم بمراتبه الثلاث إذا لم یکن حرجیاً، وإلاّ فیتخیّر بینه وبین التیمّم بما له من المراتب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جمع بین التیمّم بالتراب والتیمّم بالثلج، ولکنّ هذا الاحتیاط لیس بواجب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غیر 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فالأقوی لفاقد</w:t>
      </w:r>
      <w:bookmarkStart w:id="881" w:name="pg13276_136905"/>
    </w:p>
    <w:p>
      <w:pPr>
        <w:pStyle w:val="BookText"/>
        <w:rPr/>
      </w:pPr>
      <w:bookmarkEnd w:id="881"/>
      <w:r>
        <w:rPr>
          <w:rFonts w:ascii="IRNazanin" w:hAnsi="IRNazanin" w:eastAsia="IRNazanin"/>
          <w:color w:val="111111"/>
          <w:sz w:val="28"/>
          <w:sz w:val="28"/>
          <w:szCs w:val="28"/>
          <w:rtl w:val="true"/>
          <w:lang w:bidi="fa-IR"/>
        </w:rPr>
        <w:t>الطهورین کفایة القضاء</w:t>
      </w:r>
      <w:r>
        <w:rPr>
          <w:rStyle w:val="FootnoteAnchor"/>
          <w:rtl w:val="true"/>
        </w:rPr>
        <w:footnoteReference w:id="1189"/>
      </w:r>
      <w:r>
        <w:rPr>
          <w:rFonts w:ascii="IRNazanin" w:hAnsi="IRNazanin" w:eastAsia="IRNazanin"/>
          <w:color w:val="111111"/>
          <w:sz w:val="28"/>
          <w:sz w:val="28"/>
          <w:szCs w:val="28"/>
          <w:rtl w:val="true"/>
          <w:lang w:bidi="fa-IR"/>
        </w:rPr>
        <w:t>، والأحوط ضمّ الأداء</w:t>
      </w:r>
      <w:r>
        <w:rPr>
          <w:rStyle w:val="FootnoteAnchor"/>
          <w:rtl w:val="true"/>
        </w:rPr>
        <w:footnoteReference w:id="1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جواز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Heading3"/>
        <w:numPr>
          <w:ilvl w:val="2"/>
          <w:numId w:val="1"/>
        </w:numPr>
        <w:rPr/>
      </w:pPr>
      <w:bookmarkStart w:id="882" w:name="__RefHeading___Toc1764188_2322387425"/>
      <w:bookmarkStart w:id="883" w:name="_Toc327"/>
      <w:bookmarkEnd w:id="882"/>
      <w:r>
        <w:rPr>
          <w:rtl w:val="true"/>
        </w:rPr>
        <w:t>تعین الطهارة المائیة لو أمکن إذابة الثلج</w:t>
      </w:r>
      <w:bookmarkEnd w:id="883"/>
    </w:p>
    <w:p>
      <w:pPr>
        <w:pStyle w:val="BookText"/>
        <w:rPr/>
      </w:pPr>
      <w:r>
        <w:rPr>
          <w:rFonts w:ascii="IRNazanin" w:hAnsi="IRNazanin" w:eastAsia="IRNazanin"/>
          <w:color w:val="111111"/>
          <w:sz w:val="28"/>
          <w:sz w:val="28"/>
          <w:szCs w:val="28"/>
          <w:rtl w:val="true"/>
          <w:lang w:bidi="fa-IR"/>
        </w:rPr>
        <w:t>وأحوط</w:t>
      </w:r>
      <w:r>
        <w:rPr>
          <w:rStyle w:val="FootnoteAnchor"/>
          <w:rtl w:val="true"/>
        </w:rPr>
        <w:footnoteReference w:id="1191"/>
      </w:r>
      <w:r>
        <w:rPr>
          <w:rFonts w:ascii="IRNazanin" w:hAnsi="IRNazanin" w:eastAsia="IRNazanin"/>
          <w:color w:val="111111"/>
          <w:sz w:val="28"/>
          <w:sz w:val="28"/>
          <w:szCs w:val="28"/>
          <w:rtl w:val="true"/>
          <w:lang w:bidi="fa-IR"/>
        </w:rPr>
        <w:t>من ذلک مع وجود الثلج المسح به</w:t>
      </w:r>
      <w:r>
        <w:rPr>
          <w:rStyle w:val="FootnoteAnchor"/>
          <w:rtl w:val="true"/>
        </w:rPr>
        <w:footnoteReference w:id="1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بذلک، ویکون مهما أمکن بنحوٍ تتندّی به البشرة ولو کالدهن، وهکذا الأمر فی الجَمد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یمکن إذابة الثلج أو مسحه علی وجهٍ یجری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أقلّ مراتب الجریان وحصول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کونه علی وجه یصدق معه الغسل، والأظهر عدم توقّفه إلاّ علی استیلاء الماء دون الجری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تعیّن الوضوء أو الغسل، ولا یجوز معه</w:t>
      </w:r>
      <w:bookmarkStart w:id="884" w:name="pg13276_136906"/>
    </w:p>
    <w:p>
      <w:pPr>
        <w:pStyle w:val="BookText"/>
        <w:rPr/>
      </w:pPr>
      <w:bookmarkEnd w:id="884"/>
      <w:r>
        <w:rPr>
          <w:rFonts w:ascii="Amiri" w:hAnsi="Amiri" w:eastAsia="Amiri" w:cs="Amiri"/>
          <w:color w:val="111111"/>
          <w:sz w:val="28"/>
          <w:sz w:val="28"/>
          <w:szCs w:val="28"/>
          <w:rtl w:val="true"/>
          <w:lang w:bidi="ar-SA"/>
        </w:rPr>
        <w:t>التیمّم أیضاً</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1764190_2322387425"/>
      <w:bookmarkStart w:id="886" w:name="_Toc328"/>
      <w:bookmarkEnd w:id="885"/>
      <w:r>
        <w:rPr>
          <w:rtl w:val="true"/>
        </w:rPr>
        <w:t>الأحوط الترتیب بین أنواع الأرض بحسب الإمکان</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ـ کما عرفت ـ جواز التیمّم بمطلق وجه الأرض، إلاّ أنّ الأحوط</w:t>
      </w:r>
      <w:r>
        <w:rPr>
          <w:rStyle w:val="FootnoteAnchor"/>
          <w:rtl w:val="true"/>
        </w:rPr>
        <w:footnoteReference w:id="1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أنّه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وجود التراب عدم التعدّی عنه، من غیر فرق فیه بین أقسامه من الأبیض والأسود والأصفر والأحمر، کما لافرق فی الحجر والمدر أیضاً بین أقسامهما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 فقد التراب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المدر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حینئذٍ الجمع بین التیمّم بالأوّلین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الطین الیابس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الرمل دقیقا بحیث یصدق علیه اسم التراب، وإلاّ فالأحوط تقدیم المدر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الحجر</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الرماد، والأقوی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الجواز فیما عدا الرماد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لایجوز التیمّم علی الرماد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الجواز بالطین المطبوخ کالآجرّ لا یخلو من وجه،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الجواز فیها جمیعا، إلاّ فی رماد غیر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الجواز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لایجوز فی الرماد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 الاختیار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لایجوز بالرماد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الرماد، وفیه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الرماد،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الجواز، کما تقدّم، إلاّ بالرماد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جوازه فی غیر الرماد، وأمّا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رماد الحطب ونحوه فلا یتیمّم به وإن فقد ما یتیمّم به، وإن کان رماد الأرض فیحتاط بعدم التیمّم به فی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 عدم وجود وجه الأرض یحتاط بالجمع بین التیمّم به والتیمّم بالمرتبة المتأخرة، ومع عدمها الأحوط التیمّم به والصلاة أداءً، ولایجب علیه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التیمّم علی الجصّ</w:t>
      </w:r>
      <w:bookmarkStart w:id="887" w:name="pg13276_136908"/>
    </w:p>
    <w:p>
      <w:pPr>
        <w:pStyle w:val="BookText"/>
        <w:rPr/>
      </w:pPr>
      <w:bookmarkEnd w:id="887"/>
      <w:r>
        <w:rPr>
          <w:rFonts w:ascii="IRNazanin" w:hAnsi="IRNazanin" w:eastAsia="IRNazanin"/>
          <w:color w:val="111111"/>
          <w:sz w:val="28"/>
          <w:sz w:val="28"/>
          <w:szCs w:val="28"/>
          <w:rtl w:val="true"/>
          <w:lang w:bidi="fa-IR"/>
        </w:rPr>
        <w:t>المطبوخ والآجرّ والخزف</w:t>
      </w:r>
      <w:r>
        <w:rPr>
          <w:rStyle w:val="FootnoteAnchor"/>
          <w:rtl w:val="true"/>
        </w:rPr>
        <w:footnoteReference w:id="1196"/>
      </w:r>
      <w:r>
        <w:rPr>
          <w:rFonts w:ascii="IRNazanin" w:hAnsi="IRNazanin" w:eastAsia="IRNazanin"/>
          <w:color w:val="111111"/>
          <w:sz w:val="28"/>
          <w:sz w:val="28"/>
          <w:szCs w:val="28"/>
          <w:rtl w:val="true"/>
          <w:lang w:bidi="fa-IR"/>
        </w:rPr>
        <w:t>والرماد، وإن کان من الأرض</w:t>
      </w:r>
      <w:r>
        <w:rPr>
          <w:rStyle w:val="FootnoteAnchor"/>
          <w:rtl w:val="true"/>
        </w:rPr>
        <w:footnoteReference w:id="1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من العود والشجر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حال الضرورة ـ بمعنی عدم وجدان التراب والمدر والحجر ـ الأحوط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التیمّم بأحد المذکورات، ماعدا رماد الحطب ونحوه، وبالمرتبة المتأخّرة من الغبار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الطین، ومع عدم الغبار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والطین الأحوط التیمّم بأحد المذکورات والصلاة، ثمّ إعادتها أو قضاوءها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1764192_2322387425"/>
      <w:bookmarkStart w:id="889" w:name="_Toc329"/>
      <w:bookmarkEnd w:id="888"/>
      <w:r>
        <w:rPr>
          <w:rtl w:val="true"/>
        </w:rPr>
        <w:t>من لا یجد الاّ الجص المطبوخ أو الآجر أو الخزف أو الرماد</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1198"/>
      </w:r>
      <w:r>
        <w:rPr>
          <w:rFonts w:ascii="Amiri" w:hAnsi="Amiri" w:eastAsia="Amiri" w:cs="Amiri"/>
          <w:color w:val="111111"/>
          <w:sz w:val="28"/>
          <w:sz w:val="28"/>
          <w:szCs w:val="28"/>
          <w:rtl w:val="true"/>
          <w:lang w:bidi="ar-SA"/>
        </w:rPr>
        <w:t>التیمّم</w:t>
      </w:r>
      <w:r>
        <w:rPr>
          <w:rStyle w:val="FootnoteAnchor"/>
          <w:rtl w:val="true"/>
        </w:rPr>
        <w:footnoteReference w:id="1199"/>
      </w:r>
      <w:r>
        <w:rPr>
          <w:rFonts w:ascii="IRNazanin" w:hAnsi="IRNazanin" w:eastAsia="IRNazanin"/>
          <w:color w:val="111111"/>
          <w:sz w:val="28"/>
          <w:sz w:val="28"/>
          <w:szCs w:val="28"/>
          <w:rtl w:val="true"/>
          <w:lang w:bidi="fa-IR"/>
        </w:rPr>
        <w:t>حال الاختیار</w:t>
      </w:r>
      <w:r>
        <w:rPr>
          <w:rStyle w:val="FootnoteAnchor"/>
          <w:rtl w:val="true"/>
        </w:rPr>
        <w:footnoteReference w:id="1200"/>
      </w:r>
      <w:r>
        <w:rPr>
          <w:rFonts w:ascii="IRNazanin" w:hAnsi="IRNazanin" w:eastAsia="IRNazanin"/>
          <w:color w:val="111111"/>
          <w:sz w:val="28"/>
          <w:sz w:val="28"/>
          <w:szCs w:val="28"/>
          <w:rtl w:val="true"/>
          <w:lang w:bidi="fa-IR"/>
        </w:rPr>
        <w:t>علی الحائط</w:t>
      </w:r>
      <w:r>
        <w:rPr>
          <w:rStyle w:val="FootnoteAnchor"/>
          <w:rtl w:val="true"/>
        </w:rPr>
        <w:footnoteReference w:id="1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المبنیّ بالطین واللبن والآجرّ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الجواز به، فلا یعتبر الطَلی، وإن کان الاحتیاط لاینبغی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890" w:name="pg13276_136909"/>
    </w:p>
    <w:p>
      <w:pPr>
        <w:pStyle w:val="BookText"/>
        <w:rPr/>
      </w:pPr>
      <w:bookmarkEnd w:id="890"/>
      <w:r>
        <w:rPr>
          <w:rFonts w:ascii="Amiri" w:hAnsi="Amiri" w:eastAsia="Amiri" w:cs="Amiri"/>
          <w:color w:val="111111"/>
          <w:sz w:val="28"/>
          <w:sz w:val="28"/>
          <w:szCs w:val="28"/>
          <w:rtl w:val="true"/>
          <w:lang w:bidi="ar-SA"/>
        </w:rPr>
        <w:t>طُلِیَ بالطین</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1764194_2322387425"/>
      <w:bookmarkStart w:id="892" w:name="_Toc330"/>
      <w:bookmarkEnd w:id="891"/>
      <w:r>
        <w:rPr>
          <w:rtl w:val="true"/>
        </w:rPr>
        <w:t>جواز التیمّم علی الحائظ من الطین ونحوه مما لا یخرج عن اسم الأرض</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بطین الرأس</w:t>
      </w:r>
      <w:r>
        <w:rPr>
          <w:rStyle w:val="FootnoteAnchor"/>
          <w:rtl w:val="true"/>
        </w:rPr>
        <w:footnoteReference w:id="1203"/>
      </w:r>
      <w:r>
        <w:rPr>
          <w:rFonts w:ascii="Amiri" w:hAnsi="Amiri" w:eastAsia="Amiri" w:cs="Amiri"/>
          <w:color w:val="111111"/>
          <w:sz w:val="28"/>
          <w:sz w:val="28"/>
          <w:szCs w:val="28"/>
          <w:rtl w:val="true"/>
          <w:lang w:bidi="ar-SA"/>
        </w:rPr>
        <w:t>وإن لم یُسحَق، وکذا بحجر الرَحی</w:t>
      </w:r>
      <w:r>
        <w:rPr>
          <w:rStyle w:val="FootnoteAnchor"/>
          <w:rtl w:val="true"/>
        </w:rPr>
        <w:footnoteReference w:id="1204"/>
      </w:r>
      <w:r>
        <w:rPr>
          <w:rFonts w:ascii="IRNazanin" w:hAnsi="IRNazanin" w:eastAsia="IRNazanin"/>
          <w:color w:val="111111"/>
          <w:sz w:val="28"/>
          <w:sz w:val="28"/>
          <w:szCs w:val="28"/>
          <w:rtl w:val="true"/>
          <w:lang w:bidi="fa-IR"/>
        </w:rPr>
        <w:t>وحجر النار وحجر السنّ</w:t>
      </w:r>
      <w:r>
        <w:rPr>
          <w:rStyle w:val="FootnoteAnchor"/>
          <w:rtl w:val="true"/>
        </w:rPr>
        <w:footnoteReference w:id="1205"/>
      </w:r>
      <w:r>
        <w:rPr>
          <w:rFonts w:ascii="IRNazanin" w:hAnsi="IRNazanin" w:eastAsia="IRNazanin"/>
          <w:color w:val="111111"/>
          <w:sz w:val="28"/>
          <w:sz w:val="28"/>
          <w:szCs w:val="28"/>
          <w:rtl w:val="true"/>
          <w:lang w:bidi="fa-IR"/>
        </w:rPr>
        <w:t>ونحو ذلک؛ لعدم کونها من المعادن</w:t>
      </w:r>
      <w:r>
        <w:rPr>
          <w:rStyle w:val="FootnoteAnchor"/>
          <w:rtl w:val="true"/>
        </w:rPr>
        <w:footnoteReference w:id="1206"/>
      </w:r>
      <w:r>
        <w:rPr>
          <w:rFonts w:ascii="IRNazanin" w:hAnsi="IRNazanin" w:eastAsia="IRNazanin"/>
          <w:color w:val="111111"/>
          <w:sz w:val="28"/>
          <w:sz w:val="28"/>
          <w:szCs w:val="28"/>
          <w:rtl w:val="true"/>
          <w:lang w:bidi="fa-IR"/>
        </w:rPr>
        <w:t>الخارجة عن صدق الأرض، وکذا یجوز التیمّم بطین الأرمنیّ</w:t>
      </w:r>
      <w:r>
        <w:rPr>
          <w:rStyle w:val="FootnoteAnchor"/>
          <w:rtl w:val="true"/>
        </w:rPr>
        <w:footnoteReference w:id="1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معدن، وعلیه فیشکل التیمّم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بعض أقسام طین الرأس ممّا کثرت دهنیّته ولونه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اجتناب الطین الأرمنی، إلاّ مع الانحصار به، فیتیمّم به ویصلّی، ثمّ یقضی الصلاة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مثله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Heading3"/>
        <w:numPr>
          <w:ilvl w:val="2"/>
          <w:numId w:val="1"/>
        </w:numPr>
        <w:rPr/>
      </w:pPr>
      <w:bookmarkStart w:id="893" w:name="__RefHeading___Toc1764196_2322387425"/>
      <w:bookmarkStart w:id="894" w:name="_Toc331"/>
      <w:bookmarkEnd w:id="893"/>
      <w:r>
        <w:rPr>
          <w:rtl w:val="true"/>
        </w:rPr>
        <w:t>وجوب إزالة ما لصق بالید من الطین عند التیمّم</w:t>
      </w:r>
      <w:bookmarkEnd w:id="89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w:t>
      </w:r>
      <w:r>
        <w:rPr>
          <w:rStyle w:val="FootnoteAnchor"/>
          <w:rtl w:val="true"/>
        </w:rPr>
        <w:footnoteReference w:id="1208"/>
      </w:r>
      <w:r>
        <w:rPr>
          <w:rFonts w:ascii="IRNazanin" w:hAnsi="IRNazanin" w:eastAsia="IRNazanin"/>
          <w:color w:val="111111"/>
          <w:sz w:val="28"/>
          <w:sz w:val="28"/>
          <w:szCs w:val="28"/>
          <w:rtl w:val="true"/>
          <w:lang w:bidi="fa-IR"/>
        </w:rPr>
        <w:t>علی الأرض السبخة إذا صدق کونها أرضاً بأن لم یکن علاها الملح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بالطین فلصق بیده یجب إزالته</w:t>
      </w:r>
      <w:r>
        <w:rPr>
          <w:rStyle w:val="FootnoteAnchor"/>
          <w:rtl w:val="true"/>
        </w:rPr>
        <w:footnoteReference w:id="1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إزالته تماماً وإن لم یکن بالغسل لایخلو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وجوبها غیر معلوم، نعم، الأحوط مع الإمکان مسح إحدی الیدین بالاُخری حتی تزول نداوته، أو الصبر علیه حتی ییبس، ثمّ یفرکه ویمسح به، وأمّا الغسل بالماء فالأقوی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یصدق معه المسح بالید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الوجوب أظهر، نعم، ینبغی أن یفرک الوحل کنفض التراب، وأمّا الإزالة بالغسل فغیر جائز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بالفرک ونحوه، ولکن یلزم علوق شیء منه علی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والأحوط مع الإمکان الصبر إلی أن یجفّ ثمّ یفرکه و یمسح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الجملة، لا تماما بالمرّة، ولو کان بغیر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إزالته غیر معلوم، نعم، إذا أمکن فرکه بالید أو الصبر علیه حتی یجفّ ویکون تراباً فیتیمّم به وجب ذلک، أمّا إزالته بالغسل فالظاهر عدم جوازها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إزالته تماما وإن لم یکن بالغسل 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بمسح إحدی الیدین بالاُخری حتی یزول الطین، أو الصبر علیه حتی ییبس، ثمّ ینفضه عن الید إذا لم یلزم فوات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إزالة شیءٍ منه، إلاّ ما یتوقّف علی إزالته صدق المسح بالید، ولایبعد عدم جواز إزالة جمیعه بحیث لا یعلق شیء منه بها، ومنه یظهر حکم الإزالة بالغسل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تستحب کاستحباب النفض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895" w:name="pg13276_136911"/>
    </w:p>
    <w:p>
      <w:pPr>
        <w:pStyle w:val="BookText"/>
        <w:rPr/>
      </w:pPr>
      <w:bookmarkEnd w:id="895"/>
      <w:r>
        <w:rPr>
          <w:rFonts w:ascii="Amiri" w:hAnsi="Amiri" w:eastAsia="Amiri" w:cs="Amiri"/>
          <w:color w:val="111111"/>
          <w:sz w:val="28"/>
          <w:sz w:val="28"/>
          <w:szCs w:val="28"/>
          <w:rtl w:val="true"/>
          <w:lang w:bidi="ar-SA"/>
        </w:rPr>
        <w:t xml:space="preserve">أوّلاً </w:t>
      </w:r>
      <w:r>
        <w:rPr>
          <w:rStyle w:val="FootnoteAnchor"/>
          <w:rtl w:val="true"/>
        </w:rPr>
        <w:footnoteReference w:id="1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عدم جواز الإزالة تماماً ولو بغیر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کثیرا حائلاً،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المسح بها، وفی جواز إزالته بالغسل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المنع 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یختلج بالبال أنّه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الجواز لا یخلو من قوة، ومنشأ الإشکال اُمور استحسانیة لا یعتمد علیها، والماتن أفتی بوجوب الإزالة فی المقام، واحتاط فی مسألة السجود بإزالة الطین اللاصق بالجبهة فی السجدة الاُولی بالنسبة إلی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1764198_2322387425"/>
      <w:bookmarkStart w:id="897" w:name="_Toc332"/>
      <w:bookmarkEnd w:id="896"/>
      <w:r>
        <w:rPr>
          <w:rtl w:val="true"/>
        </w:rPr>
        <w:t>حکم التیمّم بالتراب الممزوج بغیره</w:t>
      </w:r>
      <w:bookmarkEnd w:id="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w:t>
      </w:r>
      <w:r>
        <w:rPr>
          <w:rStyle w:val="FootnoteAnchor"/>
          <w:rtl w:val="true"/>
        </w:rPr>
        <w:footnoteReference w:id="1211"/>
      </w:r>
      <w:r>
        <w:rPr>
          <w:rFonts w:ascii="IRNazanin" w:hAnsi="IRNazanin" w:eastAsia="IRNazanin"/>
          <w:color w:val="111111"/>
          <w:sz w:val="28"/>
          <w:sz w:val="28"/>
          <w:szCs w:val="28"/>
          <w:rtl w:val="true"/>
          <w:lang w:bidi="fa-IR"/>
        </w:rPr>
        <w:t>علی التراب الممزوج بغیره من التِبْن أو الرماد أو نحو ذلک، وکذا علی الطین الممزوج بالتِبن، فیشترط فیما یتیمّم به عدم کونه مخلوطاً بما لایجوز التیمّم به، إلاّ إذا کان ذلک الغیر مستهلکاً</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إلاّ الثلج أو الجَمد وأمکن إذابته وجب کما مرّ، کما أ نّه إذا لم یکن إلاّ الطین وأمکنه تجفیفه وجب</w:t>
      </w:r>
      <w:r>
        <w:rPr>
          <w:rFonts w:eastAsia="IRNazanin" w:cs="IRNazanin"/>
          <w:color w:val="111111"/>
          <w:sz w:val="28"/>
          <w:szCs w:val="28"/>
          <w:rtl w:val="true"/>
          <w:lang w:bidi="fa-IR"/>
        </w:rPr>
        <w:t xml:space="preserve">. </w:t>
      </w:r>
      <w:bookmarkStart w:id="898" w:name="pg13276_136912"/>
    </w:p>
    <w:p>
      <w:pPr>
        <w:pStyle w:val="Heading3"/>
        <w:numPr>
          <w:ilvl w:val="2"/>
          <w:numId w:val="1"/>
        </w:numPr>
        <w:rPr/>
      </w:pPr>
      <w:bookmarkStart w:id="899" w:name="__RefHeading___Toc1764200_2322387425"/>
      <w:bookmarkStart w:id="900" w:name="_Toc333"/>
      <w:bookmarkEnd w:id="898"/>
      <w:bookmarkEnd w:id="899"/>
      <w:r>
        <w:rPr>
          <w:rtl w:val="true"/>
        </w:rPr>
        <w:t>وجوب شراء ما یتیمّم به</w:t>
      </w:r>
      <w:bookmarkEnd w:id="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ما یتیمّم به وجب تحصیله</w:t>
      </w:r>
      <w:r>
        <w:rPr>
          <w:rStyle w:val="FootnoteAnchor"/>
          <w:rtl w:val="true"/>
        </w:rPr>
        <w:footnoteReference w:id="1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یکن حرجیّاً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بالشرط المذکور فی ماء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بالشراء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یوجب ذلک له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إذاکان وظیفته التیمّم بالغبار یقدَّم</w:t>
      </w:r>
      <w:r>
        <w:rPr>
          <w:rStyle w:val="FootnoteAnchor"/>
          <w:rtl w:val="true"/>
        </w:rPr>
        <w:footnoteReference w:id="1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غباره أزید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السبزواری، حسن القمی،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 أوّل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لاینبغی ترکه،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أنّه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1764202_2322387425"/>
      <w:bookmarkStart w:id="902" w:name="_Toc334"/>
      <w:bookmarkEnd w:id="901"/>
      <w:r>
        <w:rPr>
          <w:rtl w:val="true"/>
        </w:rPr>
        <w:t>حکم التیمّم علی الأرض الندیّة</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التیمّم اختیاراً علی الأرض النَدِیّة</w:t>
      </w:r>
      <w:r>
        <w:rPr>
          <w:rStyle w:val="FootnoteAnchor"/>
          <w:rtl w:val="true"/>
        </w:rPr>
        <w:footnoteReference w:id="1215"/>
      </w:r>
      <w:r>
        <w:rPr>
          <w:rFonts w:ascii="IRNazanin" w:hAnsi="IRNazanin" w:eastAsia="IRNazanin"/>
          <w:color w:val="111111"/>
          <w:sz w:val="28"/>
          <w:sz w:val="28"/>
          <w:szCs w:val="28"/>
          <w:rtl w:val="true"/>
          <w:lang w:bidi="fa-IR"/>
        </w:rPr>
        <w:t>والتراب الندیّ</w:t>
      </w:r>
      <w:r>
        <w:rPr>
          <w:rStyle w:val="FootnoteAnchor"/>
          <w:rtl w:val="true"/>
        </w:rPr>
        <w:footnoteReference w:id="1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والصخر إذا کان له رطوبة ولو مسریة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والرمل والحجر کذلک وإن کانت نداوتها مسریة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bookmarkStart w:id="903" w:name="pg13276_136913"/>
    </w:p>
    <w:p>
      <w:pPr>
        <w:pStyle w:val="BookText"/>
        <w:rPr/>
      </w:pPr>
      <w:bookmarkEnd w:id="903"/>
      <w:r>
        <w:rPr>
          <w:rFonts w:ascii="IRNazanin" w:hAnsi="IRNazanin" w:eastAsia="IRNazanin"/>
          <w:color w:val="111111"/>
          <w:sz w:val="28"/>
          <w:sz w:val="28"/>
          <w:szCs w:val="28"/>
          <w:rtl w:val="true"/>
          <w:lang w:bidi="fa-IR"/>
        </w:rPr>
        <w:t>الأحوط</w:t>
      </w:r>
      <w:r>
        <w:rPr>
          <w:rStyle w:val="FootnoteAnchor"/>
          <w:rtl w:val="true"/>
        </w:rPr>
        <w:footnoteReference w:id="1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مستحبّ إذا لم تصل الندواة مرتبة الطین، وإن وصلت تقدّم الطین الیابس علی الندیّ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وجود الیابسة تقدیمها</w:t>
      </w:r>
      <w:r>
        <w:rPr>
          <w:rFonts w:eastAsia="IRNazanin" w:cs="IRNazanin"/>
          <w:color w:val="111111"/>
          <w:sz w:val="28"/>
          <w:szCs w:val="28"/>
          <w:rtl w:val="true"/>
          <w:lang w:bidi="fa-IR"/>
        </w:rPr>
        <w:t>.</w:t>
      </w:r>
    </w:p>
    <w:p>
      <w:pPr>
        <w:pStyle w:val="Heading3"/>
        <w:numPr>
          <w:ilvl w:val="2"/>
          <w:numId w:val="1"/>
        </w:numPr>
        <w:rPr/>
      </w:pPr>
      <w:bookmarkStart w:id="904" w:name="__RefHeading___Toc1764204_2322387425"/>
      <w:bookmarkStart w:id="905" w:name="_Toc335"/>
      <w:bookmarkEnd w:id="904"/>
      <w:r>
        <w:rPr>
          <w:rtl w:val="true"/>
        </w:rPr>
        <w:t>حکم التیمّم بما لا یصح التیمّم به جهلاً</w:t>
      </w:r>
      <w:bookmarkEnd w:id="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بما یعتقد جواز التیمّم به فبان خلافه بطل، وإن صلّی به بطلت، ووجبت الإعادة أو القضاء، وکذا لو اعتقد أ نّه من المرتبة المتقدّمة فبان أ نّه من المتأخّرة مع کون المتقدّمة وظیفته</w:t>
      </w:r>
      <w:r>
        <w:rPr>
          <w:rFonts w:eastAsia="IRNazanin" w:cs="IRNazanin"/>
          <w:color w:val="111111"/>
          <w:sz w:val="28"/>
          <w:szCs w:val="28"/>
          <w:rtl w:val="true"/>
          <w:lang w:bidi="fa-IR"/>
        </w:rPr>
        <w:t>.</w:t>
      </w:r>
    </w:p>
    <w:p>
      <w:pPr>
        <w:pStyle w:val="Heading3"/>
        <w:numPr>
          <w:ilvl w:val="2"/>
          <w:numId w:val="1"/>
        </w:numPr>
        <w:rPr/>
      </w:pPr>
      <w:bookmarkStart w:id="906" w:name="__RefHeading___Toc1764206_2322387425"/>
      <w:bookmarkStart w:id="907" w:name="_Toc336"/>
      <w:bookmarkEnd w:id="906"/>
      <w:r>
        <w:rPr>
          <w:rtl w:val="true"/>
        </w:rPr>
        <w:t>تحدید المراد من الطین</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w:t>
      </w:r>
      <w:r>
        <w:rPr>
          <w:rStyle w:val="FootnoteAnchor"/>
          <w:rtl w:val="true"/>
        </w:rPr>
        <w:footnoteReference w:id="1218"/>
      </w:r>
      <w:r>
        <w:rPr>
          <w:rFonts w:ascii="IRNazanin" w:hAnsi="IRNazanin" w:eastAsia="IRNazanin"/>
          <w:color w:val="111111"/>
          <w:sz w:val="28"/>
          <w:sz w:val="28"/>
          <w:szCs w:val="28"/>
          <w:rtl w:val="true"/>
          <w:lang w:bidi="fa-IR"/>
        </w:rPr>
        <w:t>فی الطین</w:t>
      </w:r>
      <w:r>
        <w:rPr>
          <w:rStyle w:val="FootnoteAnchor"/>
          <w:rtl w:val="true"/>
        </w:rPr>
        <w:footnoteReference w:id="1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للطین مراتب،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الوحل، وهو الطین الرقیق الذی یلصق بالید، وهو فی رتبة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من المرتبة الثالثة کونه علی وجهٍ یلصق بالید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فیه هو صدق الطین علیه عرفاً، فلا یتیمّم به مع وجود الیابس والندیّ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المناط هو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المناط ما یصدق علیه الطین عرفا، وهو أعمّ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عبّر بعضهم عنه بالوَحل، فمع عدم لصوقه یکون من المرتبة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ومع عدمهما یجمع بینه وبین الغبار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تقدیم الیابس والندیِّ</w:t>
      </w:r>
      <w:bookmarkStart w:id="908" w:name="pg13276_136914"/>
    </w:p>
    <w:p>
      <w:pPr>
        <w:pStyle w:val="BookText"/>
        <w:rPr/>
      </w:pPr>
      <w:bookmarkEnd w:id="908"/>
      <w:r>
        <w:rPr>
          <w:rFonts w:ascii="IRNazanin" w:hAnsi="IRNazanin" w:eastAsia="IRNazanin"/>
          <w:color w:val="111111"/>
          <w:sz w:val="28"/>
          <w:sz w:val="28"/>
          <w:szCs w:val="28"/>
          <w:rtl w:val="true"/>
          <w:lang w:bidi="fa-IR"/>
        </w:rPr>
        <w:t>علیه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9" w:name="__RefHeading___Toc1764208_2322387425"/>
      <w:bookmarkStart w:id="910" w:name="_Toc337"/>
      <w:bookmarkEnd w:id="909"/>
      <w:r>
        <w:rPr>
          <w:rtl w:val="true"/>
        </w:rPr>
        <w:t>فصل</w:t>
      </w:r>
      <w:r>
        <w:rPr>
          <w:rtl w:val="true"/>
        </w:rPr>
        <w:t xml:space="preserve">: </w:t>
      </w:r>
      <w:r>
        <w:rPr>
          <w:rtl w:val="true"/>
        </w:rPr>
        <w:t>فی شرائط ما یتیمّم به</w:t>
      </w:r>
      <w:bookmarkEnd w:id="910"/>
    </w:p>
    <w:p>
      <w:pPr>
        <w:pStyle w:val="Heading3"/>
        <w:numPr>
          <w:ilvl w:val="2"/>
          <w:numId w:val="1"/>
        </w:numPr>
        <w:rPr/>
      </w:pPr>
      <w:bookmarkStart w:id="911" w:name="__RefHeading___Toc1764210_2322387425"/>
      <w:bookmarkStart w:id="912" w:name="_Toc338"/>
      <w:bookmarkEnd w:id="911"/>
      <w:r>
        <w:rPr>
          <w:rtl w:val="true"/>
        </w:rPr>
        <w:t>اشتراط الطهارة والإطلاق والإباحة</w:t>
      </w:r>
      <w:bookmarkEnd w:id="912"/>
    </w:p>
    <w:p>
      <w:pPr>
        <w:pStyle w:val="BookText"/>
        <w:rPr/>
      </w:pPr>
      <w:r>
        <w:rPr>
          <w:rFonts w:ascii="IRNazanin" w:hAnsi="IRNazanin" w:eastAsia="IRNazanin"/>
          <w:color w:val="111111"/>
          <w:sz w:val="28"/>
          <w:sz w:val="28"/>
          <w:szCs w:val="28"/>
          <w:rtl w:val="true"/>
          <w:lang w:bidi="fa-IR"/>
        </w:rPr>
        <w:t>یشترط فیما یتیمّم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طاهراً</w:t>
      </w:r>
      <w:r>
        <w:rPr>
          <w:rStyle w:val="FootnoteAnchor"/>
          <w:rtl w:val="true"/>
        </w:rPr>
        <w:footnoteReference w:id="1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نظیفا عرفا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کان نجساً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الثوب ونحوه تأمّل، فلایُترک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الشیء المغبرّ، فمع وصول النوبة إلیه فالأحوط الجمع بین التیمّم به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جاهلاً بنجاسته أو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عنده من المرتبة المتقدّمة إلاّ النجس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ینتقل إلی اللاحقة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یکن من اللاحقة أیضاً إلاّ النجس کان فاقد الطَهورین، ویلحقه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خلطه</w:t>
      </w:r>
      <w:r>
        <w:rPr>
          <w:rStyle w:val="FootnoteAnchor"/>
          <w:rtl w:val="true"/>
        </w:rPr>
        <w:footnoteReference w:id="1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الاستهلاک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فی صورة صدق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الخلیط وما یتیمّم به کلیهما، وصورة استهلاک ما یتیمّم به فی الخلیط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لا یجوز التیمّم به،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إباحته و إباحة مکانه</w:t>
      </w:r>
      <w:r>
        <w:rPr>
          <w:rStyle w:val="FootnoteAnchor"/>
          <w:rtl w:val="true"/>
        </w:rPr>
        <w:footnoteReference w:id="1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الضرب علیه یُعدّ تصرّفاً فی مکانه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 الضرب عرفاً تصرّفاً فی ذلک المکان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التصرّف فی التراب تصرّفاً عرفیاً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الإباحة فی غیر ما یتیمّم به مبنیّ علی الاحتیاط الاستحبابی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والفضاء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بالنسبة إلیه فی بابَی الوضوء وغسل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حرکات الید الواقعة فی الفضاء تصرّفاً فی الفضاء عرفاً، کما مرّ فی 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یتیمّم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تعتبر إباحته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ومکان المتیمّم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اشتراط إباحة مکان المتیمّم نظر، بل منع، فلو جلس علی بساط مغصوب، مطروح علی أرض مباحة وضرب یدیه علی تراب مباح صحّ تیمّمه، فالمعتبر إباحة ما یتیمّم به، والفضاء الذی تقع أفعال المتیمّم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استلزم التیمّم تصرّفاً فیه، وإلاّ فلم یظهر له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إباحته لیست شرطاً فی صحّة التیمّم، کمکان المتوضّئ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إباحة الفضاء الذی یتیمّم فیه لاتعتبر إباحة مکان المتیمّم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لایشترط إباحة مکان المتیمّم، بل الفضاء الذی یتیمّم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اشتراط إباحة مکان المتیمّم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 التیمّم تصرّفاً فیه، وإلاّ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ظاهرا لاشتراط إباحة مکان المتیمّم، بل المعتبر إباحة الاُمور المتقدّمة علیه، یعنی ما یتیمّم به، ومکانه، والفضاء الذی تقع أفعال التیمّم فیه، وإن کان ما فی المتن مع التمکّن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تعتبر إباحة مقرّ المتیمّم مع عدم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نفس التیمّم تصرّفا فیه، وإلاّ فلا یشترط حتی مع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لایجب التیمّم معه، لکن لو عصی وتیمّم 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لاتعتبر إباحة موقفه، ولا الفضاء الذی یشغله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اشتراط إباحته، وإنّما تعتبر إباحة مکان نفس التیمّم، کما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الشرط هو أن لا یقع نفس التیمّم وأفعاله فی المکان المغصوب لا المتیمّم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التیمّم مستلزماً للتصرّف فیه،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تعتبر إباحة مکان المتیمّم بمعنی مقرّه وفضاء بدنه، فلو جلس فی مکان غصبیٍّ أو فضاءٍ کذلک ولکن أخرج یدیه إلی مکان مباح وتیمّم صحّ، وکذا صحّ إذا کان مکان بدنه غصباً، ولکنّ الفضاء کان مباحاً وجعل ما یصحّ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مثلاً فتیمّم، نعم، لو کان المکان أو الفضاء منحصراً بالمغصوب لا یکون مأموراً بالتیمّم، ویصیر فاقد الطهورین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الفضاء، وأمّا مکان المتیمّم فلا تعتبر إباحته إلاّ فی صورة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لاتعتبر إباحة مکان المتیمّم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اشتراط إباحة مکانه ومقرّه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تعتبر إباحة مکان المتیمّم إذا کان مکان التیمّم مباحاً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 بغصبیّة مکان المتیمّم، إلاّ مع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تعتبر إباحة مکان المتیمّم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بطلان التیمّم اذا کان محل ضرب الیدین ومکان الجبهة مباحاً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شرطیّة إباحة مکانه فی صحّة التیمّم، فلایبطل مع الغصبیة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مکان المتیمّم غصبیّاً لا یوجب بطلان التیمّم؛ إذ الترکیب انضمامی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الانحصار، وأمّا فی صورة عدمه فلا یعتبر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ضرب بیدیه علی أرضٍ یملکها لکنّه فی أرض الغیر بدون إذن صاحبها ومسح جبهته بیدیه علیها بطل التیمّم، فهذا یرجع إلی اشتراط إباحة مکان المتیمّم وفضائه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3" w:name="pg13276_136917"/>
      <w:bookmarkStart w:id="914" w:name="pg13276_136917"/>
      <w:bookmarkEnd w:id="914"/>
    </w:p>
    <w:p>
      <w:pPr>
        <w:pStyle w:val="Heading3"/>
        <w:numPr>
          <w:ilvl w:val="2"/>
          <w:numId w:val="1"/>
        </w:numPr>
        <w:rPr/>
      </w:pPr>
      <w:bookmarkStart w:id="915" w:name="pg13276_136917"/>
      <w:bookmarkStart w:id="916" w:name="__RefHeading___Toc1764212_2322387425"/>
      <w:bookmarkStart w:id="917" w:name="_Toc339"/>
      <w:bookmarkEnd w:id="915"/>
      <w:bookmarkEnd w:id="916"/>
      <w:r>
        <w:rPr>
          <w:rtl w:val="true"/>
        </w:rPr>
        <w:t>حکم التیمّم حال الجهل بالغصبیة أو نسیانها</w:t>
      </w:r>
      <w:bookmarkEnd w:id="917"/>
    </w:p>
    <w:p>
      <w:pPr>
        <w:pStyle w:val="BookText"/>
        <w:rPr/>
      </w:pPr>
      <w:r>
        <w:rPr>
          <w:rFonts w:ascii="IRNazanin" w:hAnsi="IRNazanin" w:eastAsia="IRNazanin"/>
          <w:color w:val="111111"/>
          <w:sz w:val="28"/>
          <w:sz w:val="28"/>
          <w:szCs w:val="28"/>
          <w:rtl w:val="true"/>
          <w:lang w:bidi="fa-IR"/>
        </w:rPr>
        <w:t>فیبطل</w:t>
      </w:r>
      <w:r>
        <w:rPr>
          <w:rStyle w:val="FootnoteAnchor"/>
          <w:rtl w:val="true"/>
        </w:rPr>
        <w:footnoteReference w:id="1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ما مرّ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غصبیّة أحد هذه مع العلم والعمد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w:t>
      </w:r>
      <w:bookmarkStart w:id="918" w:name="pg13276_136918"/>
    </w:p>
    <w:p>
      <w:pPr>
        <w:pStyle w:val="BookText"/>
        <w:rPr/>
      </w:pPr>
      <w:bookmarkEnd w:id="918"/>
      <w:r>
        <w:rPr>
          <w:rFonts w:ascii="IRNazanin" w:hAnsi="IRNazanin" w:eastAsia="IRNazanin"/>
          <w:color w:val="111111"/>
          <w:sz w:val="28"/>
          <w:sz w:val="28"/>
          <w:szCs w:val="28"/>
          <w:rtl w:val="true"/>
          <w:lang w:bidi="fa-IR"/>
        </w:rPr>
        <w:t>لایبطل</w:t>
      </w:r>
      <w:r>
        <w:rPr>
          <w:rStyle w:val="FootnoteAnchor"/>
          <w:rtl w:val="true"/>
        </w:rPr>
        <w:footnoteReference w:id="1225"/>
      </w:r>
      <w:r>
        <w:rPr>
          <w:rFonts w:ascii="IRNazanin" w:hAnsi="IRNazanin" w:eastAsia="IRNazanin"/>
          <w:color w:val="111111"/>
          <w:sz w:val="28"/>
          <w:sz w:val="28"/>
          <w:szCs w:val="28"/>
          <w:rtl w:val="true"/>
          <w:lang w:bidi="fa-IR"/>
        </w:rPr>
        <w:t>مع الجهل</w:t>
      </w:r>
      <w:r>
        <w:rPr>
          <w:rStyle w:val="FootnoteAnchor"/>
          <w:rtl w:val="true"/>
        </w:rPr>
        <w:footnoteReference w:id="1226"/>
      </w:r>
      <w:r>
        <w:rPr>
          <w:rFonts w:ascii="IRNazanin" w:hAnsi="IRNazanin" w:eastAsia="IRNazanin"/>
          <w:color w:val="111111"/>
          <w:sz w:val="28"/>
          <w:sz w:val="28"/>
          <w:szCs w:val="28"/>
          <w:rtl w:val="true"/>
          <w:lang w:bidi="fa-IR"/>
        </w:rPr>
        <w:t>أو النسیان</w:t>
      </w:r>
      <w:r>
        <w:rPr>
          <w:rStyle w:val="FootnoteAnchor"/>
          <w:rtl w:val="true"/>
        </w:rPr>
        <w:footnoteReference w:id="1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فرق بین العلم والجهل، فإذا بطل فی فرض العلم بطل مع الجهل أیضاً، وبذلک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البطلان فی صورة الجهل غیر الموجب لسقوط الحرمة واقعاً فی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النسیان من الغاصب لا یکون معذوراً، فیحکم بالبطلان، خصوصاً إذا کان الغاصب، تذکّر فلا یعتنی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تیمّم الغاصب مع کونه ناسیا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1764214_2322387425"/>
      <w:bookmarkStart w:id="920" w:name="_Toc340"/>
      <w:bookmarkEnd w:id="919"/>
      <w:r>
        <w:rPr>
          <w:rtl w:val="true"/>
        </w:rPr>
        <w:t>التیمّم بالتراب فی آنیة الذهب والفضة</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التراب أو نحوه فی آنیة الذهب أو الفضّة فتیمّم به مع العلم والعمد بطل</w:t>
      </w:r>
      <w:r>
        <w:rPr>
          <w:rStyle w:val="FootnoteAnchor"/>
          <w:rtl w:val="true"/>
        </w:rPr>
        <w:footnoteReference w:id="1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الثالثة عشرة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الجهل غیر الموجب لسقوط الحرمة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التیمّم بالضرب علی التراب فیهما یعدّ</w:t>
      </w:r>
      <w:bookmarkStart w:id="921" w:name="pg13276_136919"/>
    </w:p>
    <w:p>
      <w:pPr>
        <w:pStyle w:val="BookText"/>
        <w:rPr/>
      </w:pPr>
      <w:bookmarkEnd w:id="921"/>
      <w:r>
        <w:rPr>
          <w:rFonts w:ascii="Amiri" w:hAnsi="Amiri" w:eastAsia="Amiri" w:cs="Amiri"/>
          <w:color w:val="111111"/>
          <w:sz w:val="28"/>
          <w:sz w:val="28"/>
          <w:szCs w:val="28"/>
          <w:rtl w:val="true"/>
          <w:lang w:bidi="ar-SA"/>
        </w:rPr>
        <w:t>استعمالاً</w:t>
      </w:r>
      <w:r>
        <w:rPr>
          <w:rStyle w:val="FootnoteAnchor"/>
          <w:rtl w:val="true"/>
        </w:rPr>
        <w:footnoteReference w:id="1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التعلیل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صدق الاستعمال، وصدقه أیضا فی بعض فروضه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لهما عرفاً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لم تثبت حرمة جمیع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1764216_2322387425"/>
      <w:bookmarkStart w:id="923" w:name="_Toc341"/>
      <w:bookmarkEnd w:id="922"/>
      <w:r>
        <w:rPr>
          <w:rtl w:val="true"/>
        </w:rPr>
        <w:t>اشتباه التراب النجس بغیره والمباح بالمغصوب</w:t>
      </w:r>
      <w:bookmarkEnd w:id="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ترابان مثلاً أحدهما نجس</w:t>
      </w:r>
      <w:r>
        <w:rPr>
          <w:rStyle w:val="FootnoteAnchor"/>
          <w:rtl w:val="true"/>
        </w:rPr>
        <w:footnoteReference w:id="1230"/>
      </w:r>
      <w:r>
        <w:rPr>
          <w:rFonts w:ascii="Amiri" w:hAnsi="Amiri" w:eastAsia="Amiri" w:cs="Amiri"/>
          <w:color w:val="111111"/>
          <w:sz w:val="28"/>
          <w:sz w:val="28"/>
          <w:szCs w:val="28"/>
          <w:rtl w:val="true"/>
          <w:lang w:bidi="ar-SA"/>
        </w:rPr>
        <w:t>یتیمّم بهما</w:t>
      </w:r>
      <w:r>
        <w:rPr>
          <w:rStyle w:val="FootnoteAnchor"/>
          <w:rtl w:val="true"/>
        </w:rPr>
        <w:footnoteReference w:id="1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الانحصار، وعدم التمکّن من رفع الاشتباه علی الأحوط الأولی، کما أنّ الأحوط إزالة ما بقی من أثر التراب علی مواضع التیمّم قبل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إزالة الأثر عن مواضع التیمّم بعد الفراغ من التیمّم الأوّل علی الأقرب، ومن الثانی علی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ویزیل ما علق بأعضائه من التیمّم بالأوّل قبل التیمّم بالثانی، والأحوط أن یزیل ما علق بها من الثانی قبل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إزالة ما بقی من التراب قبل الشروع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إذا اشتبه التراب بغیره یتیمّم بهما، وأمّا إذا اشتبه المباح بالمغصوب اجتنب عنهما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 الانحصار انتقل إلی المرتبة اللاحقة، ومع فقدها یکون فاقد الطهورین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تعبّداً، أی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انحصر فی المغصوب المعیّن</w:t>
      </w:r>
      <w:r>
        <w:rPr>
          <w:rFonts w:eastAsia="IRNazanin" w:cs="IRNazanin"/>
          <w:color w:val="111111"/>
          <w:sz w:val="28"/>
          <w:szCs w:val="28"/>
          <w:rtl w:val="true"/>
          <w:lang w:bidi="fa-IR"/>
        </w:rPr>
        <w:t>.</w:t>
      </w:r>
      <w:bookmarkStart w:id="924" w:name="pg13276_136920"/>
    </w:p>
    <w:p>
      <w:pPr>
        <w:pStyle w:val="Heading3"/>
        <w:numPr>
          <w:ilvl w:val="2"/>
          <w:numId w:val="1"/>
        </w:numPr>
        <w:rPr/>
      </w:pPr>
      <w:bookmarkStart w:id="925" w:name="__RefHeading___Toc1764218_2322387425"/>
      <w:bookmarkStart w:id="926" w:name="_Toc342"/>
      <w:bookmarkEnd w:id="924"/>
      <w:bookmarkEnd w:id="925"/>
      <w:r>
        <w:rPr>
          <w:rtl w:val="true"/>
        </w:rPr>
        <w:t>العلم الإجمالی بغصبیة الماء أو التراب أو نجاسة أحدهما أو إضافته</w:t>
      </w:r>
      <w:bookmarkEnd w:id="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ماء وتراب</w:t>
      </w:r>
      <w:r>
        <w:rPr>
          <w:rStyle w:val="FootnoteAnchor"/>
          <w:rtl w:val="true"/>
        </w:rPr>
        <w:footnoteReference w:id="1232"/>
      </w:r>
      <w:r>
        <w:rPr>
          <w:rFonts w:ascii="IRNazanin" w:hAnsi="IRNazanin" w:eastAsia="IRNazanin"/>
          <w:color w:val="111111"/>
          <w:sz w:val="28"/>
          <w:sz w:val="28"/>
          <w:szCs w:val="28"/>
          <w:rtl w:val="true"/>
          <w:lang w:bidi="fa-IR"/>
        </w:rPr>
        <w:t>وعلم بغصبیة أحدهما لایجوز</w:t>
      </w:r>
      <w:r>
        <w:rPr>
          <w:rStyle w:val="FootnoteAnchor"/>
          <w:rtl w:val="true"/>
        </w:rPr>
        <w:footnoteReference w:id="1233"/>
      </w:r>
      <w:r>
        <w:rPr>
          <w:rFonts w:ascii="IRNazanin" w:hAnsi="IRNazanin" w:eastAsia="IRNazanin"/>
          <w:color w:val="111111"/>
          <w:sz w:val="28"/>
          <w:sz w:val="28"/>
          <w:szCs w:val="28"/>
          <w:rtl w:val="true"/>
          <w:lang w:bidi="fa-IR"/>
        </w:rPr>
        <w:t>الوضوء</w:t>
      </w:r>
      <w:r>
        <w:rPr>
          <w:rStyle w:val="FootnoteAnchor"/>
          <w:rtl w:val="true"/>
        </w:rPr>
        <w:footnoteReference w:id="1234"/>
      </w:r>
      <w:r>
        <w:rPr>
          <w:rFonts w:ascii="IRNazanin" w:hAnsi="IRNazanin" w:eastAsia="IRNazanin"/>
          <w:color w:val="111111"/>
          <w:sz w:val="28"/>
          <w:sz w:val="28"/>
          <w:szCs w:val="28"/>
          <w:rtl w:val="true"/>
          <w:lang w:bidi="fa-IR"/>
        </w:rPr>
        <w:t>، ولا التیمّم</w:t>
      </w:r>
      <w:r>
        <w:rPr>
          <w:rStyle w:val="FootnoteAnchor"/>
          <w:rtl w:val="true"/>
        </w:rPr>
        <w:footnoteReference w:id="1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وجوب الوضوء؛ لأنّه من دوران الأمر بین المحذورین فی کلٍّ من الوضوء والتیمّم، فیحکم بالتخییر، وإذا جاز الوضوء لم ینتقل الأمر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التراب مورد الابتلاء عرفا، من غیر جهة التیمّم به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الماء مسبوقا بالإباحة، أو الإذن من مالکه ولم یکن التراب محلاًّ للابتلاء من غیر جهة التیمّم فالظاهر صحّة الوضوء، وجواز الاکتفاء به، وکذلک مع العلم بنجاسة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التراب محلاًّ للابتلاء، أو لم یکن الماء مسبوقا بالإباحة فمع ذلک صحّة الوضوء لاتخلو من وجه، ومع العلم بالنجاسة فی هذا الفرض یتیمّم أوّلاً، ویمسح غباره عن الوجه والیدین، ثمّ یتوضّأ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صورة عدم ترتّب أثر آخر غیر جواز التیمّم علی التراب، فإنّه فی هذه الصورة یتوضّأ بالماء مع الانحصار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الانحصار یکون فاقد الطهورین، وأمّا لو علم نجاسة أحدهما أو کون أحدهما مضافاً یجب علیه مع الانحصار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الجمع</w:t>
      </w:r>
      <w:r>
        <w:rPr>
          <w:rStyle w:val="FootnoteAnchor"/>
          <w:rtl w:val="true"/>
        </w:rPr>
        <w:footnoteReference w:id="1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التیمّم علی الوضوء فی الصورة الاُولی وإزالة ما بقی من أثر التراب علی أعضائه قبل أن یتوضأ، کی لایعلم ببطلان تیمّمه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نجاسة محلّه، أو نجاسة ما یتیمّم به، وکی لایتبلی بنجاسة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نجاسة الماء أو نجاسة التراب، وإن کان ما ذکر من الوجه للحکم بتقدیم التیمّم لایخلو من مناقشة، إلاّ أنّه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صورة العلم بنجاسة أحدهما یقدّم التیمّم، ویزیل أثره ثمّ یتوضّأ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التیمّم فی 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التیمّم فی صورة العلم بنجاسة أحدهما، وإزالة التراب بعد التیمّم، وتجفیف الماء بعد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باشتراط الطهارة فی مواضع التیمّم وبنینا علی تنجیس المتنجَّس یلزم تقدیم التیمّم، وإلاّ یقطع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ناحیة کون ما یتیمّم به نجساً، أو کون مواضعه کذلک فیکون باطلاً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للتراب أثر آخر غیر جواز التیمّم به، کما هو الغالب، وإلاّ فلایبعد جواز الاجتزاء بالوضوء فقط، وفی صورة الجمع والعلم بنجاسة أحدهما لابدّ من إزالة أثر المتقدِّم، فلو قدِّم التیمّم لابدّ من إزالة الأجزاء الترابیة، ومع تقدیم الوضوء لابدّ من التجفیف، والأحوط الأولی تقدیم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الفرض الأوّل یتیمّم أوّلاً، ویمسح الغبار ثمّ یتوضّأ، ولا یجوز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التراب محلاًّ للابتلاء به من غیر جهة التیمّم، وإلاّ اجتزأ بالوضوء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بتقدیم التیمّم فی فرض النجاسة إن أمکن إزالة ذرّات التراب علی فرض نجاسته، وإلاّ تعیّن تقدیم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التیمّم، وإزالة التراب وأثره عن الأعضاء الوضوئیّة فی الصورة الاُولی، فلو عکس وقدَّم الوضوء حصل العلم له بفقدان الصحّة فی التیمّم؛ لأنّه یعلم إجمالاً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بنجاسة التراب، أو نجاسة الوجه والید فی حال العمد والاختیار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التراب محلاًّ للابتلاء من غیر ناحیة التیمّم، وإلاّ یکفی الوضوء فقط، وعلی فرض الابتلاء ففی صورة العلم بنجاسة أحدهما یقدَّم التیمّم علی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والتیمّم</w:t>
      </w:r>
      <w:r>
        <w:rPr>
          <w:rStyle w:val="FootnoteAnchor"/>
          <w:rtl w:val="true"/>
        </w:rPr>
        <w:footnoteReference w:id="1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الاکتفاء بالوضوء فی الصورة الاُولی لا یخلو من وجه، لکن لایُترک الاحتیاط بالجمع المزبور مقدّماً للتیمّم؛ لأنّه لو قدّم الوضوء یعلم تفصیلاً ببطلان تیمّمه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نجاسة محالّه، أو نجاسة ما یتیمّم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بتقدیم التیمّم فی فرض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بتقدیم التیمّم علی الوضوء فی الصورة الاُولی، ویظهر وجهه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بتقدیم التیمّم علی الوضوء بعد نفض ما علق بالید من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التیمّم وإزالة التراب عن أعضائه قبل الوضوء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التراب فی المرتبة المتأخّرة عن الماء فأصالة طهارة الماء محکمة ولاتعارضها أصالة طهارة التراب؛ لتأخّر المرتبة فیتوضّأ، وإن کان الأحوط ماذکره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ولیقدّم التیمّم ویزیل ما بقی من أثر التراب علی أعضائه؛ إذ لو قدّم الوضوء یحصل له العلم باختلال شرائط صحّة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نجاسة الوجه والید، أو من جهة نجاسة التراب ونجاسة محالّ التیمّم، وإن کان غیر معتبر عند الاضطرار، إلاّ أنّه لایجوز الإخلال به اختیارا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التیمّم فی فرض العلم بالنجاسة بناءً علی اعتبار طهارة البدن فی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التیمّم ثمّ نفض أثر التراب بالکلّیة فیما لو علم إجمالاً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ویقدّم التیمّم فی الفرض الأوّل، ویُزِیل ما عَلَقَ بأعضائه من آثار التراب قبل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النجاسة الأحوط الأولی تقدیم التیمم، ثمّ إزالة آثاره، ثم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التیمّم وإزالة ما بقی من أثر التراب علی الأعضاء قبل أن یتوضّأ، هذا فیما إذا ترتّب علی التراب أثر آخر کالسجود علیه، وإلاّ فیکتفی بالوضوء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یقدم التیمّم ویزیل ما بقی من أثر التراب علی أعضائه، ثمّ یتوضأ ویجفّفه قبل الصلاة، فلو أخّره یحصل له العلم الإجمالی بنجاسة أعضاء التیمّم، أو ترابه فیما لو علم إجمالاً بنجاسة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تقدیم التیمّم وإزالة التراب عن الأعضاء فی 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وصحّت صلاته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المشکوک کونه نجساً یجوز التیمّم به، إلاّ مع کون </w:t>
      </w:r>
      <w:bookmarkStart w:id="927" w:name="pg13276_136924"/>
    </w:p>
    <w:p>
      <w:pPr>
        <w:pStyle w:val="BookText"/>
        <w:rPr/>
      </w:pPr>
      <w:bookmarkEnd w:id="927"/>
      <w:r>
        <w:rPr>
          <w:rFonts w:ascii="Amiri" w:hAnsi="Amiri" w:eastAsia="Amiri" w:cs="Amiri"/>
          <w:color w:val="111111"/>
          <w:sz w:val="28"/>
          <w:sz w:val="28"/>
          <w:szCs w:val="28"/>
          <w:rtl w:val="true"/>
          <w:lang w:bidi="ar-SA"/>
        </w:rPr>
        <w:t>حالته السابقة النجاسة</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1764220_2322387425"/>
      <w:bookmarkStart w:id="929" w:name="_Toc343"/>
      <w:bookmarkEnd w:id="928"/>
      <w:r>
        <w:rPr>
          <w:rtl w:val="true"/>
        </w:rPr>
        <w:t>التیمّم بما یشک فی کونه ترابا</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w:t>
      </w:r>
      <w:r>
        <w:rPr>
          <w:rStyle w:val="FootnoteAnchor"/>
          <w:rtl w:val="true"/>
        </w:rPr>
        <w:footnoteReference w:id="1238"/>
      </w:r>
      <w:r>
        <w:rPr>
          <w:rFonts w:ascii="Amiri" w:hAnsi="Amiri" w:eastAsia="Amiri" w:cs="Amiri"/>
          <w:color w:val="111111"/>
          <w:sz w:val="28"/>
          <w:sz w:val="28"/>
          <w:szCs w:val="28"/>
          <w:rtl w:val="true"/>
          <w:lang w:bidi="ar-SA"/>
        </w:rPr>
        <w:t>بما یشکّ</w:t>
      </w:r>
      <w:r>
        <w:rPr>
          <w:rStyle w:val="FootnoteAnchor"/>
          <w:rtl w:val="true"/>
        </w:rPr>
        <w:footnoteReference w:id="1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تراباً وشکّ فی استحالته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العلم بکونه ترابا سابقا وشکّ فی صیرورته غیره لاحقا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العلم بترابیّته سابقاً، والشکّ فی استحالته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تحرز الترابیّة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کونه تراباً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لا یتیمّم به،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فینتقل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بالتیمّم لکلٍّ منهما، وهو أولی باللزوم من الاحتیاط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بالجمع بین التیمّم به وبالمرتبة اللاحقة، إلاّ إذا علم عدم ترابیّته سابقاً وشکّ فی صیرورته تراباً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بالجمع بینه وبین المرتبة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الجمع بینهما؛ فإنّه لا یحزر الامتثال إلاّ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بالجمع بین التیمّم به، والتیمّم بالمرتبة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المرتبة اللاحقة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بالجمع بین التیمّم بالمشکوک والمرتبة اللاحقة إن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یتیمّم بهما، ولم یظهر الفرق بینه وبین الفرع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یجمع بینه وبین المرتبة اللاحقة إذا لم یکن له حالة سابقة، وإلاّ عمل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یجمع بین التیمّم به وبالمرتبة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عبداللّه الشیرازی، الشریعتمداری، السبزواری،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التیمّم به وبالمرتبة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التیمّم بالمشکوک والمرتبة اللاحقة إن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والجمع بینهما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بالجمع بین التیمّم بالمشکوک والمرتبة اللاحقة إن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یجمع بین المرتبتین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القریب من القوّة الجمع بین التیمّم به وبالمرتبة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العلم الإجمالی وعدم وجود أصل یوجب الانحلال وجوب الجمع بین التیمّم بالمشکوک والمرتبة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المشکوک والمرتبة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التیمّم به وباللاحقة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بین التیمّم به والتیمّم بالمرتبة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بجریان أصل العدم الأزلی یحکم بعدم وجوب الاحتیاط، لکنّ صحّة إجراء الأصل موضوعاً وحکماً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سبق عدم کونه قادرا علی التراب، وإلاّ فیحتاط بالجمع بینه وبین المرتبة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وإلاّ فالأحوط</w:t>
      </w:r>
      <w:r>
        <w:rPr>
          <w:rStyle w:val="FootnoteAnchor"/>
          <w:rtl w:val="true"/>
        </w:rPr>
        <w:footnoteReference w:id="1240"/>
      </w:r>
      <w:r>
        <w:rPr>
          <w:rFonts w:ascii="IRNazanin" w:hAnsi="IRNazanin" w:eastAsia="IRNazanin"/>
          <w:color w:val="111111"/>
          <w:sz w:val="28"/>
          <w:sz w:val="28"/>
          <w:szCs w:val="28"/>
          <w:rtl w:val="true"/>
          <w:lang w:bidi="fa-IR"/>
        </w:rPr>
        <w:t>الجمع بین التیمّم به</w:t>
      </w:r>
      <w:r>
        <w:rPr>
          <w:rStyle w:val="FootnoteAnchor"/>
          <w:rtl w:val="true"/>
        </w:rPr>
        <w:footnoteReference w:id="1241"/>
      </w:r>
      <w:r>
        <w:rPr>
          <w:rFonts w:ascii="Amiri" w:hAnsi="Amiri" w:eastAsia="Amiri" w:cs="Amiri"/>
          <w:color w:val="111111"/>
          <w:sz w:val="28"/>
          <w:sz w:val="28"/>
          <w:szCs w:val="28"/>
          <w:rtl w:val="true"/>
          <w:lang w:bidi="ar-SA"/>
        </w:rPr>
        <w:t xml:space="preserve">والصلاة، ثمّ القضاء خارج </w:t>
      </w:r>
      <w:bookmarkStart w:id="930" w:name="pg13276_136926"/>
    </w:p>
    <w:p>
      <w:pPr>
        <w:pStyle w:val="BookText"/>
        <w:rPr/>
      </w:pPr>
      <w:bookmarkEnd w:id="930"/>
      <w:r>
        <w:rPr>
          <w:rFonts w:ascii="IRNazanin" w:hAnsi="IRNazanin" w:eastAsia="IRNazanin"/>
          <w:color w:val="111111"/>
          <w:sz w:val="28"/>
          <w:sz w:val="28"/>
          <w:szCs w:val="28"/>
          <w:rtl w:val="true"/>
          <w:lang w:bidi="fa-IR"/>
        </w:rPr>
        <w:t>الوقت</w:t>
      </w:r>
      <w:r>
        <w:rPr>
          <w:rStyle w:val="FootnoteAnchor"/>
          <w:rtl w:val="true"/>
        </w:rPr>
        <w:footnoteReference w:id="1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 القضاء خارج الوقت، بل عدم وجوب التیمّم به والصلاة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931" w:name="__RefHeading___Toc1764222_2322387425"/>
      <w:bookmarkStart w:id="932" w:name="_Toc344"/>
      <w:bookmarkEnd w:id="931"/>
      <w:r>
        <w:rPr>
          <w:rtl w:val="true"/>
        </w:rPr>
        <w:t>حکم تیمّم المحبوس فی مکان مغصوب ووضوئه بمائه</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w:t>
      </w:r>
      <w:r>
        <w:rPr>
          <w:rStyle w:val="FootnoteAnchor"/>
          <w:rtl w:val="true"/>
        </w:rPr>
        <w:footnoteReference w:id="1243"/>
      </w:r>
      <w:r>
        <w:rPr>
          <w:rFonts w:ascii="IRNazanin" w:hAnsi="IRNazanin" w:eastAsia="IRNazanin"/>
          <w:color w:val="111111"/>
          <w:sz w:val="28"/>
          <w:sz w:val="28"/>
          <w:szCs w:val="28"/>
          <w:rtl w:val="true"/>
          <w:lang w:bidi="fa-IR"/>
        </w:rPr>
        <w:t>فی مکان مغصوب</w:t>
      </w:r>
      <w:r>
        <w:rPr>
          <w:rStyle w:val="FootnoteAnchor"/>
          <w:rtl w:val="true"/>
        </w:rPr>
        <w:footnoteReference w:id="1244"/>
      </w:r>
      <w:r>
        <w:rPr>
          <w:rFonts w:ascii="IRNazanin" w:hAnsi="IRNazanin" w:eastAsia="IRNazanin"/>
          <w:color w:val="111111"/>
          <w:sz w:val="28"/>
          <w:sz w:val="28"/>
          <w:szCs w:val="28"/>
          <w:rtl w:val="true"/>
          <w:lang w:bidi="fa-IR"/>
        </w:rPr>
        <w:t>یجوز أن یتیمّم فیه</w:t>
      </w:r>
      <w:r>
        <w:rPr>
          <w:rStyle w:val="FootnoteAnchor"/>
          <w:rtl w:val="true"/>
        </w:rPr>
        <w:footnoteReference w:id="1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التیمّم فیه علی شیء مباح فالأوجه جوازه، وإن کان علیه فالأظهر عدم الجواز، وللجواز وجه ضعیف غیر معتدٍّ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التیمّم فیه، وإن کان الأحوط الجمع بین التیمّم والصلاة فیه، ثمّ الإعادة أو القضاء فی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المغصوب وکائنٌ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النسخة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وکائناً، وهو من اشتباه النُسّاخ والصحیح ما اثبتناه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بلا زیادة فی انتقاله من محلّ إلی محلّ، کما لایخفی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جواز التیمّم فیه، وأمّا التیمّم به فلا یخلو من إشکال، وإن کان الجواز غیر بعید، وأمّا التوضّؤ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بماءٍ مباحٍ فهو کالتیمّم فیه لابأس به، خصوصاً إذا توضّأ علی نحوٍ لم تقع قطرات الوضوء علی أرض المحبس، وأمّا بالماء الذی فیه فلا یجوز التوضّؤ به ما لم یحرز رضا صاحبه، وإن کان ممّا لا قیمة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التیمّم بتراب مباح فالإشکال ضعیف، وإن کان المراد بترابه فالإشکال قوی، والتعلیل ضعیف، وکذا مابعده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منه التیمّم بتراب غصبی، ولکنّ الأقوی عدم الجواز؛ لأنّه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التراب مباحاً فالأظهر جوازه وکذلک حال الوضوء، وأمّا الاحتیاط بما ذکر فلا وجه له؛ لأ نّة إمّا أن یتعیّن له الوضوء، أو التیمّم، وإلاّ فهو فاقد الطَهورین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إذا اقتصر فی التیمّم علی مجرّد وضع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هذا</w:t>
      </w:r>
    </w:p>
    <w:p>
      <w:pPr>
        <w:pStyle w:val="BookText"/>
        <w:rPr/>
      </w:pPr>
      <w:r>
        <w:rPr>
          <w:rFonts w:ascii="IRNazanin" w:hAnsi="IRNazanin" w:eastAsia="IRNazanin"/>
          <w:color w:val="111111"/>
          <w:sz w:val="28"/>
          <w:sz w:val="28"/>
          <w:szCs w:val="28"/>
          <w:rtl w:val="true"/>
          <w:lang w:bidi="fa-IR"/>
        </w:rPr>
        <w:t>المقدار</w:t>
      </w:r>
      <w:r>
        <w:rPr>
          <w:rStyle w:val="FootnoteAnchor"/>
          <w:rtl w:val="true"/>
        </w:rPr>
        <w:footnoteReference w:id="1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غیر تام، والظاهر أنّ المکلّف فی الصورة المفروضة فاقد الطَهورین، فیصلّی بلا 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یعدّ تصرّفاً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زائداً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 عنده ترابٌ مباحٌ، وأمّا إذا لم یکن غیر تراب ذلک المکان المغصوب فالظاهر أنّه یُعدّ عرفاً تصّرفاً زائداً، وهکذا الأمر بالنسبة إلی الوضوء، فیجوز لو کان عنده ماء مباح ولم تقع قطرات الوضوء علی المکان المغصوب،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دعوی کون التیمّم تصرّفاً زائداً بنظر العرف من جهة التصرّف فی الأرض، وإن لم یکن بالدقة الفلسفیة کذلک، ولکنّ الأحوط ما ذکره لو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لو توضّأ بالماء الذی فیه وکان ممّا</w:t>
      </w:r>
    </w:p>
    <w:p>
      <w:pPr>
        <w:pStyle w:val="BookText"/>
        <w:rPr/>
      </w:pPr>
      <w:r>
        <w:rPr>
          <w:rFonts w:ascii="IRNazanin" w:hAnsi="IRNazanin" w:eastAsia="IRNazanin"/>
          <w:color w:val="111111"/>
          <w:sz w:val="28"/>
          <w:sz w:val="28"/>
          <w:szCs w:val="28"/>
          <w:rtl w:val="true"/>
          <w:lang w:bidi="fa-IR"/>
        </w:rPr>
        <w:t>لا قیمة له</w:t>
      </w:r>
      <w:r>
        <w:rPr>
          <w:rStyle w:val="FootnoteAnchor"/>
          <w:rtl w:val="true"/>
        </w:rPr>
        <w:footnoteReference w:id="1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النظر فی التقیید بعدم القیمة فی باب الوضوء، وأنّه لا یوجب جواز التصرّف بدون رضا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إحراز رضاء المالک، کانت له قیمة،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القیمة موجب لعدم الضمان، لا لعدم حرمة التصرّف إذا کان ذلک الشیء ملکاً للغیر کما هو المفروض، فالأظهر عدم التوضّؤ به، بل یتیمّم ویصلّی ولا یقضیها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القید یدلّ علی کونه ملکا للغیر، وعلیه لا فرق بین أن تکون له قیمة، أم لا؛ لتوقف الجواز فی کلتا الصورتین علی 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خالف وتوضّأ یکون وضوؤه صحیحا،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ما کانت له قیمة أو لا، فالمناط إحراز رضا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بجوازه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عدم القیمة لا یخرجه عن ملکه، فالتصرّف بإتلاف مقدار منه غصب زائد وحرام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ضمان قیمته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بجواز التصرف فی ما لا مالیة له، وإلاّ فلا وجه له، کما لا وجه لِما احتاط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ولا وجه للجمع، بل ینتقل إلی التیمّم إذا قلنا بجوازه، وإلاّ فیکون فاقد الطَهورین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 نعم، لو توضّأ به لا یبعد القول بالصحّة؛ حیث إنّها مقتضی القواعد، والإجماع علی فرضه لم یثبت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غایة الإشکال، ولا وجه لما یحتاط به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والأحوط التیمّم فقط والصلاة، ولا قضاء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والإشکال فیه</w:t>
      </w:r>
    </w:p>
    <w:p>
      <w:pPr>
        <w:pStyle w:val="BookText"/>
        <w:rPr/>
      </w:pPr>
      <w:r>
        <w:rPr>
          <w:rFonts w:ascii="Amiri" w:hAnsi="Amiri" w:eastAsia="Amiri" w:cs="Amiri"/>
          <w:color w:val="111111"/>
          <w:sz w:val="28"/>
          <w:sz w:val="28"/>
          <w:szCs w:val="28"/>
          <w:rtl w:val="true"/>
          <w:lang w:bidi="ar-SA"/>
        </w:rPr>
        <w:t>أشدّ</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لایُترک الاحتیاط بترک الوضوء به، ومنه یظهر الإشکال فیما جعله أحوط من الجمع بین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الاقتصار علی التیمّم، ثمّ إعادتها أو قضاؤها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 بل یتعیّن علیه التیمّم إن صحّحناه هنا مع عدم الماء، وإلاّ فهو داخل فی فاقد الطهورین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الاقتصار علی التیمّم، ثمّ 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الخوانساری،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هذا الاحتیاط خلاف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بین التیمّم والصلاة، ثمّ الإعادة أو القضاء، فإنّ المغصوب لا یجوز بحالٍ إلاّ حال الضرورة، ولا ضرورة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لو لم یکن أقوی ترک الوضوء مع عدم رضا صاحبه، کما هو المفروض، والاقتصار بالتیمّم والصلاة ثمّ إعادتها أو قضاؤها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تحصیل ماء، وإلاّ فتراب مباح والتطهیر به، ولا قضاء معه، ولو لم یمکن فالأظهر کفایة الوضوء بماء المحبس إذا کان للحابس، وإلاّ تعیّن التیمّم بترابه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بالإضافة إلی التکلیف بالصلاة، لا بالاضافة إلی حرمة الغصب، فإذا بنینا علی حرمة التصرّف فی المملوک وإن لم یکن مالاً یکون کلّ من الوضوء والتیمّم معصیةً وباطلاً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التوضّؤ للمحبوس فی المکان الغصبی بالماء المباح مع التحفّظ من وقوع قطرات وضوئه علی أرض المحبس، وأمّا بالماء الذی فی المحبس فلایجوز له التوضّؤ إلاّ مع إحراز رضا صاحبه، وإلاّ فهو کفاقد الماء ینتقل فرضه إلی التیمّم إن کان له تراب مباح، بل وإن لم یکن له إلاّ المحبس أیضا فإنّ التیمّم به لا یُعدّ تصرّفا زائدا فی المغصوب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 الوضوء، ویصلّی مع التیمّم وصحّت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مراعیً بالنسبة إلی الصلاة، وأمّا بالنسبة إلی الغصب والتصرّف فی مال الغیر فلعلّه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للاحتیاط بالجمع؛ إذ ما لم یحرز جواز التصرّف فی الماء لا وجه للتوضّوء به احتیاطاً، ومع إحرازه لا وجه لضمّ التیمّم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الاقتصار علی التیمّم ثمّ القضاء أو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بالنسبة إلی الصلاة، وأمّا بالنسبة إلی التصرّف فهو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بالنسبة إلی الصلاة، وأمّا بالنسبة إلی التصرّف والغصب خلاف الاحتیاط؛ لأنّه تصرّف فی ملک الغیر بدون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فیه بین الوضوء</w:t>
      </w:r>
      <w:bookmarkStart w:id="933" w:name="pg13276_136930"/>
    </w:p>
    <w:p>
      <w:pPr>
        <w:pStyle w:val="BookText"/>
        <w:rPr/>
      </w:pPr>
      <w:bookmarkEnd w:id="933"/>
      <w:r>
        <w:rPr>
          <w:rFonts w:ascii="Amiri" w:hAnsi="Amiri" w:eastAsia="Amiri" w:cs="Amiri"/>
          <w:color w:val="111111"/>
          <w:sz w:val="28"/>
          <w:sz w:val="28"/>
          <w:szCs w:val="28"/>
          <w:rtl w:val="true"/>
          <w:lang w:bidi="ar-SA"/>
        </w:rPr>
        <w:t>والتیمّم</w:t>
      </w:r>
      <w:r>
        <w:rPr>
          <w:rStyle w:val="FootnoteAnchor"/>
          <w:rtl w:val="true"/>
        </w:rPr>
        <w:footnoteReference w:id="1249"/>
      </w:r>
      <w:r>
        <w:rPr>
          <w:rFonts w:ascii="Amiri" w:hAnsi="Amiri" w:eastAsia="Amiri" w:cs="Amiri"/>
          <w:color w:val="111111"/>
          <w:sz w:val="28"/>
          <w:sz w:val="28"/>
          <w:szCs w:val="28"/>
          <w:rtl w:val="true"/>
          <w:lang w:bidi="ar-SA"/>
        </w:rPr>
        <w:t>، والصلاة ثمّ إعادتها أو قضاؤها</w:t>
      </w:r>
      <w:r>
        <w:rPr>
          <w:rStyle w:val="FootnoteAnchor"/>
          <w:rtl w:val="true"/>
        </w:rPr>
        <w:footnoteReference w:id="1250"/>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Heading3"/>
        <w:numPr>
          <w:ilvl w:val="2"/>
          <w:numId w:val="1"/>
        </w:numPr>
        <w:rPr/>
      </w:pPr>
      <w:bookmarkStart w:id="934" w:name="__RefHeading___Toc1764224_2322387425"/>
      <w:bookmarkStart w:id="935" w:name="_Toc345"/>
      <w:bookmarkEnd w:id="934"/>
      <w:r>
        <w:rPr>
          <w:rtl w:val="true"/>
        </w:rPr>
        <w:t>إذا کان التراب لا یکفی لضرب الکفّین معاً</w:t>
      </w:r>
      <w:bookmarkEnd w:id="93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عنده من التراب أو غیره ممّا یتیمّم به </w:t>
      </w:r>
      <w:bookmarkStart w:id="936" w:name="pg13276_136931"/>
    </w:p>
    <w:p>
      <w:pPr>
        <w:pStyle w:val="BookText"/>
        <w:rPr/>
      </w:pPr>
      <w:bookmarkEnd w:id="936"/>
      <w:r>
        <w:rPr>
          <w:rFonts w:ascii="Amiri" w:hAnsi="Amiri" w:eastAsia="Amiri" w:cs="Amiri"/>
          <w:color w:val="111111"/>
          <w:sz w:val="28"/>
          <w:sz w:val="28"/>
          <w:szCs w:val="28"/>
          <w:rtl w:val="true"/>
          <w:lang w:bidi="ar-SA"/>
        </w:rPr>
        <w:t xml:space="preserve">ما یکفی لکفّیه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w:t>
      </w:r>
      <w:r>
        <w:rPr>
          <w:rStyle w:val="FootnoteAnchor"/>
          <w:rtl w:val="true"/>
        </w:rPr>
        <w:footnoteReference w:id="1251"/>
      </w:r>
      <w:r>
        <w:rPr>
          <w:rFonts w:ascii="IRNazanin" w:hAnsi="IRNazanin" w:eastAsia="IRNazanin"/>
          <w:color w:val="111111"/>
          <w:sz w:val="28"/>
          <w:sz w:val="28"/>
          <w:szCs w:val="28"/>
          <w:rtl w:val="true"/>
          <w:lang w:bidi="fa-IR"/>
        </w:rPr>
        <w:t>الضرب حتّی یتحقّق الضرب بتمام الکفّین علیه</w:t>
      </w:r>
      <w:r>
        <w:rPr>
          <w:rStyle w:val="FootnoteAnchor"/>
          <w:rtl w:val="true"/>
        </w:rPr>
        <w:footnoteReference w:id="1252"/>
      </w:r>
      <w:r>
        <w:rPr>
          <w:rFonts w:ascii="IRNazanin" w:hAnsi="IRNazanin" w:eastAsia="IRNazanin"/>
          <w:color w:val="111111"/>
          <w:sz w:val="28"/>
          <w:sz w:val="28"/>
          <w:szCs w:val="28"/>
          <w:rtl w:val="true"/>
          <w:lang w:bidi="fa-IR"/>
        </w:rPr>
        <w:t>، وإن لم یمکن یکتفی بما یمکن، ویأتی بالمرتبة المتأخّرة</w:t>
      </w:r>
      <w:r>
        <w:rPr>
          <w:rStyle w:val="FootnoteAnchor"/>
          <w:rtl w:val="true"/>
        </w:rPr>
        <w:footnoteReference w:id="1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ولا یجب ضمّ التیمّم بما أمکن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إن کانت، ویصلّی، وإن لم تکن فیکتفی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ویحتاط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العمل بالعلم الإجمالی أن یحتاط فی هذه الصورة وفی الصورة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القضاء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کما تقدّم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1764226_2322387425"/>
      <w:bookmarkStart w:id="938" w:name="_Toc346"/>
      <w:bookmarkEnd w:id="937"/>
      <w:r>
        <w:rPr>
          <w:rtl w:val="true"/>
        </w:rPr>
        <w:t>مستحبات التیمّم ومایتیمّم به ومکروهاته</w:t>
      </w:r>
      <w:bookmarkEnd w:id="93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1254"/>
      </w:r>
      <w:r>
        <w:rPr>
          <w:rFonts w:ascii="IRNazanin" w:hAnsi="IRNazanin" w:eastAsia="IRNazanin"/>
          <w:color w:val="111111"/>
          <w:sz w:val="28"/>
          <w:sz w:val="28"/>
          <w:szCs w:val="28"/>
          <w:rtl w:val="true"/>
          <w:lang w:bidi="fa-IR"/>
        </w:rPr>
        <w:t>أن یکون علی ما یتیمّم به</w:t>
      </w:r>
      <w:r>
        <w:rPr>
          <w:rStyle w:val="FootnoteAnchor"/>
          <w:rtl w:val="true"/>
        </w:rPr>
        <w:footnoteReference w:id="1255"/>
      </w:r>
      <w:r>
        <w:rPr>
          <w:rFonts w:ascii="IRNazanin" w:hAnsi="IRNazanin" w:eastAsia="IRNazanin"/>
          <w:color w:val="111111"/>
          <w:sz w:val="28"/>
          <w:sz w:val="28"/>
          <w:szCs w:val="28"/>
          <w:rtl w:val="true"/>
          <w:lang w:bidi="fa-IR"/>
        </w:rPr>
        <w:t>غبار یعلق</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بالید</w:t>
      </w:r>
      <w:r>
        <w:rPr>
          <w:rStyle w:val="FootnoteAnchor"/>
          <w:rtl w:val="true"/>
        </w:rPr>
        <w:footnoteReference w:id="1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العلوق 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العلوق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اعتباره مهما أمکن، کما أنّ الأحوط وجوب النفض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اعتباره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العلوق إن لم یکن أقوی فهو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نفضها بعد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1258"/>
      </w:r>
      <w:r>
        <w:rPr>
          <w:rFonts w:ascii="IRNazanin" w:hAnsi="IRNazanin" w:eastAsia="IRNazanin"/>
          <w:color w:val="111111"/>
          <w:sz w:val="28"/>
          <w:sz w:val="28"/>
          <w:szCs w:val="28"/>
          <w:rtl w:val="true"/>
          <w:lang w:bidi="fa-IR"/>
        </w:rPr>
        <w:t>أن یکون ما یتیمّم به من رُبی الأرض وعوالیها، لبعدها عن النجاسة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التیمّم</w:t>
      </w:r>
      <w:r>
        <w:rPr>
          <w:rStyle w:val="FootnoteAnchor"/>
          <w:rtl w:val="true"/>
        </w:rPr>
        <w:footnoteReference w:id="1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 فی هذه المسألة من المکروهات لم یستند إلاّ إلی الإجماع المنقول والشهرة، بناءً علی جریان التسامح، فلا بأس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بالأرض السبخة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فیها وفی الرمل، وإن کان فیما استدلّ به للکراهة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یعلوها الملح، وإلاّ فلا یجوز، وکذا یُکره بالرمل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وإن کان فی دلیله نظر، ولابأس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بمهابِطِ الأرض، وکذا</w:t>
      </w:r>
      <w:bookmarkStart w:id="939" w:name="pg13276_136933"/>
    </w:p>
    <w:p>
      <w:pPr>
        <w:pStyle w:val="BookText"/>
        <w:rPr/>
      </w:pPr>
      <w:bookmarkEnd w:id="939"/>
      <w:r>
        <w:rPr>
          <w:rFonts w:ascii="Amiri" w:hAnsi="Amiri" w:eastAsia="Amiri" w:cs="Amiri"/>
          <w:color w:val="111111"/>
          <w:sz w:val="28"/>
          <w:sz w:val="28"/>
          <w:szCs w:val="28"/>
          <w:rtl w:val="true"/>
          <w:lang w:bidi="ar-SA"/>
        </w:rPr>
        <w:t>بترابٍ یُوطَأ، وبتراب الطریق</w:t>
      </w:r>
      <w:r>
        <w:rPr>
          <w:rFonts w:eastAsia="Amiri" w:cs="Amiri" w:ascii="Amiri" w:hAnsi="Amiri"/>
          <w:color w:val="111111"/>
          <w:sz w:val="28"/>
          <w:szCs w:val="28"/>
          <w:rtl w:val="true"/>
          <w:lang w:bidi="ar-SA"/>
        </w:rPr>
        <w:t>.</w:t>
      </w:r>
    </w:p>
    <w:p>
      <w:pPr>
        <w:pStyle w:val="Heading2"/>
        <w:numPr>
          <w:ilvl w:val="1"/>
          <w:numId w:val="1"/>
        </w:numPr>
        <w:rPr/>
      </w:pPr>
      <w:bookmarkStart w:id="940" w:name="__RefHeading___Toc1764228_2322387425"/>
      <w:bookmarkStart w:id="941" w:name="_Toc347"/>
      <w:bookmarkEnd w:id="940"/>
      <w:r>
        <w:rPr>
          <w:rtl w:val="true"/>
        </w:rPr>
        <w:t>فصل</w:t>
      </w:r>
      <w:r>
        <w:rPr>
          <w:rtl w:val="true"/>
        </w:rPr>
        <w:t xml:space="preserve">: </w:t>
      </w:r>
      <w:r>
        <w:rPr>
          <w:rtl w:val="true"/>
        </w:rPr>
        <w:t>فی کیفیّة التیمّم</w:t>
      </w:r>
      <w:bookmarkEnd w:id="941"/>
    </w:p>
    <w:p>
      <w:pPr>
        <w:pStyle w:val="Heading3"/>
        <w:numPr>
          <w:ilvl w:val="2"/>
          <w:numId w:val="1"/>
        </w:numPr>
        <w:rPr/>
      </w:pPr>
      <w:bookmarkStart w:id="942" w:name="__RefHeading___Toc1764230_2322387425"/>
      <w:bookmarkStart w:id="943" w:name="_Toc348"/>
      <w:bookmarkEnd w:id="942"/>
      <w:r>
        <w:rPr>
          <w:rtl w:val="true"/>
        </w:rPr>
        <w:t>اشارة</w:t>
      </w:r>
      <w:bookmarkEnd w:id="943"/>
    </w:p>
    <w:p>
      <w:pPr>
        <w:pStyle w:val="BookText"/>
        <w:rPr/>
      </w:pPr>
      <w:r>
        <w:rPr>
          <w:rFonts w:ascii="IRNazanin" w:hAnsi="IRNazanin" w:eastAsia="IRNazanin"/>
          <w:color w:val="111111"/>
          <w:sz w:val="28"/>
          <w:sz w:val="28"/>
          <w:szCs w:val="28"/>
          <w:rtl w:val="true"/>
          <w:lang w:bidi="fa-IR"/>
        </w:rPr>
        <w:t>ویجب فیه اُمور</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1764232_2322387425"/>
      <w:bookmarkStart w:id="945" w:name="_Toc349"/>
      <w:bookmarkEnd w:id="944"/>
      <w:r>
        <w:rPr>
          <w:rtl w:val="true"/>
        </w:rPr>
        <w:t>الأول</w:t>
      </w:r>
      <w:r>
        <w:rPr>
          <w:rtl w:val="true"/>
        </w:rPr>
        <w:t xml:space="preserve">: </w:t>
      </w:r>
      <w:r>
        <w:rPr>
          <w:rtl w:val="true"/>
        </w:rPr>
        <w:t>ضرب باطن الیدین معاً اختیاراً وبما تیسّر مع الاضطرار</w:t>
      </w:r>
      <w:bookmarkEnd w:id="94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باطن الیدین</w:t>
      </w:r>
      <w:r>
        <w:rPr>
          <w:rStyle w:val="FootnoteAnchor"/>
          <w:rtl w:val="true"/>
        </w:rPr>
        <w:footnoteReference w:id="1262"/>
      </w:r>
      <w:r>
        <w:rPr>
          <w:rFonts w:ascii="Amiri" w:hAnsi="Amiri" w:eastAsia="Amiri" w:cs="Amiri"/>
          <w:color w:val="111111"/>
          <w:sz w:val="28"/>
          <w:sz w:val="28"/>
          <w:szCs w:val="28"/>
          <w:rtl w:val="true"/>
          <w:lang w:bidi="ar-SA"/>
        </w:rPr>
        <w:t>معاً دفعةً</w:t>
      </w:r>
      <w:r>
        <w:rPr>
          <w:rStyle w:val="FootnoteAnchor"/>
          <w:rtl w:val="true"/>
        </w:rPr>
        <w:footnoteReference w:id="1263"/>
      </w:r>
      <w:r>
        <w:rPr>
          <w:rFonts w:ascii="IRNazanin" w:hAnsi="IRNazanin" w:eastAsia="IRNazanin"/>
          <w:color w:val="111111"/>
          <w:sz w:val="28"/>
          <w:sz w:val="28"/>
          <w:szCs w:val="28"/>
          <w:rtl w:val="true"/>
          <w:lang w:bidi="fa-IR"/>
        </w:rPr>
        <w:t>علی الأرض، فلا یکفی الوضع</w:t>
      </w:r>
      <w:r>
        <w:rPr>
          <w:rStyle w:val="FootnoteAnchor"/>
          <w:rtl w:val="true"/>
        </w:rPr>
        <w:footnoteReference w:id="1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والکفایة لا 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کانت الکفایة غیر یعیدة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وللکفایة وجه قوی حتی مع التمکّن من الضرب، ومنه یظهر الکلام فی جملة من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الضرب، ولا الضرب بإحداهما، ولا بهما علی التعاقب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المعیّة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الضرب بظاهرهما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حال الاضطرار یکفی</w:t>
      </w:r>
      <w:r>
        <w:rPr>
          <w:rStyle w:val="FootnoteAnchor"/>
          <w:rtl w:val="true"/>
        </w:rPr>
        <w:footnoteReference w:id="1265"/>
      </w:r>
      <w:r>
        <w:rPr>
          <w:rFonts w:ascii="IRNazanin" w:hAnsi="IRNazanin" w:eastAsia="IRNazanin"/>
          <w:color w:val="111111"/>
          <w:sz w:val="28"/>
          <w:sz w:val="28"/>
          <w:szCs w:val="28"/>
          <w:rtl w:val="true"/>
          <w:lang w:bidi="fa-IR"/>
        </w:rPr>
        <w:t>الوضع، ومع تعذّر ضرب إحداهما یضعها ویضرب بالاُخری، ومع تعذّر الباطن</w:t>
      </w:r>
      <w:r>
        <w:rPr>
          <w:rStyle w:val="FootnoteAnchor"/>
          <w:rtl w:val="true"/>
        </w:rPr>
        <w:footnoteReference w:id="1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وأمّا مع تعذّر البعض یحتاط بالجمع بین بعض الباطن غیر المتعذّر وتمام الظاهر، والأحوط الجمع بین المسح بالظاهر وبالذراع، بل تقدیم الذراع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فیهما أو فی إحداهما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ینتقل إلی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فیهما أو فی إحداهما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ونجاسة الباطن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تُعدّ عذراً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سیأتی فی المسألة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الحکم تفصیل یأتی بیانه فی المسألة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w:t>
      </w:r>
      <w:bookmarkStart w:id="946" w:name="pg13276_136935"/>
    </w:p>
    <w:p>
      <w:pPr>
        <w:pStyle w:val="BookText"/>
        <w:rPr/>
      </w:pPr>
      <w:bookmarkEnd w:id="946"/>
      <w:r>
        <w:rPr>
          <w:rFonts w:ascii="IRNazanin" w:hAnsi="IRNazanin" w:eastAsia="IRNazanin"/>
          <w:color w:val="111111"/>
          <w:sz w:val="28"/>
          <w:sz w:val="28"/>
          <w:szCs w:val="28"/>
          <w:rtl w:val="true"/>
          <w:lang w:bidi="fa-IR"/>
        </w:rPr>
        <w:t>ینتقل</w:t>
      </w:r>
      <w:r>
        <w:rPr>
          <w:rStyle w:val="FootnoteAnchor"/>
          <w:rtl w:val="true"/>
        </w:rPr>
        <w:footnoteReference w:id="1267"/>
      </w:r>
      <w:r>
        <w:rPr>
          <w:rFonts w:ascii="IRNazanin" w:hAnsi="IRNazanin" w:eastAsia="IRNazanin"/>
          <w:color w:val="111111"/>
          <w:sz w:val="28"/>
          <w:sz w:val="28"/>
          <w:szCs w:val="28"/>
          <w:rtl w:val="true"/>
          <w:lang w:bidi="fa-IR"/>
        </w:rPr>
        <w:t>معها</w:t>
      </w:r>
      <w:r>
        <w:rPr>
          <w:rStyle w:val="FootnoteAnchor"/>
          <w:rtl w:val="true"/>
        </w:rPr>
        <w:footnoteReference w:id="1268"/>
      </w:r>
      <w:r>
        <w:rPr>
          <w:rFonts w:ascii="IRNazanin" w:hAnsi="IRNazanin" w:eastAsia="IRNazanin"/>
          <w:color w:val="111111"/>
          <w:sz w:val="28"/>
          <w:sz w:val="28"/>
          <w:szCs w:val="28"/>
          <w:rtl w:val="true"/>
          <w:lang w:bidi="fa-IR"/>
        </w:rPr>
        <w:t>إلی الظاهر</w:t>
      </w:r>
      <w:r>
        <w:rPr>
          <w:rFonts w:eastAsia="IRNazanin" w:cs="IRNazanin"/>
          <w:color w:val="111111"/>
          <w:sz w:val="28"/>
          <w:szCs w:val="28"/>
          <w:rtl w:val="true"/>
          <w:lang w:bidi="fa-IR"/>
        </w:rPr>
        <w:t>.</w:t>
      </w:r>
    </w:p>
    <w:p>
      <w:pPr>
        <w:pStyle w:val="Heading3"/>
        <w:numPr>
          <w:ilvl w:val="2"/>
          <w:numId w:val="1"/>
        </w:numPr>
        <w:rPr/>
      </w:pPr>
      <w:bookmarkStart w:id="947" w:name="__RefHeading___Toc1764234_2322387425"/>
      <w:bookmarkStart w:id="948" w:name="_Toc350"/>
      <w:bookmarkEnd w:id="947"/>
      <w:r>
        <w:rPr>
          <w:rtl w:val="true"/>
        </w:rPr>
        <w:t>الثانی</w:t>
      </w:r>
      <w:r>
        <w:rPr>
          <w:rtl w:val="true"/>
        </w:rPr>
        <w:t xml:space="preserve">: </w:t>
      </w:r>
      <w:r>
        <w:rPr>
          <w:rtl w:val="true"/>
        </w:rPr>
        <w:t>مسح الجبهة والجبینین</w:t>
      </w:r>
      <w:bookmarkEnd w:id="94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الجبهة</w:t>
      </w:r>
      <w:r>
        <w:rPr>
          <w:rStyle w:val="FootnoteAnchor"/>
          <w:rtl w:val="true"/>
        </w:rPr>
        <w:footnoteReference w:id="1269"/>
      </w:r>
      <w:r>
        <w:rPr>
          <w:rFonts w:ascii="IRNazanin" w:hAnsi="IRNazanin" w:eastAsia="IRNazanin"/>
          <w:color w:val="111111"/>
          <w:sz w:val="28"/>
          <w:sz w:val="28"/>
          <w:szCs w:val="28"/>
          <w:rtl w:val="true"/>
          <w:lang w:bidi="fa-IR"/>
        </w:rPr>
        <w:t>بتمامها والجبینین بهما</w:t>
      </w:r>
      <w:r>
        <w:rPr>
          <w:rStyle w:val="FootnoteAnchor"/>
          <w:rtl w:val="true"/>
        </w:rPr>
        <w:footnoteReference w:id="1270"/>
      </w:r>
      <w:r>
        <w:rPr>
          <w:rFonts w:ascii="IRNazanin" w:hAnsi="IRNazanin" w:eastAsia="IRNazanin"/>
          <w:color w:val="111111"/>
          <w:sz w:val="28"/>
          <w:sz w:val="28"/>
          <w:szCs w:val="28"/>
          <w:rtl w:val="true"/>
          <w:lang w:bidi="fa-IR"/>
        </w:rPr>
        <w:t>من قصاص الشعر</w:t>
      </w:r>
      <w:r>
        <w:rPr>
          <w:rStyle w:val="FootnoteAnchor"/>
          <w:rtl w:val="true"/>
        </w:rPr>
        <w:footnoteReference w:id="1271"/>
      </w:r>
      <w:r>
        <w:rPr>
          <w:rFonts w:ascii="IRNazanin" w:hAnsi="IRNazanin" w:eastAsia="IRNazanin"/>
          <w:color w:val="111111"/>
          <w:sz w:val="28"/>
          <w:sz w:val="28"/>
          <w:szCs w:val="28"/>
          <w:rtl w:val="true"/>
          <w:lang w:bidi="fa-IR"/>
        </w:rPr>
        <w:t>إلی طرف الأنف الأعلی، وإلی الحاجبین، والأحوط</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فی محلّه، ولا بدّ من رعایته، لکنّ الصناعة تقتضی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مسحهما علی الأقوی، نعم، یمسح شیئاً منهما ومن سائر أطراف الجبهة والجبینین من باب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باب المقدمة العلمیة، نعم، یمکن استفادة وجوبها من بعض الروایة، کما یمکن استفادة استحباب مسح تمام الوجه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ویعتبر کون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نظر العرف مسحاً بهما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949" w:name="pg13276_136936"/>
    </w:p>
    <w:p>
      <w:pPr>
        <w:pStyle w:val="BookText"/>
        <w:rPr/>
      </w:pPr>
      <w:bookmarkEnd w:id="949"/>
      <w:r>
        <w:rPr>
          <w:rFonts w:ascii="IRNazanin" w:hAnsi="IRNazanin" w:eastAsia="IRNazanin"/>
          <w:color w:val="111111"/>
          <w:sz w:val="28"/>
          <w:sz w:val="28"/>
          <w:szCs w:val="28"/>
          <w:rtl w:val="true"/>
          <w:lang w:bidi="fa-IR"/>
        </w:rPr>
        <w:t>بمجموع</w:t>
      </w:r>
      <w:r>
        <w:rPr>
          <w:rStyle w:val="FootnoteAnchor"/>
          <w:rtl w:val="true"/>
        </w:rPr>
        <w:footnoteReference w:id="1273"/>
      </w:r>
      <w:r>
        <w:rPr>
          <w:rFonts w:ascii="Amiri" w:hAnsi="Amiri" w:eastAsia="Amiri" w:cs="Amiri"/>
          <w:color w:val="111111"/>
          <w:sz w:val="28"/>
          <w:sz w:val="28"/>
          <w:szCs w:val="28"/>
          <w:rtl w:val="true"/>
          <w:lang w:bidi="ar-SA"/>
        </w:rPr>
        <w:t>الکفّین</w:t>
      </w:r>
      <w:r>
        <w:rPr>
          <w:rStyle w:val="FootnoteAnchor"/>
          <w:rtl w:val="true"/>
        </w:rPr>
        <w:footnoteReference w:id="1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یصدق عرفا المسح بهما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الاستیعاب فی الماسح وإن وجب فی الممسوح، فیکفی مسح تمام الممسوح ببعض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یکفی المسح بإحداهما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صدق المسح بهما عرفا، ولایجب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المسح ببعض کلٍّ منهما علی نحو یستوعب الجبهة والجبینین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یکفی 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ببعض کلٍّ من الیدین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یجب مسح تمام الجبهة والجبینین بالکفّین فی الجملة ولو ببعض کلٍّ منهما، فلا یجب الاستیعاب فی الماسح، ولکن یجب فی الممسوح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بأحدهما، بل لا یمکن عادة دفعة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مسح بعض الجبهة والجبینین، نعم، یجزی التوزیع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یجب المسح بکلّ من الیدین علی تمام أجزاء الممسوح</w:t>
      </w:r>
      <w:r>
        <w:rPr>
          <w:rFonts w:eastAsia="IRNazanin" w:cs="IRNazanin"/>
          <w:color w:val="111111"/>
          <w:sz w:val="28"/>
          <w:szCs w:val="28"/>
          <w:rtl w:val="true"/>
          <w:lang w:bidi="fa-IR"/>
        </w:rPr>
        <w:t>.</w:t>
      </w:r>
    </w:p>
    <w:p>
      <w:pPr>
        <w:pStyle w:val="Heading3"/>
        <w:numPr>
          <w:ilvl w:val="2"/>
          <w:numId w:val="1"/>
        </w:numPr>
        <w:rPr/>
      </w:pPr>
      <w:bookmarkStart w:id="950" w:name="__RefHeading___Toc1764236_2322387425"/>
      <w:bookmarkStart w:id="951" w:name="_Toc351"/>
      <w:bookmarkEnd w:id="950"/>
      <w:r>
        <w:rPr>
          <w:rtl w:val="true"/>
        </w:rPr>
        <w:t>الثالث</w:t>
      </w:r>
      <w:r>
        <w:rPr>
          <w:rtl w:val="true"/>
        </w:rPr>
        <w:t xml:space="preserve">: </w:t>
      </w:r>
      <w:r>
        <w:rPr>
          <w:rtl w:val="true"/>
        </w:rPr>
        <w:t>مسح ظاهر کل من الکفین بباطن الاُخری</w:t>
      </w:r>
      <w:bookmarkEnd w:id="95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w:t>
      </w:r>
      <w:r>
        <w:rPr>
          <w:rStyle w:val="FootnoteAnchor"/>
          <w:rtl w:val="true"/>
        </w:rPr>
        <w:footnoteReference w:id="12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بتمامها علی الأحوط، وکذا باطن الیمنی مثل ما فی الجبهة والجبینین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w:t>
      </w:r>
      <w:bookmarkStart w:id="952" w:name="pg13276_136937"/>
    </w:p>
    <w:p>
      <w:pPr>
        <w:pStyle w:val="BookText"/>
        <w:rPr/>
      </w:pPr>
      <w:bookmarkEnd w:id="952"/>
      <w:r>
        <w:rPr>
          <w:rFonts w:ascii="IRNazanin" w:hAnsi="IRNazanin" w:eastAsia="IRNazanin"/>
          <w:color w:val="111111"/>
          <w:sz w:val="28"/>
          <w:sz w:val="28"/>
          <w:szCs w:val="28"/>
          <w:rtl w:val="true"/>
          <w:lang w:bidi="fa-IR"/>
        </w:rPr>
        <w:t>مسح</w:t>
      </w:r>
      <w:r>
        <w:rPr>
          <w:rStyle w:val="FootnoteAnchor"/>
          <w:rtl w:val="true"/>
        </w:rPr>
        <w:footnoteReference w:id="1276"/>
      </w:r>
      <w:r>
        <w:rPr>
          <w:rFonts w:ascii="IRNazanin" w:hAnsi="IRNazanin" w:eastAsia="IRNazanin"/>
          <w:color w:val="111111"/>
          <w:sz w:val="28"/>
          <w:sz w:val="28"/>
          <w:szCs w:val="28"/>
          <w:rtl w:val="true"/>
          <w:lang w:bidi="fa-IR"/>
        </w:rPr>
        <w:t>تمام ظاهر الیسری</w:t>
      </w:r>
      <w:r>
        <w:rPr>
          <w:rStyle w:val="FootnoteAnchor"/>
          <w:rtl w:val="true"/>
        </w:rPr>
        <w:footnoteReference w:id="1277"/>
      </w:r>
      <w:r>
        <w:rPr>
          <w:rFonts w:ascii="IRNazanin" w:hAnsi="IRNazanin" w:eastAsia="IRNazanin"/>
          <w:color w:val="111111"/>
          <w:sz w:val="28"/>
          <w:sz w:val="28"/>
          <w:szCs w:val="28"/>
          <w:rtl w:val="true"/>
          <w:lang w:bidi="fa-IR"/>
        </w:rPr>
        <w:t>بباطن الیمنی من الزند</w:t>
      </w:r>
      <w:r>
        <w:rPr>
          <w:rStyle w:val="FootnoteAnchor"/>
          <w:rtl w:val="true"/>
        </w:rPr>
        <w:footnoteReference w:id="1278"/>
      </w:r>
      <w:r>
        <w:rPr>
          <w:rFonts w:ascii="IRNazanin" w:hAnsi="IRNazanin" w:eastAsia="IRNazanin"/>
          <w:color w:val="111111"/>
          <w:sz w:val="28"/>
          <w:sz w:val="28"/>
          <w:szCs w:val="28"/>
          <w:rtl w:val="true"/>
          <w:lang w:bidi="fa-IR"/>
        </w:rPr>
        <w:t>إلی أطراف الأصابع</w:t>
      </w:r>
      <w:r>
        <w:rPr>
          <w:rStyle w:val="FootnoteAnchor"/>
          <w:rtl w:val="true"/>
        </w:rPr>
        <w:footnoteReference w:id="1279"/>
      </w:r>
      <w:r>
        <w:rPr>
          <w:rFonts w:ascii="IRNazanin" w:hAnsi="IRNazanin" w:eastAsia="IRNazanin"/>
          <w:color w:val="111111"/>
          <w:sz w:val="28"/>
          <w:sz w:val="28"/>
          <w:szCs w:val="28"/>
          <w:rtl w:val="true"/>
          <w:lang w:bidi="fa-IR"/>
        </w:rPr>
        <w:t>، ویجب من باب المقدّمة</w:t>
      </w:r>
      <w:r>
        <w:rPr>
          <w:rStyle w:val="FootnoteAnchor"/>
          <w:rtl w:val="true"/>
        </w:rPr>
        <w:footnoteReference w:id="1280"/>
      </w:r>
      <w:r>
        <w:rPr>
          <w:rFonts w:ascii="IRNazanin" w:hAnsi="IRNazanin" w:eastAsia="IRNazanin"/>
          <w:color w:val="111111"/>
          <w:sz w:val="28"/>
          <w:sz w:val="28"/>
          <w:szCs w:val="28"/>
          <w:rtl w:val="true"/>
          <w:lang w:bidi="fa-IR"/>
        </w:rPr>
        <w:t>إدخال شیءٍ من الأطراف</w:t>
      </w:r>
      <w:r>
        <w:rPr>
          <w:rStyle w:val="FootnoteAnchor"/>
          <w:rtl w:val="true"/>
        </w:rPr>
        <w:footnoteReference w:id="1281"/>
      </w:r>
      <w:r>
        <w:rPr>
          <w:rFonts w:ascii="IRNazanin" w:hAnsi="IRNazanin" w:eastAsia="IRNazanin"/>
          <w:color w:val="111111"/>
          <w:sz w:val="28"/>
          <w:sz w:val="28"/>
          <w:szCs w:val="28"/>
          <w:rtl w:val="true"/>
          <w:lang w:bidi="fa-IR"/>
        </w:rPr>
        <w:t>، ولیس ما بین</w:t>
      </w:r>
      <w:r>
        <w:rPr>
          <w:rStyle w:val="FootnoteAnchor"/>
          <w:rtl w:val="true"/>
        </w:rPr>
        <w:footnoteReference w:id="1282"/>
      </w:r>
      <w:r>
        <w:rPr>
          <w:rFonts w:ascii="IRNazanin" w:hAnsi="IRNazanin" w:eastAsia="IRNazanin"/>
          <w:color w:val="111111"/>
          <w:sz w:val="28"/>
          <w:sz w:val="28"/>
          <w:szCs w:val="28"/>
          <w:rtl w:val="true"/>
          <w:lang w:bidi="fa-IR"/>
        </w:rPr>
        <w:t>الأصابع من الظاهر، فلا یجب مسحها؛ إذ المراد به ما یُماسّه ظاهر بشرة الماسح، بل الظاهر عدم اعتبار التعمیق والتدقیق فیه، بل المناط صدق مسح التمام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شرائطه فهی أیضاً اُمور</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1764238_2322387425"/>
      <w:bookmarkStart w:id="954" w:name="_Toc352"/>
      <w:bookmarkEnd w:id="953"/>
      <w:r>
        <w:rPr>
          <w:rtl w:val="true"/>
        </w:rPr>
        <w:t>شرائط التیمّم</w:t>
      </w:r>
      <w:bookmarkEnd w:id="954"/>
    </w:p>
    <w:p>
      <w:pPr>
        <w:pStyle w:val="Heading4"/>
        <w:numPr>
          <w:ilvl w:val="3"/>
          <w:numId w:val="1"/>
        </w:numPr>
        <w:rPr/>
      </w:pPr>
      <w:bookmarkStart w:id="955" w:name="__RefHeading___Toc1764240_2322387425"/>
      <w:bookmarkStart w:id="956" w:name="_Toc353"/>
      <w:bookmarkEnd w:id="955"/>
      <w:r>
        <w:rPr>
          <w:rtl w:val="true"/>
        </w:rPr>
        <w:t>الأول</w:t>
      </w:r>
      <w:r>
        <w:rPr>
          <w:rtl w:val="true"/>
        </w:rPr>
        <w:t xml:space="preserve">: </w:t>
      </w:r>
      <w:r>
        <w:rPr>
          <w:rtl w:val="true"/>
        </w:rPr>
        <w:t>النیة</w:t>
      </w:r>
      <w:bookmarkEnd w:id="9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 مقارنة</w:t>
      </w:r>
      <w:r>
        <w:rPr>
          <w:rStyle w:val="FootnoteAnchor"/>
          <w:rtl w:val="true"/>
        </w:rPr>
        <w:footnoteReference w:id="1283"/>
      </w:r>
      <w:r>
        <w:rPr>
          <w:rFonts w:ascii="IRNazanin" w:hAnsi="IRNazanin" w:eastAsia="IRNazanin"/>
          <w:color w:val="111111"/>
          <w:sz w:val="28"/>
          <w:sz w:val="28"/>
          <w:szCs w:val="28"/>
          <w:rtl w:val="true"/>
          <w:lang w:bidi="fa-IR"/>
        </w:rPr>
        <w:t>لضرب الیدین</w:t>
      </w:r>
      <w:r>
        <w:rPr>
          <w:rStyle w:val="FootnoteAnchor"/>
          <w:rtl w:val="true"/>
        </w:rPr>
        <w:footnoteReference w:id="1284"/>
      </w:r>
      <w:r>
        <w:rPr>
          <w:rFonts w:ascii="IRNazanin" w:hAnsi="IRNazanin" w:eastAsia="IRNazanin"/>
          <w:color w:val="111111"/>
          <w:sz w:val="28"/>
          <w:sz w:val="28"/>
          <w:szCs w:val="28"/>
          <w:rtl w:val="true"/>
          <w:lang w:bidi="fa-IR"/>
        </w:rPr>
        <w:t>علی الوجه الذی مرّ فی الوضوء، ولا یعتبر فیها</w:t>
      </w:r>
      <w:r>
        <w:rPr>
          <w:rStyle w:val="FootnoteAnchor"/>
          <w:rtl w:val="true"/>
        </w:rPr>
        <w:footnoteReference w:id="1285"/>
      </w:r>
      <w:r>
        <w:rPr>
          <w:rFonts w:ascii="IRNazanin" w:hAnsi="IRNazanin" w:eastAsia="IRNazanin"/>
          <w:color w:val="111111"/>
          <w:sz w:val="28"/>
          <w:sz w:val="28"/>
          <w:szCs w:val="28"/>
          <w:rtl w:val="true"/>
          <w:lang w:bidi="fa-IR"/>
        </w:rPr>
        <w:t>قصد رفع</w:t>
      </w:r>
      <w:r>
        <w:rPr>
          <w:rStyle w:val="FootnoteAnchor"/>
          <w:rtl w:val="true"/>
        </w:rPr>
        <w:footnoteReference w:id="12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 بأنّ التیمّم البدلی رافعٌ، وإلاّ فلا مورد لذکر عدم اعتباره، وکذا لا یعتبر قصد الوجه، ولا قصد وجه الوجه کما مرّ فی باب النیّة من الوضوء، ولا قصد البدلیّة عن الطهارة المائیّة، إلاّ إذا کان علی ذمّته تیمّمان ـ کما فی الحائض ـ أحدهما بدل عن الوضوء، والآخر عن الغسل، وقلنا بکفایة ضربة واحدة فی کلا البدلین، فإنّه لا بدّ وأن ینوی البدلیّة لیحصل التمییز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بل ولا</w:t>
      </w:r>
      <w:bookmarkStart w:id="957" w:name="pg13276_136938"/>
    </w:p>
    <w:p>
      <w:pPr>
        <w:pStyle w:val="BookText"/>
        <w:rPr/>
      </w:pPr>
      <w:bookmarkEnd w:id="957"/>
      <w:r>
        <w:rPr>
          <w:rFonts w:ascii="Amiri" w:hAnsi="Amiri" w:eastAsia="Amiri" w:cs="Amiri"/>
          <w:color w:val="111111"/>
          <w:sz w:val="28"/>
          <w:sz w:val="28"/>
          <w:szCs w:val="28"/>
          <w:rtl w:val="true"/>
          <w:lang w:bidi="ar-SA"/>
        </w:rPr>
        <w:t>الاستباحة</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1764242_2322387425"/>
      <w:bookmarkStart w:id="959" w:name="_Toc354"/>
      <w:bookmarkEnd w:id="958"/>
      <w:r>
        <w:rPr>
          <w:rtl w:val="true"/>
        </w:rPr>
        <w:t>الثانی</w:t>
      </w:r>
      <w:r>
        <w:rPr>
          <w:rtl w:val="true"/>
        </w:rPr>
        <w:t xml:space="preserve">: </w:t>
      </w:r>
      <w:r>
        <w:rPr>
          <w:rtl w:val="true"/>
        </w:rPr>
        <w:t>المباشرة مع الاختیار</w:t>
      </w:r>
      <w:bookmarkEnd w:id="95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حال الاختیار</w:t>
      </w:r>
      <w:r>
        <w:rPr>
          <w:rFonts w:eastAsia="IRNazanin" w:cs="IRNazanin"/>
          <w:color w:val="111111"/>
          <w:sz w:val="28"/>
          <w:szCs w:val="28"/>
          <w:rtl w:val="true"/>
          <w:lang w:bidi="fa-IR"/>
        </w:rPr>
        <w:t>.</w:t>
      </w:r>
    </w:p>
    <w:p>
      <w:pPr>
        <w:pStyle w:val="Heading4"/>
        <w:numPr>
          <w:ilvl w:val="3"/>
          <w:numId w:val="1"/>
        </w:numPr>
        <w:rPr/>
      </w:pPr>
      <w:bookmarkStart w:id="960" w:name="__RefHeading___Toc1764244_2322387425"/>
      <w:bookmarkStart w:id="961" w:name="_Toc355"/>
      <w:bookmarkEnd w:id="960"/>
      <w:r>
        <w:rPr>
          <w:rtl w:val="true"/>
        </w:rPr>
        <w:t>الثالث</w:t>
      </w:r>
      <w:r>
        <w:rPr>
          <w:rtl w:val="true"/>
        </w:rPr>
        <w:t xml:space="preserve">: </w:t>
      </w:r>
      <w:r>
        <w:rPr>
          <w:rtl w:val="true"/>
        </w:rPr>
        <w:t>الموالاة ولو کان بدلاً عن الغسل</w:t>
      </w:r>
      <w:bookmarkEnd w:id="96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وإن کان بدلاً عن الغسل، والمناط فیها عدم الفصل المخلّ بهیئته عرفاً بحیث تمحو صورته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1764246_2322387425"/>
      <w:bookmarkStart w:id="963" w:name="_Toc356"/>
      <w:bookmarkEnd w:id="962"/>
      <w:r>
        <w:rPr>
          <w:rtl w:val="true"/>
        </w:rPr>
        <w:t>الرابع</w:t>
      </w:r>
      <w:r>
        <w:rPr>
          <w:rtl w:val="true"/>
        </w:rPr>
        <w:t xml:space="preserve">: </w:t>
      </w:r>
      <w:r>
        <w:rPr>
          <w:rtl w:val="true"/>
        </w:rPr>
        <w:t>الترتیب، بمسح الوجه ثمّ الید الیمین ثم الیسری</w:t>
      </w:r>
      <w:bookmarkEnd w:id="96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علی الوجه المذکور</w:t>
      </w:r>
      <w:r>
        <w:rPr>
          <w:rFonts w:eastAsia="IRNazanin" w:cs="IRNazanin"/>
          <w:color w:val="111111"/>
          <w:sz w:val="28"/>
          <w:szCs w:val="28"/>
          <w:rtl w:val="true"/>
          <w:lang w:bidi="fa-IR"/>
        </w:rPr>
        <w:t>.</w:t>
      </w:r>
    </w:p>
    <w:p>
      <w:pPr>
        <w:pStyle w:val="Heading4"/>
        <w:numPr>
          <w:ilvl w:val="3"/>
          <w:numId w:val="1"/>
        </w:numPr>
        <w:rPr/>
      </w:pPr>
      <w:bookmarkStart w:id="964" w:name="__RefHeading___Toc1764248_2322387425"/>
      <w:bookmarkStart w:id="965" w:name="_Toc357"/>
      <w:bookmarkEnd w:id="964"/>
      <w:r>
        <w:rPr>
          <w:rtl w:val="true"/>
        </w:rPr>
        <w:t>الخامس</w:t>
      </w:r>
      <w:r>
        <w:rPr>
          <w:rtl w:val="true"/>
        </w:rPr>
        <w:t xml:space="preserve">: </w:t>
      </w:r>
      <w:r>
        <w:rPr>
          <w:rtl w:val="true"/>
        </w:rPr>
        <w:t>الابتداء بالأعلی الأعلی ومنه الی الأسفل فی الوجه والیدین</w:t>
      </w:r>
      <w:bookmarkEnd w:id="96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w:t>
      </w:r>
      <w:r>
        <w:rPr>
          <w:rStyle w:val="FootnoteAnchor"/>
          <w:rtl w:val="true"/>
        </w:rPr>
        <w:footnoteReference w:id="1289"/>
      </w:r>
      <w:r>
        <w:rPr>
          <w:rFonts w:ascii="IRNazanin" w:hAnsi="IRNazanin" w:eastAsia="IRNazanin"/>
          <w:color w:val="111111"/>
          <w:sz w:val="28"/>
          <w:sz w:val="28"/>
          <w:szCs w:val="28"/>
          <w:rtl w:val="true"/>
          <w:lang w:bidi="fa-IR"/>
        </w:rPr>
        <w:t>بالأعلی</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زین الدین، حسن القمّی، مفتی الشیعة،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فالأعلی، وهو 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الأظهر 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إلی الأسفل فی الجبهة والیدین</w:t>
      </w:r>
      <w:r>
        <w:rPr>
          <w:rFonts w:eastAsia="IRNazanin" w:cs="IRNazanin"/>
          <w:color w:val="111111"/>
          <w:sz w:val="28"/>
          <w:szCs w:val="28"/>
          <w:rtl w:val="true"/>
          <w:lang w:bidi="fa-IR"/>
        </w:rPr>
        <w:t>.</w:t>
      </w:r>
    </w:p>
    <w:p>
      <w:pPr>
        <w:pStyle w:val="Heading4"/>
        <w:numPr>
          <w:ilvl w:val="3"/>
          <w:numId w:val="1"/>
        </w:numPr>
        <w:rPr/>
      </w:pPr>
      <w:bookmarkStart w:id="966" w:name="__RefHeading___Toc1764250_2322387425"/>
      <w:bookmarkStart w:id="967" w:name="_Toc358"/>
      <w:bookmarkEnd w:id="966"/>
      <w:r>
        <w:rPr>
          <w:rtl w:val="true"/>
        </w:rPr>
        <w:t>السادس</w:t>
      </w:r>
      <w:r>
        <w:rPr>
          <w:rtl w:val="true"/>
        </w:rPr>
        <w:t xml:space="preserve">: </w:t>
      </w:r>
      <w:r>
        <w:rPr>
          <w:rtl w:val="true"/>
        </w:rPr>
        <w:t>عدم الحائل بین الماسح والممسوح</w:t>
      </w:r>
      <w:bookmarkEnd w:id="967"/>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الحائل</w:t>
      </w:r>
      <w:r>
        <w:rPr>
          <w:rStyle w:val="FootnoteAnchor"/>
          <w:rtl w:val="true"/>
        </w:rPr>
        <w:footnoteReference w:id="1291"/>
      </w:r>
      <w:r>
        <w:rPr>
          <w:rFonts w:ascii="IRNazanin" w:hAnsi="IRNazanin" w:eastAsia="IRNazanin"/>
          <w:color w:val="111111"/>
          <w:sz w:val="28"/>
          <w:sz w:val="28"/>
          <w:szCs w:val="28"/>
          <w:rtl w:val="true"/>
          <w:lang w:bidi="fa-IR"/>
        </w:rPr>
        <w:t>بین الماسح والممسوح</w:t>
      </w:r>
      <w:r>
        <w:rPr>
          <w:rStyle w:val="FootnoteAnchor"/>
          <w:rtl w:val="true"/>
        </w:rPr>
        <w:footnoteReference w:id="1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الاظهر عدم اعتبار طهارتهما ما لم تکن النجاسة حائلة أو متعدّیة إلی ما یتیمّم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4"/>
        <w:numPr>
          <w:ilvl w:val="3"/>
          <w:numId w:val="1"/>
        </w:numPr>
        <w:rPr/>
      </w:pPr>
      <w:bookmarkStart w:id="968" w:name="__RefHeading___Toc1764252_2322387425"/>
      <w:bookmarkStart w:id="969" w:name="_Toc359"/>
      <w:bookmarkEnd w:id="968"/>
      <w:r>
        <w:rPr>
          <w:rtl w:val="true"/>
        </w:rPr>
        <w:t>السابع</w:t>
      </w:r>
      <w:r>
        <w:rPr>
          <w:rtl w:val="true"/>
        </w:rPr>
        <w:t xml:space="preserve">: </w:t>
      </w:r>
      <w:r>
        <w:rPr>
          <w:rtl w:val="true"/>
        </w:rPr>
        <w:t>طهارة الماسح والمسوح مع الاختیار</w:t>
      </w:r>
      <w:bookmarkEnd w:id="969"/>
    </w:p>
    <w:p>
      <w:pPr>
        <w:pStyle w:val="BookText"/>
        <w:rPr/>
      </w:pPr>
      <w:r>
        <w:rPr>
          <w:rFonts w:ascii="IRNazanin" w:hAnsi="IRNazanin" w:eastAsia="IRNazanin"/>
          <w:color w:val="111111"/>
          <w:sz w:val="28"/>
          <w:sz w:val="28"/>
          <w:szCs w:val="28"/>
          <w:rtl w:val="true"/>
          <w:lang w:bidi="fa-IR"/>
        </w:rPr>
        <w:t>السابع</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الماسح</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والأقوی عدم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970" w:name="pg13276_136939"/>
    </w:p>
    <w:p>
      <w:pPr>
        <w:pStyle w:val="BookText"/>
        <w:rPr/>
      </w:pPr>
      <w:bookmarkEnd w:id="970"/>
      <w:r>
        <w:rPr>
          <w:rFonts w:ascii="IRNazanin" w:hAnsi="IRNazanin" w:eastAsia="IRNazanin"/>
          <w:color w:val="111111"/>
          <w:sz w:val="28"/>
          <w:sz w:val="28"/>
          <w:szCs w:val="28"/>
          <w:rtl w:val="true"/>
          <w:lang w:bidi="fa-IR"/>
        </w:rPr>
        <w:t>والممسوح</w:t>
      </w:r>
      <w:r>
        <w:rPr>
          <w:rStyle w:val="FootnoteAnchor"/>
          <w:rtl w:val="true"/>
        </w:rPr>
        <w:footnoteReference w:id="1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أیضا، وإن کان هو الأحوط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عدم اشتراطها لایخلو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مراعاة أن لاتسری النجاسة إلی ما یتیمّم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اعتبارها فیهما، وان کان الاحتیاط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1764254_2322387425"/>
      <w:bookmarkStart w:id="972" w:name="_Toc360"/>
      <w:bookmarkEnd w:id="971"/>
      <w:r>
        <w:rPr>
          <w:rtl w:val="true"/>
        </w:rPr>
        <w:t>لو بقی فی الممسوح ما لم یمسح علیه</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من الممسوح ما لم یمسح علیه ولو کان جزءاً یسیراً بطل</w:t>
      </w:r>
      <w:r>
        <w:rPr>
          <w:rStyle w:val="FootnoteAnchor"/>
          <w:rtl w:val="true"/>
        </w:rPr>
        <w:footnoteReference w:id="1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التدارک مع حفظ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لم تفتِ الموالاة وجب تدارکه وصحّ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فوات الموالاة، وإلاّ فیمسح ذلک الجزء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عمداً کان أو سهواً أو جهلاً، لکن قد مرّ أ نّه لا یلزم المداقّة والتعمیق</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764256_2322387425"/>
      <w:bookmarkStart w:id="974" w:name="_Toc361"/>
      <w:bookmarkEnd w:id="973"/>
      <w:r>
        <w:rPr>
          <w:rtl w:val="true"/>
        </w:rPr>
        <w:t>مسح اللحم الزائد</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محلّ المسح لحم</w:t>
      </w:r>
      <w:r>
        <w:rPr>
          <w:rStyle w:val="FootnoteAnchor"/>
          <w:rtl w:val="true"/>
        </w:rPr>
        <w:footnoteReference w:id="1297"/>
      </w:r>
      <w:r>
        <w:rPr>
          <w:rFonts w:ascii="IRNazanin" w:hAnsi="IRNazanin" w:eastAsia="IRNazanin"/>
          <w:color w:val="111111"/>
          <w:sz w:val="28"/>
          <w:sz w:val="28"/>
          <w:szCs w:val="28"/>
          <w:rtl w:val="true"/>
          <w:lang w:bidi="fa-IR"/>
        </w:rPr>
        <w:t>زائد یجب مسحه أیضاً</w:t>
      </w:r>
      <w:r>
        <w:rPr>
          <w:rStyle w:val="FootnoteAnchor"/>
          <w:rtl w:val="true"/>
        </w:rPr>
        <w:footnoteReference w:id="1298"/>
      </w:r>
      <w:r>
        <w:rPr>
          <w:rFonts w:ascii="IRNazanin" w:hAnsi="IRNazanin" w:eastAsia="IRNazanin"/>
          <w:color w:val="111111"/>
          <w:sz w:val="28"/>
          <w:sz w:val="28"/>
          <w:szCs w:val="28"/>
          <w:rtl w:val="true"/>
          <w:lang w:bidi="fa-IR"/>
        </w:rPr>
        <w:t>، وإذا کانت ید زائدة فالحکم فیها کما مرّ فی الوضوء</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محلّ المسح</w:t>
      </w:r>
      <w:r>
        <w:rPr>
          <w:rStyle w:val="FootnoteAnchor"/>
          <w:rtl w:val="true"/>
        </w:rPr>
        <w:footnoteReference w:id="1300"/>
      </w:r>
      <w:r>
        <w:rPr>
          <w:rFonts w:ascii="IRNazanin" w:hAnsi="IRNazanin" w:eastAsia="IRNazanin"/>
          <w:color w:val="111111"/>
          <w:sz w:val="28"/>
          <w:sz w:val="28"/>
          <w:szCs w:val="28"/>
          <w:rtl w:val="true"/>
          <w:lang w:bidi="fa-IR"/>
        </w:rPr>
        <w:t xml:space="preserve">شعر یکفی المسح </w:t>
      </w:r>
      <w:bookmarkStart w:id="975" w:name="pg13276_136940"/>
    </w:p>
    <w:p>
      <w:pPr>
        <w:pStyle w:val="BookText"/>
        <w:rPr/>
      </w:pPr>
      <w:bookmarkEnd w:id="975"/>
      <w:r>
        <w:rPr>
          <w:rFonts w:ascii="IRNazanin" w:hAnsi="IRNazanin" w:eastAsia="IRNazanin"/>
          <w:color w:val="111111"/>
          <w:sz w:val="28"/>
          <w:sz w:val="28"/>
          <w:szCs w:val="28"/>
          <w:rtl w:val="true"/>
          <w:lang w:bidi="fa-IR"/>
        </w:rPr>
        <w:t>علیه</w:t>
      </w:r>
      <w:r>
        <w:rPr>
          <w:rStyle w:val="FootnoteAnchor"/>
          <w:rtl w:val="true"/>
        </w:rPr>
        <w:footnoteReference w:id="1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خارجاً عن المتعارف،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المسح علیه وبین المسح علی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خارجا عن المتعارف، وإلاّ وجب إزالة المقدار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فی الجبهة بأن یکون منبته فیها، وأمّا إذا کان واقعاً علیها من الرأس فیجب رفعه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واحدا أو 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من الحائل</w:t>
      </w:r>
      <w:r>
        <w:rPr>
          <w:rFonts w:eastAsia="IRNazanin" w:cs="IRNazanin"/>
          <w:color w:val="111111"/>
          <w:sz w:val="28"/>
          <w:szCs w:val="28"/>
          <w:rtl w:val="true"/>
          <w:lang w:bidi="fa-IR"/>
        </w:rPr>
        <w:t>.</w:t>
      </w:r>
    </w:p>
    <w:p>
      <w:pPr>
        <w:pStyle w:val="Heading3"/>
        <w:numPr>
          <w:ilvl w:val="2"/>
          <w:numId w:val="1"/>
        </w:numPr>
        <w:rPr/>
      </w:pPr>
      <w:bookmarkStart w:id="976" w:name="__RefHeading___Toc1764258_2322387425"/>
      <w:bookmarkStart w:id="977" w:name="_Toc362"/>
      <w:bookmarkEnd w:id="976"/>
      <w:r>
        <w:rPr>
          <w:rtl w:val="true"/>
        </w:rPr>
        <w:t>حکم الجبیرة علی الماسح أو الممسوح</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الماسح</w:t>
      </w:r>
      <w:r>
        <w:rPr>
          <w:rStyle w:val="FootnoteAnchor"/>
          <w:rtl w:val="true"/>
        </w:rPr>
        <w:footnoteReference w:id="1302"/>
      </w:r>
      <w:r>
        <w:rPr>
          <w:rFonts w:ascii="IRNazanin" w:hAnsi="IRNazanin" w:eastAsia="IRNazanin"/>
          <w:color w:val="111111"/>
          <w:sz w:val="28"/>
          <w:sz w:val="28"/>
          <w:szCs w:val="28"/>
          <w:rtl w:val="true"/>
          <w:lang w:bidi="fa-IR"/>
        </w:rPr>
        <w:t>أو الممسوح جبیرة یکفی المسح</w:t>
      </w:r>
      <w:r>
        <w:rPr>
          <w:rStyle w:val="FootnoteAnchor"/>
          <w:rtl w:val="true"/>
        </w:rPr>
        <w:footnoteReference w:id="1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 باب الجبائر وأنّ الأحوط فی بعض الصّور الجمع، ففیما نحن فیه یجمع بین المسح المذکور فی المتن وبین المسح علی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یقتضی أن یأتی بالمسح فی الصورة المفروضة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الاستیعاب، ومع عدمه یکفی المسح بالباقی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أو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المسح علی الجبیرة وبها، وبین البشرة إن کان رفع الجبیرة ممکناً مع طهارة المحلّ، وبین التیمّم بظهر الکفّ مع عدم طهارته أو عدم إمکان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الترتیب بطل</w:t>
      </w:r>
      <w:r>
        <w:rPr>
          <w:rStyle w:val="FootnoteAnchor"/>
          <w:rtl w:val="true"/>
        </w:rPr>
        <w:footnoteReference w:id="13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تحصیله بإعادة بعض الأفعال مع بقاء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لجهل أو نسیان</w:t>
      </w:r>
      <w:r>
        <w:rPr>
          <w:rFonts w:eastAsia="IRNazanin" w:cs="IRNazanin"/>
          <w:color w:val="111111"/>
          <w:sz w:val="28"/>
          <w:szCs w:val="28"/>
          <w:rtl w:val="true"/>
          <w:lang w:bidi="fa-IR"/>
        </w:rPr>
        <w:t>.</w:t>
      </w:r>
      <w:bookmarkStart w:id="978" w:name="pg13276_136941"/>
    </w:p>
    <w:p>
      <w:pPr>
        <w:pStyle w:val="Heading3"/>
        <w:numPr>
          <w:ilvl w:val="2"/>
          <w:numId w:val="1"/>
        </w:numPr>
        <w:rPr/>
      </w:pPr>
      <w:bookmarkStart w:id="979" w:name="__RefHeading___Toc1764260_2322387425"/>
      <w:bookmarkStart w:id="980" w:name="_Toc363"/>
      <w:bookmarkEnd w:id="978"/>
      <w:bookmarkEnd w:id="979"/>
      <w:r>
        <w:rPr>
          <w:rtl w:val="true"/>
        </w:rPr>
        <w:t>جواز الاستنابة مع تعذر المباشرة</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الاستنابة</w:t>
      </w:r>
      <w:r>
        <w:rPr>
          <w:rStyle w:val="FootnoteAnchor"/>
          <w:rtl w:val="true"/>
        </w:rPr>
        <w:footnoteReference w:id="1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بالنسبة إلی الحکم الوضعی، وأمّا بالنسبة إلی الحکم التکلیفی فهو وجوب الاستنابة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تمکّن من المباشرة ولو بالاستعانة بغیره فی ضرب یدیه أو وضعهما علی ما یتیمّم به، ثمّ وضعهما علی جبهته ویدیه مع تصدّیه هو للمسح بهما تعیّن ذلک، وهو الّذی یتولّی النیّة حینئذٍ، وإن لم یتمکّن من المباشرة ولو بهذا النحو وجب علیه أن یطلب من غیره أن یُیَمِّمَهُ علی النحو المذکور فی المتن، والأحوط حینئذٍ أن یتولّی النیة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عدم إمکان المباشرة، فیضرب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النائب بید المنوب عنه، ویمسح بها وجهه ویدیه، وإن لم یمکن الضرب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الوضع بنفسه أو بمعونه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الوضع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وتعذر الوضع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وضع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وضع یده أیضاً متعذّراً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مع ذلک مسح جبهته ویدیه علی الأرض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یمکن وضع الید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الوضع ولو بمعونة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الوضع لید المریض علی ما یصح التیمّم به، ولو برفعه علی قطعة ووضع ید المریض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یمکن وضعها علی الأرض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أمکن الوضع فهو المتعیّن، وإلاّ فالأظهر أنّه فاقد الطَهورین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بید المیّت، ولا الوضع ولو بمعونة الغیر، وإلاّ کان مقدّماً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وضع یده مطلقا ولو بمعونة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فیضرب</w:t>
      </w:r>
      <w:bookmarkStart w:id="981" w:name="pg13276_136942"/>
    </w:p>
    <w:p>
      <w:pPr>
        <w:pStyle w:val="BookText"/>
        <w:rPr/>
      </w:pPr>
      <w:bookmarkEnd w:id="981"/>
      <w:r>
        <w:rPr>
          <w:rFonts w:ascii="IRNazanin" w:hAnsi="IRNazanin" w:eastAsia="IRNazanin"/>
          <w:color w:val="111111"/>
          <w:sz w:val="28"/>
          <w:sz w:val="28"/>
          <w:szCs w:val="28"/>
          <w:rtl w:val="true"/>
          <w:lang w:bidi="fa-IR"/>
        </w:rPr>
        <w:t>بیده</w:t>
      </w:r>
      <w:r>
        <w:rPr>
          <w:rStyle w:val="FootnoteAnchor"/>
          <w:rtl w:val="true"/>
        </w:rPr>
        <w:footnoteReference w:id="1306"/>
      </w:r>
      <w:r>
        <w:rPr>
          <w:rFonts w:ascii="IRNazanin" w:hAnsi="IRNazanin" w:eastAsia="IRNazanin"/>
          <w:color w:val="111111"/>
          <w:sz w:val="28"/>
          <w:sz w:val="28"/>
          <w:szCs w:val="28"/>
          <w:rtl w:val="true"/>
          <w:lang w:bidi="fa-IR"/>
        </w:rPr>
        <w:t>نفسه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1764262_2322387425"/>
      <w:bookmarkStart w:id="983" w:name="_Toc364"/>
      <w:bookmarkEnd w:id="982"/>
      <w:r>
        <w:rPr>
          <w:rtl w:val="true"/>
        </w:rPr>
        <w:t>حکم ما لو کان باطن الیدین نجساً</w:t>
      </w:r>
      <w:bookmarkEnd w:id="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باطن الیدین نجساً وجب تطهیره</w:t>
      </w:r>
      <w:r>
        <w:rPr>
          <w:rStyle w:val="FootnoteAnchor"/>
          <w:rtl w:val="true"/>
        </w:rPr>
        <w:footnoteReference w:id="1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اعتبار طهارة الماسح والممسوح، وبه یظهر الحال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984" w:name="pg13276_136943"/>
    </w:p>
    <w:p>
      <w:pPr>
        <w:pStyle w:val="BookText"/>
        <w:rPr/>
      </w:pPr>
      <w:bookmarkEnd w:id="984"/>
      <w:r>
        <w:rPr>
          <w:rFonts w:ascii="IRNazanin" w:hAnsi="IRNazanin" w:eastAsia="IRNazanin"/>
          <w:color w:val="111111"/>
          <w:sz w:val="28"/>
          <w:sz w:val="28"/>
          <w:szCs w:val="28"/>
          <w:rtl w:val="true"/>
          <w:lang w:bidi="fa-IR"/>
        </w:rPr>
        <w:t>وإلاّ سقط اعتبار طهارته</w:t>
      </w:r>
      <w:r>
        <w:rPr>
          <w:rStyle w:val="FootnoteAnchor"/>
          <w:rtl w:val="true"/>
        </w:rPr>
        <w:footnoteReference w:id="1309"/>
      </w:r>
      <w:r>
        <w:rPr>
          <w:rFonts w:ascii="IRNazanin" w:hAnsi="IRNazanin" w:eastAsia="IRNazanin"/>
          <w:color w:val="111111"/>
          <w:sz w:val="28"/>
          <w:sz w:val="28"/>
          <w:szCs w:val="28"/>
          <w:rtl w:val="true"/>
          <w:lang w:bidi="fa-IR"/>
        </w:rPr>
        <w:t>، ولا ینتقل</w:t>
      </w:r>
      <w:r>
        <w:rPr>
          <w:rStyle w:val="FootnoteAnchor"/>
          <w:rtl w:val="true"/>
        </w:rPr>
        <w:footnoteReference w:id="1310"/>
      </w:r>
      <w:r>
        <w:rPr>
          <w:rFonts w:ascii="IRNazanin" w:hAnsi="IRNazanin" w:eastAsia="IRNazanin"/>
          <w:color w:val="111111"/>
          <w:sz w:val="28"/>
          <w:sz w:val="28"/>
          <w:szCs w:val="28"/>
          <w:rtl w:val="true"/>
          <w:lang w:bidi="fa-IR"/>
        </w:rPr>
        <w:t>إلی الظاهر</w:t>
      </w:r>
      <w:r>
        <w:rPr>
          <w:rStyle w:val="FootnoteAnchor"/>
          <w:rtl w:val="true"/>
        </w:rPr>
        <w:footnoteReference w:id="1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بضرب الباطن والظاهر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التیمّم بالظاهر والباطن، وکذلک فیما إذا کانت نجاسة مسریة فی باطن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بالجمع بین المسح علی الباطن والظاهر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کانت نجاسته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حینئذٍ الجمع بین التیمّم بالظاهر والباطن مع تقدیم التیمّم بالظاهر، إن کان ما یتیمّم به منحصراً فی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یتیمّم به ولم یمکن تجفیفه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فیتیمّم بالظاهر أوّلاً ثمّ یحتاط بتیمّمٍ آخر بالباطن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764264_2322387425"/>
      <w:bookmarkStart w:id="986" w:name="_Toc365"/>
      <w:bookmarkEnd w:id="985"/>
      <w:r>
        <w:rPr>
          <w:rtl w:val="true"/>
        </w:rPr>
        <w:t>حکم الأقطع فی التیمّم</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w:t>
      </w:r>
      <w:r>
        <w:rPr>
          <w:rStyle w:val="FootnoteAnchor"/>
          <w:rtl w:val="true"/>
        </w:rPr>
        <w:footnoteReference w:id="1312"/>
      </w:r>
      <w:r>
        <w:rPr>
          <w:rFonts w:ascii="IRNazanin" w:hAnsi="IRNazanin" w:eastAsia="IRNazanin"/>
          <w:color w:val="111111"/>
          <w:sz w:val="28"/>
          <w:sz w:val="28"/>
          <w:szCs w:val="28"/>
          <w:rtl w:val="true"/>
          <w:lang w:bidi="fa-IR"/>
        </w:rPr>
        <w:t>بإحدی الیدین یکتفی</w:t>
      </w:r>
      <w:r>
        <w:rPr>
          <w:rStyle w:val="FootnoteAnchor"/>
          <w:rtl w:val="true"/>
        </w:rPr>
        <w:footnoteReference w:id="1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الأقطع أن یجمع بین المحتملات، فأقطع الید الواحدة یضرب الأرض بیده الموجودة وبذراع یده المقطوعة ویمسح بهما جبهته، ثمّ یمسح بالید الموجودة وحدها جبهته، وله أن یقدّم أیّ المَسحَین شاء، ثمّ یمسح بباطن الذراع علی ظهر الید الموجودة، وبالید الموجودة علی ظهر الذراع، مقدّماً للأیمن منهما علی الأیسر، ثمّ یمسح ظهر الید الموجودة علی الأرض، ثمّ یعید تیمّمه مع الاستنابة کما هو مذکور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وأقطع الیدین یمسح جبهته علی الأرض، ثمّ یضرب بباطن ذراعیه علی الأرض ویمسح بهما جبهته، ویمسح بباطن ذراعیه الأیسر علی ظهر الأیمن، وبالأیمن الأیسر، ثمّ یتیمّم مع الاستنابة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الصناعة سقوط التیمّم، ودخول المکلّف تحت عنوان فاقد الطَهورین فی الصورتین،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بضرب</w:t>
      </w:r>
    </w:p>
    <w:p>
      <w:pPr>
        <w:pStyle w:val="BookText"/>
        <w:rPr/>
      </w:pPr>
      <w:r>
        <w:rPr>
          <w:rFonts w:ascii="Amiri" w:hAnsi="Amiri" w:eastAsia="Amiri" w:cs="Amiri"/>
          <w:color w:val="111111"/>
          <w:sz w:val="28"/>
          <w:sz w:val="28"/>
          <w:szCs w:val="28"/>
          <w:rtl w:val="true"/>
          <w:lang w:bidi="ar-SA"/>
        </w:rPr>
        <w:t>الاُخری</w:t>
      </w:r>
      <w:r>
        <w:rPr>
          <w:rStyle w:val="FootnoteAnchor"/>
          <w:rtl w:val="true"/>
        </w:rPr>
        <w:footnoteReference w:id="1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محتملات التکلیف من الاحتمالین المذکورین فی المتن، وبین التیمّم بالذراع علی فرض وجودها، وغیره من الوجوه، فلا یترک الاحتیاط برعایته إلی حدٍّ لا یوجب العسر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بالجمع بین ذلک وبین الاستنابة، والضرب بالذراع بدلاً عن الکفّ المقطوعة، وکذا أقطع الیدین یحتاط بالجمع بین ضرب ذراعیه ومسح الجبهة بهما، والاستنابة، ومسح الجبهة بالأرض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 تقوم الذراع مقام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ذکره تامّ إذا کان القطع من المرفق، ومنه یظهر حکم أقطع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ومسح الجبهة بها، ثمّ مسح ظهرها بالأرض،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الاحتیاط الکامل الجمع بین مسح تمام الجبهة بالید الموجودة وبین مسحه بها وبید واحدة للنائب، کما أنّ مقتضاه الجمع بین مسح ظهر الید الموجودة علی الأرض وبین مسح النائب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یکن له ذراع، وأمّا مع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مقطوع الأصابع فقط فلا یبعد الاکتفاء بالمقدار الباقی من الکفّ، وإن کان مقطوع الکفّ فالظاهر قیام الذراع مقامه فی المسح علی الجبهة، ودونه فی الظهور قیامه مقامه فی المسح علی ظهرها أیضا، ومنه یُعلم الحکم فی مقطوع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الاستنابة</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له ذراع، أو لم یتمکّن من التیمّم بها وعلیها، وإلاّ فلایترک الاحتیاط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جمیع المحتملات ممّا ذکره فی المتن، والتیمّم بالذراع من الید المقطوعة إن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له ذراع، وإلاّ فهو مقدّم علی الاستنابة، بل لا یُترک الاحتیاط بالمسح به وعلیه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بینهما وبین التیمّم بالذراع من الید المقطوعة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إضافة التیمّم بالذراع فی الفرع الأول، وبالاستنابة فی الفرع الثانی،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الاحتیاطات المذکورة فی هذه المسألة الناشئة من الاحتمالات الموجودة فیها ـ لأجل عدم ورود دلیل خاص فی الأقطع ـ ضعیفة، مثل احتیاط بعض العلماء بالجمع بین مسح ظاهرها وبین التیمّم بالذراع بدل الید المقطوعة مع الید الموجودة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للید المقطوعة، فیضرب بیده الموجودة مع یدٍ واحدة</w:t>
      </w:r>
      <w:bookmarkStart w:id="987" w:name="pg13276_136946"/>
    </w:p>
    <w:p>
      <w:pPr>
        <w:pStyle w:val="BookText"/>
        <w:rPr/>
      </w:pPr>
      <w:bookmarkEnd w:id="987"/>
      <w:r>
        <w:rPr>
          <w:rFonts w:ascii="IRNazanin" w:hAnsi="IRNazanin" w:eastAsia="IRNazanin"/>
          <w:color w:val="111111"/>
          <w:sz w:val="28"/>
          <w:sz w:val="28"/>
          <w:szCs w:val="28"/>
          <w:rtl w:val="true"/>
          <w:lang w:bidi="fa-IR"/>
        </w:rPr>
        <w:t>للنائب</w:t>
      </w:r>
      <w:r>
        <w:rPr>
          <w:rStyle w:val="FootnoteAnchor"/>
          <w:rtl w:val="true"/>
        </w:rPr>
        <w:footnoteReference w:id="1316"/>
      </w:r>
      <w:r>
        <w:rPr>
          <w:rFonts w:ascii="IRNazanin" w:hAnsi="IRNazanin" w:eastAsia="IRNazanin"/>
          <w:color w:val="111111"/>
          <w:sz w:val="28"/>
          <w:sz w:val="28"/>
          <w:szCs w:val="28"/>
          <w:rtl w:val="true"/>
          <w:lang w:bidi="fa-IR"/>
        </w:rPr>
        <w:t>ویمسح بهما جبهته</w:t>
      </w:r>
      <w:r>
        <w:rPr>
          <w:rStyle w:val="FootnoteAnchor"/>
          <w:rtl w:val="true"/>
        </w:rPr>
        <w:footnoteReference w:id="1317"/>
      </w:r>
      <w:r>
        <w:rPr>
          <w:rFonts w:ascii="IRNazanin" w:hAnsi="IRNazanin" w:eastAsia="IRNazanin"/>
          <w:color w:val="111111"/>
          <w:sz w:val="28"/>
          <w:sz w:val="28"/>
          <w:szCs w:val="28"/>
          <w:rtl w:val="true"/>
          <w:lang w:bidi="fa-IR"/>
        </w:rPr>
        <w:t>، ویمسح النائب ظهر یده الموجودة، والأحوط مسح ظهرها</w:t>
      </w:r>
      <w:r>
        <w:rPr>
          <w:rStyle w:val="FootnoteAnchor"/>
          <w:rtl w:val="true"/>
        </w:rPr>
        <w:footnoteReference w:id="1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الأرض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أقطع الیدین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فیمسح بجبهته علی الارض، والأحوط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الاستنابة أیضاً لمسح الجبهة والذراعین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بینه وبین ضرب ذراعیه والمسح بهما وعلیهما</w:t>
      </w:r>
      <w:r>
        <w:rPr>
          <w:rFonts w:eastAsia="IRNazanin" w:cs="IRNazanin"/>
          <w:color w:val="111111"/>
          <w:sz w:val="28"/>
          <w:szCs w:val="28"/>
          <w:rtl w:val="true"/>
          <w:lang w:bidi="fa-IR"/>
        </w:rPr>
        <w:t>.</w:t>
      </w:r>
    </w:p>
    <w:p>
      <w:pPr>
        <w:pStyle w:val="Heading3"/>
        <w:numPr>
          <w:ilvl w:val="2"/>
          <w:numId w:val="1"/>
        </w:numPr>
        <w:rPr/>
      </w:pPr>
      <w:bookmarkStart w:id="988" w:name="__RefHeading___Toc1764266_2322387425"/>
      <w:bookmarkStart w:id="989" w:name="_Toc366"/>
      <w:bookmarkEnd w:id="988"/>
      <w:r>
        <w:rPr>
          <w:rtl w:val="true"/>
        </w:rPr>
        <w:t>لو کان علی الباطن نجاسة لها جرم ولا یمکن إزالتها</w:t>
      </w:r>
      <w:bookmarkEnd w:id="98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الباطن نجاسة لها جرم یُعدّ حائلاً ولم یمکن إزالتها فالأحوط</w:t>
      </w:r>
      <w:r>
        <w:rPr>
          <w:rStyle w:val="FootnoteAnchor"/>
          <w:rtl w:val="true"/>
        </w:rPr>
        <w:footnoteReference w:id="1319"/>
      </w:r>
      <w:r>
        <w:rPr>
          <w:rFonts w:ascii="IRNazanin" w:hAnsi="IRNazanin" w:eastAsia="IRNazanin"/>
          <w:color w:val="111111"/>
          <w:sz w:val="28"/>
          <w:sz w:val="28"/>
          <w:szCs w:val="28"/>
          <w:rtl w:val="true"/>
          <w:lang w:bidi="fa-IR"/>
        </w:rPr>
        <w:t>الجمع بین الضرب به</w:t>
      </w:r>
      <w:r>
        <w:rPr>
          <w:rStyle w:val="FootnoteAnchor"/>
          <w:rtl w:val="true"/>
        </w:rPr>
        <w:footnoteReference w:id="1320"/>
      </w:r>
      <w:r>
        <w:rPr>
          <w:rFonts w:ascii="IRNazanin" w:hAnsi="IRNazanin" w:eastAsia="IRNazanin"/>
          <w:color w:val="111111"/>
          <w:sz w:val="28"/>
          <w:sz w:val="28"/>
          <w:szCs w:val="28"/>
          <w:rtl w:val="true"/>
          <w:lang w:bidi="fa-IR"/>
        </w:rPr>
        <w:t>والمسح به</w:t>
      </w:r>
      <w:r>
        <w:rPr>
          <w:rStyle w:val="FootnoteAnchor"/>
          <w:rtl w:val="true"/>
        </w:rPr>
        <w:footnoteReference w:id="1321"/>
      </w:r>
      <w:r>
        <w:rPr>
          <w:rFonts w:ascii="IRNazanin" w:hAnsi="IRNazanin" w:eastAsia="IRNazanin"/>
          <w:color w:val="111111"/>
          <w:sz w:val="28"/>
          <w:sz w:val="28"/>
          <w:szCs w:val="28"/>
          <w:rtl w:val="true"/>
          <w:lang w:bidi="fa-IR"/>
        </w:rPr>
        <w:t>، والضرب بالظاهر والمسح به</w:t>
      </w:r>
      <w:r>
        <w:rPr>
          <w:rFonts w:eastAsia="IRNazanin" w:cs="IRNazanin"/>
          <w:color w:val="111111"/>
          <w:sz w:val="28"/>
          <w:szCs w:val="28"/>
          <w:rtl w:val="true"/>
          <w:lang w:bidi="fa-IR"/>
        </w:rPr>
        <w:t xml:space="preserve">. </w:t>
      </w:r>
      <w:bookmarkStart w:id="990" w:name="pg13276_136947"/>
    </w:p>
    <w:p>
      <w:pPr>
        <w:pStyle w:val="Heading3"/>
        <w:numPr>
          <w:ilvl w:val="2"/>
          <w:numId w:val="1"/>
        </w:numPr>
        <w:rPr/>
      </w:pPr>
      <w:bookmarkStart w:id="991" w:name="__RefHeading___Toc1764268_2322387425"/>
      <w:bookmarkStart w:id="992" w:name="_Toc367"/>
      <w:bookmarkEnd w:id="990"/>
      <w:bookmarkEnd w:id="991"/>
      <w:r>
        <w:rPr>
          <w:rtl w:val="true"/>
        </w:rPr>
        <w:t>الخاتم حائل یجب نزعه</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حائل</w:t>
      </w:r>
      <w:r>
        <w:rPr>
          <w:rStyle w:val="FootnoteAnchor"/>
          <w:rtl w:val="true"/>
        </w:rPr>
        <w:footnoteReference w:id="1322"/>
      </w:r>
      <w:r>
        <w:rPr>
          <w:rFonts w:ascii="IRNazanin" w:hAnsi="IRNazanin" w:eastAsia="IRNazanin"/>
          <w:color w:val="111111"/>
          <w:sz w:val="28"/>
          <w:sz w:val="28"/>
          <w:szCs w:val="28"/>
          <w:rtl w:val="true"/>
          <w:lang w:bidi="fa-IR"/>
        </w:rPr>
        <w:t>فیجب نزعه</w:t>
      </w:r>
      <w:r>
        <w:rPr>
          <w:rStyle w:val="FootnoteAnchor"/>
          <w:rtl w:val="true"/>
        </w:rPr>
        <w:footnoteReference w:id="1323"/>
      </w:r>
      <w:r>
        <w:rPr>
          <w:rFonts w:ascii="Amiri" w:hAnsi="Amiri" w:eastAsia="Amiri" w:cs="Amiri"/>
          <w:color w:val="111111"/>
          <w:sz w:val="28"/>
          <w:sz w:val="28"/>
          <w:szCs w:val="28"/>
          <w:rtl w:val="true"/>
          <w:lang w:bidi="ar-SA"/>
        </w:rPr>
        <w:t>حال التیمّم</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1764270_2322387425"/>
      <w:bookmarkStart w:id="994" w:name="_Toc368"/>
      <w:bookmarkEnd w:id="993"/>
      <w:r>
        <w:rPr>
          <w:rtl w:val="true"/>
        </w:rPr>
        <w:t>تعیین المبدل عنه ولو إجمالاً عند تعدّد التیمّم</w:t>
      </w:r>
      <w:bookmarkEnd w:id="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تعیین المبدل منه</w:t>
      </w:r>
      <w:r>
        <w:rPr>
          <w:rStyle w:val="FootnoteAnchor"/>
          <w:rtl w:val="true"/>
        </w:rPr>
        <w:footnoteReference w:id="1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قصد ما هو الواجب فعلاً، وهذا المقدار کافٍ فی التعیین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ما علیه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بدلیة التیمّم عن الوضوء، أو الغسل، أو عن مجموعهما من الاُمور القهریة، لا من العناوین القصدیّة، فلا یجب قصدها فضلاً عن تعیین المبدل منه، نعم، فی مورد الإتیان بتیمّمین بدلاً عن الغسل والوضوء ـ إمّا لزوما أو من باب الاحتیاط ـ لابدّ من الممیّز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بالمَیز الخارجی المبحوث عنه فی المسألة الثامنة عشرة، أو بالمَیز القصدی، ولکن لاینحصر فی قصد المبدل منه، بل یکفی التمییز من ناحیة الموجب أو الغایة إن أمکن، وإلاّ فیتعّین التمییز من ناحیة تعیین المبدل منه، کما هو الحال فی المستحاضة المتوسّطة بناءً علی وجوب غسل واحد علیها مضافا إلی الوضوء، کما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تعیین قصد البدلیة، فیکفی قصد رفع الحدث الأصغر والأکبر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اتّحاد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قصد ما علیه یتعیّن إجمالاً إذا لم یکن علیه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ویکفی فیه قصد ما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قصد الأمر المتوجّه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ولو بنحو الإجمال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بدلیلة التیمّم لزوم تعّین المبدل، واحداً کان أم متعدّداً، غایة الأمر عند الوحدة یکفی قصد الأمر المتوجّه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فیقصد امتثال الأمر المتوجّه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w:t>
      </w:r>
      <w:bookmarkStart w:id="995" w:name="pg13276_136948"/>
    </w:p>
    <w:p>
      <w:pPr>
        <w:pStyle w:val="BookText"/>
        <w:rPr/>
      </w:pPr>
      <w:bookmarkEnd w:id="995"/>
      <w:r>
        <w:rPr>
          <w:rFonts w:ascii="IRNazanin" w:hAnsi="IRNazanin" w:eastAsia="IRNazanin"/>
          <w:color w:val="111111"/>
          <w:sz w:val="28"/>
          <w:sz w:val="28"/>
          <w:szCs w:val="28"/>
          <w:rtl w:val="true"/>
          <w:lang w:bidi="fa-IR"/>
        </w:rPr>
        <w:t>مع التعدّد کالحائض والنفساء فیجب تعیینه</w:t>
      </w:r>
      <w:r>
        <w:rPr>
          <w:rStyle w:val="FootnoteAnchor"/>
          <w:rtl w:val="true"/>
        </w:rPr>
        <w:footnoteReference w:id="1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اقتضاء الإطلاقات، بل الاُصول وحدة حقیقة التیمّم فی بدل الغسل، والوضوء لایحتاج إلی قصد التعیین فی بدلیّته عن أیّ واحد ما لم ینتهِ إلی الإخلال بالقربة ولو بتشریعه فی أمره، وإلاّ فلا بأس فی تطبیقه کما أشرنا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وحدة الأمر لا توجب عدم اعتبار التعیین، غایة الأمر أ نّه یمکن معها التعیین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صحة التیمّم إتیانه بقصد القربة فی مورد مشروعیته، ولا یعتبر فیه قصد البدلیة، ولا تعیین المبدل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بالإجمال</w:t>
      </w:r>
      <w:r>
        <w:rPr>
          <w:rFonts w:eastAsia="IRNazanin" w:cs="IRNazanin"/>
          <w:color w:val="111111"/>
          <w:sz w:val="28"/>
          <w:szCs w:val="28"/>
          <w:rtl w:val="true"/>
          <w:lang w:bidi="fa-IR"/>
        </w:rPr>
        <w:t>.</w:t>
      </w:r>
    </w:p>
    <w:p>
      <w:pPr>
        <w:pStyle w:val="Heading3"/>
        <w:numPr>
          <w:ilvl w:val="2"/>
          <w:numId w:val="1"/>
        </w:numPr>
        <w:rPr/>
      </w:pPr>
      <w:bookmarkStart w:id="996" w:name="__RefHeading___Toc1764272_2322387425"/>
      <w:bookmarkStart w:id="997" w:name="_Toc369"/>
      <w:bookmarkEnd w:id="996"/>
      <w:r>
        <w:rPr>
          <w:rtl w:val="true"/>
        </w:rPr>
        <w:t>کفایة قصد ما فی الذمّة من الغایات</w:t>
      </w:r>
      <w:bookmarkEnd w:id="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اتّحاد الغایة لا یجب تعیینها</w:t>
      </w:r>
      <w:r>
        <w:rPr>
          <w:rStyle w:val="FootnoteAnchor"/>
          <w:rtl w:val="true"/>
        </w:rPr>
        <w:footnoteReference w:id="1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إذ الامتثال بعنوان الوجوب الغیری لا یتحقّق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قصد الأمر المتوجّه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لابدّ له من قصده ولو إجمالاً بأن یقصد ما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التعیین مطلقا؛ لعدم الدلیل علی دخالة قصد الغایة فی قوام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 قصد الغایة فی التیمّم هو الکلام فیه فی الوضوء، وقد تقدّم فی التعلیق علی المسألة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الوضوء ما ینفع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 التعدّد یجوز</w:t>
      </w:r>
      <w:bookmarkStart w:id="998" w:name="pg13276_136949"/>
    </w:p>
    <w:p>
      <w:pPr>
        <w:pStyle w:val="BookText"/>
        <w:rPr/>
      </w:pPr>
      <w:bookmarkEnd w:id="998"/>
      <w:r>
        <w:rPr>
          <w:rFonts w:ascii="IRNazanin" w:hAnsi="IRNazanin" w:eastAsia="IRNazanin"/>
          <w:color w:val="111111"/>
          <w:sz w:val="28"/>
          <w:sz w:val="28"/>
          <w:szCs w:val="28"/>
          <w:rtl w:val="true"/>
          <w:lang w:bidi="fa-IR"/>
        </w:rPr>
        <w:t>قصد الجمیع، ویجوز قصد ما فی الذمّة</w:t>
      </w:r>
      <w:r>
        <w:rPr>
          <w:rStyle w:val="FootnoteAnchor"/>
          <w:rtl w:val="true"/>
        </w:rPr>
        <w:footnoteReference w:id="1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ینطبق إجمالاً علی الجمیع، وأمّا قصد المردّد من حیث هو ففی صحّته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یقصد جمیع ما فی الذمّة إجمالاً، أو یقصد الواحدة مع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یشمل الجمیع، أمّا قصد ما فی الذمّة علی التردید فلایجزی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یجوز قصد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 فیجزی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مسوّغ التیمّم مختصّاً بتلک الواحدة، کما سیأتی فی المسألة التاسعة من الفصل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بدل الوضوء، وأمّا بدل الغسل ففیه التفصیل المتقدّم فی المسألة الخامسة عشرة من أحکام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1764274_2322387425"/>
      <w:bookmarkStart w:id="1000" w:name="_Toc370"/>
      <w:bookmarkEnd w:id="999"/>
      <w:r>
        <w:rPr>
          <w:rtl w:val="true"/>
        </w:rPr>
        <w:t>حکم ما لو قصد غایة فانکشف عدمها أو غیرها</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غایة فتبیّن عدمها بطل</w:t>
      </w:r>
      <w:r>
        <w:rPr>
          <w:rStyle w:val="FootnoteAnchor"/>
          <w:rtl w:val="true"/>
        </w:rPr>
        <w:footnoteReference w:id="13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صحّ؛ فإنّ الأظهر أنّ التیمّم محبوبٌ نفساً، وکذا صحّ فی الفرضین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تبیّن غیرها صحّ</w:t>
      </w:r>
    </w:p>
    <w:p>
      <w:pPr>
        <w:pStyle w:val="BookText"/>
        <w:rPr/>
      </w:pPr>
      <w:r>
        <w:rPr>
          <w:rFonts w:ascii="IRNazanin" w:hAnsi="IRNazanin" w:eastAsia="IRNazanin"/>
          <w:color w:val="111111"/>
          <w:sz w:val="28"/>
          <w:sz w:val="28"/>
          <w:szCs w:val="28"/>
          <w:rtl w:val="true"/>
          <w:lang w:bidi="fa-IR"/>
        </w:rPr>
        <w:t>له إذا کان الاشتباه</w:t>
      </w:r>
      <w:r>
        <w:rPr>
          <w:rStyle w:val="FootnoteAnchor"/>
          <w:rtl w:val="true"/>
        </w:rPr>
        <w:footnoteReference w:id="1330"/>
      </w:r>
      <w:r>
        <w:rPr>
          <w:rFonts w:ascii="IRNazanin" w:hAnsi="IRNazanin" w:eastAsia="IRNazanin"/>
          <w:color w:val="111111"/>
          <w:sz w:val="28"/>
          <w:sz w:val="28"/>
          <w:szCs w:val="28"/>
          <w:rtl w:val="true"/>
          <w:lang w:bidi="fa-IR"/>
        </w:rPr>
        <w:t>فی التطبیق</w:t>
      </w:r>
      <w:r>
        <w:rPr>
          <w:rStyle w:val="FootnoteAnchor"/>
          <w:rtl w:val="true"/>
        </w:rPr>
        <w:footnoteReference w:id="1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توصیف ما یجب علیه فی نفس الأمر بعد أن کان قاصدا لامتثاله، وإلاّ فالأحوط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معناه وجود الداعی للغیر، وهکذا بالنسبة إلی الخطأ فی التطبیق فی المسألة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وبطل 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المسألة الآتیة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لا أثر للتقیید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أیضا؛ لأنّ المفروض إتیانه بقصد القربة، والتقیید بغایةٍ لا أثر له فی البطلان إذا تبیّن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نظیر المسألة أنّه یمکن القول بالصحّة إذا فرض تحقّق قصد القربة، وتبیُّن عدم الغایةِ المقصودة لا یضرّ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کما مرّ،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w:t>
      </w:r>
      <w:r>
        <w:rPr>
          <w:rStyle w:val="FootnoteAnchor"/>
          <w:rtl w:val="true"/>
        </w:rPr>
        <w:footnoteReference w:id="1332"/>
      </w:r>
      <w:r>
        <w:rPr>
          <w:rFonts w:ascii="IRNazanin" w:hAnsi="IRNazanin" w:eastAsia="IRNazanin"/>
          <w:color w:val="111111"/>
          <w:sz w:val="28"/>
          <w:sz w:val="28"/>
          <w:szCs w:val="28"/>
          <w:rtl w:val="true"/>
          <w:lang w:bidi="fa-IR"/>
        </w:rPr>
        <w:t>کونه محدِثاً بالأصغر فقصد البدلیّة عن الوضوء فتبیّن أ نّه محدث بالأکبر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وجه التقیید</w:t>
      </w:r>
      <w:r>
        <w:rPr>
          <w:rStyle w:val="FootnoteAnchor"/>
          <w:rtl w:val="true"/>
        </w:rPr>
        <w:footnoteReference w:id="1333"/>
      </w:r>
      <w:r>
        <w:rPr>
          <w:rFonts w:ascii="IRNazanin" w:hAnsi="IRNazanin" w:eastAsia="IRNazanin"/>
          <w:color w:val="111111"/>
          <w:sz w:val="28"/>
          <w:sz w:val="28"/>
          <w:szCs w:val="28"/>
          <w:rtl w:val="true"/>
          <w:lang w:bidi="fa-IR"/>
        </w:rPr>
        <w:t>بطل</w:t>
      </w:r>
      <w:r>
        <w:rPr>
          <w:rStyle w:val="FootnoteAnchor"/>
          <w:rtl w:val="true"/>
        </w:rPr>
        <w:footnoteReference w:id="1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بطلانه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یمکن القول بالصحّة ولو علی التقیید، هذا علی فرض تساوی ما هو بدل عن الوضوء مع ما هو بدل عن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فی جمیع الصور هو الأقوی، لما مرّ فی المسائل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هذا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کما تقدّم فی المسألة السابقة، بناءً علی تساوی بدل الوضوء مع ما هو بدل عن الغسل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بحث النیة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صحة العبادة کونها محبوبة للّه فی الواقع مقروناً بقصد التقرب إلیه تعالی، فإذا حصل هذا الملاک فلا یضرّ التقیّد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إذا لم یُخِلَّ بقصد القربة، وأمّا قصد البدلیة فلا أثر له، کما مرّ، وکذا الکلام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001" w:name="pg13276_136951"/>
    </w:p>
    <w:p>
      <w:pPr>
        <w:pStyle w:val="BookText"/>
        <w:rPr/>
      </w:pPr>
      <w:bookmarkEnd w:id="1001"/>
      <w:r>
        <w:rPr>
          <w:rFonts w:ascii="IRNazanin" w:hAnsi="IRNazanin" w:eastAsia="IRNazanin"/>
          <w:color w:val="111111"/>
          <w:sz w:val="28"/>
          <w:sz w:val="28"/>
          <w:szCs w:val="28"/>
          <w:rtl w:val="true"/>
          <w:lang w:bidi="fa-IR"/>
        </w:rPr>
        <w:t>وإن أتی به من باب الاشتباه</w:t>
      </w:r>
      <w:r>
        <w:rPr>
          <w:rStyle w:val="FootnoteAnchor"/>
          <w:rtl w:val="true"/>
        </w:rPr>
        <w:footnoteReference w:id="1335"/>
      </w:r>
      <w:r>
        <w:rPr>
          <w:rFonts w:ascii="IRNazanin" w:hAnsi="IRNazanin" w:eastAsia="IRNazanin"/>
          <w:color w:val="111111"/>
          <w:sz w:val="28"/>
          <w:sz w:val="28"/>
          <w:szCs w:val="28"/>
          <w:rtl w:val="true"/>
          <w:lang w:bidi="fa-IR"/>
        </w:rPr>
        <w:t>فی التطبیق</w:t>
      </w:r>
      <w:r>
        <w:rPr>
          <w:rStyle w:val="FootnoteAnchor"/>
          <w:rtl w:val="true"/>
        </w:rPr>
        <w:footnoteReference w:id="1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البطلان فی هذا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قصد ما فی الذمّة 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وکذا إذا اعتقد کونه جنباً فبان عدمه وأ نّه ماسّ للمیّت مثلاً</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1764276_2322387425"/>
      <w:bookmarkStart w:id="1003" w:name="_Toc371"/>
      <w:bookmarkEnd w:id="1002"/>
      <w:r>
        <w:rPr>
          <w:rtl w:val="true"/>
        </w:rPr>
        <w:t>شرطیّة إمرار الماسح علی الممسوح</w:t>
      </w:r>
      <w:bookmarkEnd w:id="1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الجبهة والیدین یجب إمرار الماسح</w:t>
      </w:r>
      <w:r>
        <w:rPr>
          <w:rStyle w:val="FootnoteAnchor"/>
          <w:rtl w:val="true"/>
        </w:rPr>
        <w:footnoteReference w:id="13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الممسوح</w:t>
      </w:r>
      <w:r>
        <w:rPr>
          <w:rStyle w:val="FootnoteAnchor"/>
          <w:rtl w:val="true"/>
        </w:rPr>
        <w:footnoteReference w:id="1338"/>
      </w:r>
      <w:r>
        <w:rPr>
          <w:rFonts w:ascii="IRNazanin" w:hAnsi="IRNazanin" w:eastAsia="IRNazanin"/>
          <w:color w:val="111111"/>
          <w:sz w:val="28"/>
          <w:sz w:val="28"/>
          <w:szCs w:val="28"/>
          <w:rtl w:val="true"/>
          <w:lang w:bidi="fa-IR"/>
        </w:rPr>
        <w:t>، فلا یکفی جَرّ الممسوح تحت الماسح، نعم، لا تضرّ الحرکة</w:t>
      </w:r>
      <w:r>
        <w:rPr>
          <w:rStyle w:val="FootnoteAnchor"/>
          <w:rtl w:val="true"/>
        </w:rPr>
        <w:footnoteReference w:id="1339"/>
      </w:r>
      <w:r>
        <w:rPr>
          <w:rFonts w:ascii="IRNazanin" w:hAnsi="IRNazanin" w:eastAsia="IRNazanin"/>
          <w:color w:val="111111"/>
          <w:sz w:val="28"/>
          <w:sz w:val="28"/>
          <w:szCs w:val="28"/>
          <w:rtl w:val="true"/>
          <w:lang w:bidi="fa-IR"/>
        </w:rPr>
        <w:t>الیسیرة فی الممسوح إذا صدق کونه ممسوحاً</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یده فی أثناء المسح ثمّ وضعها بلا فصل</w:t>
      </w:r>
      <w:r>
        <w:rPr>
          <w:rStyle w:val="FootnoteAnchor"/>
          <w:rtl w:val="true"/>
        </w:rPr>
        <w:footnoteReference w:id="1341"/>
      </w:r>
      <w:r>
        <w:rPr>
          <w:rFonts w:ascii="Amiri" w:hAnsi="Amiri" w:eastAsia="Amiri" w:cs="Amiri"/>
          <w:color w:val="111111"/>
          <w:sz w:val="28"/>
          <w:sz w:val="28"/>
          <w:szCs w:val="28"/>
          <w:rtl w:val="true"/>
          <w:lang w:bidi="ar-SA"/>
        </w:rPr>
        <w:t>وأتمّ</w:t>
      </w:r>
      <w:r>
        <w:rPr>
          <w:rStyle w:val="FootnoteAnchor"/>
          <w:rtl w:val="true"/>
        </w:rPr>
        <w:footnoteReference w:id="1342"/>
      </w:r>
      <w:r>
        <w:rPr>
          <w:rFonts w:ascii="IRNazanin" w:hAnsi="IRNazanin" w:eastAsia="IRNazanin"/>
          <w:color w:val="111111"/>
          <w:sz w:val="28"/>
          <w:sz w:val="28"/>
          <w:szCs w:val="28"/>
          <w:rtl w:val="true"/>
          <w:lang w:bidi="fa-IR"/>
        </w:rPr>
        <w:t>فالظاهر کفایته، وإن کان الأحوط</w:t>
      </w:r>
      <w:r>
        <w:rPr>
          <w:rStyle w:val="FootnoteAnchor"/>
          <w:rtl w:val="true"/>
        </w:rPr>
        <w:footnoteReference w:id="1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التیمّمات البیانیة لزوم الاتصال، فلا بدّ من رعایة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یعلم أ نّه محدِث بالأصغر أو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بأحدهما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w:t>
      </w:r>
      <w:r>
        <w:rPr>
          <w:rStyle w:val="FootnoteAnchor"/>
          <w:rtl w:val="true"/>
        </w:rPr>
        <w:footnoteReference w:id="1344"/>
      </w:r>
      <w:r>
        <w:rPr>
          <w:rFonts w:ascii="Amiri" w:hAnsi="Amiri" w:eastAsia="Amiri" w:cs="Amiri"/>
          <w:color w:val="111111"/>
          <w:sz w:val="28"/>
          <w:sz w:val="28"/>
          <w:szCs w:val="28"/>
          <w:rtl w:val="true"/>
          <w:lang w:bidi="ar-SA"/>
        </w:rPr>
        <w:t>تیمّم واحد</w:t>
      </w:r>
      <w:r>
        <w:rPr>
          <w:rStyle w:val="FootnoteAnchor"/>
          <w:rtl w:val="true"/>
        </w:rPr>
        <w:footnoteReference w:id="1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بما سیأتی من مختارنا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بوجوب الضربة الواحدة فی الجمیع، وإلاّ فالواجب أن یضرب واحدة بقصد مسح الوجه والیدین وضربتین لمسح کل واحد، یعنی یقصد فی إحداهما مسح الوجه، وفی الاُخری یقصد مسح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الاحتیاط الآتی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المختار من تساوی التیمّمین فی عدد الضربات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فرض وحدة الکیفیة، کما هو الأقوی، وإلاّ فالواجب رعایة الکیفیتین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ما فی</w:t>
      </w:r>
      <w:bookmarkStart w:id="1004" w:name="pg13276_136953"/>
    </w:p>
    <w:p>
      <w:pPr>
        <w:pStyle w:val="BookText"/>
        <w:rPr/>
      </w:pPr>
      <w:bookmarkEnd w:id="1004"/>
      <w:r>
        <w:rPr>
          <w:rFonts w:ascii="Amiri" w:hAnsi="Amiri" w:eastAsia="Amiri" w:cs="Amiri"/>
          <w:color w:val="111111"/>
          <w:sz w:val="28"/>
          <w:sz w:val="28"/>
          <w:szCs w:val="28"/>
          <w:rtl w:val="true"/>
          <w:lang w:bidi="ar-SA"/>
        </w:rPr>
        <w:t>الذمّة</w:t>
      </w:r>
      <w:r>
        <w:rPr>
          <w:rStyle w:val="FootnoteAnchor"/>
          <w:rtl w:val="true"/>
        </w:rPr>
        <w:footnoteReference w:id="1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قول من لا یفرّق بین ما هو بدل عن الوضوء أو بدل عن الغسل، وأمّا لو قلنا باختلافهما فی الکیفیة فلا بدّ من إتیان التیمّم بالکیفیتین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1005" w:name="__RefHeading___Toc1764278_2322387425"/>
      <w:bookmarkStart w:id="1006" w:name="_Toc372"/>
      <w:bookmarkEnd w:id="1005"/>
      <w:r>
        <w:rPr>
          <w:rtl w:val="true"/>
        </w:rPr>
        <w:t>کفایة ضربة واحدة للتیمّم بدلاً عن الوضوء والغسل</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التعدّد فی البدلین، من غیر تفصیلٍ بینهما وبین بدل غسل الجنابة، وبین بدل غیره من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 نّه یکفی فیما هو بدل عن الوضوء ضربة واحدة للوجه والیدین، ویجب التعدّد فیما هو بدل عن الغسل، والأقوی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بمقتضی حدیث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التیمّم،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أحدث من غیره أن یضرب ضربیتین، الاُولی للوجه، والثانیة للکفّین، ولکنّ 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هو بدل الغسل أیضاً،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یُترک ما جعله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البدل عن الغُسل برعایة الضربتین، وفی البدل عن الوضوء هذا الاحتیاط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وأحوط منه التعدّد فی بدل الوضوء أیضاً،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یضرب مرّتین ویمسح وجهه ویدیه، ثمّ یضرب اُخری ویمسح یدیه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ذلک، وإنّما الأولی أن یضرب بکفّیه مرّتین ویمسح بهما الجبهة والیدین، ثمّ یضرب مرّة ویمسح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وهناک وجهٌ آخر للاحتیاط ذهب إلیه بعض المحدّثین من أصحابنا،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 مرّتین ویمسح الوجه والیدین، ثمّ یضرب مرّة اُخری ویمسح الیدین أیضاً، لکنّه غیر موجّه فی مقام الجمع بین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 وإن کان الأقوی کفایة الضربة الواحدة فی کلٍّ من الوضوء والغسل؛ وفاقاً للماتن،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هذا النحو فی الغسل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وأفضل من ذلک ثلاث ضربات، اثنتان متعاقبتان قبل مسح الوجه، وواحدة قبل مسح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یضرب</w:t>
      </w:r>
      <w:bookmarkStart w:id="1007" w:name="pg13276_136955"/>
    </w:p>
    <w:p>
      <w:pPr>
        <w:pStyle w:val="BookText"/>
        <w:rPr/>
      </w:pPr>
      <w:bookmarkEnd w:id="1007"/>
      <w:r>
        <w:rPr>
          <w:rFonts w:ascii="IRNazanin" w:hAnsi="IRNazanin" w:eastAsia="IRNazanin"/>
          <w:color w:val="111111"/>
          <w:sz w:val="28"/>
          <w:sz w:val="28"/>
          <w:szCs w:val="28"/>
          <w:rtl w:val="true"/>
          <w:lang w:bidi="fa-IR"/>
        </w:rPr>
        <w:t>بیدیه</w:t>
      </w:r>
      <w:r>
        <w:rPr>
          <w:rStyle w:val="FootnoteAnchor"/>
          <w:rtl w:val="true"/>
        </w:rPr>
        <w:footnoteReference w:id="1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رعایة هذه الأولویّة فی کلا التیمّمین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یضرب مرّتین ویمسح بهما جبهته، ثمّ یضرب مرّة اُخری ویمسح بهما یدیه، وأولی منهما أن یضرب بیدیه مرّتین ویمسح بهما جبهته ویدیه، ثمّ یضرب مرّة ثالثةً فیمسح بهما یدیه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ویمسح بهما جبهته ویدیه، ثمّ یضرب مرّةً اُخری ویمسح بها یدیه، وربّما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منشؤوه خبر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یضرب مع ذلک مرّة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منه تکرار الضرب فی کلّ موقع متعاقباً؛ من جهة مجیء احتماله فی روایات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یده الیسری ویمسح بها ظهر الیمنی، ثمّ یضرب الیمنی ویمسح بها ظهر الیسری</w:t>
      </w:r>
      <w:r>
        <w:rPr>
          <w:rFonts w:eastAsia="IRNazanin" w:cs="IRNazanin"/>
          <w:color w:val="111111"/>
          <w:sz w:val="28"/>
          <w:szCs w:val="28"/>
          <w:rtl w:val="true"/>
          <w:lang w:bidi="fa-IR"/>
        </w:rPr>
        <w:t>.</w:t>
      </w:r>
    </w:p>
    <w:p>
      <w:pPr>
        <w:pStyle w:val="Heading3"/>
        <w:numPr>
          <w:ilvl w:val="2"/>
          <w:numId w:val="1"/>
        </w:numPr>
        <w:rPr/>
      </w:pPr>
      <w:bookmarkStart w:id="1008" w:name="__RefHeading___Toc1764280_2322387425"/>
      <w:bookmarkStart w:id="1009" w:name="_Toc373"/>
      <w:bookmarkEnd w:id="1008"/>
      <w:r>
        <w:rPr>
          <w:rtl w:val="true"/>
        </w:rPr>
        <w:t>الشک بعد الفراغ أو فی الأثناء من التیمّم</w:t>
      </w:r>
      <w:bookmarkEnd w:id="1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بعض أجزاء التیمّم بعد الفراغ منه</w:t>
      </w:r>
      <w:r>
        <w:rPr>
          <w:rStyle w:val="FootnoteAnchor"/>
          <w:rtl w:val="true"/>
        </w:rPr>
        <w:footnoteReference w:id="1350"/>
      </w:r>
      <w:r>
        <w:rPr>
          <w:rFonts w:ascii="Amiri" w:hAnsi="Amiri" w:eastAsia="Amiri" w:cs="Amiri"/>
          <w:color w:val="111111"/>
          <w:sz w:val="28"/>
          <w:sz w:val="28"/>
          <w:szCs w:val="28"/>
          <w:rtl w:val="true"/>
          <w:lang w:bidi="ar-SA"/>
        </w:rPr>
        <w:t>لم یعتنِ به</w:t>
      </w:r>
      <w:r>
        <w:rPr>
          <w:rStyle w:val="FootnoteAnchor"/>
          <w:rtl w:val="true"/>
        </w:rPr>
        <w:footnoteReference w:id="1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المشکوک فیه ما عدا الجزء الأخیر، أو کان الشکّ بعد الانتقال إلی حالة اُخری، وإلاّ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لزوم الاعتناء به إذا کان الشکّ فی الجزء الأخیر، ولم یدخل فی الأمر المترتّب علیه، ولم تفتِ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فی الجزء الأخیر، ولم تفتِ الموالاة ولم یدخل فیما یترتب علیه فالأحوط الاعتناء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الشکّ فی وجود الجزء الأخیر، ولم یدخل فی الأمر المترتب، ولم تفتِ الموالاة، فإنّه حینئذٍ یجب الإتیان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الشکّ فی الجزء الأخیر فحکمه 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وبنی علی</w:t>
      </w:r>
    </w:p>
    <w:p>
      <w:pPr>
        <w:pStyle w:val="BookText"/>
        <w:rPr/>
      </w:pPr>
      <w:r>
        <w:rPr>
          <w:rFonts w:ascii="Amiri" w:hAnsi="Amiri" w:eastAsia="Amiri" w:cs="Amiri"/>
          <w:color w:val="111111"/>
          <w:sz w:val="28"/>
          <w:sz w:val="28"/>
          <w:szCs w:val="28"/>
          <w:rtl w:val="true"/>
          <w:lang w:bidi="ar-SA"/>
        </w:rPr>
        <w:t>الصحّة</w:t>
      </w:r>
      <w:r>
        <w:rPr>
          <w:rStyle w:val="FootnoteAnchor"/>
          <w:rtl w:val="true"/>
        </w:rPr>
        <w:footnoteReference w:id="1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الفراغ البنائی إذا کان الشکّ فی الجزء الأخیر، کما فی الوضوء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لعموم قاعدة التجاوز الجاریة فی المقام أیضا، وإنّما خرج عنها الوضوء بدلیل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شکّ فی شرط من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أثنائه قبل الفراغ فی جزء أو 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تجاوز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التجاوز فی التیمّم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به وبما بعده فی هذه الصورة أیضا، وکذا لو شکّ فی الجزء الأخیر قبل الانتقال من مکانه أو إلی حالة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قد مرّ فی الوضوء،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w:t>
      </w:r>
      <w:r>
        <w:rPr>
          <w:rStyle w:val="FootnoteAnchor"/>
          <w:rtl w:val="true"/>
        </w:rPr>
        <w:footnoteReference w:id="1353"/>
      </w:r>
      <w:r>
        <w:rPr>
          <w:rFonts w:ascii="IRNazanin" w:hAnsi="IRNazanin" w:eastAsia="IRNazanin"/>
          <w:color w:val="111111"/>
          <w:sz w:val="28"/>
          <w:sz w:val="28"/>
          <w:szCs w:val="28"/>
          <w:rtl w:val="true"/>
          <w:lang w:bidi="fa-IR"/>
        </w:rPr>
        <w:t>علی الصحّة، وإن کان قبله أتی به وما بعده، من غیر فرق بین ما هو بدل عن الوضوء أو الغسل، لکنّ الأحوط</w:t>
      </w:r>
      <w:r>
        <w:rPr>
          <w:rStyle w:val="FootnoteAnchor"/>
          <w:rtl w:val="true"/>
        </w:rPr>
        <w:footnoteReference w:id="1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الاعتناء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الشکّ فی الأثناء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جدّاً؛ لقوّة احتمال إجراء حکم الوضوء فی الطهارات الثلاث، کما یظهر من شیخنا العلاّمة دعوی إطباقهم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جاز محلّه، أو کان بعد الفراغ ما لم یقم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الاعتناء به فی صورتَی القیام والدخول فی حالة اُخری لو کان الشکّ فی الجزء الأخیر وجهٌ، 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bookmarkStart w:id="1010" w:name="pg13276_136958"/>
    </w:p>
    <w:p>
      <w:pPr>
        <w:pStyle w:val="BookText"/>
        <w:rPr/>
      </w:pPr>
      <w:bookmarkEnd w:id="1010"/>
      <w:r>
        <w:rPr>
          <w:rFonts w:ascii="IRNazanin" w:hAnsi="IRNazanin" w:eastAsia="IRNazanin"/>
          <w:color w:val="111111"/>
          <w:sz w:val="28"/>
          <w:sz w:val="28"/>
          <w:szCs w:val="28"/>
          <w:rtl w:val="true"/>
          <w:lang w:bidi="fa-IR"/>
        </w:rPr>
        <w:t>مکانه</w:t>
      </w:r>
      <w:r>
        <w:rPr>
          <w:rStyle w:val="FootnoteAnchor"/>
          <w:rtl w:val="true"/>
        </w:rPr>
        <w:footnoteReference w:id="1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ینصرف عن عمله،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ینتقل إلی حالة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ما مرّ فی الوضوء، خصوصاً فیما هو بدل عنه</w:t>
      </w:r>
      <w:r>
        <w:rPr>
          <w:rFonts w:eastAsia="IRNazanin" w:cs="IRNazanin"/>
          <w:color w:val="111111"/>
          <w:sz w:val="28"/>
          <w:szCs w:val="28"/>
          <w:rtl w:val="true"/>
          <w:lang w:bidi="fa-IR"/>
        </w:rPr>
        <w:t>.</w:t>
      </w:r>
    </w:p>
    <w:p>
      <w:pPr>
        <w:pStyle w:val="Heading3"/>
        <w:numPr>
          <w:ilvl w:val="2"/>
          <w:numId w:val="1"/>
        </w:numPr>
        <w:rPr/>
      </w:pPr>
      <w:bookmarkStart w:id="1011" w:name="__RefHeading___Toc1764282_2322387425"/>
      <w:bookmarkStart w:id="1012" w:name="_Toc374"/>
      <w:bookmarkEnd w:id="1011"/>
      <w:r>
        <w:rPr>
          <w:rtl w:val="true"/>
        </w:rPr>
        <w:t>حکم التیمّم إذا علم فوات جزء منه بعد الفراغ</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الفراغ ترک جزء یکفیه العود إلیه والإتیان به وبما بعده مع عدم فوت الموالاة، ومع فوتها وجب الاستئناف</w:t>
      </w:r>
      <w:r>
        <w:rPr>
          <w:rStyle w:val="FootnoteAnchor"/>
          <w:rtl w:val="true"/>
        </w:rPr>
        <w:footnoteReference w:id="1356"/>
      </w:r>
      <w:r>
        <w:rPr>
          <w:rFonts w:ascii="IRNazanin" w:hAnsi="IRNazanin" w:eastAsia="IRNazanin"/>
          <w:color w:val="111111"/>
          <w:sz w:val="28"/>
          <w:sz w:val="28"/>
          <w:szCs w:val="28"/>
          <w:rtl w:val="true"/>
          <w:lang w:bidi="fa-IR"/>
        </w:rPr>
        <w:t>، وإن تذکّر بعد الصلاة وجب إعادتها أو قضاوءها، وکذا إذا ترک شرطاً مطلقاً ماعدا</w:t>
      </w:r>
      <w:r>
        <w:rPr>
          <w:rStyle w:val="FootnoteAnchor"/>
          <w:rtl w:val="true"/>
        </w:rPr>
        <w:footnoteReference w:id="1357"/>
      </w:r>
      <w:r>
        <w:rPr>
          <w:rFonts w:ascii="Amiri" w:hAnsi="Amiri" w:eastAsia="Amiri" w:cs="Amiri"/>
          <w:color w:val="111111"/>
          <w:sz w:val="28"/>
          <w:sz w:val="28"/>
          <w:szCs w:val="28"/>
          <w:rtl w:val="true"/>
          <w:lang w:bidi="ar-SA"/>
        </w:rPr>
        <w:t>الإباحة</w:t>
      </w:r>
      <w:r>
        <w:rPr>
          <w:rStyle w:val="FootnoteAnchor"/>
          <w:rtl w:val="true"/>
        </w:rPr>
        <w:footnoteReference w:id="1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الفضاء الذی یقع فیه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البطلان فی الجهل غیر الموجب لسقوط الحرمة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إباحة الفضاء وإباحة استعمال الأوانی، وکلّ ما اشترطت إباحته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الطهارة المائیة والترابیة، وإلاّ فإباحة المکان والمصبّ والآنیة ومحلّ التراب أیضا کذلک، ولو من حیث الذهبیة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کلّ ما یشترط فیه الإباحة کالفضاء والأوانی حیث یشترط إباحة استعمالها فلایجوز إذا کان من الذهب والفضة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فی التیمّم کما مرّ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الظرف والفضاء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هذا من سهو القلم؛ إذ لا وجه لذکر الماء فی المقام، کما لا خصوصیّة للتراب من بین سائر ما یعتبر إباحته فی صحّة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تجب، إلاّ</w:t>
      </w:r>
      <w:bookmarkStart w:id="1013" w:name="pg13276_136959"/>
    </w:p>
    <w:p>
      <w:pPr>
        <w:pStyle w:val="BookText"/>
        <w:rPr/>
      </w:pPr>
      <w:bookmarkEnd w:id="1013"/>
      <w:r>
        <w:rPr>
          <w:rFonts w:ascii="IRNazanin" w:hAnsi="IRNazanin" w:eastAsia="IRNazanin"/>
          <w:color w:val="111111"/>
          <w:sz w:val="28"/>
          <w:sz w:val="28"/>
          <w:szCs w:val="28"/>
          <w:rtl w:val="true"/>
          <w:lang w:bidi="fa-IR"/>
        </w:rPr>
        <w:t>مع العلم والعمد، کما مرّ</w:t>
      </w:r>
      <w:r>
        <w:rPr>
          <w:rStyle w:val="FootnoteAnchor"/>
          <w:rtl w:val="true"/>
        </w:rPr>
        <w:footnoteReference w:id="1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 اشتراط عدم کون التراب فی أوانی الذهب والفضة؛ فإنّ الاشتراط مختصّ بحال العلم والعمد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4" w:name="__RefHeading___Toc1764284_2322387425"/>
      <w:bookmarkStart w:id="1015" w:name="_Toc375"/>
      <w:bookmarkEnd w:id="1014"/>
      <w:r>
        <w:rPr>
          <w:rtl w:val="true"/>
        </w:rPr>
        <w:t>فصل</w:t>
      </w:r>
      <w:r>
        <w:rPr>
          <w:rtl w:val="true"/>
        </w:rPr>
        <w:t xml:space="preserve">: </w:t>
      </w:r>
      <w:r>
        <w:rPr>
          <w:rtl w:val="true"/>
        </w:rPr>
        <w:t>فی أحکام التیمّم</w:t>
      </w:r>
      <w:bookmarkEnd w:id="1015"/>
    </w:p>
    <w:p>
      <w:pPr>
        <w:pStyle w:val="Heading3"/>
        <w:numPr>
          <w:ilvl w:val="2"/>
          <w:numId w:val="1"/>
        </w:numPr>
        <w:rPr/>
      </w:pPr>
      <w:bookmarkStart w:id="1016" w:name="__RefHeading___Toc1764286_2322387425"/>
      <w:bookmarkStart w:id="1017" w:name="_Toc376"/>
      <w:bookmarkEnd w:id="1016"/>
      <w:r>
        <w:rPr>
          <w:rtl w:val="true"/>
        </w:rPr>
        <w:t>حکم التیمّم قبل الوقت</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التیمّم دائماً یکون للکون علی الطهارة، کالوضوء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جوازه مع عدم رجاء زوال العذر فی الوقت، بل یجب مع العلم بعدم التمکّن منه بعد دخوله، نعم، الأحوط مع الإتیان به قبل الوقت قصد غایة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لو علم بعدم التمکّن منه فی الوقت الأحوط ـ احتیاطا لایُترک ـ إیجاده قبله لشیء من غایاته، وعدم نقضه إلی وقت الصلاة، بل وجوبه لایخلو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 . . . . . . . . . .</w:t>
      </w:r>
    </w:p>
    <w:p>
      <w:pPr>
        <w:pStyle w:val="BookText"/>
        <w:rPr/>
      </w:pPr>
      <w:r>
        <w:rPr>
          <w:rFonts w:ascii="Amiri" w:hAnsi="Amiri" w:eastAsia="Amiri" w:cs="Amiri"/>
          <w:color w:val="111111"/>
          <w:sz w:val="28"/>
          <w:sz w:val="28"/>
          <w:szCs w:val="28"/>
          <w:rtl w:val="true"/>
          <w:lang w:bidi="ar-SA"/>
        </w:rPr>
        <w:t>للصلاة</w:t>
      </w:r>
      <w:r>
        <w:rPr>
          <w:rStyle w:val="FootnoteAnchor"/>
          <w:rtl w:val="true"/>
        </w:rPr>
        <w:footnoteReference w:id="1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الأحوط لمن یعلم بعدم التمکّن فی الوقت إیجاده قبله لشیء من الغایات، وعدم نقضه إلی أن یدخل الوقت فیصلّی، بل لزومه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وقتها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جوازه، ولکن ادُّعِیَ الإجماع علی عدم الجواز، فلو تمّ فبها، وإلاّ فیجوز، وکما یجوز الوضوء والغسل قبل وقتها، ولو احتمل عدم التمکن منه بعد الوقت تعیّن إتیانه قبل الوقت، ثمّ إتیانه بداعی القضاء مشکل؛ لعدم جواز البدار مع احتمال وجود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أفاده قدس‌سره تأمّل، والأحوط لمن یعلم بعدم تمکّنه من التیمّم فی الوقت، وأنّه یکون فاقداً للطَهورین أن یتیمّم قبل الوقت لغایة اُخری، واجبةٍ أو مندوبة، ویبقی علی تیمّمه إلی أن یصلّی به بعد دخول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بعنوان التهیّوء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للعالِم بعدم قدرته للتیمّم بعد دخول الوقت الإتیان به قاصداً غایةً من الغایات، وعدم نقضه إلی بعد دخول الوقت؛ حتّی لا یکون فاقداً للطهورین بعد دخول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أنّه لایمکنه التیمّم بعد دخول الوقت، فیمکن أن یقال بصحة التهیّؤ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التیمّم للتهیّؤ، کالوضوء لولا الإجماع علی عدمه، وعلیه فما ذکره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علم بعد التمکّن منه فی الوقت فالأحوط بل الأظهر إیجاده قبله لشیء من غایاته، وعدم نقضه إلی وقت الصلاة حتی یدرک الصلاة مع الطهارة الترابیة فی وقتها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تیمّم</w:t>
      </w:r>
    </w:p>
    <w:p>
      <w:pPr>
        <w:pStyle w:val="BookText"/>
        <w:rPr/>
      </w:pPr>
      <w:r>
        <w:rPr>
          <w:rFonts w:ascii="IRNazanin" w:hAnsi="IRNazanin" w:eastAsia="IRNazanin"/>
          <w:color w:val="111111"/>
          <w:sz w:val="28"/>
          <w:sz w:val="28"/>
          <w:szCs w:val="28"/>
          <w:rtl w:val="true"/>
          <w:lang w:bidi="fa-IR"/>
        </w:rPr>
        <w:t>بقصد غایة اُخری</w:t>
      </w:r>
      <w:r>
        <w:rPr>
          <w:rStyle w:val="FootnoteAnchor"/>
          <w:rtl w:val="true"/>
        </w:rPr>
        <w:footnoteReference w:id="1362"/>
      </w:r>
      <w:r>
        <w:rPr>
          <w:rFonts w:ascii="IRNazanin" w:hAnsi="IRNazanin" w:eastAsia="IRNazanin"/>
          <w:color w:val="111111"/>
          <w:sz w:val="28"/>
          <w:sz w:val="28"/>
          <w:szCs w:val="28"/>
          <w:rtl w:val="true"/>
          <w:lang w:bidi="fa-IR"/>
        </w:rPr>
        <w:t>ـ واجبةٍ أو مندوبة ـ یجوز</w:t>
      </w:r>
      <w:r>
        <w:rPr>
          <w:rStyle w:val="FootnoteAnchor"/>
          <w:rtl w:val="true"/>
        </w:rPr>
        <w:footnoteReference w:id="1363"/>
      </w:r>
      <w:r>
        <w:rPr>
          <w:rFonts w:ascii="Amiri" w:hAnsi="Amiri" w:eastAsia="Amiri" w:cs="Amiri"/>
          <w:color w:val="111111"/>
          <w:sz w:val="28"/>
          <w:sz w:val="28"/>
          <w:szCs w:val="28"/>
          <w:rtl w:val="true"/>
          <w:lang w:bidi="ar-SA"/>
        </w:rPr>
        <w:t>الصلاة به</w:t>
      </w:r>
      <w:r>
        <w:rPr>
          <w:rStyle w:val="FootnoteAnchor"/>
          <w:rtl w:val="true"/>
        </w:rPr>
        <w:footnoteReference w:id="1364"/>
      </w:r>
      <w:r>
        <w:rPr>
          <w:rFonts w:ascii="IRNazanin" w:hAnsi="IRNazanin" w:eastAsia="IRNazanin"/>
          <w:color w:val="111111"/>
          <w:sz w:val="28"/>
          <w:sz w:val="28"/>
          <w:szCs w:val="28"/>
          <w:rtl w:val="true"/>
          <w:lang w:bidi="fa-IR"/>
        </w:rPr>
        <w:t>بعد دخول وقتها</w:t>
      </w:r>
      <w:r>
        <w:rPr>
          <w:rStyle w:val="FootnoteAnchor"/>
          <w:rtl w:val="true"/>
        </w:rPr>
        <w:footnoteReference w:id="1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کأن یتیمّم لصلاة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یأتی أ نّه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جاز الإتیان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الاطمئنان بعدم زوال العجز عن المائیّة، أو علی القول بجواز البدار فی القضاء مع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جاز له التیمّم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للنافلة إذا کان وظیفته التیمّم</w:t>
      </w:r>
      <w:r>
        <w:rPr>
          <w:rFonts w:eastAsia="IRNazanin" w:cs="IRNazanin"/>
          <w:color w:val="111111"/>
          <w:sz w:val="28"/>
          <w:szCs w:val="28"/>
          <w:rtl w:val="true"/>
          <w:lang w:bidi="fa-IR"/>
        </w:rPr>
        <w:t>.</w:t>
      </w:r>
      <w:bookmarkStart w:id="1018" w:name="pg13276_136962"/>
    </w:p>
    <w:p>
      <w:pPr>
        <w:pStyle w:val="Heading3"/>
        <w:numPr>
          <w:ilvl w:val="2"/>
          <w:numId w:val="1"/>
        </w:numPr>
        <w:rPr/>
      </w:pPr>
      <w:bookmarkStart w:id="1019" w:name="__RefHeading___Toc1764288_2322387425"/>
      <w:bookmarkStart w:id="1020" w:name="_Toc377"/>
      <w:bookmarkEnd w:id="1018"/>
      <w:bookmarkEnd w:id="1019"/>
      <w:r>
        <w:rPr>
          <w:rtl w:val="true"/>
        </w:rPr>
        <w:t>الصلاة بالتیمّم السابق لصلاة دخل وقتها</w:t>
      </w:r>
      <w:bookmarkEnd w:id="1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بعد دخول وقت فریضة أو نافلة یجوز</w:t>
      </w:r>
      <w:r>
        <w:rPr>
          <w:rStyle w:val="FootnoteAnchor"/>
          <w:rtl w:val="true"/>
        </w:rPr>
        <w:footnoteReference w:id="1366"/>
      </w:r>
      <w:r>
        <w:rPr>
          <w:rFonts w:ascii="IRNazanin" w:hAnsi="IRNazanin" w:eastAsia="IRNazanin"/>
          <w:color w:val="111111"/>
          <w:sz w:val="28"/>
          <w:sz w:val="28"/>
          <w:szCs w:val="28"/>
          <w:rtl w:val="true"/>
          <w:lang w:bidi="fa-IR"/>
        </w:rPr>
        <w:t>إتیان الصلوات</w:t>
      </w:r>
      <w:r>
        <w:rPr>
          <w:rStyle w:val="FootnoteAnchor"/>
          <w:rtl w:val="true"/>
        </w:rPr>
        <w:footnoteReference w:id="1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ضیق الوقت أو سعته مع کونه ممّن یجوز له التیمّم فی سعة الوقت علی فرض کونه محدِثاً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لم یدخل وقتها بعد دخوله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أی سواء یئِس عن زوال العذر،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 لم یحدث أو یجد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الأولی تجدید التیمّم لکلّ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فلو تیمّم لصلاة الصبح یجوز أن یصلّی به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البدار، إلاّ مع الیأس عن وجدانه فی تمام الوقت، کما أشرنا إلی وجهه فی الحاشیة السابقة علی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تیمّم لغایة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الصلاة</w:t>
      </w:r>
      <w:r>
        <w:rPr>
          <w:rFonts w:eastAsia="IRNazanin" w:cs="IRNazanin"/>
          <w:color w:val="111111"/>
          <w:sz w:val="28"/>
          <w:szCs w:val="28"/>
          <w:rtl w:val="true"/>
          <w:lang w:bidi="fa-IR"/>
        </w:rPr>
        <w:t>.</w:t>
      </w:r>
    </w:p>
    <w:p>
      <w:pPr>
        <w:pStyle w:val="Heading3"/>
        <w:numPr>
          <w:ilvl w:val="2"/>
          <w:numId w:val="1"/>
        </w:numPr>
        <w:rPr/>
      </w:pPr>
      <w:bookmarkStart w:id="1021" w:name="__RefHeading___Toc1764290_2322387425"/>
      <w:bookmarkStart w:id="1022" w:name="_Toc378"/>
      <w:bookmarkEnd w:id="1021"/>
      <w:r>
        <w:rPr>
          <w:rtl w:val="true"/>
        </w:rPr>
        <w:t>حکم التیمّم فی سعة الوقت</w:t>
      </w:r>
      <w:bookmarkEnd w:id="1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التیمّم فی سعة الوقت</w:t>
      </w:r>
      <w:r>
        <w:rPr>
          <w:rStyle w:val="FootnoteAnchor"/>
          <w:rtl w:val="true"/>
        </w:rPr>
        <w:footnoteReference w:id="1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صورة رجاء زوال العذر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جوازه فی صورة رجاء زوال العذر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التیمّم فی سعة الوقت إذا علم باستمرار عذره إلی آخر الوقت، وکذلک إذا یئِس من زوال العذر الذی من أجله ساغ له التیمّم، وأمّا إذا علم بزوال العذر فی آخر الوقت فالأقوی عدم جواز البدار، وکذلک إذا احتمل زواله علی الأحوط، وخصوصاً مع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جوازه إلاّ مع الیأس عن زوال العذر، أو احتمال طروء العجز عنه مع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احتمل</w:t>
      </w:r>
    </w:p>
    <w:p>
      <w:pPr>
        <w:pStyle w:val="BookText"/>
        <w:rPr/>
      </w:pPr>
      <w:r>
        <w:rPr>
          <w:rFonts w:ascii="IRNazanin" w:hAnsi="IRNazanin" w:eastAsia="IRNazanin"/>
          <w:color w:val="111111"/>
          <w:sz w:val="28"/>
          <w:sz w:val="28"/>
          <w:szCs w:val="28"/>
          <w:rtl w:val="true"/>
          <w:lang w:bidi="fa-IR"/>
        </w:rPr>
        <w:t>ارتفاع العذر</w:t>
      </w:r>
      <w:r>
        <w:rPr>
          <w:rStyle w:val="FootnoteAnchor"/>
          <w:rtl w:val="true"/>
        </w:rPr>
        <w:footnoteReference w:id="1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بالتأخیر، مع الاحتمال المتعارف بارتفاع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أو ظنّ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 مع الظنّ بالارتفاع، بل یقوی ذلک أیضا لو احتمله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ظنّاً غیر اطمئنانیّ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نعم، مع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بالارتفاع یجب الصبر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 مع رجاء زوال العذر، ومع الیأس یجوز التقدیم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الاحتمال العقلائی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محمد رضا الگلپایگانی، 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التأخیر إلی آخر الوقت مع احتمال الرفع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عقلائیاً، فیجب الانتظار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رجاء الزوال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احتمالاً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صورة الرجاء، وأمّا فیها فعدم الجواز هو الأقوی،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موهوماً، نعم، مع العلم بعدمه وبقاء العذر لا إشکال فی</w:t>
      </w:r>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1370"/>
      </w:r>
      <w:r>
        <w:rPr>
          <w:rFonts w:ascii="IRNazanin" w:hAnsi="IRNazanin" w:eastAsia="IRNazanin"/>
          <w:color w:val="111111"/>
          <w:sz w:val="28"/>
          <w:sz w:val="28"/>
          <w:szCs w:val="28"/>
          <w:rtl w:val="true"/>
          <w:lang w:bidi="fa-IR"/>
        </w:rPr>
        <w:t>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عالم ببقاء العذر إلی آخر الوقت، أو عالم بارتفاعه قبل الآخر، أو محتمل للأمرین، فیجوز المبادرة مع العلم بالبقاء، ویجب التأخیر</w:t>
      </w:r>
      <w:r>
        <w:rPr>
          <w:rStyle w:val="FootnoteAnchor"/>
          <w:rtl w:val="true"/>
        </w:rPr>
        <w:footnoteReference w:id="1371"/>
      </w:r>
      <w:r>
        <w:rPr>
          <w:rFonts w:ascii="IRNazanin" w:hAnsi="IRNazanin" w:eastAsia="IRNazanin"/>
          <w:color w:val="111111"/>
          <w:sz w:val="28"/>
          <w:sz w:val="28"/>
          <w:szCs w:val="28"/>
          <w:rtl w:val="true"/>
          <w:lang w:bidi="fa-IR"/>
        </w:rPr>
        <w:t>مع العلم بالارتفاع، ومع الاحتمال الأقوی</w:t>
      </w:r>
      <w:r>
        <w:rPr>
          <w:rStyle w:val="FootnoteAnchor"/>
          <w:rtl w:val="true"/>
        </w:rPr>
        <w:footnoteReference w:id="1372"/>
      </w:r>
      <w:r>
        <w:rPr>
          <w:rFonts w:ascii="IRNazanin" w:hAnsi="IRNazanin" w:eastAsia="IRNazanin"/>
          <w:color w:val="111111"/>
          <w:sz w:val="28"/>
          <w:sz w:val="28"/>
          <w:szCs w:val="28"/>
          <w:rtl w:val="true"/>
          <w:lang w:bidi="fa-IR"/>
        </w:rPr>
        <w:t>جواز</w:t>
      </w:r>
      <w:r>
        <w:rPr>
          <w:rStyle w:val="FootnoteAnchor"/>
          <w:rtl w:val="true"/>
        </w:rPr>
        <w:footnoteReference w:id="1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الجواز مع رجاء رفع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صادف بقاء الاضطرار إلی آخر الوقت صحّ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الصورتین المتقدّمتین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مع الظنّ بالبقاء،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بالتأخیر فی غیر صورة الرجاء، وفیها الأقوی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خصوصا فی موارد وجوبه للحرج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w:t>
      </w:r>
      <w:bookmarkStart w:id="1023" w:name="pg13276_136965"/>
    </w:p>
    <w:p>
      <w:pPr>
        <w:pStyle w:val="BookText"/>
        <w:rPr/>
      </w:pPr>
      <w:bookmarkEnd w:id="1023"/>
      <w:r>
        <w:rPr>
          <w:rFonts w:ascii="IRNazanin" w:hAnsi="IRNazanin" w:eastAsia="IRNazanin"/>
          <w:color w:val="111111"/>
          <w:sz w:val="28"/>
          <w:sz w:val="28"/>
          <w:szCs w:val="28"/>
          <w:rtl w:val="true"/>
          <w:lang w:bidi="fa-IR"/>
        </w:rPr>
        <w:t>مع الظنّ بالارتفاع</w:t>
      </w:r>
      <w:r>
        <w:rPr>
          <w:rStyle w:val="FootnoteAnchor"/>
          <w:rtl w:val="true"/>
        </w:rPr>
        <w:footnoteReference w:id="1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الظنّ بالارتفاع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Heading3"/>
        <w:numPr>
          <w:ilvl w:val="2"/>
          <w:numId w:val="1"/>
        </w:numPr>
        <w:rPr/>
      </w:pPr>
      <w:bookmarkStart w:id="1024" w:name="__RefHeading___Toc1764292_2322387425"/>
      <w:bookmarkStart w:id="1025" w:name="_Toc379"/>
      <w:bookmarkEnd w:id="1024"/>
      <w:r>
        <w:rPr>
          <w:rtl w:val="true"/>
        </w:rPr>
        <w:t>البدار إلی صلاة اُخری لمن تیمّم لصلاة سابقة</w:t>
      </w:r>
      <w:bookmarkEnd w:id="10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لصلاة سابقة</w:t>
      </w:r>
      <w:r>
        <w:rPr>
          <w:rStyle w:val="FootnoteAnchor"/>
          <w:rtl w:val="true"/>
        </w:rPr>
        <w:footnoteReference w:id="1375"/>
      </w:r>
      <w:r>
        <w:rPr>
          <w:rFonts w:ascii="IRNazanin" w:hAnsi="IRNazanin" w:eastAsia="IRNazanin"/>
          <w:color w:val="111111"/>
          <w:sz w:val="28"/>
          <w:sz w:val="28"/>
          <w:szCs w:val="28"/>
          <w:rtl w:val="true"/>
          <w:lang w:bidi="fa-IR"/>
        </w:rPr>
        <w:t>وصلّی ولم ینتقض تیمّمه حتّی دخل وقت صلاة اُخری یجوز الإتیان بها</w:t>
      </w:r>
      <w:r>
        <w:rPr>
          <w:rStyle w:val="FootnoteAnchor"/>
          <w:rtl w:val="true"/>
        </w:rPr>
        <w:footnoteReference w:id="1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إذا ارتفع العذر فی أثناء الوقت أعاد الصلاة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أوّل وقتها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باستمرار العذر إلی آخر الوقت، أو یئس من زوال العذر الذی من أجله تیمّم للصلاة السابقة، ولایجوز له الإتیان بالصلاة فی أوّل وقتها إذا علم بزوال العذر فی آخر الوقت، ولا مع احتماله علی الأحوط، کما تقدّم فی غیر التیمّم من الأعذار سواء بسواء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احتمل زوال العذر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آخر الوقت علی المختار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وعلی القول بوجوب التأخیر فی الصلاة الاُولی عند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احتمال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أیضا لایُترک مع الاحتمال العقلائی بزوال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رجاء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لایُترک مع رجاء زوال العذر، وعدم احتمال طروء العجز عن الصلاة مع الطهارة الترابیة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026" w:name="pg13276_136966"/>
    </w:p>
    <w:p>
      <w:pPr>
        <w:pStyle w:val="BookText"/>
        <w:rPr/>
      </w:pPr>
      <w:bookmarkEnd w:id="1026"/>
      <w:r>
        <w:rPr>
          <w:rFonts w:ascii="IRNazanin" w:hAnsi="IRNazanin" w:eastAsia="IRNazanin"/>
          <w:color w:val="111111"/>
          <w:sz w:val="28"/>
          <w:sz w:val="28"/>
          <w:szCs w:val="28"/>
          <w:rtl w:val="true"/>
          <w:lang w:bidi="fa-IR"/>
        </w:rPr>
        <w:t>التأخیر</w:t>
      </w:r>
      <w:r>
        <w:rPr>
          <w:rStyle w:val="FootnoteAnchor"/>
          <w:rtl w:val="true"/>
        </w:rPr>
        <w:footnoteReference w:id="1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جدّاً کما، أشرنا قبلا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الاصطهباناتی، المیلانی،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نعم، لو صلّی رجاءً وانکشف استمرار العذر فلا یبعد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إجراء حکم غیر المتیمّم علی المتیمّم، فلا تصحّ صلاته إلاّ مع الیأس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التأخیر، إلاّ مع الیأس عن رفع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الصلاة الثانیة أیضاً، وإن لم یکن مثل الاحتیاط السابق، بل أمره أسهل، نعم، لو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المیزان قیام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بزوال العذر یجب 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الصلاة السابقة</w:t>
      </w:r>
      <w:r>
        <w:rPr>
          <w:rFonts w:eastAsia="IRNazanin" w:cs="IRNazanin"/>
          <w:color w:val="111111"/>
          <w:sz w:val="28"/>
          <w:szCs w:val="28"/>
          <w:rtl w:val="true"/>
          <w:lang w:bidi="fa-IR"/>
        </w:rPr>
        <w:t>.</w:t>
      </w:r>
    </w:p>
    <w:p>
      <w:pPr>
        <w:pStyle w:val="Heading3"/>
        <w:numPr>
          <w:ilvl w:val="2"/>
          <w:numId w:val="1"/>
        </w:numPr>
        <w:rPr/>
      </w:pPr>
      <w:bookmarkStart w:id="1027" w:name="__RefHeading___Toc1764294_2322387425"/>
      <w:bookmarkStart w:id="1028" w:name="_Toc380"/>
      <w:bookmarkEnd w:id="1027"/>
      <w:r>
        <w:rPr>
          <w:rtl w:val="true"/>
        </w:rPr>
        <w:t>المراد من آخر الوقت</w:t>
      </w:r>
      <w:bookmarkEnd w:id="102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بآخر الوقت الّذی یجب التأخیر إلیه، أو یکون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العرفیّ</w:t>
      </w:r>
      <w:r>
        <w:rPr>
          <w:rStyle w:val="FootnoteAnchor"/>
          <w:rtl w:val="true"/>
        </w:rPr>
        <w:footnoteReference w:id="1378"/>
      </w:r>
      <w:r>
        <w:rPr>
          <w:rFonts w:ascii="IRNazanin" w:hAnsi="IRNazanin" w:eastAsia="IRNazanin"/>
          <w:color w:val="111111"/>
          <w:sz w:val="28"/>
          <w:sz w:val="28"/>
          <w:szCs w:val="28"/>
          <w:rtl w:val="true"/>
          <w:lang w:bidi="fa-IR"/>
        </w:rPr>
        <w:t xml:space="preserve">، فلا یجب المداقّة </w:t>
      </w:r>
      <w:bookmarkStart w:id="1029" w:name="pg13276_136967"/>
    </w:p>
    <w:p>
      <w:pPr>
        <w:pStyle w:val="BookText"/>
        <w:rPr/>
      </w:pPr>
      <w:bookmarkEnd w:id="1029"/>
      <w:r>
        <w:rPr>
          <w:rFonts w:ascii="IRNazanin" w:hAnsi="IRNazanin" w:eastAsia="IRNazanin"/>
          <w:color w:val="111111"/>
          <w:sz w:val="28"/>
          <w:sz w:val="28"/>
          <w:szCs w:val="28"/>
          <w:rtl w:val="true"/>
          <w:lang w:bidi="fa-IR"/>
        </w:rPr>
        <w:t>فیه</w:t>
      </w:r>
      <w:r>
        <w:rPr>
          <w:rStyle w:val="FootnoteAnchor"/>
          <w:rtl w:val="true"/>
        </w:rPr>
        <w:footnoteReference w:id="1379"/>
      </w:r>
      <w:r>
        <w:rPr>
          <w:rFonts w:ascii="IRNazanin" w:hAnsi="IRNazanin" w:eastAsia="IRNazanin"/>
          <w:color w:val="111111"/>
          <w:sz w:val="28"/>
          <w:sz w:val="28"/>
          <w:szCs w:val="28"/>
          <w:rtl w:val="true"/>
          <w:lang w:bidi="fa-IR"/>
        </w:rPr>
        <w:t>، ولا الصبر إلی زمانٍ</w:t>
      </w:r>
      <w:r>
        <w:rPr>
          <w:rStyle w:val="FootnoteAnchor"/>
          <w:rtl w:val="true"/>
        </w:rPr>
        <w:footnoteReference w:id="1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إلی زمان یکفی لأداء الواجبات فقط، خصوصاً مع العلم بزوال العذر فی ذلک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بارتفاع العذر فی آخر الوقت بمقدار إدراک الواجبات فقط، فالأحوط وجوب التأخیر، نعم، لو قلنا بوجوب التأخیر مع رجاء الارتفاع فالأمر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العلم بارتفاع العذر فی آخر الوقت بمقدار یمکن إدراک الواجبات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لایبقی الوقت إلاّ بقدر الواجبات، فیجوز التیمّم والإتیان بالصلاة مشتملة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المستحبّات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المنصرف من الأدلّة أن یبقی من الوقت مقدار ما یؤدّی واجبات الصلاة ومستحبّاتها المتعارفة، بما فیها من أذان وإقامة، لا مطلق المستحبّات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المتعارفة عند عامة الناس، کالقنوت،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بل لا ینافی إتیان بعض المقدّمات القریبة بعد الإتیان بالتیمّم قبل الشروع فی الصلاة، بمعنی إبقاء الوقت بهذا المقدار</w:t>
      </w:r>
      <w:r>
        <w:rPr>
          <w:rFonts w:eastAsia="IRNazanin" w:cs="IRNazanin"/>
          <w:color w:val="111111"/>
          <w:sz w:val="28"/>
          <w:szCs w:val="28"/>
          <w:rtl w:val="true"/>
          <w:lang w:bidi="fa-IR"/>
        </w:rPr>
        <w:t>.</w:t>
      </w:r>
    </w:p>
    <w:p>
      <w:pPr>
        <w:pStyle w:val="Heading3"/>
        <w:numPr>
          <w:ilvl w:val="2"/>
          <w:numId w:val="1"/>
        </w:numPr>
        <w:rPr/>
      </w:pPr>
      <w:bookmarkStart w:id="1030" w:name="__RefHeading___Toc1764296_2322387425"/>
      <w:bookmarkStart w:id="1031" w:name="_Toc381"/>
      <w:bookmarkEnd w:id="1030"/>
      <w:r>
        <w:rPr>
          <w:rtl w:val="true"/>
        </w:rPr>
        <w:t>التیمّم للصلاة القضائیة والنافلة</w:t>
      </w:r>
      <w:bookmarkEnd w:id="1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13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البدار مادام لا یقوم حجّة علی 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 . . . . . . . . . . . . . . . . . . . . . . . . . . . . . . . . . .</w:t>
      </w:r>
    </w:p>
    <w:p>
      <w:pPr>
        <w:pStyle w:val="BookText"/>
        <w:rPr/>
      </w:pPr>
      <w:r>
        <w:rPr>
          <w:rFonts w:ascii="Amiri" w:hAnsi="Amiri" w:eastAsia="Amiri" w:cs="Amiri"/>
          <w:color w:val="111111"/>
          <w:sz w:val="28"/>
          <w:sz w:val="28"/>
          <w:szCs w:val="28"/>
          <w:rtl w:val="true"/>
          <w:lang w:bidi="ar-SA"/>
        </w:rPr>
        <w:t>التیمّم</w:t>
      </w:r>
      <w:r>
        <w:rPr>
          <w:rStyle w:val="FootnoteAnchor"/>
          <w:rtl w:val="true"/>
        </w:rPr>
        <w:footnoteReference w:id="1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لصلاة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القضاء لنفسه، وکذا فی القضاء الذی علیه من المیّت، کالولد الأکبر، ولکنّ الأحوط فیه الترک، وأمّا القضاء الاستئجاری عن المیّت فهو مشکل، إلاّ مع الاضطرار، نعم، لو انعقدت الإجارة علی ذلک صحّ للأجیر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والإتیان بها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صحّتها مع رجاء زوال العذر، والتمکّن من الإتیان بها مع الطهارة المائیة إشکال، وکذا الحال فی النوافل الموقّتة، نعم، فی غیر الموقّتة یجوز التیمّم لها والإتیان بها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خصوصا فی صورة العلم أو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لایُترک الاحتیاط بالتأخیر مع الاحتمال المعتدّ به، کما سیأتی منه قدس‌سره فی صلاة القضاء 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تأخیر القضاء إلی ارتفاع العذر، وتُراجَع المسألة الرابعة والثلاثون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زوال العذر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مع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بالتأخیر إلاّ مع الظنّ بالفوت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صورة رجاء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بزواله</w:t>
      </w:r>
      <w:r>
        <w:rPr>
          <w:rStyle w:val="FootnoteAnchor"/>
          <w:rtl w:val="true"/>
        </w:rPr>
        <w:footnoteReference w:id="1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احتمال زواله بحسب العادة، وهکذا فی النوافل فی سعة وقتها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رجاء زواله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الاحتمال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مع رجاء الزوال علی الأحوط، وفی النوافل الموقّتة أیضا، ولایُترک الاحتیاط مع رجاء الزوال عمّا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الرجاء بزواله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بالتأخیر إلاّ مع الاطمئنان بالفوات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مع الاطمئنان المتعارف، والأحوط الوجوبی قبل ضِیقِ الوقت یجب علیه الانتظار، ویأتی من الماتن الاحتیاط الوجوبی فی قضاء الصلاة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قریب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یشکل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العلم بالزوال یشکل الإتیان بها قبله مطلقاً، إلاّ مع الظنّ بالفوت، فیجب الإتیان بها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قبله، وکذا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للنوافل الموقّتة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النوافل الموقّتة هو حکم الفریضة الموقّتة، فلا یتیمّم لها فی أوّل وقتها إلاّ مع العلم باستمرار العذر إلی آخر الوقت، أو الیأس من زواله، أمّا غیر الموقّتة فیجوز التیمّم لها مع وجود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لها وقت معیّن فی الیوم أو اللیلة، فیجوز فی سعة وقتهما حتی فی أول وقتهما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فی سعة وقتها، بشرط عدم</w:t>
      </w:r>
      <w:bookmarkStart w:id="1032" w:name="pg13276_136970"/>
    </w:p>
    <w:p>
      <w:pPr>
        <w:pStyle w:val="BookText"/>
        <w:rPr/>
      </w:pPr>
      <w:bookmarkEnd w:id="1032"/>
      <w:r>
        <w:rPr>
          <w:rFonts w:ascii="Amiri" w:hAnsi="Amiri" w:eastAsia="Amiri" w:cs="Amiri"/>
          <w:color w:val="111111"/>
          <w:sz w:val="28"/>
          <w:sz w:val="28"/>
          <w:szCs w:val="28"/>
          <w:rtl w:val="true"/>
          <w:lang w:bidi="ar-SA"/>
        </w:rPr>
        <w:t>العِلم</w:t>
      </w:r>
      <w:r>
        <w:rPr>
          <w:rStyle w:val="FootnoteAnchor"/>
          <w:rtl w:val="true"/>
        </w:rPr>
        <w:footnoteReference w:id="1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بشرط الیأس عن زواله إلی آخر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الإتیان رجاءً مع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احتماله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ولا الاحتمال العقلائی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احتمال زواله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الاحتمال الصحیح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بشرط العلم باستمراره 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بزوال العذر إلی آخره</w:t>
      </w:r>
      <w:r>
        <w:rPr>
          <w:rFonts w:eastAsia="IRNazanin" w:cs="IRNazanin"/>
          <w:color w:val="111111"/>
          <w:sz w:val="28"/>
          <w:szCs w:val="28"/>
          <w:rtl w:val="true"/>
          <w:lang w:bidi="fa-IR"/>
        </w:rPr>
        <w:t>.</w:t>
      </w:r>
    </w:p>
    <w:p>
      <w:pPr>
        <w:pStyle w:val="Heading3"/>
        <w:numPr>
          <w:ilvl w:val="2"/>
          <w:numId w:val="1"/>
        </w:numPr>
        <w:rPr/>
      </w:pPr>
      <w:bookmarkStart w:id="1033" w:name="__RefHeading___Toc1764298_2322387425"/>
      <w:bookmarkStart w:id="1034" w:name="_Toc382"/>
      <w:bookmarkEnd w:id="1033"/>
      <w:r>
        <w:rPr>
          <w:rtl w:val="true"/>
        </w:rPr>
        <w:t>التیمّم بتخیّل ضیق الوقت</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عدم سعة الوقت</w:t>
      </w:r>
      <w:r>
        <w:rPr>
          <w:rStyle w:val="FootnoteAnchor"/>
          <w:rtl w:val="true"/>
        </w:rPr>
        <w:footnoteReference w:id="1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 عذر مسوّغ للتیمّم غیر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الفرض فیما إذا کان هناک مسوِّغ آخر غیر ضیق الوقت، وإلاّ فهو معلوم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الفرض السابق، أی وجود العذر غیر ضِیق الوقت، وفیه لا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العذر المسوّغ غیر ضیق الوقت، وإلاّ فتجب الإعادة علی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عذر غیر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عذر غیر ضیق الوقت؛ لعدم جریان القولین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فتیمّم</w:t>
      </w:r>
      <w:r>
        <w:rPr>
          <w:rStyle w:val="FootnoteAnchor"/>
          <w:rtl w:val="true"/>
        </w:rPr>
        <w:footnoteReference w:id="1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مُسوّغ التیمّم غیر ضیق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وصلّی، ثمّ بان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العذر المسوّغ للتیمّم غیر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تیمّمه من غیر جهة الضیق، أمّا لو کان لضیق الوقت فبان خلافه فالظاهر بطلان الصلاة علی کلّ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الإعادة علی کلا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جواز التیمّم فی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 العذر غیر ضیق الوقت، وهذا هو الفارق بین المقام وما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أفتی قدس‌سره فیها بوجوب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 علمه ببقاء العذر إلی حدٍّ من الزمان یساوی آخر الوقت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العذر المسوّغ ضِیق الوقت یجب علیه إعادة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علی المختار من لزوم التأخیر مع رجاء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ویحتاط بالإعادة، وعلی القول بوجوب التأخیر تجب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الذی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إن تحقّق منه قصد القربة، وإلاّ فیجب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علی المختار من التفصیل، إلاّ إذا تبیّن استمرار العذر إلی آخر الوقت فتصحّ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5" w:name="pg13276_136972"/>
    </w:p>
    <w:p>
      <w:pPr>
        <w:pStyle w:val="Heading3"/>
        <w:numPr>
          <w:ilvl w:val="2"/>
          <w:numId w:val="1"/>
        </w:numPr>
        <w:rPr/>
      </w:pPr>
      <w:bookmarkStart w:id="1036" w:name="__RefHeading___Toc1764300_2322387425"/>
      <w:bookmarkStart w:id="1037" w:name="_Toc383"/>
      <w:bookmarkEnd w:id="1035"/>
      <w:bookmarkEnd w:id="1036"/>
      <w:r>
        <w:rPr>
          <w:rtl w:val="true"/>
        </w:rPr>
        <w:t>إجزاء التیمّم عمّا صلاّه لو زال العذر</w:t>
      </w:r>
      <w:bookmarkEnd w:id="1037"/>
    </w:p>
    <w:p>
      <w:pPr>
        <w:pStyle w:val="Heading4"/>
        <w:numPr>
          <w:ilvl w:val="3"/>
          <w:numId w:val="1"/>
        </w:numPr>
        <w:rPr/>
      </w:pPr>
      <w:bookmarkStart w:id="1038" w:name="__RefHeading___Toc1764302_2322387425"/>
      <w:bookmarkStart w:id="1039" w:name="_Toc384"/>
      <w:bookmarkEnd w:id="1038"/>
      <w:r>
        <w:rPr>
          <w:rtl w:val="true"/>
        </w:rPr>
        <w:t>موارد استحباب إعادة الصلاة لو زال العذر</w:t>
      </w:r>
      <w:bookmarkEnd w:id="1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إعادة الصلوات الّتی صلاّها بالتیمّم الصحیح بعد زوال العذر، لا فی الوقت</w:t>
      </w:r>
      <w:r>
        <w:rPr>
          <w:rStyle w:val="FootnoteAnchor"/>
          <w:rtl w:val="true"/>
        </w:rPr>
        <w:footnoteReference w:id="1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بالإعادة فیه بعد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دلّ علی وجوب الإعادة حَمَلَها المشهور علی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فی خارجه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البدار لذوی الأعذار هو الأصحّ؛ وفاقاً لسیّدنا الاُستاد قدس‌سره ، ولکن إذا زال العذر فی الأثناء، أو تبیّن بعد الوقت زواله فی الوقت فلا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استحباباً إعادتها فی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الجنابة</w:t>
      </w:r>
      <w:r>
        <w:rPr>
          <w:rStyle w:val="FootnoteAnchor"/>
          <w:rtl w:val="true"/>
        </w:rPr>
        <w:footnoteReference w:id="1388"/>
      </w:r>
      <w:r>
        <w:rPr>
          <w:rFonts w:ascii="IRNazanin" w:hAnsi="IRNazanin" w:eastAsia="IRNazanin"/>
          <w:color w:val="111111"/>
          <w:sz w:val="28"/>
          <w:sz w:val="28"/>
          <w:szCs w:val="28"/>
          <w:rtl w:val="true"/>
          <w:lang w:bidi="fa-IR"/>
        </w:rPr>
        <w:t>مع کونه خائفاً من استعمال الماء</w:t>
      </w:r>
      <w:r>
        <w:rPr>
          <w:rStyle w:val="FootnoteAnchor"/>
          <w:rtl w:val="true"/>
        </w:rPr>
        <w:footnoteReference w:id="1389"/>
      </w:r>
      <w:r>
        <w:rPr>
          <w:rFonts w:ascii="Amiri" w:hAnsi="Amiri" w:eastAsia="Amiri" w:cs="Amiri"/>
          <w:color w:val="111111"/>
          <w:sz w:val="28"/>
          <w:sz w:val="28"/>
          <w:szCs w:val="28"/>
          <w:rtl w:val="true"/>
          <w:lang w:bidi="ar-SA"/>
        </w:rPr>
        <w:t>فإنّه یتیمّم ویصلّی، لکنّ الأحوط إعادتها</w:t>
      </w:r>
      <w:r>
        <w:rPr>
          <w:rStyle w:val="FootnoteAnchor"/>
          <w:rtl w:val="true"/>
        </w:rPr>
        <w:footnoteReference w:id="1390"/>
      </w:r>
      <w:r>
        <w:rPr>
          <w:rFonts w:ascii="IRNazanin" w:hAnsi="IRNazanin" w:eastAsia="IRNazanin"/>
          <w:color w:val="111111"/>
          <w:sz w:val="28"/>
          <w:sz w:val="28"/>
          <w:szCs w:val="28"/>
          <w:rtl w:val="true"/>
          <w:lang w:bidi="fa-IR"/>
        </w:rPr>
        <w:t>بعد زوال العذر ولو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تیمّم</w:t>
      </w:r>
      <w:r>
        <w:rPr>
          <w:rStyle w:val="FootnoteAnchor"/>
          <w:rtl w:val="true"/>
        </w:rPr>
        <w:footnoteReference w:id="1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الإعادة ظهراً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استشکلنا فی استفادة الحکم المذکور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المصدر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بالوجوب التخییری یشکل الاکتفاء بالجمعة مع التیمّم لذلک، بل الظاهر وجوب الإعادة أی الإتیان بالظهر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لصلاة </w:t>
      </w:r>
      <w:r>
        <w:rPr>
          <w:rFonts w:eastAsia="Amiri" w:cs="Amiri" w:ascii="Amiri" w:hAnsi="Amiri"/>
          <w:color w:val="111111"/>
          <w:sz w:val="28"/>
          <w:szCs w:val="28"/>
          <w:rtl w:val="true"/>
          <w:lang w:bidi="ar-SA"/>
        </w:rPr>
        <w:t>. . . . . . . . . . . . . . .</w:t>
      </w:r>
    </w:p>
    <w:p>
      <w:pPr>
        <w:pStyle w:val="BookText"/>
        <w:rPr/>
      </w:pPr>
      <w:r>
        <w:rPr>
          <w:rFonts w:ascii="Amiri" w:hAnsi="Amiri" w:eastAsia="Amiri" w:cs="Amiri"/>
          <w:color w:val="111111"/>
          <w:sz w:val="28"/>
          <w:sz w:val="28"/>
          <w:szCs w:val="28"/>
          <w:rtl w:val="true"/>
          <w:lang w:bidi="ar-SA"/>
        </w:rPr>
        <w:t>الجمعة</w:t>
      </w:r>
      <w:r>
        <w:rPr>
          <w:rStyle w:val="FootnoteAnchor"/>
          <w:rtl w:val="true"/>
        </w:rPr>
        <w:footnoteReference w:id="1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الإعادة ظهرا، إلاّ فیما تکون صلاة الجمعة متعیّنة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 التعیینی، وأمّا بناءً علی الوجوب التخییری فالظاهر وجوب الظهر مع 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إعادتها ظهراً بالطهارة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الإعادة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وجوب الإعادة ظهرا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استحباب الإعادة فی هذا المورد؛ لأنّ مورد النصّ 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إعادتها ظهرا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خوف فوتها لأجل الزحام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صلّی بالتیمّم فله الإعادة بالوضوء أو الغسل ظهرا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یُترک الاحتیاط بالإعادة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فیُعیدها ظهرا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الأقوی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0" w:name="pg13276_136974"/>
    </w:p>
    <w:p>
      <w:pPr>
        <w:pStyle w:val="BookText"/>
        <w:rPr/>
      </w:pPr>
      <w:bookmarkEnd w:id="104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طلب الماء عمداً إلی آخر الوقت وتیمّم وصلّی، ثمّ تبیّن وجود الماء فی محلّ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أراق الماء الموجود عنده مع العلم أو الظنّ بعدم وجوده بعد ذلک، وکذا لو کان علی طهارة فأجنب</w:t>
      </w:r>
      <w:r>
        <w:rPr>
          <w:rStyle w:val="FootnoteAnchor"/>
          <w:rtl w:val="true"/>
        </w:rPr>
        <w:footnoteReference w:id="1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تعمّد الجنابة وصلّی بالتیمّم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أو الظنّ بعدم وجود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 الصلاة متعمّداً إلی أن ضاق وقته فتیمّم لأجل الضیق</w:t>
      </w:r>
      <w:r>
        <w:rPr>
          <w:rFonts w:eastAsia="IRNazanin" w:cs="IRNazanin"/>
          <w:color w:val="111111"/>
          <w:sz w:val="28"/>
          <w:szCs w:val="28"/>
          <w:rtl w:val="true"/>
          <w:lang w:bidi="fa-IR"/>
        </w:rPr>
        <w:t>.</w:t>
      </w:r>
    </w:p>
    <w:p>
      <w:pPr>
        <w:pStyle w:val="Heading3"/>
        <w:numPr>
          <w:ilvl w:val="2"/>
          <w:numId w:val="1"/>
        </w:numPr>
        <w:rPr/>
      </w:pPr>
      <w:bookmarkStart w:id="1041" w:name="__RefHeading___Toc1764304_2322387425"/>
      <w:bookmarkStart w:id="1042" w:name="_Toc385"/>
      <w:bookmarkEnd w:id="1041"/>
      <w:r>
        <w:rPr>
          <w:rtl w:val="true"/>
        </w:rPr>
        <w:t>المتیمّم لغایة بحکم الطاهر تشرع له الغایات الاُخر</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لغایة</w:t>
      </w:r>
      <w:r>
        <w:rPr>
          <w:rStyle w:val="FootnoteAnchor"/>
          <w:rtl w:val="true"/>
        </w:rPr>
        <w:footnoteReference w:id="1395"/>
      </w:r>
      <w:r>
        <w:rPr>
          <w:rFonts w:ascii="IRNazanin" w:hAnsi="IRNazanin" w:eastAsia="IRNazanin"/>
          <w:color w:val="111111"/>
          <w:sz w:val="28"/>
          <w:sz w:val="28"/>
          <w:szCs w:val="28"/>
          <w:rtl w:val="true"/>
          <w:lang w:bidi="fa-IR"/>
        </w:rPr>
        <w:t>من الغایات کان بحکم الطاهر مادام باقیاً لم ینتقض وبقی عذره، فله أن یأتی</w:t>
      </w:r>
      <w:r>
        <w:rPr>
          <w:rStyle w:val="FootnoteAnchor"/>
          <w:rtl w:val="true"/>
        </w:rPr>
        <w:footnoteReference w:id="1396"/>
      </w:r>
      <w:r>
        <w:rPr>
          <w:rFonts w:ascii="IRNazanin" w:hAnsi="IRNazanin" w:eastAsia="IRNazanin"/>
          <w:color w:val="111111"/>
          <w:sz w:val="28"/>
          <w:sz w:val="28"/>
          <w:szCs w:val="28"/>
          <w:rtl w:val="true"/>
          <w:lang w:bidi="fa-IR"/>
        </w:rPr>
        <w:t>بجمیع ما یشترط</w:t>
      </w:r>
      <w:r>
        <w:rPr>
          <w:rStyle w:val="FootnoteAnchor"/>
          <w:rtl w:val="true"/>
        </w:rPr>
        <w:footnoteReference w:id="1397"/>
      </w:r>
      <w:r>
        <w:rPr>
          <w:rFonts w:ascii="IRNazanin" w:hAnsi="IRNazanin" w:eastAsia="IRNazanin"/>
          <w:color w:val="111111"/>
          <w:sz w:val="28"/>
          <w:sz w:val="28"/>
          <w:szCs w:val="28"/>
          <w:rtl w:val="true"/>
          <w:lang w:bidi="fa-IR"/>
        </w:rPr>
        <w:t>فیه الطهارة، إلاّ إذا کان المسوّغ للتیمّم مختصّاً بتلک الغایة، کالتیمّم لضیق الوقت، فقد</w:t>
      </w:r>
      <w:r>
        <w:rPr>
          <w:rStyle w:val="FootnoteAnchor"/>
          <w:rtl w:val="true"/>
        </w:rPr>
        <w:footnoteReference w:id="1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الأقرب جواز ذلک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حول هذه الجهة فی مسوّغات التیمّم فی المسألة الحادیة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 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أ نّه لایجوز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یجوز له تلک الاُمور المذکورة فی المتن، إلاّ فی التیمّم للنوم مع وجود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منّا أنّه احتیاط 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bookmarkStart w:id="1043" w:name="pg13276_136975"/>
    </w:p>
    <w:p>
      <w:pPr>
        <w:pStyle w:val="BookText"/>
        <w:rPr/>
      </w:pPr>
      <w:bookmarkEnd w:id="1043"/>
      <w:r>
        <w:rPr>
          <w:rFonts w:ascii="Amiri" w:hAnsi="Amiri" w:eastAsia="Amiri" w:cs="Amiri"/>
          <w:color w:val="111111"/>
          <w:sz w:val="28"/>
          <w:sz w:val="28"/>
          <w:szCs w:val="28"/>
          <w:rtl w:val="true"/>
          <w:lang w:bidi="ar-SA"/>
        </w:rPr>
        <w:t>مسّ کتابة</w:t>
      </w:r>
      <w:r>
        <w:rPr>
          <w:rStyle w:val="FootnoteAnchor"/>
          <w:rtl w:val="true"/>
        </w:rPr>
        <w:footnoteReference w:id="1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التأمّل فیه، وأ نّه لا یبعد جواز المسّ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التیمّم للضیق،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بحکم الطاهر إلی تمام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جوازه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وأنّه بحکم الطاهر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قراءة العزائم، ولا الدخول فی المساجد، وکالتیمّم لصلاة المیّت، أو للنوم مع وجود الماء</w:t>
      </w:r>
      <w:r>
        <w:rPr>
          <w:rFonts w:eastAsia="IRNazanin" w:cs="IRNazanin"/>
          <w:color w:val="111111"/>
          <w:sz w:val="28"/>
          <w:szCs w:val="28"/>
          <w:rtl w:val="true"/>
          <w:lang w:bidi="fa-IR"/>
        </w:rPr>
        <w:t>.</w:t>
      </w:r>
    </w:p>
    <w:p>
      <w:pPr>
        <w:pStyle w:val="Heading3"/>
        <w:numPr>
          <w:ilvl w:val="2"/>
          <w:numId w:val="1"/>
        </w:numPr>
        <w:rPr/>
      </w:pPr>
      <w:bookmarkStart w:id="1044" w:name="__RefHeading___Toc1764306_2322387425"/>
      <w:bookmarkStart w:id="1045" w:name="_Toc386"/>
      <w:bookmarkEnd w:id="1044"/>
      <w:r>
        <w:rPr>
          <w:rtl w:val="true"/>
        </w:rPr>
        <w:t>غایات الوضوء والغسل غایات للتیمّم</w:t>
      </w:r>
      <w:bookmarkEnd w:id="104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غایات الوضوء والغسل غایات للتیمّم</w:t>
      </w:r>
      <w:r>
        <w:rPr>
          <w:rStyle w:val="FootnoteAnchor"/>
          <w:rtl w:val="true"/>
        </w:rPr>
        <w:footnoteReference w:id="1400"/>
      </w:r>
      <w:r>
        <w:rPr>
          <w:rFonts w:ascii="IRNazanin" w:hAnsi="IRNazanin" w:eastAsia="IRNazanin"/>
          <w:color w:val="111111"/>
          <w:sz w:val="28"/>
          <w:sz w:val="28"/>
          <w:szCs w:val="28"/>
          <w:rtl w:val="true"/>
          <w:lang w:bidi="fa-IR"/>
        </w:rPr>
        <w:t>أیضاً، فیجب لما یجب لأجله الوضوء أو الغسل، ویندب</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لما یندب له</w:t>
      </w:r>
      <w:r>
        <w:rPr>
          <w:rStyle w:val="FootnoteAnchor"/>
          <w:rtl w:val="true"/>
        </w:rPr>
        <w:footnoteReference w:id="1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علی إطلاقه، فلا یقصد الورود إذا أتی به بدلاً عمّا لایرفع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فیصحّ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 تلک الموارد برجاء المطلوبیة، وإلاّ ففی بدلیّته عنها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صحّته بدلاً عن الأغسال المستحبّة والوضوءات المستحبّة ممّا لا تکون رافعة للحدث إشکال، فلا یأتی به بدلها إلاّ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بدلیّته عمّا لا یرفع الحدث إشکال، ولا بأس بالإتیان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بدلیّته عن غیر الطَهور إشکال، فالأحوط قصد الرجاء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بدلیته عن الأغسال والوضوءات المستحبّة حتّی للمتطهّر عن الحدث مطلقا إشکال، 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بدلیة التیمّم عن الغُسل أو الوضوء غیر الرافعین للحدث إشکال، فالأحوط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الأغسال المندوبة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صحّته إشکال، إلاّ أنّ الإتیان به رجاءً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بدلیّته عن غسل الجمعة إشکال، والأحوط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بدلیّـته عن الوضوءات والأغسال المندوبة غیر الرافعة للحدث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أتی به رجاءً لکان أحوط وأولی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والوضوءات المستحبّة حتّی وضوء الحائض</w:t>
      </w:r>
      <w:r>
        <w:rPr>
          <w:rStyle w:val="FootnoteAnchor"/>
          <w:rtl w:val="true"/>
        </w:rPr>
        <w:footnoteReference w:id="1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بدلیّة التیمّم عن الوضوء الغیر الرافع ومشروعیّـته محلّ إشکال، ولکن لا مانع له برجاء المحبوبیّة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فیها وما بعدها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فیهما تأمّل یأتی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التجدیدیّ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لعدم اعتبار دلیله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مشروعیّـته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وجود شرط صحّته من فقد الماء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بدلاً عن الوضوء التهیّؤی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التهیّؤی لیس إلاّ عبارة عن الوضوء للکون علی الطهارة، فیکون التیمّم بدلاً له؛ إذ التیمّم طهارة العاجز عن استعمال الماء، فیشرع عند العجز عنه، والکون علی الطهارة لیس إلاّ ترتّب أثره علیه، وسائر الغایات لیست إلاّ ما یکون التیمّم شرطا لصحتها أو کمالها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بدلیّـته عنه لولا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رجع إلی الکون علی الطهارة متهیّئا للصلاة فلا إشکال أیضاً، ولم یتّضح لنا الفرق بین الوضوء التجدیدی والکون علی الطهارة من هذه الجهة، وإن کان بینهما فرق من جهة الحالة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w:t>
      </w:r>
    </w:p>
    <w:p>
      <w:pPr>
        <w:pStyle w:val="BookText"/>
        <w:rPr/>
      </w:pPr>
      <w:r>
        <w:rPr>
          <w:rFonts w:ascii="Amiri" w:hAnsi="Amiri" w:eastAsia="Amiri" w:cs="Amiri"/>
          <w:color w:val="111111"/>
          <w:sz w:val="28"/>
          <w:sz w:val="28"/>
          <w:szCs w:val="28"/>
          <w:rtl w:val="true"/>
          <w:lang w:bidi="ar-SA"/>
        </w:rPr>
        <w:t>مرّ</w:t>
      </w:r>
      <w:r>
        <w:rPr>
          <w:rStyle w:val="FootnoteAnchor"/>
          <w:rtl w:val="true"/>
        </w:rPr>
        <w:footnoteReference w:id="1404"/>
      </w:r>
      <w:r>
        <w:rPr>
          <w:rFonts w:ascii="IRNazanin" w:hAnsi="IRNazanin" w:eastAsia="IRNazanin"/>
          <w:color w:val="111111"/>
          <w:sz w:val="28"/>
          <w:sz w:val="28"/>
          <w:szCs w:val="28"/>
          <w:rtl w:val="true"/>
          <w:lang w:bidi="fa-IR"/>
        </w:rPr>
        <w:t>، کما أنّ کونه بدلاً عن الوضوء للکون علی الطهارة محلّ إشکال</w:t>
      </w:r>
      <w:r>
        <w:rPr>
          <w:rStyle w:val="FootnoteAnchor"/>
          <w:rtl w:val="true"/>
        </w:rPr>
        <w:footnoteReference w:id="1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بدلیّـته؛ لکونه أحد الطَهورین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تبعد البدلیّة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فیه، کما لا إشکال فی بدلیّـته عن الوضوء التهیّؤی بناءً علی کون مرجع التهیّؤی قصد الکون علی الطهارة عند دخول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بدلیّـته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الرجحان الذاتی له، وإلاّ فالظاهر مشروعیّـته، وإن کان الأحوط مع ذلک ما ذکره فی المتن من إتیانه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القول بعدم الإشکال فیه، بل أولی من سائر الغایات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التجدیدی والکون علی الطهارة غیر واضح، والأقوی الجواز فی کِلا الموردین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صحّة بدلیّـته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وحینئذٍ فیمکن أنْ یکون بدلاً عن التهیّؤ أیضا؛ لأنّه یرجع إلی الکون علی الطهارة متهیّئا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بدلیّـته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بدلیّـته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فیه، ومنه یظهر الإشکال فیما أفاده فی ذیل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والأظهر کونه کالوضوء والغسل مستحبّاً نفسیّاً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مایترتّب علی الوضوء هو الکون علی الطهارة، وسائر الغایات إنّما هی فی طوله، لا فی عرضه، فلا إشکال فی البدلیّة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6" w:name="pg13276_136979"/>
    </w:p>
    <w:p>
      <w:pPr>
        <w:pStyle w:val="BookText"/>
        <w:rPr/>
      </w:pPr>
      <w:bookmarkEnd w:id="1046"/>
      <w:r>
        <w:rPr>
          <w:rFonts w:ascii="IRNazanin" w:hAnsi="IRNazanin" w:eastAsia="IRNazanin"/>
          <w:color w:val="111111"/>
          <w:sz w:val="28"/>
          <w:sz w:val="28"/>
          <w:szCs w:val="28"/>
          <w:rtl w:val="true"/>
          <w:lang w:bidi="fa-IR"/>
        </w:rPr>
        <w:t>نعم، إتیانه برجاء المطلوبیّة لا مانع منه، لکن یشکل</w:t>
      </w:r>
      <w:r>
        <w:rPr>
          <w:rStyle w:val="FootnoteAnchor"/>
          <w:rtl w:val="true"/>
        </w:rPr>
        <w:footnoteReference w:id="1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بناءً علی وجود الإطلاقات الدالّة علی البدلیّة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به لما یشترط فیه الطهارة، أو یستحبّ إتیانه مع الطهارة</w:t>
      </w:r>
      <w:r>
        <w:rPr>
          <w:rFonts w:eastAsia="IRNazanin" w:cs="IRNazanin"/>
          <w:color w:val="111111"/>
          <w:sz w:val="28"/>
          <w:szCs w:val="28"/>
          <w:rtl w:val="true"/>
          <w:lang w:bidi="fa-IR"/>
        </w:rPr>
        <w:t>.</w:t>
      </w:r>
    </w:p>
    <w:p>
      <w:pPr>
        <w:pStyle w:val="Heading3"/>
        <w:numPr>
          <w:ilvl w:val="2"/>
          <w:numId w:val="1"/>
        </w:numPr>
        <w:rPr/>
      </w:pPr>
      <w:bookmarkStart w:id="1047" w:name="__RefHeading___Toc1764308_2322387425"/>
      <w:bookmarkStart w:id="1048" w:name="_Toc387"/>
      <w:bookmarkEnd w:id="1047"/>
      <w:r>
        <w:rPr>
          <w:rtl w:val="true"/>
        </w:rPr>
        <w:t>إغناء تیمّم الجنب عن الوضوء</w:t>
      </w:r>
      <w:bookmarkEnd w:id="1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الّذی هو بدل عن غسل الجنابة حاله کحاله فی الإغناء عن الوضوء، کما أنّ ما هو بدل عن سائر الأغسال یحتاج إلی الوضوء</w:t>
      </w:r>
      <w:r>
        <w:rPr>
          <w:rStyle w:val="FootnoteAnchor"/>
          <w:rtl w:val="true"/>
        </w:rPr>
        <w:footnoteReference w:id="1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یحتاج إلیهما؛ لکفایة کلّ غُسلٍ مشروعٍ عن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یحتاج، إلاّ أن یکون بدلاً عن غسل الاستحاضة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بحسب الأدلّة عدم الاحتیاج إلیه کما فی مبدله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الاحتیاج إلی أحدهما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مثلها، فلو تمکّن من الوضوء 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التیمّم بدلها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یتمکّن</w:t>
      </w:r>
      <w:bookmarkStart w:id="1049" w:name="pg13276_136980"/>
    </w:p>
    <w:p>
      <w:pPr>
        <w:pStyle w:val="BookText"/>
        <w:rPr/>
      </w:pPr>
      <w:bookmarkEnd w:id="1049"/>
      <w:r>
        <w:rPr>
          <w:rFonts w:ascii="Amiri" w:hAnsi="Amiri" w:eastAsia="Amiri" w:cs="Amiri"/>
          <w:color w:val="111111"/>
          <w:sz w:val="28"/>
          <w:sz w:val="28"/>
          <w:szCs w:val="28"/>
          <w:rtl w:val="true"/>
          <w:lang w:bidi="ar-SA"/>
        </w:rPr>
        <w:t>تیمّم</w:t>
      </w:r>
      <w:r>
        <w:rPr>
          <w:rStyle w:val="FootnoteAnchor"/>
          <w:rtl w:val="true"/>
        </w:rPr>
        <w:footnoteReference w:id="1408"/>
      </w:r>
      <w:r>
        <w:rPr>
          <w:rFonts w:ascii="Amiri" w:hAnsi="Amiri" w:eastAsia="Amiri" w:cs="Amiri"/>
          <w:color w:val="111111"/>
          <w:sz w:val="28"/>
          <w:sz w:val="28"/>
          <w:szCs w:val="28"/>
          <w:rtl w:val="true"/>
          <w:lang w:bidi="ar-SA"/>
        </w:rPr>
        <w:t>تیمّمین</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764310_2322387425"/>
      <w:bookmarkStart w:id="1051" w:name="_Toc388"/>
      <w:bookmarkEnd w:id="1050"/>
      <w:r>
        <w:rPr>
          <w:rtl w:val="true"/>
        </w:rPr>
        <w:t>فی نواقض التیمّم</w:t>
      </w:r>
      <w:bookmarkEnd w:id="1051"/>
    </w:p>
    <w:p>
      <w:pPr>
        <w:pStyle w:val="Heading4"/>
        <w:numPr>
          <w:ilvl w:val="3"/>
          <w:numId w:val="1"/>
        </w:numPr>
        <w:rPr/>
      </w:pPr>
      <w:bookmarkStart w:id="1052" w:name="__RefHeading___Toc1764312_2322387425"/>
      <w:bookmarkStart w:id="1053" w:name="_Toc389"/>
      <w:bookmarkEnd w:id="1052"/>
      <w:r>
        <w:rPr>
          <w:rtl w:val="true"/>
        </w:rPr>
        <w:t>الأول</w:t>
      </w:r>
      <w:r>
        <w:rPr>
          <w:rtl w:val="true"/>
        </w:rPr>
        <w:t xml:space="preserve">: </w:t>
      </w:r>
      <w:r>
        <w:rPr>
          <w:rtl w:val="true"/>
        </w:rPr>
        <w:t>الحدث</w:t>
      </w:r>
      <w:bookmarkEnd w:id="1053"/>
    </w:p>
    <w:p>
      <w:pPr>
        <w:pStyle w:val="BookText"/>
        <w:rPr/>
      </w:pPr>
      <w:r>
        <w:rPr>
          <w:rFonts w:ascii="IRNazanin" w:hAnsi="IRNazanin" w:eastAsia="IRNazanin"/>
          <w:color w:val="111111"/>
          <w:sz w:val="28"/>
          <w:sz w:val="28"/>
          <w:szCs w:val="28"/>
          <w:rtl w:val="true"/>
          <w:lang w:bidi="fa-IR"/>
        </w:rPr>
        <w:t>أحدهما بدلاً عن الغسل، والآخر عن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ینتقض التیمّم</w:t>
      </w:r>
      <w:r>
        <w:rPr>
          <w:rStyle w:val="FootnoteAnchor"/>
          <w:rtl w:val="true"/>
        </w:rPr>
        <w:footnoteReference w:id="1409"/>
      </w:r>
      <w:r>
        <w:rPr>
          <w:rFonts w:ascii="IRNazanin" w:hAnsi="IRNazanin" w:eastAsia="IRNazanin"/>
          <w:color w:val="111111"/>
          <w:sz w:val="28"/>
          <w:sz w:val="28"/>
          <w:szCs w:val="28"/>
          <w:rtl w:val="true"/>
          <w:lang w:bidi="fa-IR"/>
        </w:rPr>
        <w:t>بما ینتقض</w:t>
      </w:r>
      <w:r>
        <w:rPr>
          <w:rStyle w:val="FootnoteAnchor"/>
          <w:rtl w:val="true"/>
        </w:rPr>
        <w:footnoteReference w:id="1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نواقض المبدَل منه، نواقض البدل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ینقض البدل بما ینقض به المبدَل، فلا ینتقض ما هو بدل عن الغسل بنواقض الوضوء، وسیأتی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والغسل من الأحداث، کما أ نّه ینتقض بوجدان الماء أو زوال العذر، ولا یجب علیه إعادة ما صلاّه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الکلام حوله 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زال العذر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الوقت،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إذا لم یکن عالماً ببقاء العذر إلی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الاحتیاط لا یُترک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1054" w:name="pg13276_136981"/>
    </w:p>
    <w:p>
      <w:pPr>
        <w:pStyle w:val="BookText"/>
        <w:rPr/>
      </w:pPr>
      <w:bookmarkEnd w:id="1054"/>
      <w:r>
        <w:rPr>
          <w:rFonts w:ascii="IRNazanin" w:hAnsi="IRNazanin" w:eastAsia="IRNazanin"/>
          <w:color w:val="111111"/>
          <w:sz w:val="28"/>
          <w:sz w:val="28"/>
          <w:szCs w:val="28"/>
          <w:rtl w:val="true"/>
          <w:lang w:bidi="fa-IR"/>
        </w:rPr>
        <w:t>الإعادة حینئذٍ، بل والقضاء أیضاً فی الصور الخمسِ المتقدّمة</w:t>
      </w:r>
      <w:r>
        <w:rPr>
          <w:rStyle w:val="FootnoteAnchor"/>
          <w:rtl w:val="true"/>
        </w:rPr>
        <w:footnoteReference w:id="1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بیّن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1055" w:name="__RefHeading___Toc1764314_2322387425"/>
      <w:bookmarkStart w:id="1056" w:name="_Toc390"/>
      <w:bookmarkEnd w:id="1055"/>
      <w:r>
        <w:rPr>
          <w:rtl w:val="true"/>
        </w:rPr>
        <w:t>وجدان الماء فی زمان لا یسع الوضوء أو الغسل</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w:t>
      </w:r>
      <w:r>
        <w:rPr>
          <w:rStyle w:val="FootnoteAnchor"/>
          <w:rtl w:val="true"/>
        </w:rPr>
        <w:footnoteReference w:id="1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المقدور استعماله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زال عذره قبل الصلاة لا یصحّ أن یصلّی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فقد الماء أو تجدّد العذر فیجب أن یتیمّم ثانیاً، نعم، إذا لم یسع زمان الوجدان أو زوال العذر للوضوء أو الغسل، بأن فقد أو زال العذر بفصل غیر کافٍ لهما لا یبعد عدم بطلانه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قویة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إلاّ إذا کان فقد الماء بتقصیر منه، فیجدّد تیمّمه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وعدم وجوب تجدیده،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التجدید مطلقاً، وکذا إذا کان وجدان الماء أو زوال العذر فی ضیق الوقت، فإنّه لا یحتاج إلی الإعادة حینئذٍ للصلاة الّتی ضاق وقتها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1764316_2322387425"/>
      <w:bookmarkStart w:id="1058" w:name="_Toc391"/>
      <w:bookmarkEnd w:id="1057"/>
      <w:r>
        <w:rPr>
          <w:rtl w:val="true"/>
        </w:rPr>
        <w:t>وجدان الماء أثناء الصلاة قبل الرکوع أو بعده</w:t>
      </w:r>
      <w:bookmarkEnd w:id="1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الرکوع من الرکعة الاُولی بطل</w:t>
      </w:r>
      <w:r>
        <w:rPr>
          <w:rStyle w:val="FootnoteAnchor"/>
          <w:rtl w:val="true"/>
        </w:rPr>
        <w:footnoteReference w:id="14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لایبعد القول بالصحة واستحباب 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تیمّمه</w:t>
      </w:r>
      <w:r>
        <w:rPr>
          <w:rStyle w:val="FootnoteAnchor"/>
          <w:rtl w:val="true"/>
        </w:rPr>
        <w:footnoteReference w:id="1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بطلانهما، نعم، یُستحب استئنافها بالطهارة المائیة، 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والإعادة مع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 الموافق للجمع بین الأخبار استحباب الرجوع، وإن کان الأحوط ما ذکره، فلا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البطلان مع استحباب استئناف الصلاة مع الطهارة المائیّة، لکنّ الاحتیاط بالإتمام والإعادة مع سعة الوقت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لا یبعد الحکم بالصحّة مع استحباب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التیمّم والصلاة، ولکنّ الأفضل إعادة الصلاة إذا کان وجدان الماء قبل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عدم البطلان مع استحباب الرجوع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بالبطلان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استحباب القطع ثمّ الاستئناف بالطهارة المائیّة لا یخلو من وجه، 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التیمّم والصلاة، وإن کان الأفضل 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الجمود علی الجمع بین الأدلة صحة الإتمام واستحباب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 تبعد صحة التیمم والصلاة بمجرد الدخول فیالصلاة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صحّتهما، واستحباب الانصراف وإعادة الصلاة مع 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یتمّها ثمّ یستأنفها بالطهارة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البطلان، وإن کان الأولی قطع الصلاة قبل الرکوع، بل وبعده ما لم یتمَّ الرکعة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بعده لم</w:t>
      </w:r>
      <w:bookmarkStart w:id="1059" w:name="pg13276_136983"/>
    </w:p>
    <w:p>
      <w:pPr>
        <w:pStyle w:val="BookText"/>
        <w:rPr/>
      </w:pPr>
      <w:bookmarkEnd w:id="1059"/>
      <w:r>
        <w:rPr>
          <w:rFonts w:ascii="IRNazanin" w:hAnsi="IRNazanin" w:eastAsia="IRNazanin"/>
          <w:color w:val="111111"/>
          <w:sz w:val="28"/>
          <w:sz w:val="28"/>
          <w:szCs w:val="28"/>
          <w:rtl w:val="true"/>
          <w:lang w:bidi="fa-IR"/>
        </w:rPr>
        <w:t>یبطل</w:t>
      </w:r>
      <w:r>
        <w:rPr>
          <w:rStyle w:val="FootnoteAnchor"/>
          <w:rtl w:val="true"/>
        </w:rPr>
        <w:footnoteReference w:id="1415"/>
      </w:r>
      <w:r>
        <w:rPr>
          <w:rFonts w:ascii="IRNazanin" w:hAnsi="IRNazanin" w:eastAsia="IRNazanin"/>
          <w:color w:val="111111"/>
          <w:sz w:val="28"/>
          <w:sz w:val="28"/>
          <w:szCs w:val="28"/>
          <w:rtl w:val="true"/>
          <w:lang w:bidi="fa-IR"/>
        </w:rPr>
        <w:t>، ویتمّ الصلاة، لکنّ الأحوط</w:t>
      </w:r>
      <w:r>
        <w:rPr>
          <w:rStyle w:val="FootnoteAnchor"/>
          <w:rtl w:val="true"/>
        </w:rPr>
        <w:footnoteReference w:id="1416"/>
      </w:r>
      <w:r>
        <w:rPr>
          <w:rFonts w:ascii="Amiri" w:hAnsi="Amiri" w:eastAsia="Amiri" w:cs="Amiri"/>
          <w:color w:val="111111"/>
          <w:sz w:val="28"/>
          <w:sz w:val="28"/>
          <w:szCs w:val="28"/>
          <w:rtl w:val="true"/>
          <w:lang w:bidi="ar-SA"/>
        </w:rPr>
        <w:t>مع سعة الوقت</w:t>
      </w:r>
      <w:r>
        <w:rPr>
          <w:rStyle w:val="FootnoteAnchor"/>
          <w:rtl w:val="true"/>
        </w:rPr>
        <w:footnoteReference w:id="1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الإتمام والإعادة مع الوضوء، ولا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التفصیل المذکور بین الفریضة والنافلة علی الأقوی، وإن کان الاحتیاط بالإعادة فی الفریضة آکد من النافلة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وجوبها، وإلاّ فبحسب الأدلّة یکون الأمر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1764318_2322387425"/>
      <w:bookmarkStart w:id="1061" w:name="_Toc392"/>
      <w:bookmarkEnd w:id="1060"/>
      <w:r>
        <w:rPr>
          <w:rtl w:val="true"/>
        </w:rPr>
        <w:t>وجدان الماء أثناء غیر الصلاة من العبادات</w:t>
      </w:r>
      <w:bookmarkEnd w:id="10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 بالصلاة غیرها إذا وجد الماء فی أثنائها، بل تبطل مطلقاً، وإن کان قبل الجزء الأخیر منها، فلو وجد فی أثناء الطواف</w:t>
      </w:r>
      <w:r>
        <w:rPr>
          <w:rStyle w:val="FootnoteAnchor"/>
          <w:rtl w:val="true"/>
        </w:rPr>
        <w:footnoteReference w:id="1418"/>
      </w:r>
      <w:r>
        <w:rPr>
          <w:rFonts w:ascii="IRNazanin" w:hAnsi="IRNazanin" w:eastAsia="IRNazanin"/>
          <w:color w:val="111111"/>
          <w:sz w:val="28"/>
          <w:sz w:val="28"/>
          <w:szCs w:val="28"/>
          <w:rtl w:val="true"/>
          <w:lang w:bidi="fa-IR"/>
        </w:rPr>
        <w:t>ولو فی الشوط الأخیر</w:t>
      </w:r>
      <w:r>
        <w:rPr>
          <w:rStyle w:val="FootnoteAnchor"/>
          <w:rtl w:val="true"/>
        </w:rPr>
        <w:footnoteReference w:id="1419"/>
      </w:r>
      <w:r>
        <w:rPr>
          <w:rFonts w:ascii="IRNazanin" w:hAnsi="IRNazanin" w:eastAsia="IRNazanin"/>
          <w:color w:val="111111"/>
          <w:sz w:val="28"/>
          <w:sz w:val="28"/>
          <w:szCs w:val="28"/>
          <w:rtl w:val="true"/>
          <w:lang w:bidi="fa-IR"/>
        </w:rPr>
        <w:t>بطل</w:t>
      </w:r>
      <w:r>
        <w:rPr>
          <w:rStyle w:val="FootnoteAnchor"/>
          <w:rtl w:val="true"/>
        </w:rPr>
        <w:footnoteReference w:id="1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فیما لو وجد الماء بعد الشّوط الرابع أن یتطهّر به ویتمّ الطواف، ویصلّی رکعتیه، ثمّ یعید الطواف وصلاته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الإتیان بعد الطهارة المائیة بطواف کامل بقصد الأعمّ من الإتمام والتمام إذا کان وجدان الماء بعد تجاوز النصف، وکان طوافه مع التیمّم مشروعاً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الاحتیاط أنّه إذا کان الحدث بعد الشوط الرابع أن یأتی بالطهارة المائیة، ثمّ یأتی بالطواف الکامل بقصد الأعمّ من التمام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الوجدان بعد تمامیة الشوط الرابع یحتاط بإتیان الطواف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جواز إتمامه بعد تحصیل الطهارة المائیة إذا کان زوال العذر بعد إکمال الشوط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وجد فی أثناء صلاة</w:t>
      </w:r>
      <w:bookmarkStart w:id="1062" w:name="pg13276_136984"/>
    </w:p>
    <w:p>
      <w:pPr>
        <w:pStyle w:val="BookText"/>
        <w:rPr/>
      </w:pPr>
      <w:bookmarkEnd w:id="1062"/>
      <w:r>
        <w:rPr>
          <w:rFonts w:ascii="IRNazanin" w:hAnsi="IRNazanin" w:eastAsia="IRNazanin"/>
          <w:color w:val="111111"/>
          <w:sz w:val="28"/>
          <w:sz w:val="28"/>
          <w:szCs w:val="28"/>
          <w:rtl w:val="true"/>
          <w:lang w:bidi="fa-IR"/>
        </w:rPr>
        <w:t>المیّت بمقدار غسله بعد أن یُمّم لفقد الماء، فیجب الغُسل وإعادة الصلاة، بل وکذا</w:t>
      </w:r>
      <w:r>
        <w:rPr>
          <w:rStyle w:val="FootnoteAnchor"/>
          <w:rtl w:val="true"/>
        </w:rPr>
        <w:footnoteReference w:id="1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إعادة الصلاة فی هذا الفرض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وجد قبل تمام الدفن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تحقّق عنوان الدفن بنیة ما علیه من الإتمام والتمام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لزوم إعادة الصلاة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1764320_2322387425"/>
      <w:bookmarkStart w:id="1064" w:name="_Toc393"/>
      <w:bookmarkEnd w:id="1063"/>
      <w:r>
        <w:rPr>
          <w:rtl w:val="true"/>
        </w:rPr>
        <w:t>زوال العذر غیر الفقدان</w:t>
      </w:r>
      <w:bookmarkEnd w:id="1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واجداً للماء وتیمّم لعذر آخر من استعماله فزال عذره فی أثناء الصلاة هل یلحق</w:t>
      </w:r>
      <w:r>
        <w:rPr>
          <w:rStyle w:val="FootnoteAnchor"/>
          <w:rtl w:val="true"/>
        </w:rPr>
        <w:footnoteReference w:id="1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الإلحاق، لکن مرّ بطلان التفصیل، وعلیه فالاحتیاط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بوجدان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التفصیل المذکور؟</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1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والإلحاق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الإلحاق بوجدان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الإلحاق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یترک</w:t>
      </w:r>
      <w:r>
        <w:rPr>
          <w:rFonts w:eastAsia="IRNazanin" w:cs="IRNazanin"/>
          <w:color w:val="111111"/>
          <w:sz w:val="28"/>
          <w:szCs w:val="28"/>
          <w:rtl w:val="true"/>
          <w:lang w:bidi="fa-IR"/>
        </w:rPr>
        <w:t>···</w:t>
      </w:r>
      <w:bookmarkStart w:id="1065" w:name="pg13276_136985"/>
    </w:p>
    <w:p>
      <w:pPr>
        <w:pStyle w:val="BookText"/>
        <w:rPr/>
      </w:pPr>
      <w:bookmarkEnd w:id="1065"/>
      <w:r>
        <w:rPr>
          <w:rFonts w:ascii="IRNazanin" w:hAnsi="IRNazanin" w:eastAsia="IRNazanin"/>
          <w:color w:val="111111"/>
          <w:sz w:val="28"/>
          <w:sz w:val="28"/>
          <w:szCs w:val="28"/>
          <w:rtl w:val="true"/>
          <w:lang w:bidi="fa-IR"/>
        </w:rPr>
        <w:t>الاحتیاط</w:t>
      </w:r>
      <w:r>
        <w:rPr>
          <w:rStyle w:val="FootnoteAnchor"/>
          <w:rtl w:val="true"/>
        </w:rPr>
        <w:footnoteReference w:id="1424"/>
      </w:r>
      <w:r>
        <w:rPr>
          <w:rFonts w:ascii="IRNazanin" w:hAnsi="IRNazanin" w:eastAsia="IRNazanin"/>
          <w:color w:val="111111"/>
          <w:sz w:val="28"/>
          <w:sz w:val="28"/>
          <w:szCs w:val="28"/>
          <w:rtl w:val="true"/>
          <w:lang w:bidi="fa-IR"/>
        </w:rPr>
        <w:t>بالإتمام والإعادة إذا کان بعد الرکوع</w:t>
      </w:r>
      <w:r>
        <w:rPr>
          <w:rStyle w:val="FootnoteAnchor"/>
          <w:rtl w:val="true"/>
        </w:rPr>
        <w:footnoteReference w:id="1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قبل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عبداللّه الشیرازی،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وقبله أیضا، وکذا بعد الصلاة مع سعة الوقت للإعادة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الرکعة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زوال العذر فی أثناء الصلاة فی ضیق الوقت أتمّها، وکذا لو لم یفِ زمان زوال العذر للوضوء بأن تجدّد العذر بلا فصل فإنّ الظاهر عدم بطلانه، وإن کان الأحوط الإعادة</w:t>
      </w:r>
      <w:r>
        <w:rPr>
          <w:rFonts w:eastAsia="IRNazanin" w:cs="IRNazanin"/>
          <w:color w:val="111111"/>
          <w:sz w:val="28"/>
          <w:szCs w:val="28"/>
          <w:rtl w:val="true"/>
          <w:lang w:bidi="fa-IR"/>
        </w:rPr>
        <w:t>.</w:t>
      </w:r>
    </w:p>
    <w:p>
      <w:pPr>
        <w:pStyle w:val="Heading3"/>
        <w:numPr>
          <w:ilvl w:val="2"/>
          <w:numId w:val="1"/>
        </w:numPr>
        <w:rPr/>
      </w:pPr>
      <w:bookmarkStart w:id="1066" w:name="__RefHeading___Toc1764322_2322387425"/>
      <w:bookmarkStart w:id="1067" w:name="_Toc394"/>
      <w:bookmarkEnd w:id="1066"/>
      <w:r>
        <w:rPr>
          <w:rtl w:val="true"/>
        </w:rPr>
        <w:t>وجدان الماء بعد الرکوع ثمّ فقدانه</w:t>
      </w:r>
      <w:bookmarkEnd w:id="1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فی أثناء الصلاة بعد الرکوع</w:t>
      </w:r>
      <w:r>
        <w:rPr>
          <w:rStyle w:val="FootnoteAnchor"/>
          <w:rtl w:val="true"/>
        </w:rPr>
        <w:footnoteReference w:id="1426"/>
      </w:r>
      <w:r>
        <w:rPr>
          <w:rFonts w:ascii="IRNazanin" w:hAnsi="IRNazanin" w:eastAsia="IRNazanin"/>
          <w:color w:val="111111"/>
          <w:sz w:val="28"/>
          <w:sz w:val="28"/>
          <w:szCs w:val="28"/>
          <w:rtl w:val="true"/>
          <w:lang w:bidi="fa-IR"/>
        </w:rPr>
        <w:t>، ثمّ فقد فی أثنائها أیضاً أو بعد الفراغ منها بلا فصلٍ، هل یکفی ذلک التیمّم لصلاة اُخری</w:t>
      </w:r>
      <w:r>
        <w:rPr>
          <w:rStyle w:val="FootnoteAnchor"/>
          <w:rtl w:val="true"/>
        </w:rPr>
        <w:footnoteReference w:id="1427"/>
      </w:r>
      <w:r>
        <w:rPr>
          <w:rFonts w:ascii="IRNazanin" w:hAnsi="IRNazanin" w:eastAsia="IRNazanin"/>
          <w:color w:val="111111"/>
          <w:sz w:val="28"/>
          <w:sz w:val="28"/>
          <w:szCs w:val="28"/>
          <w:rtl w:val="true"/>
          <w:lang w:bidi="fa-IR"/>
        </w:rPr>
        <w:t>، أو لا؟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زمان الوجدان وافیاً للوضوءأو الغسل علی تقدیر عدم کونه فی الصلاة، أو لا، فعلی الثانی الظاهر عدم بطلان ذلک التیمّم بالنسبة إلی الصلاة، الاُخری أیضاً</w:t>
      </w:r>
      <w:r>
        <w:rPr>
          <w:rStyle w:val="FootnoteAnchor"/>
          <w:rtl w:val="true"/>
        </w:rPr>
        <w:footnoteReference w:id="1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علی الأوّل إذا کانت الصلاة فریضة مضیّقة وتوقف الوضوء أو الغسل علی إبطالها، وإذا کانت غیر مضیّقة فلا یُترک الاحتیاط، کما فی المتن، وإذا کانت نافلة فالظاهر عدم الاکتفاء به ولزوم تجدیده للصلاة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الأوّل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1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لو کانت الصلاة نافلة جواز قطعها، وإلاّ فمع کونها فریضة لا یبعد المصیر إلی عدم صدق وجدانه مادام فیها، فیترتّب علیه ما أفاده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الاکتفاء به إذا کانت الصلاة المتشاغل بها فی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قویّاً الاکتفاء به، لا سیّما إذا کانت الصلاة واجبة وتوقّف الوضوء علی إبطالها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الفرق بین الصورتین فی الاکتفاء به فی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 الاکتفاء به، سیّما مع عدم التمکّن من الوضوء والغُسل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یبعد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الاکتفاء به إذا کانت الصلاة فریضة، وعدم الاکتفاء به إذا کانت 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الصلاة نافلة فالأقوی جواز قطعها، ولو کانت فریضة لا یبعد عدم صدق الوجدان مادام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الاکتفاء به إذا کان بعد الرکوع، بل لایبعد إذا کان قبل الرکوع أیضاً، وما ذکر من التعلیل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الفریضة، وأمّا النافلة ففی الاکتفاء به بل فی مشروعیّة إتمامها لو وجد الماء فی أثنائها تأمّل، فلا یُترک الاحتیاط بعدم الاکتفاء ورفع الید عن النافلة، أو إتمامها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إذا کانت الصلاة المشتغل بها فریضة مع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الاکتفاء، وعدم لزوم التجدید بالإضافة إلی الفریضة، وأمّا النافلة فتشکل مشروعیة إتمامها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 . . . . . . . . . . . . . . . . . . . . . . . . . . . . . . . . . . .</w:t>
      </w:r>
      <w:bookmarkStart w:id="1068" w:name="pg13276_136987"/>
    </w:p>
    <w:p>
      <w:pPr>
        <w:pStyle w:val="BookText"/>
        <w:rPr/>
      </w:pPr>
      <w:bookmarkEnd w:id="1068"/>
      <w:r>
        <w:rPr>
          <w:rFonts w:ascii="IRNazanin" w:hAnsi="IRNazanin" w:eastAsia="IRNazanin"/>
          <w:color w:val="111111"/>
          <w:sz w:val="28"/>
          <w:sz w:val="28"/>
          <w:szCs w:val="28"/>
          <w:rtl w:val="true"/>
          <w:lang w:bidi="fa-IR"/>
        </w:rPr>
        <w:t>الاکتفاء</w:t>
      </w:r>
      <w:r>
        <w:rPr>
          <w:rStyle w:val="FootnoteAnchor"/>
          <w:rtl w:val="true"/>
        </w:rPr>
        <w:footnoteReference w:id="1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هذا الاحتیاط مشکل، وکذا فی المسألة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الاکتفاء لا یخلو من قوة، خصوصاً إذا لم یتمکّن من الوضوء والغسل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النافلة، وفی الفریضة إذا کان الوجدان قبل الرکوع أو بعده مع التمکّن من الغسل أو الوضوء فی أثنائها، وأمّا إذا کان الوجدان بعده فی الفریضة ولم یتمکّن من الطهارة المائیة فی الأثناء فالأظهر جواز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تجدیده لها؛ لأنّ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المعلوم من عدم بطلان التیمّم إذا کان الوجدان بعد الرکوع، إنّما هو بالنسبة إلی الصلاة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بها، لا مطلقاً</w:t>
      </w:r>
      <w:r>
        <w:rPr>
          <w:rFonts w:eastAsia="IRNazanin" w:cs="IRNazanin"/>
          <w:color w:val="111111"/>
          <w:sz w:val="28"/>
          <w:szCs w:val="28"/>
          <w:rtl w:val="true"/>
          <w:lang w:bidi="fa-IR"/>
        </w:rPr>
        <w:t>.</w:t>
      </w:r>
    </w:p>
    <w:p>
      <w:pPr>
        <w:pStyle w:val="Heading3"/>
        <w:numPr>
          <w:ilvl w:val="2"/>
          <w:numId w:val="1"/>
        </w:numPr>
        <w:rPr/>
      </w:pPr>
      <w:bookmarkStart w:id="1069" w:name="__RefHeading___Toc1764324_2322387425"/>
      <w:bookmarkStart w:id="1070" w:name="_Toc395"/>
      <w:bookmarkEnd w:id="1069"/>
      <w:r>
        <w:rPr>
          <w:rtl w:val="true"/>
        </w:rPr>
        <w:t>بعض فروع وجدان الماء بعد الرکوع</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مسّ کتابة القرآن وقراءة العزائم حال الاشتغال بالصلاة الّتی وجد الماء فیها بعد الرکوع إشکال</w:t>
      </w:r>
      <w:r>
        <w:rPr>
          <w:rStyle w:val="FootnoteAnchor"/>
          <w:rtl w:val="true"/>
        </w:rPr>
        <w:footnoteReference w:id="1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الأقرب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وکذا فی العدُول إلی الفائتة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الجواز،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غیر بعید، نعم، جواز العدول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الجواز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مرّ</w:t>
      </w:r>
      <w:r>
        <w:rPr>
          <w:rStyle w:val="FootnoteAnchor"/>
          <w:rtl w:val="true"/>
        </w:rPr>
        <w:footnoteReference w:id="1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الجواز، وکذا فی الإشکال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منّا ـ غیر مرّة ـ أنّه مبنیّ علی احتیاطٍ ینبغی مراعاته، وعلیه فصحّة العدول المذکور فی آخر المسألة غیر بعیدة، وإن کان الاحتیاط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من جهة وجود الإطلاق والعموم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 مطلقا، لِمَا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القدر المتیقّن من بقاء وصحّة التیمّم إنّما هو بالنسبة إلی تلک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بصحّته إلی تمام الصلاة مطلقاً ـ کما قاله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جاز المسّ وقراءة العزائم مادام فی تلک الصلاة، وممّا ذکرنا ظهر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الإشکال</w:t>
      </w:r>
      <w:r>
        <w:rPr>
          <w:rStyle w:val="FootnoteAnchor"/>
          <w:rtl w:val="true"/>
        </w:rPr>
        <w:footnoteReference w:id="1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جواز العدول مترتّب علی عدم الوجدان، المترتّب علی عدم بقاء الماء إلی الفراغ عن الصلاة وحرمة قطعها، وإنّما الکلام فی هذین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فیه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العدول، وعدم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تلک الصلاة إلی الفائتة الّتی هی مترتّبة علیها؛ لاحتمال عدم بقاء التیمّم بالنسبة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وجدان الماء فی أثناء الصلاة بعد الحکم الشرعیّ بالرکوع، کما لو کان فی السجود وشکّ فی أ نّه رکع أم لا، حیث إنّه محکوم بأ نّه رکع، فهل هو کالوجدان بعد الرکوع الوجدانی</w:t>
      </w:r>
      <w:r>
        <w:rPr>
          <w:rStyle w:val="FootnoteAnchor"/>
          <w:rtl w:val="true"/>
        </w:rPr>
        <w:footnoteReference w:id="1434"/>
      </w:r>
      <w:r>
        <w:rPr>
          <w:rFonts w:ascii="IRNazanin" w:hAnsi="IRNazanin" w:eastAsia="IRNazanin"/>
          <w:color w:val="111111"/>
          <w:sz w:val="28"/>
          <w:sz w:val="28"/>
          <w:szCs w:val="28"/>
          <w:rtl w:val="true"/>
          <w:lang w:bidi="fa-IR"/>
        </w:rPr>
        <w:t>أم لا؟ إشکال</w:t>
      </w:r>
      <w:r>
        <w:rPr>
          <w:rStyle w:val="FootnoteAnchor"/>
          <w:rtl w:val="true"/>
        </w:rPr>
        <w:footnoteReference w:id="1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أ نّه من الوجدان بعد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أظهره أنّه کالوجدان بعد الرکوع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أ نّه بحکم ما بعد الرکوع الوجدانی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 بکونه کالرکوع الوجدانی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 الشارع بأنّه بعد الرکوع بمنزلة الرکوع الوجدانی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کالوجدانی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أ نّه بحکم الرکوع الوجدانی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أماریة قاعدة التجاوز وإطلاق دلیل اعتبارها أنّها کالوجدان بعد الرکوع الوجدانی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أنّه بحکمه بعد الرکوع الوجدانی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أنّه محکوم بحکم الوجدان بعد الرکوع الوجدانی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 من جهة أنّه واجد له بعد الرکوع ولو تعبّداً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هو الأول، ولکن قد مرّ الحکم بالصحّة مطلقا، فلا یظهر الفرق إلاّ فی تأکّد أولویة الإعادة فیما إذا کان قبل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أقربه أنّه کالوجدان بعد الرکوع، وإنْ تقدم أنّه لا فرق بین الوجدانین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1071" w:name="pg13276_136990"/>
    </w:p>
    <w:p>
      <w:pPr>
        <w:pStyle w:val="BookText"/>
        <w:rPr/>
      </w:pPr>
      <w:bookmarkEnd w:id="1071"/>
      <w:r>
        <w:rPr>
          <w:rFonts w:ascii="IRNazanin" w:hAnsi="IRNazanin" w:eastAsia="IRNazanin"/>
          <w:color w:val="111111"/>
          <w:sz w:val="28"/>
          <w:sz w:val="28"/>
          <w:szCs w:val="28"/>
          <w:rtl w:val="true"/>
          <w:lang w:bidi="fa-IR"/>
        </w:rPr>
        <w:t>فالاحتیاط</w:t>
      </w:r>
      <w:r>
        <w:rPr>
          <w:rStyle w:val="FootnoteAnchor"/>
          <w:rtl w:val="true"/>
        </w:rPr>
        <w:footnoteReference w:id="1436"/>
      </w:r>
      <w:r>
        <w:rPr>
          <w:rFonts w:ascii="IRNazanin" w:hAnsi="IRNazanin" w:eastAsia="IRNazanin"/>
          <w:color w:val="111111"/>
          <w:sz w:val="28"/>
          <w:sz w:val="28"/>
          <w:szCs w:val="28"/>
          <w:rtl w:val="true"/>
          <w:lang w:bidi="fa-IR"/>
        </w:rPr>
        <w:t>بالإتمام والإعادة لا یترک</w:t>
      </w:r>
      <w:r>
        <w:rPr>
          <w:rStyle w:val="FootnoteAnchor"/>
          <w:rtl w:val="true"/>
        </w:rPr>
        <w:footnoteReference w:id="1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الاکتفاء بالإتمام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1764326_2322387425"/>
      <w:bookmarkStart w:id="1073" w:name="_Toc396"/>
      <w:bookmarkEnd w:id="1072"/>
      <w:r>
        <w:rPr>
          <w:rtl w:val="true"/>
        </w:rPr>
        <w:t>صحة صلاة من أتمّها مع وجوب قطعها</w:t>
      </w:r>
      <w:bookmarkEnd w:id="107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بالصحّة فی صورة الوجدان بعد الرکوع لیس منوطاً بحرمة قطع الصلاة، فمع جواز القطع أیضاً کذلک ما لم یقطع</w:t>
      </w:r>
      <w:r>
        <w:rPr>
          <w:rStyle w:val="FootnoteAnchor"/>
          <w:rtl w:val="true"/>
        </w:rPr>
        <w:footnoteReference w:id="1438"/>
      </w:r>
      <w:r>
        <w:rPr>
          <w:rFonts w:ascii="IRNazanin" w:hAnsi="IRNazanin" w:eastAsia="IRNazanin"/>
          <w:color w:val="111111"/>
          <w:sz w:val="28"/>
          <w:sz w:val="28"/>
          <w:szCs w:val="28"/>
          <w:rtl w:val="true"/>
          <w:lang w:bidi="fa-IR"/>
        </w:rPr>
        <w:t>، بل یمکن أن یقال فی صورة وجوب القطع أیضاً إذا عصی ولم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w:t>
      </w:r>
      <w:bookmarkStart w:id="1074" w:name="pg13276_136991"/>
    </w:p>
    <w:p>
      <w:pPr>
        <w:pStyle w:val="BookText"/>
        <w:rPr/>
      </w:pPr>
      <w:bookmarkEnd w:id="1074"/>
      <w:r>
        <w:rPr>
          <w:rFonts w:ascii="IRNazanin" w:hAnsi="IRNazanin" w:eastAsia="IRNazanin"/>
          <w:color w:val="111111"/>
          <w:sz w:val="28"/>
          <w:sz w:val="28"/>
          <w:szCs w:val="28"/>
          <w:rtl w:val="true"/>
          <w:lang w:bidi="fa-IR"/>
        </w:rPr>
        <w:t>باقیة</w:t>
      </w:r>
      <w:r>
        <w:rPr>
          <w:rStyle w:val="FootnoteAnchor"/>
          <w:rtl w:val="true"/>
        </w:rPr>
        <w:footnoteReference w:id="1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عرضاً، بمعنی وجوب لازمه، والإتیان بضدّ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نّها لا تبقی، ومنشؤه انصراف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بناءً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عدم بطلان الصلاة مع وجوب القطع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ترکه وأتمّ الصلاة</w:t>
      </w:r>
      <w:r>
        <w:rPr>
          <w:rFonts w:eastAsia="IRNazanin" w:cs="IRNazanin"/>
          <w:color w:val="111111"/>
          <w:sz w:val="28"/>
          <w:szCs w:val="28"/>
          <w:rtl w:val="true"/>
          <w:lang w:bidi="fa-IR"/>
        </w:rPr>
        <w:t>.</w:t>
      </w:r>
    </w:p>
    <w:p>
      <w:pPr>
        <w:pStyle w:val="Heading3"/>
        <w:numPr>
          <w:ilvl w:val="2"/>
          <w:numId w:val="1"/>
        </w:numPr>
        <w:rPr/>
      </w:pPr>
      <w:bookmarkStart w:id="1075" w:name="__RefHeading___Toc1764328_2322387425"/>
      <w:bookmarkStart w:id="1076" w:name="_Toc397"/>
      <w:bookmarkEnd w:id="1075"/>
      <w:r>
        <w:rPr>
          <w:rtl w:val="true"/>
        </w:rPr>
        <w:t>وجدان المتیمّم تیمّمین ما یکفی لأحدهما</w:t>
      </w:r>
      <w:bookmarkEnd w:id="1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المجنِب المتیمّم بدل الغسل إذا وجد ماءً بقدر کفایة الوضوء فقط لا یبطل تیمّمه</w:t>
      </w:r>
      <w:r>
        <w:rPr>
          <w:rStyle w:val="FootnoteAnchor"/>
          <w:rtl w:val="true"/>
        </w:rPr>
        <w:footnoteReference w:id="1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تیمّمه بدلاً عن الغسل، ویکفی عن الوضوء أیضاً لو کان له ماء بمقدار الوضوء فقط 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الحائض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ممّن تیمّم تیمّمین إذا وجد بقدر الوضوء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تیمّمه الّذی هو بدل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المبنی المشهور المنصور من عدم کفایة الأغسال غیر غسل الجنابة عن الوضوء، وأمّا بناءً علی الکفایة لا ملزم للتیمّم البدل عن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المختار من إغناء کلّ غُسلٍ وما هو بدله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الحائض حکم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وإذا وجد ما یکفی للغسل ولم یمکن صرفه فی الوضوء</w:t>
      </w:r>
      <w:r>
        <w:rPr>
          <w:rStyle w:val="FootnoteAnchor"/>
          <w:rtl w:val="true"/>
        </w:rPr>
        <w:footnoteReference w:id="1441"/>
      </w:r>
      <w:r>
        <w:rPr>
          <w:rFonts w:ascii="IRNazanin" w:hAnsi="IRNazanin" w:eastAsia="IRNazanin"/>
          <w:color w:val="111111"/>
          <w:sz w:val="28"/>
          <w:sz w:val="28"/>
          <w:szCs w:val="28"/>
          <w:rtl w:val="true"/>
          <w:lang w:bidi="fa-IR"/>
        </w:rPr>
        <w:t>بطل تیمّمه الّذی هو بدل عن</w:t>
      </w:r>
      <w:r>
        <w:rPr>
          <w:rStyle w:val="FootnoteAnchor"/>
          <w:rtl w:val="true"/>
        </w:rPr>
        <w:footnoteReference w:id="1442"/>
      </w:r>
      <w:r>
        <w:rPr>
          <w:rFonts w:ascii="IRNazanin" w:hAnsi="IRNazanin" w:eastAsia="IRNazanin"/>
          <w:color w:val="111111"/>
          <w:sz w:val="28"/>
          <w:sz w:val="28"/>
          <w:szCs w:val="28"/>
          <w:rtl w:val="true"/>
          <w:lang w:bidi="fa-IR"/>
        </w:rPr>
        <w:t>الغسل، وبقی تیمّمه الّذی هو بدل عن الوضوء</w:t>
      </w:r>
      <w:r>
        <w:rPr>
          <w:rStyle w:val="FootnoteAnchor"/>
          <w:rtl w:val="true"/>
        </w:rPr>
        <w:footnoteReference w:id="1443"/>
      </w:r>
      <w:r>
        <w:rPr>
          <w:rFonts w:ascii="IRNazanin" w:hAnsi="IRNazanin" w:eastAsia="IRNazanin"/>
          <w:color w:val="111111"/>
          <w:sz w:val="28"/>
          <w:sz w:val="28"/>
          <w:szCs w:val="28"/>
          <w:rtl w:val="true"/>
          <w:lang w:bidi="fa-IR"/>
        </w:rPr>
        <w:t>وإذا وجد ما یکفی لأحدهما وأمکن صرفه فی کلٍّ منهما بطل</w:t>
      </w:r>
      <w:r>
        <w:rPr>
          <w:rStyle w:val="FootnoteAnchor"/>
          <w:rtl w:val="true"/>
        </w:rPr>
        <w:footnoteReference w:id="1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القول بالتزاحم فی أمثال المقام ـ کما هو کذلک عند القوم ـ فبطلان الغُسل علی القاعدة؛ لکونه محتمل الأهمّیة، وأمّا علی القول بالتعارض کما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الدلیل لأحد الطرفین أحدث یؤخذ به، ومع عدم تشخیص الأحدث یکون المکلّف مخیّراً بین الطرفین، فتکون النتیجة بطلان کلیهما، ولایخفی أنّه قد مرّ منّا أنّ الغُسل یکفی عن الوضوء، إلاّ فی المستحاضة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التیمّمین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بدل الغُسل، علی الأحوط فی بدل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وأمّا علی المبنی الآخر فینتقض التیمّم البدل عن الغسل، ویجب الغسل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صرفه فی الغسل والتیمّم بدل الوضوء، وإن کان عدم بطلان ما هو بدل الوضوء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بطلان</w:t>
      </w:r>
      <w:r>
        <w:rPr>
          <w:rStyle w:val="FootnoteAnchor"/>
          <w:rtl w:val="true"/>
        </w:rPr>
        <w:footnoteReference w:id="1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الإحتمال بناءً علی تعیین صرف الماء حینئذٍ فی الغسل قویّ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بناءً علی عدم کفایة الغسل عن الوضوء وتقدیم جانب الغسل، أمّا علی القول بإغناء الغسل عن الوضوء کما قوّیناه فالظاهر بطلانهما معاً، وتظهر الثمرة فیما لو تلف الماء قبل الغسل،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بناءً علی تعیّن صرف الماء فی الغسل قویٌ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لاحتمال أهمیّة الحدث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علی ما 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البطلان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بدل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حیث إنّه حینئذٍ یتعیّن صرف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الماء فی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فلیس مأموراً بالوضوء،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وعدم بطلان التیمّم عن الوضوء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تثبت الأقوائیة، بل الحکم ببطلانهما 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بطلانهما</w:t>
      </w:r>
      <w:r>
        <w:rPr>
          <w:rStyle w:val="FootnoteAnchor"/>
          <w:rtl w:val="true"/>
        </w:rPr>
        <w:footnoteReference w:id="1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البطلان بعد ما علم من اختلاف المبانی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والأقوی بطلان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ولا یبعد التخییر إن لم نقل بکفایة الغُسل مطلقا عن الوضوء، وإن قلنا بها ـ کما لم نستبعده علی تأمّل ـ فالغُسل متعیّن للبطلان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جماعةٌ متیمّمون ماءً مباحاً لا یکفی إلاّ لأحدهم</w:t>
      </w:r>
      <w:r>
        <w:rPr>
          <w:rStyle w:val="FootnoteAnchor"/>
          <w:rtl w:val="true"/>
        </w:rPr>
        <w:footnoteReference w:id="1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مانع من استعماله ولو لمزاحم أو حرج أو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وجد المتیمّمون مثل هذا الماء المباح فی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ترکوا حیازته جمیعاً مع قدرتهم علیها بطل تیمّمهم جمیعاً، وإن سبق إلیه واحد منهم بطل تیمّمه، أمّا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ترکوا السبق مع قدرتهم علیه بطل تیمّمهم کذلک، وإن ترکوه لعدم قدرتهم بقی تیمّمهم، وإن تساووا فی السبق إلیه لم یبطل تیمّمهم جمیعاً، وکذلک إذا سبق إلیه أکثر من واحد لم یبطل تیمّم السابقین، ولا المغلوبین، إلاّ إذا ترکوه مع القدرة، وإذا کانوا فی ضیق الوقت لم یبطل تیمّمهم جمیعاً، وکذلک الحکم فی الماء المملوک إذا أباحه مالکه للجمیع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تمکّن کلّ واحدٍ منهم من استعمال الماء شرعا، وکذا عقلاً بحیث لم یتزاحموا علیه بنحوٍ لم یتمکنّ أحد منهم من الاستعمال، وإلاّ فلا یبطل تیمّم غیر المتمکِّن، سواء کان هو الجمیع، أو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تیمّمهم</w:t>
      </w:r>
      <w:r>
        <w:rPr>
          <w:rStyle w:val="FootnoteAnchor"/>
          <w:rtl w:val="true"/>
        </w:rPr>
        <w:footnoteReference w:id="1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کلّ واحدٍ منهم متمکّنا من استعمال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یَحُزهُ جمیعهم، ولم یتزاحموا علیه بحیث لم یتمکّن أحد منهم من التصرّف، وإلاّ فلا یبطل تیمّم أحد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تمکّن کلّ منهم من التطهّر به بلا مُزاحِم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أمکن تصّرف کلّ واحدٍ منهم؛ لعدم المزاحمة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إمکان تصرّف کلٍّ منهم شرعاً وعقلاً، وإلاّ بطل وضوء من یمکن تصرّفه 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المانع للکلّ، وإلاّ لم یبطل من الممنوع ولو للتزاحم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 تمکّن کلّ واحدٍ من الوضوء أو الغسل؛ لعدم المزاحمة، ولو تنازعوا وتسابقوا الیه جمیعاً ولو للتزاحم لم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حاول السبق إلی الماء بحیث أوجب إقدام الآخرین بالمسابقة المانعة عن حیازته لم یبطل، نعم، إن سبق واحد منهم بطل تیمّم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تسابقوا إلیه فورا فحازه الجمیع لم یبطل تیمّم أیٍّ منهم؛ بشرط عدم تمکّن کلّ واحدٍ من تحصیل جواز التصّرف فی حصص الباقین ولو بعوض، وإلاّ فیبطل تیمّم المتمکّن خاصة، وإن تسابق الجمیع فسبق أحدهم بطل تیمّمه، وإن ترکوا الاستباق، أو تأخّروا فیه فمن مضی علیه منهم زمان یتمکّن فیه من حیازة الماء بکامله واستعماله فی الغسل أو الوضوء یبطل تیمّمه، وأمّا مَن لم یمضِ علیه مثل هذا الزمان ـ ولو لعلمه بأنّ غیره لایُبقِی مجالاً لحیازته أو لاستعماله علی تقدیر الحیازة ـ فلا یبطل تیمّمه، ومن هذا یظهر الحال فی الفرض الثانی المذکور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إذا تزاحموا علیه ولم یتمکّن أحدهم من التصرّف فیه لم یبطل تیمّم واحد منهم، فضلاً عن جمیعهم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ترک الجمیع، وإلاّ لو صرفه بعضهم ففی بطلان وضوء غیره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کانوا جمیعاً منصرفین عن حیازته، أمّا إذا تسابقوا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سبق إلیه واحد دون غیره بطل تیمّم السابق دون غیره، وإن سبقوا إلیه جمیعاً لم یبطل تیمّم واحد منهم، وإن حازه واحد منهم وانصرف الآخرون عن حیازته بطل تیمّم الحائز، وأمّا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قادراً علی التغلّب علیه بطل تیمّمه أیضاً، وإلاّ لم 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یتزاحموا علیه بحیث لم یتمکّن أحدهم من الوضوء به، وإلاّ فمع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غالب فی البین فلا یبطل تیمّم أحدهم، ومع غلبة بعضهم بطل تیمّمه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کلّ واحدٍ منهم متمکّنا من استعمال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حازه جمیعهم دفعةً واحدةً لم یبطل تیمّمهم أجمع؛ لصیرورته ملکا للجمیع، وعدم کفایة الماء لوضوءِ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استبقوا إلیه وتغلّب أحدهم علیه بطل تیمّمه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أمکن حیازة کلّ واحدٍ له مستقلاًّ فترکوا أو ترک بعضهم الاستباق إلیه بطل تیمّم الجمیع فی الأوّل، والتارک للاستباق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کون کلٍّ منهم متمکّناً من استعمال الماء لکنّه غیر مریدٍ للحیازة، وإلاّ فلو أرادها کلّ واحدٍ منهم أو تسابق الکلّ بحیث کان کلّ واحدٍ مبتلیً بالمزاحم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یغلب فی التسابق أحد منهم لم یبطل تیمّم واحد منهم، وإن غلب کان تیمّم السابق الغالب منهم باطلاً، وتیمّم المسبوق المغلوب منهم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بعضهم مریداً للحیازة دون الآخر کان تیمّم المرید باطلاً وغیر المرید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یقع التزاحم علیه بینهم، وإلاّ لم یبطل تیمّم المغلوب، ومع عدم الغلبة لم یبطل تیمّمهم أجمع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بطلان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القدرة علی استعمال الماء، وهی 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أصل التعلیقة ویحتمل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للجمیع فی فرض انصرافهم عن حیازة الماء وأمّا فی فرض إرادتهم الحیازة فلا قدرةَ للمزاحمة، فلا یبطل تیمّم الجمیع، فلو سبق بعضهم دون بعضٍ بطل تیمّم السابق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تمکّنوا عرفا من استعمال الماء، لکنّه فرض غیر واقع؛ إذ المفروض عدم کفایة الماء إلاّ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کلٍّ منهم المبادرة إلی حیازة الماء، ولکنّه غیر قدرة الجمیع علی استعماله، والثانی ینقض الوضوء دون الأوّل، فتکون القُدرة فی حاقِّ الواقع بدلیا، لا عرضیا، نعم، وجوب المسابقة إلی الحیازة عرضی، ولکن لا ربط له بالقدرة الواقعیة التی هی مناط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حازه جمیعهم لم یبطل تیمّم أحدٍ منهم، وإن سبق إلیه بعضهم بأن زاحم الآخرین بطل تیمّم السابق فقط، ومنه یعلم صورة 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عدم المانع لکلٍّ منهم من مزاحمٍ أو ضررٍ أو حرج، وإلاّ لم یبطل تیمّم مَن کان له مانع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تمکّن کلّ واحدٍ منهم من استعمال الماء ولم یتزاحموا علیه، وإلاّ فیبطل تیمّم خصوص المتمکّن، کما أنّه لو تزاحموا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أحد منهم لا یبطل تیمّم أحدهم، وإلاّ بطل تیمّم الغالب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فی سعة الوقت، وإن کان فی ضیقه بقی تیمّم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الجمیع، وکذا إذا کان الماء المفروض للغیر وأذن للکلّ فی استعماله</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أذن للبعض دون الآخرین بطل تیمّم ذلک البعض فقط، کما أ نّه إذا کان الماء المباح کافیاً للبعض دون البعض الآخر؛ لکونه جُنُبَاً ولم یکن </w:t>
      </w:r>
      <w:bookmarkStart w:id="1077" w:name="pg13276_136998"/>
    </w:p>
    <w:p>
      <w:pPr>
        <w:pStyle w:val="BookText"/>
        <w:rPr/>
      </w:pPr>
      <w:bookmarkEnd w:id="1077"/>
      <w:r>
        <w:rPr>
          <w:rFonts w:ascii="IRNazanin" w:hAnsi="IRNazanin" w:eastAsia="IRNazanin"/>
          <w:color w:val="111111"/>
          <w:sz w:val="28"/>
          <w:sz w:val="28"/>
          <w:szCs w:val="28"/>
          <w:rtl w:val="true"/>
          <w:lang w:bidi="fa-IR"/>
        </w:rPr>
        <w:t>بقدر الغسل لم یبطل تیمّم ذلک البعض</w:t>
      </w:r>
      <w:r>
        <w:rPr>
          <w:rFonts w:eastAsia="IRNazanin" w:cs="IRNazanin"/>
          <w:color w:val="111111"/>
          <w:sz w:val="28"/>
          <w:szCs w:val="28"/>
          <w:rtl w:val="true"/>
          <w:lang w:bidi="fa-IR"/>
        </w:rPr>
        <w:t>.</w:t>
      </w:r>
    </w:p>
    <w:p>
      <w:pPr>
        <w:pStyle w:val="Heading3"/>
        <w:numPr>
          <w:ilvl w:val="2"/>
          <w:numId w:val="1"/>
        </w:numPr>
        <w:rPr/>
      </w:pPr>
      <w:bookmarkStart w:id="1078" w:name="__RefHeading___Toc1764330_2322387425"/>
      <w:bookmarkStart w:id="1079" w:name="_Toc398"/>
      <w:bookmarkEnd w:id="1078"/>
      <w:r>
        <w:rPr>
          <w:rtl w:val="true"/>
        </w:rPr>
        <w:t>إذا وجد ماء یکفی الغسل أو الوضوء وهو محدث بغیر الجنابة</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بالأکبرِ غیر الجنابة</w:t>
      </w:r>
      <w:r>
        <w:rPr>
          <w:rStyle w:val="FootnoteAnchor"/>
          <w:rtl w:val="true"/>
        </w:rPr>
        <w:footnoteReference w:id="1450"/>
      </w:r>
      <w:r>
        <w:rPr>
          <w:rFonts w:ascii="IRNazanin" w:hAnsi="IRNazanin" w:eastAsia="IRNazanin"/>
          <w:color w:val="111111"/>
          <w:sz w:val="28"/>
          <w:sz w:val="28"/>
          <w:szCs w:val="28"/>
          <w:rtl w:val="true"/>
          <w:lang w:bidi="fa-IR"/>
        </w:rPr>
        <w:t>إذا وجد ماءً لا یکفی إلاّ الواحد</w:t>
      </w:r>
      <w:r>
        <w:rPr>
          <w:rStyle w:val="FootnoteAnchor"/>
          <w:rtl w:val="true"/>
        </w:rPr>
        <w:footnoteReference w:id="1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لا یمکن صرفه إلاّ فی واحد، وإلاّ فلا ریب أنّ کلّ ما یکفی للغُسل یکفی للوضوء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صرفه إلاّ فی واحد، وإلاّ بناءً علی أنّ الغُسل مطلقاً یُغنی عن الوضوء یکفی ما للغسل من الماء للوضوء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الوضوء أو الغسل قدّم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أهمیّة رفع الحدث المزال به فی مقام الدوران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الأقوی عدم وجوب الوضوء،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الأظهر إغناء الغسل مطلقاً عن الوضوء،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ظهر حکم المسألة ممّا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وقد مرّ أنّ الأقوی کفایة الغُسل عن الوضوء، إلاّ غسل الاستحاضة المتوسّطة، ویظهر من ذلک حکم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 عن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علی المختار من إغناء کلّ غسل عن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یکفِ إلاّ للوضوء فقط</w:t>
      </w:r>
      <w:bookmarkStart w:id="1080" w:name="pg13276_136999"/>
    </w:p>
    <w:p>
      <w:pPr>
        <w:pStyle w:val="BookText"/>
        <w:rPr/>
      </w:pPr>
      <w:bookmarkEnd w:id="1080"/>
      <w:r>
        <w:rPr>
          <w:rFonts w:ascii="Amiri" w:hAnsi="Amiri" w:eastAsia="Amiri" w:cs="Amiri"/>
          <w:color w:val="111111"/>
          <w:sz w:val="28"/>
          <w:sz w:val="28"/>
          <w:szCs w:val="28"/>
          <w:rtl w:val="true"/>
          <w:lang w:bidi="ar-SA"/>
        </w:rPr>
        <w:t>توضّأ</w:t>
      </w:r>
      <w:r>
        <w:rPr>
          <w:rStyle w:val="FootnoteAnchor"/>
          <w:rtl w:val="true"/>
        </w:rPr>
        <w:footnoteReference w:id="1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بالإغناء فی الغسل والتزمنا بعموم المنزلة فی التیمّم لا یجب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وتیمّم بدل الغسل</w:t>
      </w:r>
      <w:r>
        <w:rPr>
          <w:rFonts w:eastAsia="IRNazanin" w:cs="IRNazanin"/>
          <w:color w:val="111111"/>
          <w:sz w:val="28"/>
          <w:szCs w:val="28"/>
          <w:rtl w:val="true"/>
          <w:lang w:bidi="fa-IR"/>
        </w:rPr>
        <w:t>.</w:t>
      </w:r>
    </w:p>
    <w:p>
      <w:pPr>
        <w:pStyle w:val="Heading3"/>
        <w:numPr>
          <w:ilvl w:val="2"/>
          <w:numId w:val="1"/>
        </w:numPr>
        <w:rPr/>
      </w:pPr>
      <w:bookmarkStart w:id="1081" w:name="__RefHeading___Toc1764332_2322387425"/>
      <w:bookmarkStart w:id="1082" w:name="_Toc399"/>
      <w:bookmarkEnd w:id="1081"/>
      <w:r>
        <w:rPr>
          <w:rtl w:val="true"/>
        </w:rPr>
        <w:t>هل ینقض التیمّم بدل الغسل بالحدث الأصغر</w:t>
      </w:r>
      <w:bookmarkEnd w:id="1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لایبطل</w:t>
      </w:r>
      <w:r>
        <w:rPr>
          <w:rStyle w:val="FootnoteAnchor"/>
          <w:rtl w:val="true"/>
        </w:rPr>
        <w:footnoteReference w:id="1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أن یجمع بینه وبین الوضوء بعد انتقاض التیمّم الأوّل بالحدث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یبطل علی الأقوی، وإن کان الأحوط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بالجمع بین الوضوء والتیمّم بعد حدوث الحدث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یبطل به، فیجب بعده التیمّم بدل الغُسل، والأحوط الجمع بینه وبین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فالاحوط الجمع بین التیمّم بدل الغُسل والوضوء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هو بدل عن الغسل من جنابة أو غیرها بالحدث الأصغر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یبطل علی الأقوی، لکنّ الأحوط أن یجمع بینه وبین الوضوء بعد انتقاض التیمّم الأوّل بالحدث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فما دام عذره عن الغسل باقیاً تیمّمه بمنزلته،</w:t>
      </w:r>
    </w:p>
    <w:p>
      <w:pPr>
        <w:pStyle w:val="BookText"/>
        <w:rPr/>
      </w:pPr>
      <w:r>
        <w:rPr>
          <w:rFonts w:ascii="IRNazanin" w:hAnsi="IRNazanin" w:eastAsia="IRNazanin"/>
          <w:color w:val="111111"/>
          <w:sz w:val="28"/>
          <w:sz w:val="28"/>
          <w:szCs w:val="28"/>
          <w:rtl w:val="true"/>
          <w:lang w:bidi="fa-IR"/>
        </w:rPr>
        <w:t>فإن کان عنده ماء بقدر</w:t>
      </w:r>
      <w:r>
        <w:rPr>
          <w:rStyle w:val="FootnoteAnchor"/>
          <w:rtl w:val="true"/>
        </w:rPr>
        <w:footnoteReference w:id="1454"/>
      </w:r>
      <w:r>
        <w:rPr>
          <w:rFonts w:ascii="IRNazanin" w:hAnsi="IRNazanin" w:eastAsia="IRNazanin"/>
          <w:color w:val="111111"/>
          <w:sz w:val="28"/>
          <w:sz w:val="28"/>
          <w:szCs w:val="28"/>
          <w:rtl w:val="true"/>
          <w:lang w:bidi="fa-IR"/>
        </w:rPr>
        <w:t>الوضوء توضّأ</w:t>
      </w:r>
      <w:r>
        <w:rPr>
          <w:rStyle w:val="FootnoteAnchor"/>
          <w:rtl w:val="true"/>
        </w:rPr>
        <w:footnoteReference w:id="1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الوضوء فی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 تیمّم بدلاً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ارتفع عذره عن الغُسل اغتسل، فإن کان عن جنابةٍ لا حاجة معه إلی الوضوء، وإلاّ توضّأ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الغسل یُغنی عن الوضوء، إلاّ فی المستحاضة المتوسّطة، وبما ذکرنا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ضمّ الوضوء، وبه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کما مرّ، ومنه یظهر حکم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بهذا، حتی فیما هو بدل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أحمد الخونساری، عبداللّه الشیرازی، الخمینی،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التیمّم أیضاً، فإن کان عنده الماء بقدر الوضوء تیمّم بدلاً عن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وتوضّأ، وإن لم یکن تیمّم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عن الغسل، ومرّةً عن الوضوء، هذا إن کان غیر غسل</w:t>
      </w:r>
      <w:bookmarkStart w:id="1083" w:name="pg13276_137001"/>
    </w:p>
    <w:p>
      <w:pPr>
        <w:pStyle w:val="BookText"/>
        <w:rPr/>
      </w:pPr>
      <w:bookmarkEnd w:id="1083"/>
      <w:r>
        <w:rPr>
          <w:rFonts w:ascii="IRNazanin" w:hAnsi="IRNazanin" w:eastAsia="IRNazanin"/>
          <w:color w:val="111111"/>
          <w:sz w:val="28"/>
          <w:sz w:val="28"/>
          <w:szCs w:val="28"/>
          <w:rtl w:val="true"/>
          <w:lang w:bidi="fa-IR"/>
        </w:rPr>
        <w:t>الجنابة، وإلاّ یکفیه مع عدم الماء للوضوء تیمّم واحد بقصد ما فی الذمّة</w:t>
      </w:r>
      <w:r>
        <w:rPr>
          <w:rStyle w:val="FootnoteAnchor"/>
          <w:rtl w:val="true"/>
        </w:rPr>
        <w:footnoteReference w:id="1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الماء للوضوء التیمّم بدلاً عن الغسل، والوضوء بالماء یکون احتیاطاً، هذا علی مبنی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قصد 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1764334_2322387425"/>
      <w:bookmarkStart w:id="1085" w:name="_Toc400"/>
      <w:bookmarkEnd w:id="1084"/>
      <w:r>
        <w:rPr>
          <w:rtl w:val="true"/>
        </w:rPr>
        <w:t>التداخل فی التیمّمات</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التداخل</w:t>
      </w:r>
      <w:r>
        <w:rPr>
          <w:rStyle w:val="FootnoteAnchor"/>
          <w:rtl w:val="true"/>
        </w:rPr>
        <w:footnoteReference w:id="1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مرّ سابقاً فی الأغسال یجری فی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غیر خالٍ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فلو کان هناک أسباب عدیدة للغسل یکفی تیمّم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الجمیع، ولکنّ الأحوط عدم التداخل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قصد الجمیع، والأحوط استحبابا عدم التداخل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وحینئذٍ فإن کان من جملتها الجنابة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یحتج إلی الوضوء أو التیمّم بدلاً عنه، وإلاّ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 مُحدثاً بالأصغر، أو کان من جملة تلک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الاستحاضة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وجوبهما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أو تیمّم آخر بدلاً عنه</w:t>
      </w:r>
      <w:r>
        <w:rPr>
          <w:rFonts w:eastAsia="IRNazanin" w:cs="IRNazanin"/>
          <w:color w:val="111111"/>
          <w:sz w:val="28"/>
          <w:szCs w:val="28"/>
          <w:rtl w:val="true"/>
          <w:lang w:bidi="fa-IR"/>
        </w:rPr>
        <w:t>.</w:t>
      </w:r>
      <w:bookmarkStart w:id="1086" w:name="pg13276_137002"/>
    </w:p>
    <w:p>
      <w:pPr>
        <w:pStyle w:val="Heading3"/>
        <w:numPr>
          <w:ilvl w:val="2"/>
          <w:numId w:val="1"/>
        </w:numPr>
        <w:rPr/>
      </w:pPr>
      <w:bookmarkStart w:id="1087" w:name="__RefHeading___Toc1764336_2322387425"/>
      <w:bookmarkStart w:id="1088" w:name="_Toc401"/>
      <w:bookmarkEnd w:id="1086"/>
      <w:bookmarkEnd w:id="1087"/>
      <w:r>
        <w:rPr>
          <w:rtl w:val="true"/>
        </w:rPr>
        <w:t>التیمّم بدل أغسال عدیدة أو غسل معین إذا انکشف غیره</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تیمّم بدلاً</w:t>
      </w:r>
      <w:r>
        <w:rPr>
          <w:rStyle w:val="FootnoteAnchor"/>
          <w:rtl w:val="true"/>
        </w:rPr>
        <w:footnoteReference w:id="1458"/>
      </w:r>
      <w:r>
        <w:rPr>
          <w:rFonts w:ascii="IRNazanin" w:hAnsi="IRNazanin" w:eastAsia="IRNazanin"/>
          <w:color w:val="111111"/>
          <w:sz w:val="28"/>
          <w:sz w:val="28"/>
          <w:szCs w:val="28"/>
          <w:rtl w:val="true"/>
          <w:lang w:bidi="fa-IR"/>
        </w:rPr>
        <w:t>عن أغسال عدیدة فتبیّن عدم بعضها صحّ</w:t>
      </w:r>
      <w:r>
        <w:rPr>
          <w:rStyle w:val="FootnoteAnchor"/>
          <w:rtl w:val="true"/>
        </w:rPr>
        <w:footnoteReference w:id="1459"/>
      </w:r>
      <w:r>
        <w:rPr>
          <w:rFonts w:ascii="Amiri" w:hAnsi="Amiri" w:eastAsia="Amiri" w:cs="Amiri"/>
          <w:color w:val="111111"/>
          <w:sz w:val="28"/>
          <w:sz w:val="28"/>
          <w:szCs w:val="28"/>
          <w:rtl w:val="true"/>
          <w:lang w:bidi="ar-SA"/>
        </w:rPr>
        <w:t>بالنسبة إلی الباقی، وأمّا لو قصد معیّناً وتبیّن أنّ الواقع غیره فصحّته مبنیّة</w:t>
      </w:r>
      <w:r>
        <w:rPr>
          <w:rStyle w:val="FootnoteAnchor"/>
          <w:rtl w:val="true"/>
        </w:rPr>
        <w:footnoteReference w:id="1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هو البطلان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البطلان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صحته مبنیة علی إتیان العمل بقصد القربة مع کونه مأمورا به واقعا، فهو صحیح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مبنیة علی تمشّی قصد القربة، ولا أثر لقصد البدلیة،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یکون من باب الاشتباه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انطباق ذلک علی المورد خفاء،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التطبیق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اندراجه فی ضابط الخطأ فی التطبیق، فیتّجه البطلان ولو لم یکن علی نحو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الکلام لیس من هذا القبیل، فالظاهر فیه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المختار من عدم اعتبار قصد البدلیة فی التیمّم، وأنّه حقیقة واحدة تختلف آثاره باختلاف حالات المتیمّم، محلّ الکلام لیس من هذا القبیل، فیصحّ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فیبطل إذا قصد التقیید؛ لعدم تحقّق قصد الأمر الواقعی، ویصحّ مع الخطأ فی التطبیق؛ لتحقّق القصد المذکور؛ لأنّه قصد الأمر الواقعی بعنوانه الإجمالی، واشتبه فی تطبیقه علی عنوانٍ خاصٍّ من عناوین الأغسال، وأمّا ما ذکره بعض الأعاظم من أنّ محلّ الکلام لیس من هذا القبیل فلیس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w:t>
      </w:r>
      <w:bookmarkStart w:id="1089" w:name="pg13276_137003"/>
    </w:p>
    <w:p>
      <w:pPr>
        <w:pStyle w:val="BookText"/>
        <w:rPr/>
      </w:pPr>
      <w:bookmarkEnd w:id="1089"/>
      <w:r>
        <w:rPr>
          <w:rFonts w:ascii="IRNazanin" w:hAnsi="IRNazanin" w:eastAsia="IRNazanin"/>
          <w:color w:val="111111"/>
          <w:sz w:val="28"/>
          <w:sz w:val="28"/>
          <w:szCs w:val="28"/>
          <w:rtl w:val="true"/>
          <w:lang w:bidi="fa-IR"/>
        </w:rPr>
        <w:t>التقیید</w:t>
      </w:r>
      <w:r>
        <w:rPr>
          <w:rStyle w:val="FootnoteAnchor"/>
          <w:rtl w:val="true"/>
        </w:rPr>
        <w:footnoteReference w:id="1461"/>
      </w:r>
      <w:r>
        <w:rPr>
          <w:rFonts w:ascii="Amiri" w:hAnsi="Amiri" w:eastAsia="Amiri" w:cs="Amiri"/>
          <w:color w:val="111111"/>
          <w:sz w:val="28"/>
          <w:sz w:val="28"/>
          <w:szCs w:val="28"/>
          <w:rtl w:val="true"/>
          <w:lang w:bidi="ar-SA"/>
        </w:rPr>
        <w:t>، کما مرّ نظائره مراراً</w:t>
      </w:r>
      <w:r>
        <w:rPr>
          <w:rStyle w:val="FootnoteAnchor"/>
          <w:rtl w:val="true"/>
        </w:rPr>
        <w:footnoteReference w:id="1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أنّ الأقوی فی مثله البطلان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Heading3"/>
        <w:numPr>
          <w:ilvl w:val="2"/>
          <w:numId w:val="1"/>
        </w:numPr>
        <w:rPr/>
      </w:pPr>
      <w:bookmarkStart w:id="1090" w:name="__RefHeading___Toc1764338_2322387425"/>
      <w:bookmarkStart w:id="1091" w:name="_Toc402"/>
      <w:bookmarkEnd w:id="1090"/>
      <w:r>
        <w:rPr>
          <w:rtl w:val="true"/>
        </w:rPr>
        <w:t>إذا تزاحم جُنبٌ ومیّت ومحدث بالأصغر علی الماء</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جنب ومیّت ومحدِث بالأصغر، وکان هناک ماء لا یکفی إلاّ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مملوکاً لأحدهم تعیّن صرفه</w:t>
      </w:r>
      <w:r>
        <w:rPr>
          <w:rStyle w:val="FootnoteAnchor"/>
          <w:rtl w:val="true"/>
        </w:rPr>
        <w:footnoteReference w:id="1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للمیت أو للجنب، وإلاّ ففی إطلاق تعیّنه علیه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لنفسه، وکذا إن کان للغیر وأذن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لواحد منهم، وأمّا إن کان مباحاً، أو کان للغیر وأذن للکلّ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فتسابق الکلّ ولم یغلب أحدهم علی الباقی، أو لم یمکن السبق لأحد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علیهم فی الفرضین الاستباق إلی الماء، فإن سبق إلیه أحدهم اختصّ به، وإن سبقوا إلیه جمیعاً أو لم یمکنهم السبق إلیه جمیعاً اختصّ به الجنب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لکلٍّ من المحدِثِین وولیّ المیّت، وحینئذٍ فمن تمکّن منهم من تحصیل الاختصاص بالماء المفروض ولو بالتسابق إلیه أو ببذل العوض تعیّن علیه ذلک، وإلاّ لزمه التیمّم، نعم، إذا توجّه إلی شخص واحد تکلیفان برفع الحدث عن نفسه وتغسیل المیّت فمع التزاحم بینهما لعدم کفایة الماء یتعیّن الأوّل علیه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فیتعیّن</w:t>
      </w:r>
      <w:r>
        <w:rPr>
          <w:rStyle w:val="FootnoteAnchor"/>
          <w:rtl w:val="true"/>
        </w:rPr>
        <w:footnoteReference w:id="1464"/>
      </w:r>
      <w:r>
        <w:rPr>
          <w:rFonts w:ascii="IRNazanin" w:hAnsi="IRNazanin" w:eastAsia="IRNazanin"/>
          <w:color w:val="111111"/>
          <w:sz w:val="28"/>
          <w:sz w:val="28"/>
          <w:szCs w:val="28"/>
          <w:rtl w:val="true"/>
          <w:lang w:bidi="fa-IR"/>
        </w:rPr>
        <w:t>للجنب</w:t>
      </w:r>
      <w:r>
        <w:rPr>
          <w:rStyle w:val="FootnoteAnchor"/>
          <w:rtl w:val="true"/>
        </w:rPr>
        <w:footnoteReference w:id="1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الأهمّیة وللنصّ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حاولا وولیّ المیّت الحیازة وتحقّقت المزاحمة، وإلاّ فمن سبق فهو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سبق الجنب إلی الماء، وإذا سبق إلیه غیره وجب علیه تکلیفه، وأمّا وجوب السبق فهو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للنصّ الصحیح والشهرة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أمکن له الوضوء ولم یکن له محذور شرعی وکان الماء بعد الوضوء کافیاً لاغتسال الجنب لایبعد مبادرته إلی الوضوء، کما یشیر إلیه فی المسألة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فیغتسل ویُیَمِّم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المیّت، ویتیمّم المحدِث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بالأصغر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bookmarkStart w:id="1092" w:name="pg13276_137005"/>
    </w:p>
    <w:p>
      <w:pPr>
        <w:pStyle w:val="Heading3"/>
        <w:numPr>
          <w:ilvl w:val="2"/>
          <w:numId w:val="1"/>
        </w:numPr>
        <w:rPr/>
      </w:pPr>
      <w:bookmarkStart w:id="1093" w:name="__RefHeading___Toc1764340_2322387425"/>
      <w:bookmarkStart w:id="1094" w:name="_Toc403"/>
      <w:bookmarkEnd w:id="1092"/>
      <w:bookmarkEnd w:id="1093"/>
      <w:r>
        <w:rPr>
          <w:rtl w:val="true"/>
        </w:rPr>
        <w:t>التیمّم لصلاة منذورة</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نافلة مطلقة أو موءقّتة فی زمان معیّن ولم یتمکّن من الوضوء فی ذلک الزمان تیمّم بدلاً</w:t>
      </w:r>
      <w:r>
        <w:rPr>
          <w:rStyle w:val="FootnoteAnchor"/>
          <w:rtl w:val="true"/>
        </w:rPr>
        <w:footnoteReference w:id="1466"/>
      </w:r>
      <w:r>
        <w:rPr>
          <w:rFonts w:ascii="IRNazanin" w:hAnsi="IRNazanin" w:eastAsia="IRNazanin"/>
          <w:color w:val="111111"/>
          <w:sz w:val="28"/>
          <w:sz w:val="28"/>
          <w:szCs w:val="28"/>
          <w:rtl w:val="true"/>
          <w:lang w:bidi="fa-IR"/>
        </w:rPr>
        <w:t>عنه وصلّی، وأمّا إذا نذر مطلقاً لا مقیّداً بزمان معیّن فالظاهر وجوب الصبر</w:t>
      </w:r>
      <w:r>
        <w:rPr>
          <w:rStyle w:val="FootnoteAnchor"/>
          <w:rtl w:val="true"/>
        </w:rPr>
        <w:footnoteReference w:id="1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 احتیاطا لایُترک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الشریعتمداری،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بالتمکّن من قریب، وإلاّ فالظاهر جواز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الیأس من ارتفاع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ارتفاع العذر احتمالاً عقلائیاً وإلاّ فمع الیأس لا یجب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بزوال العجز، أو رجاء زواله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لا یجوز التیمّم لتلک النافلة، وأمّا إذا کان متیمّماً فی نفسه فلا یبعد جواز الإتیان بها، وإن کان التأخیر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عند الیأس من رفع العذر یجوز البدار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عدم وجوب الصبر، والاکتفاء بالتیمّم، إلاّ إذا کانت المنویّة حال النذر مع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إن لم یکن نذره مقیّداً بالطهارة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فلا فرق بین أن یکون متیمّماً فی نفسه،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نیّـته فی حال النذر أن یکون مع الوضوء یتعیّن علیه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الظنّ بالفوت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زمان إمکان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رجاء زوال العُذر رجاءً عرفیا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5" w:name="pg13276_137006"/>
    </w:p>
    <w:p>
      <w:pPr>
        <w:pStyle w:val="Heading3"/>
        <w:numPr>
          <w:ilvl w:val="2"/>
          <w:numId w:val="1"/>
        </w:numPr>
        <w:rPr/>
      </w:pPr>
      <w:bookmarkStart w:id="1096" w:name="__RefHeading___Toc1764342_2322387425"/>
      <w:bookmarkStart w:id="1097" w:name="_Toc404"/>
      <w:bookmarkEnd w:id="1095"/>
      <w:bookmarkEnd w:id="1096"/>
      <w:r>
        <w:rPr>
          <w:rtl w:val="true"/>
        </w:rPr>
        <w:t>استئجار من وظیفته التیمّم للصلاة عن المیت</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468"/>
      </w:r>
      <w:r>
        <w:rPr>
          <w:rFonts w:ascii="IRNazanin" w:hAnsi="IRNazanin" w:eastAsia="IRNazanin"/>
          <w:color w:val="111111"/>
          <w:sz w:val="28"/>
          <w:sz w:val="28"/>
          <w:szCs w:val="28"/>
          <w:rtl w:val="true"/>
          <w:lang w:bidi="fa-IR"/>
        </w:rPr>
        <w:t>الاستئجار</w:t>
      </w:r>
      <w:r>
        <w:rPr>
          <w:rStyle w:val="FootnoteAnchor"/>
          <w:rtl w:val="true"/>
        </w:rPr>
        <w:footnoteReference w:id="1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الإیصاء به، 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لصلاة المیّت ممّن وظیفته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وجود من یقدر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لو استأجر من کان قادراً ثمّ عجز عنه یشکل جواز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المستأجر علیه مع التیمّم، فعلیه التأخیر إلی التمکّن مع سعة الوقت، بل مع ضیقه أیضاً یشکل کفایته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یترک مراعاة الاحتیاط</w:t>
      </w:r>
      <w:r>
        <w:rPr>
          <w:rFonts w:eastAsia="IRNazanin" w:cs="IRNazanin"/>
          <w:color w:val="111111"/>
          <w:sz w:val="28"/>
          <w:szCs w:val="28"/>
          <w:rtl w:val="true"/>
          <w:lang w:bidi="fa-IR"/>
        </w:rPr>
        <w:t>.</w:t>
      </w:r>
    </w:p>
    <w:p>
      <w:pPr>
        <w:pStyle w:val="Heading3"/>
        <w:numPr>
          <w:ilvl w:val="2"/>
          <w:numId w:val="1"/>
        </w:numPr>
        <w:rPr/>
      </w:pPr>
      <w:bookmarkStart w:id="1098" w:name="__RefHeading___Toc1764344_2322387425"/>
      <w:bookmarkStart w:id="1099" w:name="_Toc405"/>
      <w:bookmarkEnd w:id="1098"/>
      <w:r>
        <w:rPr>
          <w:rtl w:val="true"/>
        </w:rPr>
        <w:t>المجنب المتیمّم مع کون الماء فی المسجد</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المجنِب</w:t>
      </w:r>
      <w:r>
        <w:rPr>
          <w:rStyle w:val="FootnoteAnchor"/>
          <w:rtl w:val="true"/>
        </w:rPr>
        <w:footnoteReference w:id="1470"/>
      </w:r>
      <w:r>
        <w:rPr>
          <w:rFonts w:ascii="Amiri" w:hAnsi="Amiri" w:eastAsia="Amiri" w:cs="Amiri"/>
          <w:color w:val="111111"/>
          <w:sz w:val="28"/>
          <w:sz w:val="28"/>
          <w:szCs w:val="28"/>
          <w:rtl w:val="true"/>
          <w:lang w:bidi="ar-SA"/>
        </w:rPr>
        <w:t>المتیمِّم</w:t>
      </w:r>
      <w:r>
        <w:rPr>
          <w:rStyle w:val="FootnoteAnchor"/>
          <w:rtl w:val="true"/>
        </w:rPr>
        <w:footnoteReference w:id="1471"/>
      </w:r>
      <w:r>
        <w:rPr>
          <w:rFonts w:ascii="IRNazanin" w:hAnsi="IRNazanin" w:eastAsia="IRNazanin"/>
          <w:color w:val="111111"/>
          <w:sz w:val="28"/>
          <w:sz w:val="28"/>
          <w:szCs w:val="28"/>
          <w:rtl w:val="true"/>
          <w:lang w:bidi="fa-IR"/>
        </w:rPr>
        <w:t>إذا وجد الماء فی المسجد وتوقّف غسله علی دخوله والمکث فیه لا یبطل تیمّمه</w:t>
      </w:r>
      <w:r>
        <w:rPr>
          <w:rStyle w:val="FootnoteAnchor"/>
          <w:rtl w:val="true"/>
        </w:rPr>
        <w:footnoteReference w:id="1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من فاقد الماء، وأ نّه لا یجوز له المکث فی المسجد، وبه یظهر حال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فی المسألة الخامسة والثلاثین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 وفی</w:t>
      </w:r>
    </w:p>
    <w:p>
      <w:pPr>
        <w:pStyle w:val="BookText"/>
        <w:rPr/>
      </w:pPr>
      <w:r>
        <w:rPr>
          <w:rFonts w:ascii="IRNazanin" w:hAnsi="IRNazanin" w:eastAsia="IRNazanin"/>
          <w:color w:val="111111"/>
          <w:sz w:val="28"/>
          <w:sz w:val="28"/>
          <w:szCs w:val="28"/>
          <w:rtl w:val="true"/>
          <w:lang w:bidi="fa-IR"/>
        </w:rPr>
        <w:t>المسألة الثامنة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حرمة</w:t>
      </w:r>
    </w:p>
    <w:p>
      <w:pPr>
        <w:pStyle w:val="BookText"/>
        <w:rPr/>
      </w:pPr>
      <w:r>
        <w:rPr>
          <w:rFonts w:ascii="IRNazanin" w:hAnsi="IRNazanin" w:eastAsia="IRNazanin"/>
          <w:color w:val="111111"/>
          <w:sz w:val="28"/>
          <w:sz w:val="28"/>
          <w:szCs w:val="28"/>
          <w:rtl w:val="true"/>
          <w:lang w:bidi="fa-IR"/>
        </w:rPr>
        <w:t>المکث، وإن بطل</w:t>
      </w:r>
      <w:r>
        <w:rPr>
          <w:rStyle w:val="FootnoteAnchor"/>
          <w:rtl w:val="true"/>
        </w:rPr>
        <w:footnoteReference w:id="1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البطلان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البطلان، کما تقدم ومنه، یظهر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الغایات الاُخر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حال المکث کما مرّ، وکذا فیما لو تیمّم للدخول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الجواز فیما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قراءة العزائم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کتابة القرآن، کما أ نّه لو کان جنباً وکان الماء منحصراً فیما فی المسجد ولم یمکن أخذه إلاّ بالمکث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المختار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للدخول، والأخذ کما مرّ 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فیه، وأنّ الأقوی أن یتیمّم ویصلّی، ولیس علیه أن یدخل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ما مرّ، راجع المسألة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فیه فی مبحث الجنابة، وأنّ احتمال صدق فقدان الماء فی حقّه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أیضا تعلیقنا علیه فی المسألة الثامنة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یستباح له بهذا التیمّم إلاّ</w:t>
      </w:r>
      <w:bookmarkStart w:id="1100" w:name="pg13276_137008"/>
    </w:p>
    <w:p>
      <w:pPr>
        <w:pStyle w:val="BookText"/>
        <w:rPr/>
      </w:pPr>
      <w:bookmarkEnd w:id="1100"/>
      <w:r>
        <w:rPr>
          <w:rFonts w:ascii="IRNazanin" w:hAnsi="IRNazanin" w:eastAsia="IRNazanin"/>
          <w:color w:val="111111"/>
          <w:sz w:val="28"/>
          <w:sz w:val="28"/>
          <w:szCs w:val="28"/>
          <w:rtl w:val="true"/>
          <w:lang w:bidi="fa-IR"/>
        </w:rPr>
        <w:t>المکث، فلا یجوز له المسّ وقراءة العزائم</w:t>
      </w:r>
      <w:r>
        <w:rPr>
          <w:rFonts w:eastAsia="IRNazanin" w:cs="IRNazanin"/>
          <w:color w:val="111111"/>
          <w:sz w:val="28"/>
          <w:szCs w:val="28"/>
          <w:rtl w:val="true"/>
          <w:lang w:bidi="fa-IR"/>
        </w:rPr>
        <w:t>.</w:t>
      </w:r>
    </w:p>
    <w:p>
      <w:pPr>
        <w:pStyle w:val="Heading3"/>
        <w:numPr>
          <w:ilvl w:val="2"/>
          <w:numId w:val="1"/>
        </w:numPr>
        <w:rPr/>
      </w:pPr>
      <w:bookmarkStart w:id="1101" w:name="__RefHeading___Toc1764346_2322387425"/>
      <w:bookmarkStart w:id="1102" w:name="_Toc406"/>
      <w:bookmarkEnd w:id="1101"/>
      <w:r>
        <w:rPr>
          <w:rtl w:val="true"/>
        </w:rPr>
        <w:t>لو أمکن الجمع فی سائر الفروض تعیّن</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1474"/>
      </w:r>
      <w:r>
        <w:rPr>
          <w:rFonts w:ascii="IRNazanin" w:hAnsi="IRNazanin" w:eastAsia="IRNazanin"/>
          <w:color w:val="111111"/>
          <w:sz w:val="28"/>
          <w:sz w:val="28"/>
          <w:szCs w:val="28"/>
          <w:rtl w:val="true"/>
          <w:lang w:bidi="fa-IR"/>
        </w:rPr>
        <w:t>سابقاً أ نّه لو کان عنده ما یکفیه من الماء لأحد الأمرین، من رفع الخبث عن ثوبه أو بدنه، ورفع الحدث قدَّم رفع</w:t>
      </w:r>
      <w:r>
        <w:rPr>
          <w:rStyle w:val="FootnoteAnchor"/>
          <w:rtl w:val="true"/>
        </w:rPr>
        <w:footnoteReference w:id="1475"/>
      </w:r>
      <w:r>
        <w:rPr>
          <w:rFonts w:ascii="IRNazanin" w:hAnsi="IRNazanin" w:eastAsia="IRNazanin"/>
          <w:color w:val="111111"/>
          <w:sz w:val="28"/>
          <w:sz w:val="28"/>
          <w:szCs w:val="28"/>
          <w:rtl w:val="true"/>
          <w:lang w:bidi="fa-IR"/>
        </w:rPr>
        <w:t>الخبث</w:t>
      </w:r>
      <w:r>
        <w:rPr>
          <w:rStyle w:val="FootnoteAnchor"/>
          <w:rtl w:val="true"/>
        </w:rPr>
        <w:footnoteReference w:id="1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ویتیمّم للحدث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هذا إذا لم یمکن صرف الماء فی الوضوء أو الغسل وجمع الغسالة فی إناء نظیف لرفع الخبث، وإلاّ تعیّن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الإمکان یصرف الماء فی رفع الحدث الأصغر، ثمّ یصرف الماء المستعمل فیه ولو بضمّ الباقی فی غُسل الجنابة، ثمّ یصرف کذلک فی غُسل المیت، والأحوط ضمّ التیمّم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مسألة اجتماع الجُنُب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ضمّ التیمّم بالغسل بالماء المستعمل فی رفع الحدث فی صورة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والمیّت والمحدِث</w:t>
      </w:r>
      <w:bookmarkStart w:id="1103" w:name="pg13276_137009"/>
    </w:p>
    <w:p>
      <w:pPr>
        <w:pStyle w:val="BookText"/>
        <w:rPr/>
      </w:pPr>
      <w:bookmarkEnd w:id="1103"/>
      <w:r>
        <w:rPr>
          <w:rFonts w:ascii="IRNazanin" w:hAnsi="IRNazanin" w:eastAsia="IRNazanin"/>
          <w:color w:val="111111"/>
          <w:sz w:val="28"/>
          <w:sz w:val="28"/>
          <w:szCs w:val="28"/>
          <w:rtl w:val="true"/>
          <w:lang w:bidi="fa-IR"/>
        </w:rPr>
        <w:t>بالأصغر</w:t>
      </w:r>
      <w:r>
        <w:rPr>
          <w:rStyle w:val="FootnoteAnchor"/>
          <w:rtl w:val="true"/>
        </w:rPr>
        <w:footnoteReference w:id="1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ثمّ إنّه إن فعل ذلک قدّم الوضوء، ثمّ غسل الجنابة، ثمّ غسل المیّت، وضم التیمّم إلی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سائر الدورانات</w:t>
      </w:r>
      <w:r>
        <w:rPr>
          <w:rFonts w:eastAsia="IRNazanin" w:cs="IRNazanin"/>
          <w:color w:val="111111"/>
          <w:sz w:val="28"/>
          <w:szCs w:val="28"/>
          <w:rtl w:val="true"/>
          <w:lang w:bidi="fa-IR"/>
        </w:rPr>
        <w:t>.</w:t>
      </w:r>
    </w:p>
    <w:p>
      <w:pPr>
        <w:pStyle w:val="Heading3"/>
        <w:numPr>
          <w:ilvl w:val="2"/>
          <w:numId w:val="1"/>
        </w:numPr>
        <w:rPr/>
      </w:pPr>
      <w:bookmarkStart w:id="1104" w:name="__RefHeading___Toc1764348_2322387425"/>
      <w:bookmarkStart w:id="1105" w:name="_Toc407"/>
      <w:bookmarkEnd w:id="1104"/>
      <w:r>
        <w:rPr>
          <w:rtl w:val="true"/>
        </w:rPr>
        <w:t>لو علم بعدم وجدان ما تیمّم به بعد الوقت</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قبل الوقت</w:t>
      </w:r>
      <w:r>
        <w:rPr>
          <w:rStyle w:val="FootnoteAnchor"/>
          <w:rtl w:val="true"/>
        </w:rPr>
        <w:footnoteReference w:id="1478"/>
      </w:r>
      <w:r>
        <w:rPr>
          <w:rFonts w:ascii="IRNazanin" w:hAnsi="IRNazanin" w:eastAsia="IRNazanin"/>
          <w:color w:val="111111"/>
          <w:sz w:val="28"/>
          <w:sz w:val="28"/>
          <w:szCs w:val="28"/>
          <w:rtl w:val="true"/>
          <w:lang w:bidi="fa-IR"/>
        </w:rPr>
        <w:t>أ نّه لو أخّر التیمّم إلی ما بعد دخوله لا یتمکّن من تحصیل ما یتیمّم به، فالأحوط</w:t>
      </w:r>
      <w:r>
        <w:rPr>
          <w:rStyle w:val="FootnoteAnchor"/>
          <w:rtl w:val="true"/>
        </w:rPr>
        <w:footnoteReference w:id="1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فی المسألة الاُولی من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لِما عرفت من شرطیّة الوقت فی وجوب الطهور، وکذا فی وضوئه، کما أشرنا إلیه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فی التیمّم، وفی الوضوء 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وکذا الوجوب بالنسبة إلی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1106" w:name="pg13276_137010"/>
    </w:p>
    <w:p>
      <w:pPr>
        <w:pStyle w:val="BookText"/>
        <w:rPr/>
      </w:pPr>
      <w:bookmarkEnd w:id="1106"/>
      <w:r>
        <w:rPr>
          <w:rFonts w:ascii="Amiri" w:hAnsi="Amiri" w:eastAsia="Amiri" w:cs="Amiri"/>
          <w:color w:val="111111"/>
          <w:sz w:val="28"/>
          <w:sz w:val="28"/>
          <w:szCs w:val="28"/>
          <w:rtl w:val="true"/>
          <w:lang w:bidi="ar-SA"/>
        </w:rPr>
        <w:t>لغایة اُخری</w:t>
      </w:r>
      <w:r>
        <w:rPr>
          <w:rStyle w:val="FootnoteAnchor"/>
          <w:rtl w:val="true"/>
        </w:rPr>
        <w:footnoteReference w:id="1480"/>
      </w:r>
      <w:r>
        <w:rPr>
          <w:rFonts w:ascii="IRNazanin" w:hAnsi="IRNazanin" w:eastAsia="IRNazanin"/>
          <w:color w:val="111111"/>
          <w:sz w:val="28"/>
          <w:sz w:val="28"/>
          <w:szCs w:val="28"/>
          <w:rtl w:val="true"/>
          <w:lang w:bidi="fa-IR"/>
        </w:rPr>
        <w:t>غیر الصلاة فی الوقت، ویُبقی تیمّمه إلی ما بعد الدخول فیصلّی به، کما أنّ الأمر کذلک بالنسبة إلی الوضوء</w:t>
      </w:r>
      <w:r>
        <w:rPr>
          <w:rStyle w:val="FootnoteAnchor"/>
          <w:rtl w:val="true"/>
        </w:rPr>
        <w:footnoteReference w:id="1481"/>
      </w:r>
      <w:r>
        <w:rPr>
          <w:rFonts w:ascii="IRNazanin" w:hAnsi="IRNazanin" w:eastAsia="IRNazanin"/>
          <w:color w:val="111111"/>
          <w:sz w:val="28"/>
          <w:sz w:val="28"/>
          <w:szCs w:val="28"/>
          <w:rtl w:val="true"/>
          <w:lang w:bidi="fa-IR"/>
        </w:rPr>
        <w:t>إذا أمکنه قبل الوقت وعلم بعدم تمکّنه بعده، فیتوضّأ علی الأحوط</w:t>
      </w:r>
      <w:r>
        <w:rPr>
          <w:rStyle w:val="FootnoteAnchor"/>
          <w:rtl w:val="true"/>
        </w:rPr>
        <w:footnoteReference w:id="1482"/>
      </w:r>
      <w:r>
        <w:rPr>
          <w:rFonts w:ascii="Amiri" w:hAnsi="Amiri" w:eastAsia="Amiri" w:cs="Amiri"/>
          <w:color w:val="111111"/>
          <w:sz w:val="28"/>
          <w:sz w:val="28"/>
          <w:szCs w:val="28"/>
          <w:rtl w:val="true"/>
          <w:lang w:bidi="ar-SA"/>
        </w:rPr>
        <w:t>لغایة اُخری</w:t>
      </w:r>
      <w:r>
        <w:rPr>
          <w:rStyle w:val="FootnoteAnchor"/>
          <w:rtl w:val="true"/>
        </w:rPr>
        <w:footnoteReference w:id="1483"/>
      </w:r>
      <w:r>
        <w:rPr>
          <w:rFonts w:ascii="IRNazanin" w:hAnsi="IRNazanin" w:eastAsia="IRNazanin"/>
          <w:color w:val="111111"/>
          <w:sz w:val="28"/>
          <w:sz w:val="28"/>
          <w:szCs w:val="28"/>
          <w:rtl w:val="true"/>
          <w:lang w:bidi="fa-IR"/>
        </w:rPr>
        <w:t>، أو للکون</w:t>
      </w:r>
      <w:r>
        <w:rPr>
          <w:rStyle w:val="FootnoteAnchor"/>
          <w:rtl w:val="true"/>
        </w:rPr>
        <w:footnoteReference w:id="1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التیمّم والوضوء دائماً للکون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07" w:name="__RefHeading___Toc1764350_2322387425"/>
      <w:bookmarkStart w:id="1108" w:name="_Toc408"/>
      <w:bookmarkEnd w:id="1107"/>
      <w:r>
        <w:rPr>
          <w:rtl w:val="true"/>
        </w:rPr>
        <w:t>التیمّم لمسّ القرآن</w:t>
      </w:r>
      <w:bookmarkEnd w:id="1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التیمّم</w:t>
      </w:r>
      <w:r>
        <w:rPr>
          <w:rStyle w:val="FootnoteAnchor"/>
          <w:rtl w:val="true"/>
        </w:rPr>
        <w:footnoteReference w:id="1485"/>
      </w:r>
      <w:r>
        <w:rPr>
          <w:rFonts w:ascii="Amiri" w:hAnsi="Amiri" w:eastAsia="Amiri" w:cs="Amiri"/>
          <w:color w:val="111111"/>
          <w:sz w:val="28"/>
          <w:sz w:val="28"/>
          <w:szCs w:val="28"/>
          <w:rtl w:val="true"/>
          <w:lang w:bidi="ar-SA"/>
        </w:rPr>
        <w:t>لمسّ</w:t>
      </w:r>
      <w:r>
        <w:rPr>
          <w:rStyle w:val="FootnoteAnchor"/>
          <w:rtl w:val="true"/>
        </w:rPr>
        <w:footnoteReference w:id="1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غایة التیمّم دائماً هو الکون علی الطهارة، کالوضوء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کتابة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متطهّراً، والأولی مع ذلک أن یتیمّم لغایة اُخری، ثمّ یمسّ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 أن یتیمّم لغایة اُخری ثمّ یمسّ، وکذا فی المستحبّ والمباح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وجب، کما أ نّه 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مستحبّاً، ولکن لا یشرع إذا کان مباحاً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بمشروعیّته،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یتیمّم لغایة اُخری ثمّ یمسح المسح المباح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شعر الرأس إلی الجبهة</w:t>
      </w:r>
      <w:r>
        <w:rPr>
          <w:rStyle w:val="FootnoteAnchor"/>
          <w:rtl w:val="true"/>
        </w:rPr>
        <w:footnoteReference w:id="1487"/>
      </w:r>
      <w:r>
        <w:rPr>
          <w:rFonts w:ascii="IRNazanin" w:hAnsi="IRNazanin" w:eastAsia="IRNazanin"/>
          <w:color w:val="111111"/>
          <w:sz w:val="28"/>
          <w:sz w:val="28"/>
          <w:szCs w:val="28"/>
          <w:rtl w:val="true"/>
          <w:lang w:bidi="fa-IR"/>
        </w:rPr>
        <w:t>فإن کان زائداً علی المتعارف</w:t>
      </w:r>
      <w:r>
        <w:rPr>
          <w:rStyle w:val="FootnoteAnchor"/>
          <w:rtl w:val="true"/>
        </w:rPr>
        <w:footnoteReference w:id="1488"/>
      </w:r>
      <w:r>
        <w:rPr>
          <w:rFonts w:ascii="IRNazanin" w:hAnsi="IRNazanin" w:eastAsia="IRNazanin"/>
          <w:color w:val="111111"/>
          <w:sz w:val="28"/>
          <w:sz w:val="28"/>
          <w:szCs w:val="28"/>
          <w:rtl w:val="true"/>
          <w:lang w:bidi="fa-IR"/>
        </w:rPr>
        <w:t>وجب فی التیمّم رفعه ومسح البشرة، وإن کان علی المتعارف لا یبعد</w:t>
      </w:r>
      <w:r>
        <w:rPr>
          <w:rStyle w:val="FootnoteAnchor"/>
          <w:rtl w:val="true"/>
        </w:rPr>
        <w:footnoteReference w:id="1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فیتعیّن مسح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 من جهة ورود الأمر بمسح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الشعر یسیرا بحیث کان فی رفعه الحرج لا یبعد إجراء المسح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لصدق مسح الجبهة علی مسحه، وللحرج غالباً لو لا الاکتفاء، ولغیرهما من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البشرة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مسح کلیهما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هو اللازم مسح خصوص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مسح للبشرة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مسح البشرة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9" w:name="pg13276_137012"/>
    </w:p>
    <w:p>
      <w:pPr>
        <w:pStyle w:val="Heading3"/>
        <w:numPr>
          <w:ilvl w:val="2"/>
          <w:numId w:val="1"/>
        </w:numPr>
        <w:rPr/>
      </w:pPr>
      <w:bookmarkStart w:id="1110" w:name="__RefHeading___Toc1764352_2322387425"/>
      <w:bookmarkStart w:id="1111" w:name="_Toc409"/>
      <w:bookmarkEnd w:id="1109"/>
      <w:bookmarkEnd w:id="1110"/>
      <w:r>
        <w:rPr>
          <w:rtl w:val="true"/>
        </w:rPr>
        <w:t>وجوب إزالة الحاجب عن مواضع التیمّم</w:t>
      </w:r>
      <w:bookmarkEnd w:id="1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1490"/>
      </w:r>
      <w:r>
        <w:rPr>
          <w:rFonts w:ascii="IRNazanin" w:hAnsi="IRNazanin" w:eastAsia="IRNazanin"/>
          <w:color w:val="111111"/>
          <w:sz w:val="28"/>
          <w:sz w:val="28"/>
          <w:szCs w:val="28"/>
          <w:rtl w:val="true"/>
          <w:lang w:bidi="fa-IR"/>
        </w:rPr>
        <w:t>فی وجود حاجب</w:t>
      </w:r>
      <w:r>
        <w:rPr>
          <w:rStyle w:val="FootnoteAnchor"/>
          <w:rtl w:val="true"/>
        </w:rPr>
        <w:footnoteReference w:id="1491"/>
      </w:r>
      <w:r>
        <w:rPr>
          <w:rFonts w:ascii="IRNazanin" w:hAnsi="IRNazanin" w:eastAsia="IRNazanin"/>
          <w:color w:val="111111"/>
          <w:sz w:val="28"/>
          <w:sz w:val="28"/>
          <w:szCs w:val="28"/>
          <w:rtl w:val="true"/>
          <w:lang w:bidi="fa-IR"/>
        </w:rPr>
        <w:t>فی بعض مواضع التیمّم حاله حال الوضوء والغسل فی وجوب الفحص</w:t>
      </w:r>
      <w:r>
        <w:rPr>
          <w:rStyle w:val="FootnoteAnchor"/>
          <w:rtl w:val="true"/>
        </w:rPr>
        <w:footnoteReference w:id="1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معرضا للحاجب عرفا، ومعه لایکفی غیر الاطمئنانی من الظنّ،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یحصل الیقین أو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 المسبوق بالمانع العلم بالزوال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الظن بالعدم لایکفی، خصوصا إذا کان مسبوقا بالمانع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الاطمئنانی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الاطمئنانی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اطمئنانیاً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الاکتفاء بمطلق الظنّ، نعم، الظاهرکفایة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بلغ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علیه فی شرائط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البالغ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الاطمئنانی منه، لا مطلق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ظنّا إطمئنانیا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به ما لم یبلغ مرتبة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به ما لم یبلغ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لامجرّد الظنّ، بل الظنّ المعتبر، وهو الظنّ الاطمئنانی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2" w:name="pg13276_137013"/>
    </w:p>
    <w:p>
      <w:pPr>
        <w:pStyle w:val="Heading3"/>
        <w:numPr>
          <w:ilvl w:val="2"/>
          <w:numId w:val="1"/>
        </w:numPr>
        <w:rPr/>
      </w:pPr>
      <w:bookmarkStart w:id="1113" w:name="__RefHeading___Toc1764354_2322387425"/>
      <w:bookmarkStart w:id="1114" w:name="_Toc410"/>
      <w:bookmarkEnd w:id="1112"/>
      <w:bookmarkEnd w:id="1113"/>
      <w:r>
        <w:rPr>
          <w:rtl w:val="true"/>
        </w:rPr>
        <w:t>الأحوط فی موارد الحدث الأکبر غیر الجنابة</w:t>
      </w:r>
      <w:bookmarkEnd w:id="1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یجب علیه التیمّم بدلاً عن الغسل وعن الوضوء کالحائض والنفساء وماسّ المیّت، الأحوط</w:t>
      </w:r>
      <w:r>
        <w:rPr>
          <w:rStyle w:val="FootnoteAnchor"/>
          <w:rtl w:val="true"/>
        </w:rPr>
        <w:footnoteReference w:id="1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حاجة إلیه، بل عرفت أنّه لیس هناک مورد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هذا الاحتیاط، فالاحتمال المذکور ضعیف، ولا یستفاد من الدلیل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الاحتیاط حسن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عدم وجوب التیمّم الثانی، فضلاً عن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الاستباحة؛ من غیر نظر إلی بدلیّـته عن الوضوء أو الغسل، بأن یکون بدلاً عنهما؛ 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ضعیف، فلا تلزم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مبتنٍ علی التداخل فی الأسباب، والحقّ أنّ التداخل فی المسبّبات، وقد مرّ أنّ التیمّم الواحد کالغسل فی کفایته عن المتعدّد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المطلوب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فلا وجه وجیه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تیمّماً واحداً من باب التداخل،ولو عیّن أحدهما فی التیمّم الأوّل وقصد بالثانی ما فی الذمّة أغنی عن الثالث</w:t>
      </w:r>
      <w:r>
        <w:rPr>
          <w:rFonts w:eastAsia="IRNazanin" w:cs="IRNazanin"/>
          <w:color w:val="111111"/>
          <w:sz w:val="28"/>
          <w:szCs w:val="28"/>
          <w:rtl w:val="true"/>
          <w:lang w:bidi="fa-IR"/>
        </w:rPr>
        <w:t>.</w:t>
      </w:r>
    </w:p>
    <w:p>
      <w:pPr>
        <w:pStyle w:val="Heading3"/>
        <w:numPr>
          <w:ilvl w:val="2"/>
          <w:numId w:val="1"/>
        </w:numPr>
        <w:rPr/>
      </w:pPr>
      <w:bookmarkStart w:id="1115" w:name="__RefHeading___Toc1764356_2322387425"/>
      <w:bookmarkStart w:id="1116" w:name="_Toc411"/>
      <w:bookmarkEnd w:id="1115"/>
      <w:r>
        <w:rPr>
          <w:rtl w:val="true"/>
        </w:rPr>
        <w:t>نقش لفظ الجلالة علی العضو</w:t>
      </w:r>
      <w:bookmarkEnd w:id="111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بعض أعضائه منقوشاً باسم الجلالة أو غیره من </w:t>
      </w:r>
    </w:p>
    <w:p>
      <w:pPr>
        <w:pStyle w:val="BookText"/>
        <w:rPr/>
      </w:pPr>
      <w:r>
        <w:rPr>
          <w:rFonts w:ascii="IRNazanin" w:hAnsi="IRNazanin" w:eastAsia="IRNazanin"/>
          <w:color w:val="111111"/>
          <w:sz w:val="28"/>
          <w:sz w:val="28"/>
          <w:szCs w:val="28"/>
          <w:rtl w:val="true"/>
          <w:lang w:bidi="fa-IR"/>
        </w:rPr>
        <w:t>أسمائه تعالی، أو آیة من القرآن فالأحوط</w:t>
      </w:r>
      <w:r>
        <w:rPr>
          <w:rStyle w:val="FootnoteAnchor"/>
          <w:rtl w:val="true"/>
        </w:rPr>
        <w:footnoteReference w:id="1494"/>
      </w:r>
      <w:r>
        <w:rPr>
          <w:rFonts w:ascii="IRNazanin" w:hAnsi="IRNazanin" w:eastAsia="IRNazanin"/>
          <w:color w:val="111111"/>
          <w:sz w:val="28"/>
          <w:sz w:val="28"/>
          <w:szCs w:val="28"/>
          <w:rtl w:val="true"/>
          <w:lang w:bidi="fa-IR"/>
        </w:rPr>
        <w:t>محوه</w:t>
      </w:r>
      <w:r>
        <w:rPr>
          <w:rStyle w:val="FootnoteAnchor"/>
          <w:rtl w:val="true"/>
        </w:rPr>
        <w:footnoteReference w:id="1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یستلزم عسرا أو ضررا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حذراً من وجوده علی بدنه فی حال الجنابة أو غیرها من الأحداث؛ لمناط 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 علی المحدث، وإن لم یمکن محوه أو قلنا بعدم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فیحرم إمرار 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ظاهر البدن، أی فوق الجلد، فلو کان تحت الجلد بحیث لا یصدق علیه المسّ عرفاً فلا 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حال الوضوء أو الغسل، بل یجب إجراء الماء علیه من غیر مسّ، أو الغسل ارتماساً، أو لفّ خرقة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بیده والمسّ بها، وإذا فرض عدم إمکان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الغسل إلاّ بمسّه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فیدور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التمکنّ من محوه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یدور الأمر فیما ذکر، بل الظاهر وجوب الطهارة المائیة مع الاستنابة، نعم، إذا لم یتمکّن من الاستنابة یصحّ الدوران المذکور، لکنّ الظاهر عدم سقوط حرمة المسّ، فینتقل الأمر إلی التیمّم إذا لم یکن النقش فی مواضعه، وإلاّ تعیّنت الطهارة المائیة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أوّلاً من التیمّم لمسّ الکتابة إذا لم تکن فی مواضیع التیمّم، وإلاّ تسقط حرمة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سقوط حرمة</w:t>
      </w:r>
    </w:p>
    <w:p>
      <w:pPr>
        <w:pStyle w:val="BookText"/>
        <w:rPr/>
      </w:pPr>
      <w:r>
        <w:rPr>
          <w:rFonts w:ascii="IRNazanin" w:hAnsi="IRNazanin" w:eastAsia="IRNazanin"/>
          <w:color w:val="111111"/>
          <w:sz w:val="28"/>
          <w:sz w:val="28"/>
          <w:szCs w:val="28"/>
          <w:rtl w:val="true"/>
          <w:lang w:bidi="fa-IR"/>
        </w:rPr>
        <w:t>المسِّ أو سقوط وجوب المائیّة والانتقال إلی التیمّم</w:t>
      </w:r>
      <w:r>
        <w:rPr>
          <w:rStyle w:val="FootnoteAnchor"/>
          <w:rtl w:val="true"/>
        </w:rPr>
        <w:footnoteReference w:id="1496"/>
      </w:r>
      <w:r>
        <w:rPr>
          <w:rFonts w:ascii="IRNazanin" w:hAnsi="IRNazanin" w:eastAsia="IRNazanin"/>
          <w:color w:val="111111"/>
          <w:sz w:val="28"/>
          <w:sz w:val="28"/>
          <w:szCs w:val="28"/>
          <w:rtl w:val="true"/>
          <w:lang w:bidi="fa-IR"/>
        </w:rPr>
        <w:t>، والظاهر</w:t>
      </w:r>
      <w:r>
        <w:rPr>
          <w:rStyle w:val="FootnoteAnchor"/>
          <w:rtl w:val="true"/>
        </w:rPr>
        <w:footnoteReference w:id="1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التیمّم أوّلاً، ثمّ یغتسل أویتوضّأ، ولا یباح بهذا التیمّم إلاّ المسّ للغسل أو الوضوء، نظیر التیمّم لدخول المسجدین، هذا إذا کان فی غیر محلّ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فیه فیحتاط بالغسل مع الجبیرة والاستنابة، ثمّ یغتسل مختاراً بلا تیمّم، وکذا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ینتقل إلی التیمّم إذا لم یکن فی مواضعه هذا المحذور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النقش إذا لم یکن فی محلّ التیمّم وقلنا بمشروعیة التیمّم للمسّ الواجب یتیمّم ثمّ یتوضّأ، وإن لم نقل بمشروعیته فینتقل إلی التیمّم للصلاة وتسقط الطهارة المائیة، وإن کان النقش فی محلّ التیمّم ففی الانتقال إلی الجبیرة أو الوضوء وسقوط حرمة المسّ وجهان، وإن کان الثانی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أری وجهاً لسقوطها، ویحتمل إجراء حکم الجبیرة فی المقام، والأحوط مع ذلک التیمّم بقصد ما علیه، ثمّ الوضوء التامّ، واللّه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الأوفق بالقواعد سقوط المائیّة، والانتقال إلی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مواضع التیمّم سقطت حرمة المسّ؛ لأنّ وجوب الصلاة أهمّ من حرمة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فیما إذا کان فی غیر مواضع التیمّم، بل الانتقال إلی التیمّم فیه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السقوط إشکال، والظاهر وجوب التیمّم إن لم یکن فی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سقوط وجوب المائیّة علی تقدیر التزاحم کما تقدّم، ویمکن رفع التزاحم بالتیمّم لغایة، فیجوز معه المسّ، فیتمکّن من الوضوء، نظیر ما تقدّم فی المسألة 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التیمّم إن لم یستلزم التیمّم أیضا المسّ، وإلاّ فالسقوط کما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الانتقال إلی التیمّم إذا کان فی غیر مواضع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التیمّم لأجل جواز المسّ فی ضمن الوضوء أو الغُسل، کالتیمّم للمکث فی المسجد وأخذ الماء، کما تقدم، نعم، لایجری ما ذکرنا لو کان فی موضع التیمّم، وفیها یتوجّه ما ذکره المصنّف من سقوط حرمة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 محلّ التیمّم فالأحوط الجبیرة ثمّ التیمّم، وکذلک إذا کان فی محلّ الوضوء أو الغُسل واضطرّ إلی المسح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وحینئذٍ فإن کان فی غیر محالّ التیمّم تیمّم لأجل المسّ، ثمّ یتوضّأ أو یغتسل، وإنْ کان فی محالّ الوضوء أو التیمّم یحتاط بما فی المتن ویتطهّر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السقوط فیما إذا کان فی غیر محلّ التیمّم، بل ینتقل إلی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الاستنابة، وإجراء حکم الجبیرة والتیمّم بقصد ما علیه، ثمّ الوضوء التام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إذا کان فی غیر مواضع التیمّم، بل سقوط وجوب الطهارة المائیة وانتقال الفرض إلی التیمّم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علیه التیمّم إذا لم یکن فی مواضع المسح التیمّم، ثمّ یغتسل ویتوضّأ، ولا یباح بهذا التیمّم إلاّ المسح فی الوضوء والغسل، ویجوز له أن یتیمّم بقصد بعض غایات التیمّم، ثمّ یتوضّأ أو یغتسل، وإن کان المنقوش فی محلّ التیمّم فیجوز له الوضوء أو الغسل، ولا یحتاج إلی النیابة أو 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بالاحتیاط علی ما ذکره فی المتن، فعلیه تقدیم الجبیرة علی الاستنابة علی مسحه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ینبغی القطع به إذا کان فی محلّ التیمّم؛ لأنّ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الأمر حینئذٍ دائر بین ترک الصلاة</w:t>
      </w:r>
      <w:r>
        <w:rPr>
          <w:rStyle w:val="FootnoteAnchor"/>
          <w:rtl w:val="true"/>
        </w:rPr>
        <w:footnoteReference w:id="1498"/>
      </w:r>
      <w:r>
        <w:rPr>
          <w:rFonts w:ascii="IRNazanin" w:hAnsi="IRNazanin" w:eastAsia="IRNazanin"/>
          <w:color w:val="111111"/>
          <w:sz w:val="28"/>
          <w:sz w:val="28"/>
          <w:szCs w:val="28"/>
          <w:rtl w:val="true"/>
          <w:lang w:bidi="fa-IR"/>
        </w:rPr>
        <w:t>وارتکاب المسّ، ومن المعلوم أهمیّة وجوب الصلاة</w:t>
      </w:r>
      <w:r>
        <w:rPr>
          <w:rStyle w:val="FootnoteAnchor"/>
          <w:rtl w:val="true"/>
        </w:rPr>
        <w:footnoteReference w:id="1499"/>
      </w:r>
      <w:r>
        <w:rPr>
          <w:rFonts w:ascii="IRNazanin" w:hAnsi="IRNazanin" w:eastAsia="IRNazanin"/>
          <w:color w:val="111111"/>
          <w:sz w:val="28"/>
          <w:sz w:val="28"/>
          <w:szCs w:val="28"/>
          <w:rtl w:val="true"/>
          <w:lang w:bidi="fa-IR"/>
        </w:rPr>
        <w:t>فیتوضّأ، أو یغتسل فی الفرض الأوّل، وإن استلزم المسّ، لکنّ الأحوط مع ذلک الجبیرة أیضاً بوضع شیء علیه والمسح علیه بالید المبلّلة، وأحوط من ذلک</w:t>
      </w:r>
      <w:r>
        <w:rPr>
          <w:rStyle w:val="FootnoteAnchor"/>
          <w:rtl w:val="true"/>
        </w:rPr>
        <w:footnoteReference w:id="1500"/>
      </w:r>
      <w:r>
        <w:rPr>
          <w:rFonts w:ascii="IRNazanin" w:hAnsi="IRNazanin" w:eastAsia="IRNazanin"/>
          <w:color w:val="111111"/>
          <w:sz w:val="28"/>
          <w:sz w:val="28"/>
          <w:szCs w:val="28"/>
          <w:rtl w:val="true"/>
          <w:lang w:bidi="fa-IR"/>
        </w:rPr>
        <w:t>أن یجمع</w:t>
      </w:r>
      <w:r>
        <w:rPr>
          <w:rStyle w:val="FootnoteAnchor"/>
          <w:rtl w:val="true"/>
        </w:rPr>
        <w:footnoteReference w:id="1501"/>
      </w:r>
      <w:r>
        <w:rPr>
          <w:rFonts w:ascii="IRNazanin" w:hAnsi="IRNazanin" w:eastAsia="IRNazanin"/>
          <w:color w:val="111111"/>
          <w:sz w:val="28"/>
          <w:sz w:val="28"/>
          <w:szCs w:val="28"/>
          <w:rtl w:val="true"/>
          <w:lang w:bidi="fa-IR"/>
        </w:rPr>
        <w:t>بین ما ذُکر والاستنابة</w:t>
      </w:r>
      <w:r>
        <w:rPr>
          <w:rStyle w:val="FootnoteAnchor"/>
          <w:rtl w:val="true"/>
        </w:rPr>
        <w:footnoteReference w:id="15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تأخیر المباشرة،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یستنیب متطهّراً یباشر غسل هذا الموضع، بل وأن یتیمّم مع ذلک</w:t>
      </w:r>
      <w:r>
        <w:rPr>
          <w:rStyle w:val="FootnoteAnchor"/>
          <w:rtl w:val="true"/>
        </w:rPr>
        <w:footnoteReference w:id="1503"/>
      </w:r>
      <w:r>
        <w:rPr>
          <w:rFonts w:ascii="IRNazanin" w:hAnsi="IRNazanin" w:eastAsia="IRNazanin"/>
          <w:color w:val="111111"/>
          <w:sz w:val="28"/>
          <w:sz w:val="28"/>
          <w:szCs w:val="28"/>
          <w:rtl w:val="true"/>
          <w:lang w:bidi="fa-IR"/>
        </w:rPr>
        <w:t>أیضاً إن لم یکن فی مواضع التیمّم، وإذا کان ممّن وظیفته التیمّم وکان فی بعض مواضعه وأراد الاحتیاط جمع بین مسحه بنفسه</w:t>
      </w:r>
      <w:r>
        <w:rPr>
          <w:rStyle w:val="FootnoteAnchor"/>
          <w:rtl w:val="true"/>
        </w:rPr>
        <w:footnoteReference w:id="1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یقدّم الجبیرة علی الاستنابة، والاستنابة علی المسح بنفسه، ولایترک هذا الاحتیاط مهما تیسّر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والجبیرة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والاستنابة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کما ذکره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کما عرفت ـ کفایة مسحه وسقوط حرمة المسّ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إنتهی الجزء الخامس وبه ینتهی کتاب الطهارة</w:t>
      </w:r>
    </w:p>
    <w:p>
      <w:pPr>
        <w:pStyle w:val="BookText"/>
        <w:rPr/>
      </w:pPr>
      <w:r>
        <w:rPr>
          <w:rFonts w:ascii="IRNazanin" w:hAnsi="IRNazanin" w:eastAsia="IRNazanin"/>
          <w:color w:val="111111"/>
          <w:sz w:val="28"/>
          <w:sz w:val="28"/>
          <w:szCs w:val="28"/>
          <w:rtl w:val="true"/>
          <w:lang w:bidi="fa-IR"/>
        </w:rPr>
        <w:t>وما تضمّن من تعلیقات علیه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وسیلیه الجزء السادس بکتاب الصلاة ، إن شاء اللّه تعالی </w:t>
      </w:r>
      <w:bookmarkStart w:id="1117" w:name="pg13276_137019"/>
    </w:p>
    <w:p>
      <w:pPr>
        <w:pStyle w:val="Heading2"/>
        <w:numPr>
          <w:ilvl w:val="1"/>
          <w:numId w:val="1"/>
        </w:numPr>
        <w:rPr/>
      </w:pPr>
      <w:bookmarkStart w:id="1118" w:name="__RefHeading___Toc1764358_2322387425"/>
      <w:bookmarkStart w:id="1119" w:name="_Toc412"/>
      <w:bookmarkEnd w:id="1117"/>
      <w:bookmarkEnd w:id="1118"/>
      <w:r>
        <w:rPr>
          <w:rtl w:val="true"/>
        </w:rPr>
        <w:t>فهرس المحتویات الجزء الخامس من کتاب</w:t>
      </w:r>
      <w:bookmarkEnd w:id="1119"/>
    </w:p>
    <w:p>
      <w:pPr>
        <w:pStyle w:val="BookText"/>
        <w:rPr/>
      </w:pPr>
      <w:r>
        <w:rPr>
          <w:rFonts w:ascii="IRNazanin" w:hAnsi="IRNazanin" w:eastAsia="IRNazanin"/>
          <w:color w:val="111111"/>
          <w:sz w:val="28"/>
          <w:sz w:val="28"/>
          <w:szCs w:val="28"/>
          <w:rtl w:val="true"/>
          <w:lang w:bidi="fa-IR"/>
        </w:rPr>
        <w:t>العروة الوثقی والتعلیقات علیها</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الأموات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التوبة وحقیقتها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ما یجب فعله عند ظهور علامات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الوصیة بأداء الواجبات من صوم وصلاة وحج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تملیک غیر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هل یجب الإعلام بمال لایعلمه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هل یجب نصب القیّم علی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المریض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استحباب عیادة</w:t>
      </w:r>
    </w:p>
    <w:p>
      <w:pPr>
        <w:pStyle w:val="BookText"/>
        <w:rPr/>
      </w:pPr>
      <w:r>
        <w:rPr>
          <w:rFonts w:ascii="IRNazanin" w:hAnsi="IRNazanin" w:eastAsia="IRNazanin"/>
          <w:color w:val="111111"/>
          <w:sz w:val="28"/>
          <w:sz w:val="28"/>
          <w:szCs w:val="28"/>
          <w:rtl w:val="true"/>
          <w:lang w:bidi="fa-IR"/>
        </w:rPr>
        <w:t>المریض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العیادة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بالمحتضر ممّا</w:t>
      </w:r>
    </w:p>
    <w:p>
      <w:pPr>
        <w:pStyle w:val="BookText"/>
        <w:rPr/>
      </w:pPr>
      <w:r>
        <w:rPr>
          <w:rFonts w:ascii="IRNazanin" w:hAnsi="IRNazanin" w:eastAsia="IRNazanin"/>
          <w:color w:val="111111"/>
          <w:sz w:val="28"/>
          <w:sz w:val="28"/>
          <w:szCs w:val="28"/>
          <w:rtl w:val="true"/>
          <w:lang w:bidi="fa-IR"/>
        </w:rPr>
        <w:t>هو وظیفة الغیر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المیّت إلی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هل یجب أن یوجّه المحتضر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فروع فیما یتعلق بتوجیه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تلقین المیت الاعتقادات الحقة وتلقینه کلمات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إلی مصلاّه إذا عسر علیه النزع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سیّما بعض السور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المستحبات بعد</w:t>
      </w:r>
    </w:p>
    <w:p>
      <w:pPr>
        <w:pStyle w:val="BookText"/>
        <w:rPr/>
      </w:pPr>
      <w:r>
        <w:rPr>
          <w:rFonts w:ascii="IRNazanin" w:hAnsi="IRNazanin" w:eastAsia="IRNazanin"/>
          <w:color w:val="111111"/>
          <w:sz w:val="28"/>
          <w:sz w:val="28"/>
          <w:szCs w:val="28"/>
          <w:rtl w:val="true"/>
          <w:lang w:bidi="fa-IR"/>
        </w:rPr>
        <w:t>الموت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المکروهات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کراهة الموت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وجوب تجهیز</w:t>
      </w:r>
    </w:p>
    <w:p>
      <w:pPr>
        <w:pStyle w:val="BookText"/>
        <w:rPr/>
      </w:pPr>
      <w:r>
        <w:rPr>
          <w:rFonts w:ascii="IRNazanin" w:hAnsi="IRNazanin" w:eastAsia="IRNazanin"/>
          <w:color w:val="111111"/>
          <w:sz w:val="28"/>
          <w:sz w:val="28"/>
          <w:szCs w:val="28"/>
          <w:rtl w:val="true"/>
          <w:lang w:bidi="fa-IR"/>
        </w:rPr>
        <w:t>المیّت کفائی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کفائیة وجوب التجهیز وشرطیّة إذن‌الولی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إذا امتنع الولی سقط اعتبار إذنه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عدم اعتبار الصراحة فی إذن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سقوط وجوب المبادرة بالعلم بمباشرة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الظنّ بمباشرة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العلم بصدور الفعل عن الغیر والشک فی صحته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الکلام فی تجهیر الصبی الممیّز وکفایته عن البالغین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مراتب الأولیاء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 أولی بزوجته والمالک أولی بممولکه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بعض المرحجات فی الأولویة وفروعها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وصیّة المیت لغیر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الولایة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غسّل المیّت أو صلّی علیه عن إجبار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تغسیل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تغسیل کلّ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کیفیة تغسیل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حرمة تجهیز الکافر وما اُلحق 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حکم أطفال المسلمین وأطفال 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تجهیز الأسیر واللّقیط والسقط</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بالنیّة فی</w:t>
      </w:r>
    </w:p>
    <w:p>
      <w:pPr>
        <w:pStyle w:val="BookText"/>
        <w:rPr/>
      </w:pPr>
      <w:r>
        <w:rPr>
          <w:rFonts w:ascii="IRNazanin" w:hAnsi="IRNazanin" w:eastAsia="IRNazanin"/>
          <w:color w:val="111111"/>
          <w:sz w:val="28"/>
          <w:sz w:val="28"/>
          <w:szCs w:val="28"/>
          <w:rtl w:val="true"/>
          <w:lang w:bidi="fa-IR"/>
        </w:rPr>
        <w:t>تغسیل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قصد القربة فی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کفایة نیة واحدة للأغسال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جواز تعدّد من یغسّل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المماثلة بین</w:t>
      </w:r>
    </w:p>
    <w:p>
      <w:pPr>
        <w:pStyle w:val="BookText"/>
        <w:rPr/>
      </w:pPr>
      <w:r>
        <w:rPr>
          <w:rFonts w:ascii="IRNazanin" w:hAnsi="IRNazanin" w:eastAsia="IRNazanin"/>
          <w:color w:val="111111"/>
          <w:sz w:val="28"/>
          <w:sz w:val="28"/>
          <w:szCs w:val="28"/>
          <w:rtl w:val="true"/>
          <w:lang w:bidi="fa-IR"/>
        </w:rPr>
        <w:t>المیت والغاسل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المماثلة فی الذکوریة والاُنوثیة إلاّ فی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الذی لم یتجاوز الثلاث سنین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الزوج زوجته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إلحاق المنقطعة ونحوها بالدائمة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تغسیل المطلق مطلقته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حکم التغسیل بعد انقضاء العدة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بنسب أو رضاع أو 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ماقیل باشتراطه فی تغسیل المحارم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والأمة علی 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الخنثی المشکل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حکم المیت أو عضوه المشتبه بین الذکر والانثی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تغسیل الکتابی المماثل للمسلم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إذا حضر المسلم المماثل بعد تغسیل الکتابی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انحصار التغسیل بالمخالف المماثل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إذا فقد المماثل فی غیر موارد الاستثناء المتقدمة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شرائط المُغسّل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سقوط</w:t>
      </w:r>
    </w:p>
    <w:p>
      <w:pPr>
        <w:pStyle w:val="BookText"/>
        <w:rPr/>
      </w:pPr>
      <w:r>
        <w:rPr>
          <w:rFonts w:ascii="Amiri" w:hAnsi="Amiri" w:eastAsia="Amiri" w:cs="Amiri"/>
          <w:color w:val="111111"/>
          <w:sz w:val="28"/>
          <w:sz w:val="28"/>
          <w:szCs w:val="28"/>
          <w:rtl w:val="true"/>
          <w:lang w:bidi="ar-SA"/>
        </w:rPr>
        <w:t>غسل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ومن قتل فی حفظ بیضة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المدار فی سقوط التغسیل وعدمه فی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قتله برجم أو قصاص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الأمر بالاغتسال للقصاص والرجم قبلهما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ما یعتبر فی غسل وتکفین المرجوم والمقتص منه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اعتبار استناد الموت إلی الرجم أو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سقوط الغسل عزیمة لارخصة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الحکم بجواز تکفین الشهید فوق الثیاب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ما یجوز وما لا یجوز نزعه من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الشک فی شهادة من وجد میتاً فی المعرکة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من لایجری علیه حکم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اذا اشتبه المسلم بالکافر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حکم مسّ الشهید والمقتول بالقصاص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حکم القطعة المبانة من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جریان أحکام المیت لو بقی عظاماً بلا لحم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العضو المردد بین الذکر والأنثی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غسل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یُعتبر فی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غسل المیت کغسل الجنابة علی کلام فی الارتماسی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إزاله النجاسة عن بدن المیت قبل التغسیل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ما یعتبر فی السدر والکافور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الوضوء مع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مقدار الماء الذی یغسل به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حکم تعذّر أحد الخلیطین أو کلیهما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بدلیّة التیمّم عن تغسیل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کفایة الماء لغسل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حکم من تعذّر تغسیله لجرح أو حرق ونحو ذلک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المیت المحرم لا یُمسُّ بالکافور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حکم ارتفاع العذر عن الغسل أو الخلیط</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کیفیة التیمّم بالمیّت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حکم مسّ المیّت المیمّم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الغسل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الغسل بما اشترط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الغسل بالمغصوب نسیاناً أو جهلاً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أفضلیة تجرید المیت حین التغسیل أو أفضلیته من وراء الثیاب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إجزاء غسل المیت عن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تغسیل المیّت قبل برده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حرمة النظر إلی عورة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واجبات المیت التی یجوز النبش لأجل تدارکها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أخذ الأجرة علی تغسیل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استعمال المیسور من السدر والکافور عند تعذّره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تنجّس بدن المیّت بعد الغسل أو أثنائه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طهارة الآلات بعد کل غسل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غسل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مکروهات الغسل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تکفین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التکفین بالأثواب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المئزروالقمیص والإزار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حکم تعذّر بعض أثواب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نیّة التکفین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اعتبار حصول الستر بتمام الأثواب أو بکلّ واحدٍ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التکفین بجلد المیتة أو بالمغصوب اضطراراً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ما لا یجوز التکفین به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صور الدوران بین أفراد ما لا یجوز التکفین به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حکم التکفین بالحریر غیر الخالص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یلزم إزالة ما لو تنجّس من الکفن بغسله أو بقرضه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حکم تجهیز الزوجة وشرائطه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تجهیز غیر الزوجة من واجبی النفقة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القول فی مالکیة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فروع فی التجهیز</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خروج مؤنة التجهیز من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حکم الزائد عن الواجب فی التجهیز</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هل یقدّم الکفن علی الحقوق المتعلّقة بالترکة کحق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هل یجب علی المسلمین بذل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تکفین المحرم کغیره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مستحبّات الکفن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المستحبات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مکروهات الکفن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الحنوط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تحنیط المساجد السبعة بالکافور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ما یستحب مسحه بالکافور من أعضاء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محلّ التحنیط</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شروط 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یجب تحنیط کل میّت ماعدا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نیّة التحنیط</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مقدار الحنوط الواجب والمستحب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سقوط الحنوط بتعذّر 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فروع فی مکروهات التحنیط ومستحبّاته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تقدیم التغسیل بالکافور علی التحنیط فی مورد التزاحم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تقدیم الجبهة علی سائر المواضع فی التحنیط</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الجریدتین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وضعهما مع کل میّت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أولویة جریدة النخل مع 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اعتبار الرطوبة فی الجریدة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بقیة مستحبات الجریدة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کیفیة وضع الجریدتین فی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لو تَرک وضع الجریدتین جُعلت علی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الکتابة علی الجریدتین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التشییع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الإعلام بموت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استحباب التشییع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آداب التشییع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مکروهات التشییع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الصلاة علی کلّ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حرمة الصلاة علی کلّ کافر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الصلاة علی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الصلاة علی من لا یعلم 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شروط الصلاة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صلاة الصبی الممیز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اشتراط تأخر الصلاة عن التکفین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الصلاة عند تعذّر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عدم سقوط سائر الواجبات بتعذر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جواز تعدّد الصلاة علی المیت مع الکلام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حکم الصلاة علی بعض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الصلاة قبل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اعتبار الاستئذان من جمیع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حکم ما إذا کان الولی إمرأة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تعیین المیت من یصلّی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مشروعیة صلاة المیت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شروط إمامة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إمامة المرأة للنساء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صلاة العراة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فروع فی الصلاة جماعةً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حضور المرأة جماعة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حکم العدول فی جماعة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التکبیر قبل الإمام فی الصلاة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من حضر أثناء صلاة الجماعه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صلاة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الإتیان بخمس 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صورة الأذکار بین تکبیرات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الاتیان بالناقص عن الخمس 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کیفیة الأدعیة بین 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اعتبار العربیة فی الأدعیة بالقدر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ما لا یعتبر فی صلاة المیت ممّا یعتبر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الشک فی ذکوریة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الشک بین 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صلاة 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المیت مستلقیاً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رأسه إلی یمین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المصلّی خلف المیّت محاذیاً له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 عند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الحائل بین المصلّی والمیت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الإفراط فی البعد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العلوّ المفرط بین المصلّی والمیت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عند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التکبیرات والأدعیة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حال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الصلاة عن الغسل والکفن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المیت مستور العورة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ما یعتبر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ما یلزم فی شرطیة القیام والاستقرار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حکم الصلاة عند اشتباه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غصبیة مکان المیّت دون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صلاة غیر المأذون من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اذا دفن المیت ولم یصلَّ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التیمّم لصلاة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الکلام بغیر الصلاة أثناء صلاة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الإشکال فی صلاة العاجز مع وجود من یستطیع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انکشاف وجود القادر بعد الصلاة من العاجز</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الشک فی صلاة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الصلاة علی المیّت مع العلم ببطلانها تقلیلاً أو اجتهاداً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الصلاة علی المصلوب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تکرار الصلاة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لو ترکت الصلاة قبل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الصلاة علی المصلّی علیه قبل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استحباب المبادرة إلی صلاة‌الجنازة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الصلاة علی الجنازة أثناء الفریضة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کیفیة الصلاة إذا تعدّدت الجنائز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تواردت جنازة أثناء أخری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الصلاة علی</w:t>
      </w:r>
    </w:p>
    <w:p>
      <w:pPr>
        <w:pStyle w:val="BookText"/>
        <w:rPr/>
      </w:pPr>
      <w:r>
        <w:rPr>
          <w:rFonts w:ascii="Amiri" w:hAnsi="Amiri" w:eastAsia="Amiri" w:cs="Amiri"/>
          <w:color w:val="111111"/>
          <w:sz w:val="28"/>
          <w:sz w:val="28"/>
          <w:szCs w:val="28"/>
          <w:rtl w:val="true"/>
          <w:lang w:bidi="ar-SA"/>
        </w:rPr>
        <w:t>المیّت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الدفن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یعتبر فی وجوب مواراة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شرطیة الاستقبال فی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حکم الموت فی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حکم الجنین من مسلم إذا مات فی بطن کافرة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فروع فی واجبات الدفن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موت الجنین فی بطن الحامل أو حیاته وموتها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المستحبات قبل الدّفن</w:t>
      </w:r>
    </w:p>
    <w:p>
      <w:pPr>
        <w:pStyle w:val="BookText"/>
        <w:rPr/>
      </w:pPr>
      <w:r>
        <w:rPr>
          <w:rFonts w:ascii="IRNazanin" w:hAnsi="IRNazanin" w:eastAsia="IRNazanin"/>
          <w:color w:val="111111"/>
          <w:sz w:val="28"/>
          <w:sz w:val="28"/>
          <w:szCs w:val="28"/>
          <w:rtl w:val="true"/>
          <w:lang w:bidi="fa-IR"/>
        </w:rPr>
        <w:t>وحینه وبعده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المستحبات المتعلقة بالدفن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کیفیة التلقین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بقیة مستحبات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صلاة لیلة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مکروهات الدفن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فروع تتعلق بالمیت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حرمة نبش قبر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مستثنیات حرمة نبش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القبور وفروع تتعلق بالدفن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الأغسال المندوبة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الأغسال الزمانیة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استحباب 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مبدأ غسل الجمعة ومنتهاه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نیة الغسل بعد زوال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قضاء 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تقدیم غسل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فروع فی وقت الجمعة وقضائه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صحة غسل الجمعة من الجنب والحائض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التیمم بدل غسل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أغسال لیالی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غُسل یومی العیدین ووقته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غسل یوم الترویة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غسل یوم عرفة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غسل أیام من رجب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غسل 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غسل یوم المباهلة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بقیة الأغسال الزمانیة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الأغسال المکانیة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الأغسال الفعلیة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الأغسال الفعلیة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بعض الأغسال المسنونة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إجزاء الأغسال  و کفایة غسل واحد</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تداخل الأغسال و کفایة غسل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الکلام فی استحباب الغسل نفساً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بدلیة التیمم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التیمّم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مسوّغات التیمّم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وجدان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وجوب الطلب ومقداره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محققات الطلب ومسقطاته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لو ترک الطلب متعمدّاً صحّت صلاته وإنْ عصی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اذا أخطا الماء أو اعتقد ضیق الوقت فتبین 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حکم إراقة الماء بعد الوقت وقبله أو إبطال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حکم الطلب عند الخوف أو الحرج أو اختلاف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الوصلة إلی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أنحاء تحصیل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استعمال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حکم الطهارة المائیة مع الضرر والحرج</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التیمّم أو الوضوء باعتقاد الضرر أو خوفه وتبین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الإجناب عمداً مع العلم بالتضرر باستعمال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حکم إبطال الوضوء أو الجماع مع عدم التمکن من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فی تحصیل الماء أو استعماله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علی نفسه أو غیره من العطش لو توضأ بالماء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وظیفة من کان معه ماءان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ونجس</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عارض الوضوء أو الغسل واجب أهم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لو قدم الطهارة الحدثیة علی الخبثیة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تعیّن تقدیم الطهارة الحدثیة لو فقد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دوران الأمر بین صرف الماء للوضوء أو إزالة بعض الخبث</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الدوران بین الترک فی الوقت أو شرب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الأمر بین تحصیل الماء وتحصیل 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الدوران بین تحصیل الماء أو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الوقت عن استعمال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لو ضیّق الوقت علی نفسه بالاختیار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الشک فی ضیق الوقت وسعته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ضیق الوقت عن تحصیل الماء الموجود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من ضاق وقته عن استعمال الماء فخالف واستعمله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التیمّم لصلاة أو غایة ضاق وقتها لایبیح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المدار ضیق الوقت عن الواجبات لا مع المستحبات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حکم ضیق الوقت فی المستحبّات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التیمّم باعتقاد السعة فتبیّن الضیق أو 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عن استعمال الماء لمانع شرعی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حکم من کان جنباً مع عدم الماء إلاّ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موارد مشروعیة التیمّم مع وجدان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خلط المطلق بالمضاف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التیمّم علی مطلق وجه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حکم التیمّم بالجص والنّورة والطین قبل الإحراق وبعده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حکم التیمّم بالمعادن ونحوها ممّا خرج عن اسم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جواز التیمّم بالغبار ومع فقده فبالطین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وظیفة من فقد الأرض والغبار والطین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حکم التیمّم بالثلج</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تعین الطهارة المائیة لو أمکن إذابة الثلج</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الأحوط الترتیب بین أنواع الأرض بحسب 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من لا یجد الاّ الجص المطبوخ أو الآجر أو الخزف أو الرماد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جواز التیمّم علی الحائظ من الطین ونحوه مما لا یخرج عن اسم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وجوب إزالة ما لصق بالید من الطین عند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التیمّم بالتراب الممزوج بغیره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شراء ما یتیمّم به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حکم التیمّم علی الأرض الندیّة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حکم التیمّم بما لا یصح التیمّم به جهلاً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تحدید المراد من الطین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ما یتیمّم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الطهارة والإطلاق والإباحة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حکم التیمّم حال الجهل بالغصبیة أو نسیانها</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التیمّم بالتراب فی آنیة الذهب والفضة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اشتباه التراب النجس بغیره والمباح بالمغصوب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العلم الإجمالی بغصبیة الماء أو التراب أو نجاسة أحدهما أو إضافته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التیمّم بما یشک فی کونه ترابا</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حکم تیمّم المحبوس فی مکان مغصوب ووضوئه بمائه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إذا کان التراب لا یکفی لضرب الکفّین معاً</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مستحبات التیمّم ومایتیمّم به ومکروهاته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التیمّم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باطن الیدین معاً اختیاراً وبما تیسّر مع الاضطرار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الجبهة والجبینین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ظاهر کل من الکفین بباطن الاُخری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شرائط التیمّم</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مع 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ولو کان بدلاً عن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بمسح الوجه ثمّ الید الیمین ثم الیسری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بالأعلی الأعلی ومنه الی الأسفل فی الوجه والیدین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الحائل بین الماسح والممسوح</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الماسح والمسوح مع 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لو بقی فی الممسوح ما لم یمسح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مسح اللحم الزائد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حکم الجبیرة علی الماسح أو الممسوح</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جواز الاستنابة مع تعذر 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حکم ما لو کان باطن الیدین نجساً</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حکم الأقطع فی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لو کان علی الباطن نجاسة لها جرم ولا یمکن إزالتها</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الخاتم حائل یجب نزعه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تعیین المبدل عنه ولو إجمالاً عند تعدّد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کفایة قصد ما فی الذمّة من الغایات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حکم ما لو قصد غایة فانکشف عدمها أو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شرطیّة إمرار الماسح علی الممسوح</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کفایة ضربة واحدة للتیمّم بدلاً عن الوضوء والغسل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الشک بعد الفراغ أو فی الأثناء من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حکم التیمّم إذا علم فوات جزء منه بعد الفراغ</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التیمّم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التیمّم قبل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الصلاة بالتیمّم السابق لصلاة دخل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حکم التیمّم فی سعة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البدار إلی صلاة اُخری لمن تیمّم لصلاة 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المراد من آخر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التیمّم للصلاة القضائیة والنافلة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التیمّم بتخیّل ضیق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إجزاء التیمّم عمّا صلاّه لو زال العذر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 استحباب إعادة الصلاة لو زال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المتیمّم لغایة بحکم الطاهر تشرع له الغایات الاُخر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غایات الوضوء والغسل غایات للتیمّم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إغناء تیمّم الجنب عن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فی نواقض التیمّم</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العذر</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وجدان الماء فی زمان لا یسع الوضوء أو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وجدان الماء أثناء الصلاة قبل الرکوع أو بعده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وجدان الماء أثناء غیر الصلاة من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زوال العذر غیر الفقدان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وجدان الماء بعد الرکوع ثمّ فقدانه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بعض فروع وجدان الماء بعد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صحة صلاة من أتمّها مع وجوب قطعها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وجدان المتیمّم تیمّمین ما یکفی لأحدهما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إذا وجد ماء یکفی الغسل أو الوضوء وهو محدث بغیر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هل ینقض التیمّم بدل الغسل بالحدث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التداخل فی التیمّمات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التیمّم بدل أغسال عدیدة أو غسل معین إذا انکشف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إذا تزاحم جُنبٌ ومیّت ومحدث بالأصغر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التیمّم لصلاة منذورة</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استئجار من وظیفته التیمّم للصلاة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المجنب المتیمّم مع کون الماء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لو أمکن الجمع فی سائر الفروض تعیّن</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لو علم بعدم وجدان ما تیمّم به بعد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التیمّم لمسّ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وجوب إزالة الحاجب عن مواضع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الأحوط فی موارد الحدث الأکبر غیر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لفظ الجلالة علی العضو</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1120" w:name="pg13276_137036"/>
    </w:p>
    <w:p>
      <w:pPr>
        <w:pStyle w:val="Heading2"/>
        <w:numPr>
          <w:ilvl w:val="1"/>
          <w:numId w:val="1"/>
        </w:numPr>
        <w:rPr/>
      </w:pPr>
      <w:bookmarkStart w:id="1121" w:name="__RefHeading___Toc1764360_2322387425"/>
      <w:bookmarkStart w:id="1122" w:name="_Toc413"/>
      <w:bookmarkEnd w:id="1120"/>
      <w:bookmarkEnd w:id="1121"/>
      <w:r>
        <w:rPr>
          <w:rtl w:val="true"/>
        </w:rPr>
        <w:t>الاصدارات العلمیة لمؤسسة السبطین علیهماالسلام العالمیة</w:t>
      </w:r>
      <w:bookmarkEnd w:id="1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الإمام الخوئی رحمه‌الله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ومراجعه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أدب الشریعة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 الدکتور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المرتضی الرضوی، تحقیق وتنظیم مؤسسة السبطین علیهماالسلام العالمیة، یشتمل علی حیاة فاطمة علیهاالسلام من ولادتها إلی شهادتها علیهاالسلام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تحقیق‌تنظیم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العقیـدة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الشیعه وفنون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قدس‌سره ،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پرسش‌ها وپاسخ‌های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روزشمار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غربت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حجاب حریم پاکی‌ها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سکینة؛ پرده نشین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عقیلة قریش آمنة بنت الحسین علیهماالسلام الملقبة بسکینة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حول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حول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علوم 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مفاهیم 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للفقیه الأعظم الطباطبائی الیزدی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ـ 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ـ الماء المستعمل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للفقیه الأعظم الطباطبائی الیزدی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المشکوک ـ طرق ثبوت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للفقیه الأعظم الطباطبائی الیزدی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لکبار المراجع والعلماء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الأوانی ـ حکم دائم الحدث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 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المیت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 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الأموات ـ أحکام التیمم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الجواد علیه‌السلام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ـ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تألیف آیت اللّه سید عبدالحسین الطیب قدس‌سره ، 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تتم هذه الدورة التفسیریة فی عشرین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السنة أتباع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 مراجعة و 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القرآن الکریم للشریف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آرائه التفسیریة قدس سره اول تفسیر إمامی، فقهی، کلامی،أدبی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ـ خزعل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إشرام ورعایة مؤسسة السبطین علیهماالسلام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سورة الحمد، البقرة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الطبع</w:t>
      </w:r>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الجزء السادس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الجزء الثامن من أطیب البیان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الجزء الأول من تفسیر القرآن الکریم للشریف المرتضی</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فاطمة بنت أسد</w:t>
      </w:r>
      <w:r>
        <w:rPr>
          <w:rFonts w:eastAsia="Amiri" w:cs="Amiri" w:ascii="Amiri" w:hAnsi="Amiri"/>
          <w:color w:val="111111"/>
          <w:sz w:val="28"/>
          <w:szCs w:val="28"/>
          <w:rtl w:val="true"/>
          <w:lang w:bidi="ar-SA"/>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وجوبها الشرعی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عقلاً؛ تحصیلاً للأمن من الضرر الاُخروی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مآله الرجوع إلیه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ما یشتمل علی ستّة معان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أدّی ترکه إلی الإخلال فی الحقوق الواجبة، وکذا فی الأمانات إذا عُدَّ تفریطاً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أحوط مطلقاً، وإلاّ فالواجب علیه حفظها بالوصیة والإشهاد بحیث لا یعتریه خلل الأداء فی الأمانات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لم یؤدِّ کان مفوّتاً لحقّ غیره الّذیعلیه، ولیس بمعذور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وما تقبل النیابة إذا لم یقم المیّت بوظیفته حال الحیاة حتّی ظهرت علیه أمارات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وإن کانت قابلة ولم یسع زمان الحیاة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 قبل أشهر الحج، وأمّا إذا کان فیها فتجب علیه الاستنابة إذا کان عالماً باستمرار عذره إلی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الاستئجار الآن لأدائها بعد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إذا کان ذلک فی مرض الموت ـ کما هو مفروض المقام ـ لاینفذ بالنسبة إلی ما زاد علی الثلث، إلاّ بإجازة الورثة علی تفصیل مذکور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قصد بإقراره الوصیّة ولم یکن المقرّ به أکثر من الثلث لم یکن به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قوّة، وکذا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یجب الإعلام ـ هاهنا ـ وإن کان الدین بمقدار الثلث ولم یکن زائداً علیه، أو أراد کونه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تملیکاً أو إبراءً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لم یکن أمیناً یکون المکلف ظالماً بتضییع حقوقهم وأموالهم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کانت الوصیّة عهدیّة، وأمّا التملیکیّة فیجب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الوجوب لا یخلو من 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ما وصّی به راجعاً إلی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لاوجه للخصوصیّة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أکثر الأمورالمذکورة منصوصة بالنصّ الخاصّ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اللازم الإتیان بها برجاء المطلوبیة؛ لابتناء بعضها علی قاعدة التسامح، وهی غیر ثابتة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ولو إلیه، إلاّ أن لایصدق الشکایة، کأن قصد فی إظهاره ذلک اقتضاء الدعاء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العبارة مسامحة، ومثل هذه الشکایة لاتجوز حتّی للمؤمن؛ لما تشتمل علیه من الکذب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أنّ المعیار عدم صدق الشکایة بأیّ تعبیر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لایختصّ هذا بالمریض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إلی ثلاثة أیام، کما فی بعض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أحادیث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قد یجب شرب الدواء والرجوع إلی الطبیب لو تضرّر بدونهما، سواء یئس من البرء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لم یُرِد مطلق الاحتمال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یختصّ هذا بالمریض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ویُشهِدهم علی ما أقرّ به من المعتقدات الحقّة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یجب إذا کان ترکه موجباً لتضییع حقوقهم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المسألة الرابعة من الفصل المتقدّم، ولیس هذا من المستحبّات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قد یجب إحکام أمر الوصیة؛ لحفظ الحقوق الواجبة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ریب فی أصل استحبابها، وأمّا آدابها من الاُمور المذکورة فالأولی أن یأتی بها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آکدیة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أقف علی دلیلٍ له فی اشتداد 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ینبغی ترک العیادة فی وقتٍ خاصٍّ جرت العادة علی ترکها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أکثر ممّا نقله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یضع یده علی المریض ولو علی غیر ذراعه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وغیرها من الدعوات المأثورة عن الأئمة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واستصحاب الفاکهة آکد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من الآداب العرفیة للمجاملة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المریض أسیر اللّه ومسجونه، ودعاء الأسیر المؤمن مستجاب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الذی حصل له حال النزع وزهوق الروح عن 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أکثر ممّا نقله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أحوطه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وجوبه محلّ إشکال، نعم، هو أحوط، والأحوط للغیر أن یستأذن منه إن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یراعی هذا الترتیب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جوازه تأمّل فضلاً عن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الکوه کَمَرَئی، الأراکی، عبدالهادی الشیرازی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یلزم الإتیان به برجاء المطلوبیة لما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الصغری المأثورة عنهم علیهم‌السلام ، وأمّا الکبری فهی من إنشاء بعض العلماء، کما قاله بعض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حینئذٍ لایقصد بقراءتها الورود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والأولی أن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لایکون نقله سبباً لتعجیل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قراءة القرآن مستحبّة خصوصاً 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أنّ آخرها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العلی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الکلام فیها کما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حسن القمّی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التعجیل الذی ترْکُه یُعدّ فی العرف تأخیراً للتجهیز 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واجب إذا عدّ ترکه فی نظر العرف تأخیراً فی تجهیز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کان التأخیر لمقاصد عقلائیة شرعیة، کالتوقیر فی تشییعه لتعظیم الشعائر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بالنسبة إلی العصر السابق، وأمّا فی عصرنا الحاضر فیمکن الرجوع إلی الأطبّاء المتخصّصین العارفین بکیفیّة الشقّ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أکثر مّما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ویحتمل 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دلیل علی کراهته سوی فتوی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وما قبله وما بعده إن أوجب أذاه أو تعجیل منیّته کان حراماً، وإلاّ فلا دلیل علی کراهته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حبّه لأجل الدخول فی رضوان اللّه تعالی مشتاقٌ إلیه الأولیاء، ونِعْمَ ما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أعاننا الرحمان عند السَّوقِ حتّی نحبّ الموت حبّ 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رزقنا اللّه ذلک بحق أولیائه الطاهرین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وکفی فی ذمّه ما قاله مولانا أمیر المؤمنین روحی له الفداء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أخوف ما أخاف علیکم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الهوی، وطول الأمل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لا إلی حدّ یصرفه عن القیام بوظائفه الاجتماعیة والشخصیة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أحسن ما دُوِّن فی هذا الشأن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الشُجُون فی حکم الفرار عن الوباء والطاعون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السیّد المحدِّث الجزائری قدس‌سره ، فإنّه أتی فیه بما هو المراد وأجاد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یکون الفِرار حراماً، کما إذا استلزم شیوعه فی الأمکنة الاُخری بین المسلمین، بل یجب علی الحاکم الشرعی المنع من الفِرار إذا استلزم الفاجعة الکبری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یحرم فی مورد نزول الوباء میدان القتال مع أعداء الدین من جهة سقوط البلاد الإسلامیة فی أیادی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یجب الفرار بعنوان ثانوی یلزم تحصیله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یکره الفرار، کما یستفاد من مرسلة أبّان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استفاد بعض الفقهاء الحرمة، وقیّد إطلاقه بمسجده الذی یصلّی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البقاء من إلقاء النفس فی التهلکة، وإلاّ وجب الفِرار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کونها منها لامن وظائف الولیّ غیر ثابت، فالأحوط لزوماً عدم تصدّی الغیر إلاّ مع إذنه، وبه یظهر الحال فی بقیّة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بل لا یخلو من قوّة؛ لأنّ هذا حقٌّ له فیکون أولی الناس بالقیام، و له أن یأذن لغیره بالقیام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وإن کان عدم وجوبه لا یخلو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یجوز لغیر الولیّ مزاحمة الولیّ فیما إذا أراد بنفسه المباشرة، أو عیّن شخصاً معیّناً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ینافیه، والتفصیل لا 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وجوب الاستئذان، وفی کونه شرطاً للصحّة تأمّل، أحوطه ذلک، وأقربه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الاستئذان شرطاً لصحّة العمل، وإنّما وجوب الاستئذان باعتبار ولایة الولیّ علی العمل المجعولة له تشریفاً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بامتناعه یسقط اعتبار إذنه ولاحاجة إلی إجباره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سقوط الحق بالامتناع، وجواز التولّی للغیر من غیر حاجة إلی الإجبار والاستئذان من الحاکم أو المرتبة المتأخرة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أعمّیته کذلک إنّما هو مع صدقه عرفاً فی الأخیرین بأن کان هناک مظهر من قول أو فعل، وإلاّ فلا یکفی مجرّد الرضا وإن حصل به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ثبت وجوبها، کما لو کان المیّت فی معرض 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یبقی مراعی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لایعتبر قصد الوجوب والاستحباب فی شیء من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المیّت بین أهله أو غیرهم من المسلمین مع علمهم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مالم یبلغ حدّ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أ نّه بناءً علی صحّة عمل الممیّز من غیر البالغ وکون المطلوب طبیعة العمل کما هو الأقوی یکفی صدوره عن الصبیّ الممیّز، فیسقط خطاب الوجوب بحصول المطلوب وإن لم یتحقّق الامتثال ممّن کان طرفاً لخطاب الإیجاب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الأمة إشکال، بل لایبعد ولایة سیّدها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الأراکی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المالک أحقّ من کلّ أحد حتّی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الاستئذان من جمیع من فی المرتبة الواحدة من أیّ طبقة، ولو من ولیّ مَن لم یکن منهم ببالغ أو عاقل أو حاضر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الاستئذان من جمیع مَن هو وارث بالفعل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العمل علی الاشتراک فی الولایة فیه وفیما بعده، وفی الجَدّة، والإخوة وفی العمّ والخال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وکذا فی أولویة مَن انتسب بالأب ممّن انتسب بالاُمّ، وأولویة الأب من الأولاد والجَدّ من الأخ والعمّ من الخال، فلا یُترک مراعاة الاحتیاط فی جمیع هذه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اشتراک الجمیع فی 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أیضاً؛ لِما تقدّم من عدم تمامیة الدلیل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الظاهر اشتراکهنّ مع الذکور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الاستئذان من الطبقة المتأخرة فی صورة عدم الإناث وکون الذکور غائبین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 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بالجمع بینهما بضمّ إذن الولی أیضاً؛ لعدم وجود مرجّح لاحتمالات الباب بعضها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ولایبعد ثبوتها لکلِّ واحد منهم مستقلاًّ، فلا حاجة إلی تحصیل موافقة الجمیع فی القیام بتجهیز المیت وإن کان ذلک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الإذن من بعضهم مالم یزاحمه غیره لاتخلو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استحسان لاوجه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القوّة نظر؛ لعدم اقتضاء دلیل الوصیّة نفوذ أزید ممّا کان لنفس الموصی فی زمان حیاته، وثبوت السلطنة له إلی تجهیزه نفسه بعد موته أوّل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ویجوز له المباشرة بدون إذن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مع الردّ حال حیاة الموصی وبلوغ الخبر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هذه الصورة یجوز للمأذون إتمام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 الحکم تأمّل، بل منع فی بعض موارده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له ید، کما لایخلو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کذلک مع الاطمئنان العقلائی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یکن للمیّت ولیّ آخر ولو فی المرتبة المتأخرة، وکان معتبراً إذنه عند تعذّر الأولی،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 الاحتیاط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إذن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عبداللّه الشیرازی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أنّ هذا الترتیب فی جملة مّما ذکره مورد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الذکور فی کلّ طبقة مقدّمون علی الإناث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أنّ الأخ أولی من الجَدّة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 لأنّه لادلیل علیه إلاّ الإجماع المدّعی فی المقام، مع مخالفة جمع کثیر،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الإجماع تقدیری، والمخالفون علی تقدیر أن یقولوا بإسلامهم لاینکرون وجوب غسلهم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تعیین الموضوع فی النجاسات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عدم قبول توبته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 تغسیل المرتدّ الفطری بعد التوبة تأمّل، والأقرب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یکونوا ممیّزین، وإلاّ فحکمهم حکم البالغین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حال صغره، وأمّا بعد بلوغه فحکمه حکم المجنون غیر المتصل جنونه بصغره، فی کون المناط فی کلٍّ منهما إسلام نفسه أو کفره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وکذا فی لقیط دار الکفر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تبعیّة الأسیر نظر، وقیام السیرة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بعده، وإن کان عدم الوجوب لا سیّما فی الثانی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لعدم وفاء دلیل به إلاّ توهّم السیرة، وهو ممنوع فی المقام، وإن کانت ثابتة فی لقیط دار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تفصیلها فی باب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بنحو الأعمّ من الجزئیّة والاستقلالیّة، وإلاّ فالأحوط تجدیدها بالأعمّ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أثر للنزاع فی کفایتها بعد کون النیة عبارة عن الداعی، ولزوم استناد صدور کلّ جزء من أجزاء الواجب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 بناءً علی کون النیّة هی الداعی، لا الإخطار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الاحتیاط لا یُترک، لکن من دون تعرّض للجزئیّة وعدمها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غیر مقام الضرورة، وفیه کلام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سیأتی منه قدس‌سره أنّ الأحوط جوازه فی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أنّ الأقرب جوازه فی حال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مقتضی موثقة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تغسیل الصبیّ بلا تقیّد بشیء، وأمّا الصبیّة فإذا لم تکن امرأة تغسلها یلزم أن یکون مغسّلها الأولی بها، ولاخصوصیة لثلاث سنین، بل المیزان عنوان الصبیّة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والأظهر کفایة کونه غیر ممیّز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عدم النظر فی حال الاختیار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یجوز مطلقاً، ولابأس بترک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الاحتیاط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بالنسبة إلی تغسیل الرجل زوجته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لاینظر الرجل إلی عورة امرأته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إشکال فیما إذا صادف الغسل انقضاء مدّتها، بل العدم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الاحتیاط لایُترک، بل الأحوط ترک تغسیل المنقطعة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إذا فرض موت الزوج وهی فی العدّة وحصل سبب التأخیر فی الغسل إلی یوم آخر، أو إلی آخر الیوم فخرجت عن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مصاهرة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عبدالهادی الشیرازی، الأراکی، مفتی الشیعة، السیستانی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بأقوی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والأحوط الترک کما ذکره أخیراً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 العبرة بعدم کونه ممیّزاً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جواز تغسیل المحارم اختیاراً، وإلاّ فالأحوط تغسیل کلّ من الرجل والمرأة إیّاها من وراء الثیاب، وأن یکون أحدهما مَحرَماً مع الإمکان، واحتمال الرجوع إلی القرعة ضعیف غایته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الاحتیاط یجری فی المسألة التالیة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بتغسیل کلٍّ من الرجل والمرأة من محارمها لها من وراء الثیاب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یکفی الغسل من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ترک المسّ أیضاً، وکذا فی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فی هذه المسألة هو الحکم فی مسألة الخنثی المتقدمة سواء بسواء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ذکرناه فی الخنثی جارٍ فی المقام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یکن أحد من المحارم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لزوم أمره وحضوره ونیّته إشکال؛ إذ عمدة النظر فیه إلی کونه من باب التسبیب من قبل المسلم المیسور من حفظ إسلام الغاسل فی العبادة المزبورة، ولا یخفی ما فیه، مضافاً إلی إطلاق النصّ علی خلاف هذه القیود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والمغسّل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مهدی الشیرازی، السبزواری، حسن القمّی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لو استلزم الغسل بالقلیل التلویث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وینبغی تخصیصه بغیر النواصب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یکن أحد من المحارم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 المخالف، فیجزی لو غسّله المخالف علی مذهبه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أنّ فیه نظراً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حین التغسیل ولو بتعلیم الغیر تدریجاً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مَن هو قدوة للناس منصوب من قبل اللّه تعالی، فیشمل النبیّ صلی‌الله‌علیه‌و‌آله بالأولویة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اعتباره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اعتبار وجوبه علیهم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یشترط خروج روحه فی المعرکة حال اشتعال الحرب، أو فی غیرها قبل إدراکه المسلمون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لو عثروا علیه بعد الحرب فی المعرکة وبه رمق یجب غسله وکفنه علی الأحوط إن خرجت روحه فیها، وأمّا إن خرجت روحه خارجها فالظاهر وجوب غسله،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خروج روحه بید العدوّ فی المعرکة حال العراک واشتعال الحرب فلا یجب غسله، من دون فرق بین ما إذا أدرکه المسلمون حیّاً وبین غیره، وإن کان فی تلک الحال فی غیر المعرکة فالظاهر شرطیّة الإدراک، کما أنّه إذا کان فی المعرکة بعد انقضاء الحرب الأحوط التغسیل إذا اُدرک وبه رمق إن خرج روحه فیها، وأمّا إن خرج خارجها فالظاهر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یشترط فیه أن لا یدرکه المسلمون وفیه قوّة الحیاة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وقبله إن اُدرک ومات فی المعرکة علی الأحوط، وإن مات فی خارجها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الاحتیاط بأن یعامل معه بما فی المتن، وبعد القتل یعامل معه معاملة المیّت العادی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الأمر علی الإمام أو نائبه الخاصّ أو العامّ طریقی، وفیما إذا لم یقدم هو من عند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 ماء الکافور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الوصلات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الظاهر أ نّه یُترک فی المقتصّ منه موضع القصاص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الوصلات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 نّه یلبس جمیع الوصلات قبل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غسله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إعادة الغسل إن صار جنباً قبل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بل الظاهر أنّ نیّته من المأمور، وإن کان الأحوط نیّة الآمر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وإشکال، إلاّ إذا لم یقصد الورود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یظهر له وجه وجیه، فلو أراده 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مشروعیته تأمّل، نعم، لا بأس به رجاءً إذا کانت الورثة کباراً ورضیت به، وإن لم یخلُ من إشکال أیضاً، حیث إنّه تضییع مالٍ لم تثبت شرعیته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لو نزعت أجزأ تکفینه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والمدار فی الاستثناء علی عدم صدق الثوب، وعلیه فخروج الأشیاء المذکورة تخصّص لا تخصیص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یجب من جهة کونه تضییعاً للمال من دون مجوّز 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یصدق الثوب علی ما یتّخذ من 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المرعشی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لم یعملوا به أصلاً؛ لضعفه غیر المنجبر، وما وافق من فتاویهم بعض جملاته فهو لیس من باب الاستناد إلیه، بل اعتمدوا فیه علی أدلة أُخری، کما یظهر من خلال کلماتهم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أنّ الأحوط للوارث أن یرضی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إشکال فیما إذا أذن الغیر بلبسها لمن هو فی معرض 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إمکان فکّ الرهن من ماله لا یبعد وجوبه وتدفینه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إذا لم یکن علیه أمارة القتل من الجرح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 أکثر ممّا سرده، فمنهم من مات فی طلب علم الدین، ومن زار فی یوم عاشوراء مولانا الحسین علیه‌السلام ، ومن مات علی حبّ آل محمّد الطاهرین، والنفساء إذا ماتت فی نفاسها، إلی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ارتباط هذه المسألة بالشهید، فالمراد من المسلم هو المسلم غیر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المراد من المسلم هو غیر الشهید، بقرینة ذکره وجوب الاحتیاط بالتغسیل والتکفین، وغیرهما بالنسبة إلی الجمیع، مع العلم الإجمالی بوجود مسلم فی البین، فإنّه لو کان المراد هو الشهید لم یکن وجه لوجوب الاحتیاط، إلاّ بالنسبة إلی ماعدا التغسیل والتکفین والتحنیط؛ للعلم بعدم وجوبها حینئذٍ واقعاً رأساً، وذکر هذه المسألة فی أثناء المسائل المتعلّقة بالشهید لایصیر قرینة علی إرادة الشهید منه؛ لعدم اختصاص جمیع مسائل هذا الفصل بالشهید وإن کان فی بدوِ النظر موهماً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الشهید، وإلاّ فلا وجه للاحتیاط بالنسبة إلی غیر الدفن والصلاة،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مراده غیر الشهید، وإلاّ فلا وجه للاحتیاط بالتغسیل والتکفین ونحوهما ممّا یستثنی الشهید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 وکذا فی نفی البأس عن التمییز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یجب الغسل بمسّه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بالغسل بمسّه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وجوبه ولا سیما فی مسّ الشهید أظهر وأحوط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المستفاد من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کان المطروح العظم یغسّل ویکفّن، ویصلّی علیه ویدفن، وإذا کان نصفین صُلّی علی ما فیه القلب، وبقیّة ما ذکره فی المتن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جملة من مندرجات هذه المسألة محلّ تأمّل، ولکنّه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حسن القمّی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وجوبه إشکال، بل عدمه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فیجب التکفین به أیضاً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فی مواضعها، والحنوط فی مواضعه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لو بقی معظمها بشرط أن یکون من ضمنها عظام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إشکال فی التحنیط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المسألة کالتکرار لما ذکر فی المسألة الثانیة فتراجع، وتقدم فیها أنّ الأحوط کونه من وراء الثیاب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المسألة الثانیة من الفصل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الحکم فی هذه المسألة هو الحکم فی مسألة الخنثی المتقدمة علیها سواء بسواء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رعایة ما قدّمناه فی غسل الرقبة والعورة والسُرّة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لاوجه للتقیید المذکور، والاحتیاط یقتضی مع عدم التمکّن من الترتیب الجمع بین الارتماس والتیمّم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ترکه أیضاً مع التمکّن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تقی القمّی، اللنکرانی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إرغاء السدر أوّلاً، ثمّ إیقاع الغسل الواجب بماء السدر الذی فی الإناء تحت الرغوة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بمقدار یصدق أنّه غسّل بماء وسدر وبماء وکافور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للاختلاط ذکر فی الأدلة أبداً، والمناط صدق أن یکون فیه شیء من السدر، ولعلّه مراد الماتن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هو أن یکون بمقدار یصدق الغسل بماء السدر والکافور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توضّؤ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بالاستحباب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المستحبّ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لزومی، وأمّا الحدّ الاستحبابی فالأظهر ثبوته، والأرجح کونه سبعَ 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 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والأفضل، وکفایة الواحد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تخصیص التیمّم الثالث بذلک لتعدّد ما فی الذمّة فی الأول والثانی، ومجرد الترتیب لا یکفی فی التعیین، نعم، لو قصد ما وجب علیه إتیانه فعلاً ولو من جهة اشتراط الترتیب جاز فی التیمّم الأوّل والثانی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یکفی فی الاحتیاط الإتیان بأحد التیمّمات الثلاثة بقصد الأمر الفعلی، ولا خصوصیة للثالث، وهذا الاحتیاط 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فی شقوق المسألة محلّ تأمّل، ویهوّن الخطب أنّها نادرة الابتلاء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تخلو جمیع هذه الصور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الصورة الاُولی، وفی الغسل بماء السدر فی الصورتین الأخیرتین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یکفی تیمّم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قصد التعیّن، بل یقصد التکلیف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قوّة، لکن یکفیه تیمّم واحد بعد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کفایة تیمّم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المراد فی قول بعض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کالحلال إلاّ الکافور فلا یقربه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إلاّ أن یکون فی العمرة بعد الإحلال بالتقصیر، وفی الحجّ بعد الطواف والسعی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کان ذلک الاُذخر والذریرة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محمد رضا الگلپایگانی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الاحتیاط یقتضی الجمع بین الأمرین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بل الأقرب جواز الاکتفاء بید المیّت، ولا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الإشکال فی المیمّم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وما بعده لیس من 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بغسله وغسل البشرة تحته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 الفحص إذا شکّ فی أصل وجوده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 بعض ما ذکر، وقد مرّ فی الوضوء ما ینبّه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شرطیة إباحة الفضاء فی صحّة الغسل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الناسی هو الغاصب، أو من لا یبالی بالغصب، ففیه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الجهل والنسیان عن عذر وقصور، لا حتی ما إذا کانا عن تقصیر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 الروحانی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رجحان إتیانه رجاءً 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مفتی الشیعة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یستلزم هتکه، وإلاّ 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یراجع المورد الأوّل من مستثنیات حرمة النبش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تفصیل لایسعه المقام، وما ذکر من التفصیل لایخلو من مناقشة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الکلام فی هذه المسألة جوازاً ومنعاً لایکون من حیث استلزام أخذ الاُجرة علی الواجب انتفاء شرط من شرائطه، فعدم الجواز فی هذه الصورة مستند إلی فقدان 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ما یبذل له سبباً لأن یستعدّ نفسه؛ لانقداح هذا الداعی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الفرق فی منافاة قصد الاُجرة للعبادیّة بین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آل یاسین، جمال الدین الگلپایگانی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الکیفیّات غیر الواجبة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الأحوط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بحیث لا یصدق علی الماء ماء السدر والکافور، وکان مستهلکاً لا یجب الخلط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الخارج هو المنیّ فلا یخلو الحکم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فی الطهارة التبعیة ماله ربط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لإتمام غسل هذا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وکذا فی الخرقة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اُرید غسل میّت آخر قبل إتمام أغسال المیّت الأوّل فالأقوی وجوب غسله، وإن اُرید بعد الإتمام فالأقوی عدم وجوبه،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من المتن الوجه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وغیرها ممّا جرت السیرة علی عدم غسله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والثوب الذی یکون علی المیت فی حال تغسیله، وید الغاسل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فیها وفی السدّة أیضاً إذا لم تنغسل مع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ذکر هنا ثلاثةً وعشرین أمراً، واستفادة استحبابها ممّا ورد فی هذا الباب ممّا لا مجال لإنکاره، بل الأحوط عدم ترک بعضها ممّا لا قرینة داخلیة ولا خارجیة علی خلاف ما هو الظاهر من أخبارها من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الحکیم، عبداللّه الشیرازی، الآملی، حسن القمّی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ممّن له الحَبوَة، وهو الولد الأکبر إن کان، ومع عدمه فمن الورثة، ومع القصور فمن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لاحاجة إلی الاستئذان منه ولا من الولیّ إذا کان الوارث قاصراً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لم ینظر إلیها، أو کان الناظر ممّن یجوز له النظر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خصوصیة للسقف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غیر الأصابع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وأفضل منه غسلهما إلی المرافق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ینبغی عدم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یؤتی به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مماسّة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اللنکرانی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قبلهما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یؤتی به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سبع 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عبدالهادی الشیرازی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قبل الغسل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الدعاء معلوم فی جمیع الأحوال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یحرم علی بعض التقادیر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أکثر ممّا سرده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ترک هذا، وما یلیه من الرابع والخامس والسادس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کان الوسخ تحته زائداً علی المتعارف فیجب إزالته حینئذٍ عمّا یعدّ من الظاهر، مع فرض مانعیته عن وصول الماء إلی البشرة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 البَرد فإنّه یوقیه ممّا یوقی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ینبغی ترک الغسل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حسن القمّی، تقی القمّی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أنّه بعد السعی فی الحجّ والتقصیر فی 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بعد سعی الحجّ وتقصیر 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مهدی الشیرازی، تقی القمّی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واجب کفائیّ کالتغسیل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تعیّنها تأمّل، لکنّها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فیه وفی القمیص کفایة الصدق العرفی، وإن کان الأحوط ما فی المتن إذا لم یکن صغیر فی الورثة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الأمام و الخلف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 فی القطع الثلاث مسمّاها، واعتبار کون الثانی قمیصاً لا ثوباً یقوم مقامه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الأقوی فیه وفی الطول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الأظهر کون المقدار المتعارف من أصل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جواز احتسابه من أصل الترکة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حسن القمّی، الروحانی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قمیصاً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الخمینی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کفایة الستر بالمجموع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 ولا وجه یعتدّ به للاحتیاط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لهذا الاحتیاط، نعم، الأفضل اختیار القطن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 المیتة إن لم تکن نجسة، أمّا مع الانحصار فالأحوط التکفین بها وإن کانت نجسة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عمل علی نحو یصدق علیه الثوب لا بأس به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فی فروض هذه المسألة محلّ تأمّل، ویمکن القول بلزوم الجمع فیها بین طرفی التردید؛ نظراً إلی العلم الإجمالی بوجوب تکفینه، واحتمال تعیّن بعضها بالخصوص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عمل علی نحو لا یصدق علیه الثوب لا یقدّم علی غیره لدی الدوران، وإلاّ فیجوز حال الاختیار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تقدیم النجس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إشکال فی تقدیمه علیهما مع عدم سرایة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لایبعد التخییر فیه، وکذا فی دوران الأمر بین أجزاء مالایؤکل لحمه وبین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یبعد القول بالإطلاق، سواء کان الخلیط أزید من الإبریسم أم لا؛ لانصراف الدلیل إلی المنع بالحریر المحض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 مفتی الشیعة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وجه لایستلزم محذوراً من هتک المیّت أو غیره، وإلاّ لم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لو کان القرض موجباً لزوال صدق الکفن یتعیّن التبدیل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عدم وجوب التبدیل، وإن کان أولی وأحوط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الحکم والفروع المتفرعة علیه کلّها 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فی المنقطعة القصیرة مدّتها والناشزة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وجوب کفن المنقطعة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وتخصیص بعضهم بغیرها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علی الأحوط، بشرط الإمکان وعدم الحرج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 الیسار المعتبر فی وفاء الدین محلّ تأمّل، نعم، یشترط أن لا یکون حرجیّاً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عن مقدار یلزم من صرفه العسر والحرج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المسألة مجال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محجوریّته عن التصرّف فی ماله لا یوجب سقوط کفنها عن عهدته، فیصیر حینئذٍ حاله حال إعساره، فیجیء فیه إشکال ثبوتها علی الزوجة؛ نظراً إلی منع کون الزوجة فی هذا التکلیف متحمّلة من قبل الغیر، بل هو تکلیف متوجّه إلی الزوج بدواً، فبإعساره أو عدم لزومه علیه من جهة اُخری لا یتوجّه التکلیف إلی الزوجة،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فیما یعمل بالوصیّة، وإلاّ فلا یسقط عن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إسقاط وصیّتها بنفسها لحقّها الذی یحدث لها علی الزوج بعد موتها غیر متّجه، نعم، عمل وصیّها بها مسقط له؛ لانعدام موضوعه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التقدیم إشکال واضح، خصوصاً بعد الوضع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بعد الدفن لو اُخرج من القبر اتفاقاً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سقوطاً مراعیً بفعلیة التکفین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صار إلیه بعض مشایخنا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اللزوم علیه؛ لمکان صدق النفقة ضعیف بعید عن مثله، نعم، الأحوط علیه البذل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ممن علیه نفقته فی هذا الحال البذل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البذل ممّن علیه نفقته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یمکنه تهیئة الکفن بدون 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تقدّمت الإشارة إلی إشکاله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بعد الدفن، وأمّا قبله فلهم الرجوع إلی عین 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حسن القمّی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 مفتی الشیعة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علیه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هذه الصورة یکون الکفن بالخصوص علی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 علیه هو کفنها، وأمّا سائر الموءن فعلی مالکها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أن یکون الکفن لائقاً بحاله، ومنه یظهر حکم ما یلیه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یجب ذلک علی القصّر، ولیس للولی الإجازة إلاّ مع المصلحة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فیما یکون الثلث وافیاً به ویحسب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الأقوی جواز المتعارف بالنسبة الی ذلک المیّت، ویخرج من الأصل وإن کان أغلی 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یلاحظ فی جمیع ذلک أقلّ ما هو المتعارف بالنسبة إلی مثل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تقدّم الکفن علی حقّ الغرماء، بل حقّ الرهانة وفی الجنایة إشکال وإن کان تقدمها لایخلو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الکفن مقدّم فیه، وإن کان فی الأخیرین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لایبعد تقدیم الکفن خصوصاً فی الأوّلین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یظهر من تقدیم حقّ الدیّان فی المستوعب، کما هو ظاهر إطلاق کلماتهم کون حقّ الکفن مقدّماً علی حقّ الدُیّان، وعلیه فلا بأس بالتعدّی منه إلی حقّ الغرماء وحقّ المرتهن، وکذا حقّ الجنایة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التمکّن من تحصیل رضاهم، وإلاّ فالکفن مقدّم علی حقّ الرهانة، وأمّا بالنسبة إلی حقّ الجنایة العمدیة فالظاهر تقدّمه علی الکفن، وأمّا الجنایة الخَطَئیة ففی تقدیمه علی الکفن وتقدیم الکفن علیه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الدین‌الگلپایگانی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مستحبّ؛ لظهور الخبر فی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 محمد الشیرازی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کانوا مستحقّین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کان بعض ما فی هذا الفصل والفصل التالی غیر ثابت فیأتی بها رجاء، ثمّ الأولی بل الأحوط أنَّ ما یکتب فی کفنه من الآیات الکریمة والأسماء المحترمة أن یجتنب من الکتب فی محالّ تکون مظانّ التنجّس والتلویث، وأن یکتب فی محالّ من الکفن لا تکون إهانة عرفاً، بل معها لایجوز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عدم قصد الورود فیما ذکر فی هذه الفصول من المستحبات والمکروهات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بعنوان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نصف الشبر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المرعشی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فوق الإزار الواجب یلفّ بها تمام بدن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والأولی البرود الصَنعانیّة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ألیَیه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من المستحبّ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الأعمّ ممّا ینبغی، لا خصوص الاستحباب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ألفان وخمسمائة دینار، کما فی العیون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دلّت علیه النصوص کراهة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ورد عنهم علیهم‌السلام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قومٌ أثمان أکفاننا ومهور نسائنا وصرورة حجّنامن طَهورِ أموالنا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کلّ ثوب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نوع خاصّ من الطیب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غیر القمحة المعروفة، کمایظهر من المراجعة إلی مظانّ البحث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التبرّک بما ذکر رجاءً فی غایة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الأولی عکس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بعنوان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نظفر علی دلیله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العاتِقَین علی ما فی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مقتضی ما رأیناه من الأخبار والمنقول من بعض الأصحاب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والأولی أن تکون کتابة الکلمات والشهادات إلی آخرها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بقصد الرجاء، والأحوط أن لا یکتب فی المحالّ التی تنافی الاحترام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الطریق أولی من الکتابة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علی عدّة أسانید لسلسلة الذهب فی کتب الفریقین، غیر هذین السندین اللذین نقلهما الماتن عن حَفَظة الشیعة شیخِنا أبی جعفر الصدوق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المحکیّ عن مولانا جمال السالکین السید رضیّ الدین علی بن طاووس الحسنی،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جدّی العلامة الزاهد الشیخ وَرّام ابن أبی فراس ـ صاحب کتاب المجموعة ـ بأن یجعل فی فمه وتحت لسانه فصّ من العقیق منقوش أو محکوک علیه، ومنقور فیه أسماء الأئمة علیهم‌السلام رجاءً لسرعة الجواب عن أسئلة المَلَکَین،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 إنّ الموصی کان شدید المواظبة علی العمل بالآداب والسنن الواردة عنهم علیهم‌السلام ، وکثیر التتبّع فی کلماتهم وسِیَرهم، فلعلّه وقف علی خبرٍ فی الباب، فإنّی وصّیتُ بوضع عقیق کذلک تحت لسانی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ما سمعته عن مشایخی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هو کذلک فی عدّة من الاُمور المذکورة قبل هذا الفرع وما بعده، ممّا لم یقم دلیل علی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نظفر علی دلیل یدلّ علی استحباب تهیئتها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یحتمل وجوب ذلک بهذا النحو، فلا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أکثر ممّا نقله، وأکثرها ضعیف صدوراً، فالأولی الرعایة بالرجاء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یستند إلی 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 إلی فتوی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غیر المیّت المُحرِم علی التفصیل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والأولی الکتابة بالزعفران المخلوط بالتربة المشرّفة الحسینیّة علیهم‌السلام ، کما علیه دیدن سلفنا الأبرار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ترکه، إلاّ أن یکون ممزوجاً بما یخرجه عن اسم الکتّان عرفاً، کما أنّ الأحوط ترک التکفین بالأسود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 إلی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دلیل معهود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الأقرب،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الکافور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محلّه؛ لأنّه اسم للطیب المخصوص، أو کلّ طیب یستعمل فی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التحنیط هو مسح الکافور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تفسیر للتحنیط، لا للحنوط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تعریف لما هو الواجب علی المکلف، أی التحنیط، وإلاّ فالحنوط اسم لما یحنّط به المیّت من طیب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وضعه علیها بحیث یجعل مقدار منه فی کلّ من المواضع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مراعاته غیر 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نحره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ومغابنه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انتهاء فَخِذَه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الکفّین هنا لا موقع له؛ لوجوب تحنیطهما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 الثالث والرابع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 الإباحة بمعنی أ نّه لو عصی ومسحه یقع باطلاً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وبصلواته والسَعی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بالسعی إذا کان حاجّاً،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التفریع لایناسب شرعیّة عبادات الصبی،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إذ لا ملازمة بین عدم اعتبار قصد القربة والسقوط بفعل غیر من وجب علیه، کما حُقّق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فلا یکتفی بأقلّ من مثقال ونصف مادام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سبعة مثاقیل بلا زیادة، ولعلّ السهو من الناسخ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مثقال ونصف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عند الضرورة أیضاً، فیدفن بغیر حنوط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ترکه فی المحرِم قبل إتمام السعی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الخوئی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زین الدین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لایبعد استحباب تحنیط الصدر کغیره ممّا سبق، ولا یختصّ بالزائد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استحباب تحنیط الصدر مطلقاً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کونه مستحبّاً شرعاً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بحیث لایخرج عن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علیه کثیر من العامة فتویً وعملاً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مخیّر بین الابتداء بها وبغیرها، نعم لا یبعد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وجوبه تأمّل؛ للأصل بعد عدم الدلیل، وإن کان بملاحظة الکلمات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مضمون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یعذّب المیّت أول وضعه فی القبر فلا یعذّب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الترتیب مع التمکّن متعیّن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تقدیم السدر والخلاف علی الرمّان لا 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 بعضهم إلی ترطیب الیابسة وبلّها لو لم توجد رطبة، ولا بأس به بعنوان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المقدار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الشبر إلی الذراع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بمقدار عظم الذراع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اللنکرانی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والأولی رعایة الکیفیة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أن یکون المراد منه ما رواه جمیل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یؤتی بما ذکر رجاءً علی جمیع التقادیر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المراد سطح القبر فبعنوان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جماعة کثیرة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یستحب أیضاً أن یجعل علیهما شیء من القطن، ولا بأس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جملة ممّا ذکر فی هذا الفصل من الآداب والمستحبات والمکروهات مبنی علی التسامح فی أدلة السنن، فلابدّ وأن یکون الإتیان بها برجاء المطلوبیة، وکذا فی ترکها فی المکروهات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ما ذکر من المستحبات فی هذه الأبواب غیر ثابتة، إلاّ أنّ الإتیان بها رجاءً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جملة من المستحبّات المذکورة فی هذه الأبواب غیر ثابتة إلاّ بناءً علی قاعدة التسامح، فاللازم الإتیان بها برجاء المطلوبیة، وکذا الکلام فی المکروهات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ما رواه الفضل عن أبی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روی عن عقاب الأعمال أکثر من هذا العدد المذکور فی المتن، ولا یبعد أنّ جملة من المذکورات فیه مأخوذة من الحدیث المشار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مثل جبل أحد یلقی فی میزانه من الأجر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أکثر ممّا ذکره قدس‌سره ، والأولی رعایتها بالرجاء؛ لضعف أکثر مستنداتها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الهالک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ونحوه من النواقل کالسیارات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علیه دیدن أکثر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کراهة فی المشی أمام جنازة المؤمن، بل یستحب، نعم، المشی معها أفضل منه، والمشی خلفها أفضل من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أکثر ممّا نقله، والأحری رعایتها بالرجاء؛ لضعف المدرک، کما تقدّم فی أمثالها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فیما یقصد به التشبّه بصاحب المصیبة، ولعلّه أیضاً فی غیر جنازة الأولیاء و الصلحاء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 موت الأعاظم من أهل الدین فإنّ الکلّ أصحاب مصیبة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أعثر علی ذلک، نعم، ورد کراهة أن یسلّم الماشی مع الجنازة علی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غیر الشابّة، وفی جنازة النساء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لکنّها للعجوزة، وفی جنازة المرأة أخفّ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رأیته من فعل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به مطلق الضیاء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لیته علّل الحکم بتعلیل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أقف فی حال التحریر علی مستنده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منع الفاسق من التشییع موضع تأمّل أو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من ینتحل الإسلام من الغلاة والخوارج والنواصب، علی ما ادُّعی الإجماع علیه من عدم جواز الصلاة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بعض الجهات الجاریة فی المقام فی مسائل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عندی 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وکذلک وجوب الصلاة علی من بلغ الستّ ولم یعقل الصلاة، فلو عقلها ولم یبلغ الستّ وجبت الصلاة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استحبابه الشرعی محلّ تأمّل، والأولی أن یأتی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 جمیع الأقسام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وإن کان عدم الوجوب لا سیما فی لقیط دار الکفر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صلّی علی المخالف أهل مذهبه علی طریقتهم سقط الوجوب بذلک، کما تقدّم نظیره فی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الإشکال فی صحّة عباداته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الجزم بالاشتراط مشکل، وإن کانت السیرة الجاریة تقتضیه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بثوب ونحوه ممّا یلزم سترها به مع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سیأتی من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تجوز نیّة الوجوب مع العلم أو الاطمئنان بفراغ غیره قبله،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یُترک ذلک تخلّصاً عن الإشکال فی بعض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اللنکرانی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مع الإمکان، خصوصاً إذا کان مع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إذا فرض کون القلب فی عضوٍ غیر الصدر، وإذا کان القلب فی جانب والصدر فی جانب آخر ولا یمکن الجمع بینهما فالأحوط تکرار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الکلام فیه فی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الاکتفاء بإذن واحد منهم مع عدم المزاحمة للآخرین لا یخلو من قوّة، فالمأذون کنفس الآذن فی عدم توقّف التصرّف فی حقّه علی الإذن من سائر الأولیاء، کما فی صورة اجتماعهم علی الصلاة دفعة، ویجوز لغیرهم أیضاً الاقتداء بکلّ واحد منهم ولو بأن یقتدی بعض ببعض منهم مع فرض الأهلیة، وعدم معهودیة تعدّد الجماعة دفعةً وفی عرض واحد لا یصلح للدغدغة فی مشروعیته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فقدان القرائن والشواهد الدالّة علی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کفایة إذن کلٍّ منهم کتصدِّیه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الأقوی ـ بناءً علی اشتراط الإذن ـ کفایة الاستئذان من البعض إذا لم یزاحمه الآخرون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الاستئذان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تقدیم الرجال، والأحوط فی صورة المباشرة قیامها فی وسط النساء لو صلّت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الرجل، وإلاّ ففیه إشکال؛ لشبهة اعتبار الذکوریة فی الأولیاء، والأحوط إذنها للرجل فی صلاته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یجوز للولی أن یأذن للمرأة بلا فرق بین کون المیت ذکراً أو اُنثی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الفارق بین الصلاة والغُسل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فرض اعتبار إذن الولیّ هذه الوصیّة غیر نافذة، إلاّ إذا کان الولیّ الحاکم الشرعی بناءً علی ثبوت الولایة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وجه الإشکال فی نفوذ الوصیّة فی أمثال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یحتاج إلی الاستئذان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یسقط بناءً علی نفوذها، إذ لا معنی لنفوذها، إلاّ أنّه یتعیّن علیه، سواء أذن الولیّ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اعتبارها، وکذا عدم اعتبار شرائط الجماعة عدا ما هو دخیل فی صدقها عرفاً، کعدم البعد المفرط، والحائل الغلیظ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أنّه یقصد القربة المطلقة تخلّصاً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کان المأموم یتأخّر فی الاتمام قد تشکل نیّة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فی خصوص الصلاة علی المیّت،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بمقدار یسیر یخرج به عن التساوی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ینبغی رعایته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الإصطهباناتی، اللنکرانی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رعایة ما اعتبر سابقاً من عدم البعد المفرط عن الجنازة، وعدم الحائل،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أن یصبر حتی یکبّر الإمام، کما فی الصورة الثانیة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بقاء القدوة، وإن تقدّم فإذا أراد أن یکبّر ثانیاً احتاط بقصد القربة لا بقصد الجزئیة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کبّر قبل الإمام سهواً، أمّا مع العمد فمشکل؛ لاستلزامه الزیادة العمدیّة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الترتیب غیر ظاهر، فلا یبعد جواز کلٍّ منهما بلا ترتیب، وإن کان الأول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القول بأنّ صلاة المیّت عبارة عن التکبیرات الخمس ودعاء للمیّت واقع فی البین غیر خالٍ من القوة، لکنّ الأحوط ما هو المشهور نصّاً وفتوی، بل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والدعاء للمیّت عقیب إحدی التکبیرات الأربع الأول، وأمّا فی البقیة فالظاهر أنّه یتخیّر بین الصلاة علی النبی صلی‌الله‌علیه‌و‌آله ، والشهادتین والدعاء للمؤمنین وتمجید اللّه تعالی، وإن کان الأحوط 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الترتیب المذکور مبنیّ علی الاحتیاط، وممّا ذکر یظهر الحال فی المسألة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الأدعیة بین التکبیرات مبنیّ علی الاحتیاط اللازم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إتیان جمیع هذه الفقرات بعد کلّ تکبیر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ویُضیف إلی ذلک الصلاة علی جمیع الأنبیاء والمرسلین علیهم‌السلام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الأولی والأفضل، وهذا أقلّ ما یجزی من الصلاة، وهو المشهور والموافق لبعض الروایات الصحیحة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الأولویة إنّما هی بالإضافة إلی سابقته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المندوحة ولو بإتیانها إخفاتاً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الدعاء بین التکبیرات لا یخلو من قوّة، ولا ینبغی ترک الاحتیاط فی فعله بالمأثور، وإن کان الأقوی الجواز بغیره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یشترط فی الدعاء العناوین الخاصّة، وعلی فرض رعایتها لا یعتبر الترتیب الخاصّ، والأحوط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الدعاء للمیّت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 کلّ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خلافاً لأکثر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وتبطل الصلاة به إذا قصد به الجزئیة، أو کان ماحیاً لصورة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فیما أراد تذکیر الضمیر أن یقتصر علی لحاظ الشخص، وفیما أراد تأنیثها أن یضیف النفس إلی الجثّة والجنازة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النفس المضاف إلیهما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الاقتصار بذکره إشکال، بل یجب الاحتیاط بالجمع بینه وبین ذکر الأکثر المحتمل للعلم الإجمالی بوجوب أحد الذکرین، مع عدم اقتضاء البراءة فی التکبیرات تعیّن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 بعض هذه الاُمور محلّ إشکال، لکنّه موافق للاحتیاط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 کثیر من الشرائط الآتی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یغنی عنه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یجوِّزه أکثر العامة، حتّی ولو کان المیّت بعیداً عن المصلّی بفراسخ، ولو راجعتَ کتب تراجمهم لرأیت هذا التعبیر کثیراً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قد صُلّی علیه غائباً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نحوٍ لا یصدق الوقوف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فی المصلّی مع تعدّد الجنائز علی ما یأتی بیانه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وجه لا یصدق الوقوف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 الاختیار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تصح صلاة غیر القائم إلاّ مع عدم التمکّن من صلاة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النیة علی ما تقدّم فی الوضوء من قصد الفعل، وأن یکون الباعث إلیه أمر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أحمد الخونساری، الخوئی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وقبل الدفن، فلو صلّی قبل ذلک أو فی أثنائها لا تجزئ، وإن کان ذلک سهواً أو جهلاً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عدم مزاحمته،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جدّاً، بل الأقوی اعتبارها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یوجد من یصلّی قائماً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والتخییر مطلقاً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سقوط الصلاة بمجرّد خوف الفساد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یصلّی بقدر الإمکان، مع مراعاة جهة القبلة بأن لا تخرج الصلاة عمّا بین الیمین والیسار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إذا کان مأموراً بإخراجه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تکن الصلاة منهیّاً عنها ولو للتشریع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جوازه للمتمکّن من الماء فیما لا یخاف فوات الصلاة محلّ تأمّل، نعم، لا بأس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فی هذا الفرض الإتیان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الأوجه،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الإصفهانی، محمد رضا الگلپایگانی، البروجردی، عبدالهادی الشیرازی، الحکیم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الصحة وعدم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الأقرب فیه عدم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الجزم بوجوب الإعادة ینافی التشکیک والتردید فی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الإعادة، والإجزاء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الأوجه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المسألة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لا وجه معتبر للتأخیر إلی ثلاثة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ویقوم علی منکبه الأیمن إن کان وجهه أو منکبه الأیسر إلی القبلة، وعلی منکبه الأیسر إن کان قفاه أو منکبه الأیمن إلیها، ولا یستقبله ولا یستدبره، ویراعی جهة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ملازماً أحد منکبَی المصلوب، کما فی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ملازمة أحد منکبَی المصلوب، علی ما فُصِّل فی روایة أبی هاشم الجعفری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یصلّی رجاءً خصوصاً بعد الدفن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کان حصول التأخیر بسبب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لا حاجة إلی الإعادة بعد الدفن فی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فاتته الصلاة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الأفضل تقدیم الفریضة الحاضرة علی صلاة المیّت وإن لم تکن فی وقت الفضیلة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الجواز؛ لأنّ المانع المتصور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وقوع فعل کثیر، أو السلام؛ لکونه کلاماً آدمیّاً، وکلاهما مرتفعان؛ لعدم السلام، وعدم کونه فعلاً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الجواز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الخوئی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به علی الأقوی، لعدم وجود مانع فیه، حتی علی فرض شمول عمومات المانعیّة، أو فعل الکثیر لمثل هذه الصلاة، لمنع صدقه بمثله، ولو لا السلام فی سائر الصلوات الذی هو کلام آدمی مبطل لَما کان فی الصلاة فی کلّیة المقامات إشکال، والمفروض أنّ هذا المحذور فی المقام غیر موجود، کما لایخفی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الاقتصار علی هذا الوجه 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الاقتصار علی هذا النحو، إلاّ أن یکون فی البین خوف علی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حصوله بنیّة القطع غیر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تقدیم وظیفة المیّت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تحصل بالتشریک؛ لِمَا تقدّم من عدم اختصاص کلّ تکبیرة بذکر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بها الأعمّ من الوظیفة المأثورة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 أن یقف الإمام بعد الفراغ من الصلاة حتّی ترفع الجنازة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رعایة هذا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أنّه مع عدم الخوف یتیمّم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القول بتحقّق وظیفة الاستحباب فی الرَجُل بالقیام عند کلٍّ من الوسط والصدر، بل وبینهما، وفی المرأة بالقیام عند کلٍّ من الصدر والرأس، بل‌بینهما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الخنثی المشکل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الأوجه رعایة هذا المسنون الجاری علیه عمل سلفنا الأخیار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الترک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الخفّ لا یخلو من رجحان خصوصاً للإمام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والمعیار فیه نظر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نظفر علی دلیل الاستحباب بهذه الخصوصیّة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الأحوط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الأحوط علی ما سیجیء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یحضرنی الآن فیه نصّ خاصّ، نعم، یساعده العمومات والاعتبار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أقف فیه أیضاً علی دلیل فی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النُفَساء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یثبت استحبابه، والأقوی الإتیان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یخشَ علی بعضها 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الاقتصار علی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هذه الأولویّات المذکورة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الحکم بالتخییر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فالأحوط ترکه والعمل بالنحو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الکیفیّة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أحمد الخونساری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المیّت المسلم، کما یجب غسل المیّت المسلم وتکفینه فلا یجوز تغسیل وتکفین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یجب دفن المیّت غیر المسلم لأجل أمر خارجی وعنوان ثانوی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 الحیثیة شائبة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 عبداللّه الشیرازی، الشریعتمداری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الشریعتمداری، المرعشی، محمد الشیرازی، اللنکرانی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البلاد التی قبلتها طرف الجنوب، والمناط أن یکون رأس المیّت إلی جانب یمین المصلّی علیه، ورجله إلی یساره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لصدر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بلادنا ونحوها، والمدار أن یکون رأسه إلی یمین القبلة، ورجله إلی یسارها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الحکیم، الفانی، الخمینی، المرعشی، الآملی، اللنکرانی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یقوم مقام الخابیة المانعة عن نیل الحیوان البحری من جسد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مع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ولو بزنا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الصناعة تقتضی شقَّ بطن الاُمّ وإخراج الولد، والعمل علی طبق الوظیفة المقرّرة، ولکن هل یمکن الحکم به مع عدم القول به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 فیما لم تلجه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تمام خلقته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آل یاسین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خروجها من الثلث، أو من الأصل بإمضاء الورثة مع التمکّن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الکلام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تکلیفاً لا وضعا،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الصناعة تقتضی جواز دفن المسلم فی مقبرة الکفّار، وکذلک العکس، إلاّ فیما یوجب هتک المسلم المؤمن، 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 وفیما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مؤمنا، وإلاّففی الجزم بعدم الجواز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الحکم علی إطلاقه، وکذا فی الفرع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أحمد الخونساری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یجوز إذا کانت الأرض مباحة، نعم، لا یجوز نبشه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مع عدم استلزام النبش، ولا ینبغی 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لا دلیل معتبر علی ما أفاده، فالحکم المذکور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لو لم یکن الأقوی إلحاقه بالمیّت والدفن معه إن لم یستلزم النبش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الروحانی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محذور، ککون البئر للغیر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البئر للغیر یجب استرضاء المالک، وإن کان للمیّت وکان للبئر مالیّة معتدـ بها وانتقل إلی الورثة فهل یجب بذله، أولا؟ الظاهر أنّ الإرث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مؤونة التجهیز فهی تخرج من الترکة فلا یحتاج إلی بذلهم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استرضاء المالک إن کان لغیره، وإن کان للبئر مالیة کثیرة فهل یجب علی الورثة بذل المال من الترکة؟ وإن انتقل البئر إلیهم بالإرث فهل یجب علیهم بذله؟ فیه 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لایبعد تقدیمه علی النساء مع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الشقّ مع عدم رجاء حیاته بعده ولو قلیلاً فضلاً عن الوجوب 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قصد الرجاء فیها؛ لعدم ثبوت الاستحباب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إلی الترقوة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التفصیل المذکور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بحکمه، بأن تجعل اللبن أو الآجرّ أو الحجر باتّکاء کلّ واحد علی الآخر من رأس المیّـت إلی قدمه، وقد شاهدت فی قبور بعض المقابر الإسلامیة القدیمة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الاکتفاء بذراعین أو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زائد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الأولی منه أن یکون التلقین بلسان الملقِّن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محلول الأزرار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الزوج أولی، وبعده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وبعده الأرحام فالأجانب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فالترتیب المذکور یساعده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لامثلّثاً ولا مخمّسا ولا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کان بشکل المربع أو المستطیل، والمتعارف هو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رعایته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دائماً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نظفر بدلیله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بعض الأعاظم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یقف علی 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نجد مدرک الحکم، فتتوجّه إلیه شبهة الإسراف،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نحو تقرّب بالأذکار المحترمة،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منّا کلام مولانا العلاّمة الزاهد السیّد ابن طاووس الحسنی الحلّی،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یکن فی البین محذور شرعی من عدم رضا الورثة، أو کونه إسرافاً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أجد به دلیلاً مأثوراً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تتحقّق التعزیة بأن یحضر عند المصاب بحیث یراه وینظر إلیه، ویثاب الموءمن بهذا المقدار وإن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اللّه تعالی أجرک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قد تکون التسلیة حراماً، وقد تکون واجبة بجهات خارجیة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الروایات ثلاثة أیام، وبه تدفع الکراهة التی لم أعثر علی دلیل خاصٍّ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الأربعین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اختلاف یسیر عمّا فی الوسائل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اختصاصها بلیلته إنّما هو بحسب الروایة الاُولی، وأمّا الروایة الاُخری فیجوز العمل بها فی النهار،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فیما یُعمَل قبل أوّل لیلة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قبل لیلة الدفن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الحمد و آیة الکرسی مرة،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علی مارواه الکفعمی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صلاة هدیة المیّت لیلة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کتب أصحابنا، وکذا رواه السیّد فی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الیمان، و حیث إن روایته تشتمل علی عظیم الأجر نذکرها بتمامها،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لأیاتی علی المیّت ساعة أشدّ من أوّل لیلة، فارحموا موتاکم بالصدقة، فإن لم تجدوا فلیصلّ أحدکم رکعتین، یقرأ فی الأولی فاتحة الکتاب مرّة و آیة الکرسی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و فی الثانیة فاتحة الکتاب مرّة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ألهاکم التکاثر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مرات، ویسلّم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 و ابعث ثوابهما إلی قبر ذلک المیّت فلان بن فلان، فیبعث اللّه من ساعته ألف ملک إلی قبره مع کُلّ ملک ثوب وحلّة ویوسّع فی قبره من الضیق إلی یوم ینفخ فی الصور، و یُعطی المصلّی بعدد ماطلعت علیه الشمس حسنات، و یرفع له أربعون درجة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الأقوی أنّ آخرها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العلّی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مقتضی التعلیل الوارد فی الروایة إتیانه فی أول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یظهر لی وجه لزوم الإعادة مع إطلاق دلیل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باب أحکام السهو فی الصلاة، 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وجه ظاهرا للقول بعدم شمولها للصلوات المستحبة، ولکنّ الاحتیاط طریق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لا وجه لوجوب الردّ؛ فإنّ المفروض أنّ الإجارة صحیحة، غایة الأمر ثبوت الخیار للمستأجر فی صورة عدم الإتیان بمورد الإجارة بین الفسخ وبین أخذ اُجرة المِثل للعمل، هذا مع قطع النظر عمّا ذکرنا من صحة العمل ببرکة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فلاوجه للفسخ أیضاً إذا کان متعلّق الإجارة الصلاة الصحیحة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الیأس من الوصول إلیه، ویستأذن الحاکم الشرعی فی ذلک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فی التصرّف فیه بشرط الإتیان بالصلاة وإهداء ثوابها إلی المیّت ، ولکنّ العلم بالرضا یکفی فی جواز التصرف فیه بمثل الأکل والشرب وأداء الدین، وأمّا کفایته فی نفوذ الشراء به لنفسه فمحلّ کلام، وإن کان الأظهر الکفایة لما هو المختار؛ وفاقاً للماتن من أنّ حقیقة البیع صرف المقابلة بین المالَین فی قبال التملیک المجّانی، ولا یعتبر فیه دخول کلٍّ منهما فی ملک مالک الآخر، وإن کان هذا هو مقتضی 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بالکیفیة الاُولی، وأمّا الکیفیة الثانیة فظاهر الروایة الواردة بها استحبابها فی أول لیلةٍ بعد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تقدم أول لیلة الموت، والأولی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عدم قصد الورود بالخصوص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ابتداءً، وأمّا دفن المیّت فی قبر میّت آخر قبل اندارسه المستلزم للنبش فهو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تقی القمّی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هو ظاهر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مرسلة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مقتضی الإطلاق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یراد قبر مَن فی تجدیده تعظیم للشعائر وتکریم لمقامات العلم والعمل والدین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ینبغی ترکه مهما أمکن، إلاّ أن یکون هناک محذور التقیة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جرت السیرة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الزوجة علی قبر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الهتک، وإلاّ فمشکل، بل لا یجوز بعض مراتبه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هتکاً للمؤمنین، وإلاّ حرم، وکذا السادس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یوجب الهتک، وإلاّ فحرام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جوازه مع استلزامه لهتک حرمة المیّت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تثبت کراهته مالم یکن هتکاً وتوهیناً فیحرم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بکراهته منظور فیه، نعم، یستحب الوضع والرفع قریباً من القبر، کما مرّ،</w:t>
      </w:r>
      <w:r>
        <w:rPr>
          <w:rFonts w:eastAsia="IRNazanin" w:cs="IRNazanin"/>
          <w:b w:val="false"/>
          <w:bCs w:val="false"/>
          <w:i w:val="false"/>
          <w:iCs w:val="false"/>
          <w:color w:val="333333"/>
          <w:sz w:val="20"/>
          <w:szCs w:val="20"/>
        </w:rPr>
        <w:t>ÿ</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تلازم فی البین، کما أشرنا إلیه مراراً، فلو أنزله دفعة فات منه العمل المندوب، لا أنّه أتی بمکروه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یکون فی الزیادة تعظیم للشعائر وتجلیل وتکریم للدین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یوجب هتکاً لحرمة المیّت أو أذیّة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جواز النبش للنقل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یبعد جواز النبش للنقل إذا کان بإذن الولی ولم یلزم هتک حرمة المیّت وأوصی المیّت بذلک، والأحوط ترکه مع عدم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صورة ترتّب الهتک لا یُترک الاحتیاط بعدم النقل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یستلزم هتک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قد یجب فی موقع یخاف علی عقله ونفسه وکان علاجه متوقفاً علی فیض الدموع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قال الشیخ الرئیس ابن سینا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البکاء محلول الغمّ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شرطاً للجواز کما یظهر من ذیل کلامه فمحلّ إشکال، بل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الرضا بقضاء اللّه من أشرف صفات الموءمنین باللّه، وعدم الرضا بقضائه من نقص الإیمان بل العقل، وأمّا الحرمة فغیر ثابتة، نعم، یحرم القول المسخط للربّ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عامّیّ محرّف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یکون عدم الرضا بمجرّده محرّماً، وإن کان لا یجتمع مع کمال الإیمان وعلی تقدیره لا تسری حرمته إلی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التقیید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وجدنا دلیلاً علی الحبط حدیث جابر، وسنده مخدوش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أوصی الإمام أبو جعفر الباقر علیهماالسلام بالنیاحة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یستلزم محرّماً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شیئاً من المحرّمات الاُخر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المدرک للقید المذکور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حراماً آخر کالغناء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اللطم علی النحو المتعارف ما لم یصل إلی حدّ الجزع الممقوت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ونتفه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الأقوی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قطعها شعرها، فلا فرق بین جزّ تمام شعر الرأس أو بعضه بحیث یصدق عند العرف أنّها جزّت شعر رأسها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الأولی فیه وفیما بعده، وکذا الحال فی المسألة الخامسة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الأولی والأحوط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الجزم بإطلاق الحکم شائبة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قبر کلّ مسلم تجب مواراته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 غیر المتّخذ مزاراً ومستجاراً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حسن القمّی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نبش مع اندراس جسد المیّت وصیرورته تراباً، فحرمة تخریب القبر وإزالة آثاره فی هذا الفرض تدور مدار عنوان محرّمٍ آخر، کالهتک والتصرف فی ملک الغیر بلا مسوّغ،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أنّ المیزان فی الجواز وعدمه عدم صدق الهتک وصدقه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صدقه بدونه فی بعض الصور، فیکون من المحرّم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لایصدق الدفن أیضاً بمجرّد وضع المیّت فی سرداب وإغلاق بابه ، وإن کان مستوراً فیه بتابوت أو شبهه، نعم، إذا کان بابه مبنیّاً باللِبن ونحوه فلا یبعد صدق الدفن علی ذلک، ولکن یشکل حینئذٍ فتح بابه لإنزال میّت آخر فیه، سواء ظهر جسد الأول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فی جواز وضع المیّت فی السرداب الکذائی بقصد الدفن إشکال، کما أنّ فتح بابه لوضع میّت آخر أو لغیر ذلک أیضاً محلّ إشکال، خصوصاً إذا ظهر جسد المیّت، بل لا إشکال فی عدم الجواز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منها اثنی عشر مورداً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الأفضل بل الأحوط للمالک قبول القیمة فی غیر مورد العدوان، بل قد یجب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کانت وصیّـته نافذة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کان زائداً علی الثلث ولم یُجِز الوارث، ففی الزائد لا یجوز العمل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إنّ حرمة النبش مترتبة علی صحة الدفن ،و تدور وجوداً وعدماً مدارها، فالضابط فیما یحرم فیه النبش لإدراک ما فات من واجبات الدفن، وما یجب فیه ذلک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تعذّر الفائت قبل الدفن وسقط بذلک کان الدفن فاقداً له صحیحاً حینئذٍ، ومستتبعاً لحرمة النبش، ولا أثر للتمکّن منه بعد الدفن فی عَود التکلیف به بعد أن سقط وفات محلّه، ولو لم یکن متعذّراً وقد اُهمل لغفلةٍ ونحوها لم یکن الدفن حینئذٍ صحیحاً، ولا مستتبعا لحرمة النبش، ویکون وجوده کعدمه، ویستمرّ التکلیف بالفائت حال الدفن وبعده إلی أن یتّعذر إدراکه، ولو کان للمتعذّر بدل کالتیمّم مثلاً عند تعذّر الغّسل ونحوه یدور کون الدفن صحیحاً ومستتبعاً لحرمة النبش وعدمه مدار کونه بعد الإتیان بالبدل وعدمه،</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أنّ الحکم فی المذکورات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النبش لذلک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الکلام مفصّلاً فی المسألة السابعة عشرة 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صلاة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التأمّل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والأحوط دفن الجزء المبان منه معه علی وجهٍ لا یظهر جسده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لأنّه الأقرب من حفظ احترامه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الکلام والتأمّل فی إطلاقه، ویشکل الأمر لو کانت المرأة المتوفّاة کافرة حاملاً لجنین من مسلم، ففیه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شقّ بطنها ودفن الجنین فی مقابر المسلمین واُمّه فی مقابر الکفّار، أو دفنها والجنین فی بطنها فی مقابر المسلمین رعایةً لحال ما فی البطن، أو اختیار محلّ آخر لدفنها وهو فی بطنها غیر المقبرتین، والثالث أقرب وأوفق بالاحتیاط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وکذا فی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الحکم، فیُترک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هذا الاحتیاط؛ لعدم تمامیّة السیرة المزبورة فی هذه الصورة، خصوصاً مع الأمر بتعجیل دفنه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وفی الثامن والتاسع والثانی عشر إشکال، مع أنّ الأخیر لا یکون مغایراً للسادس، بل صورة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اُرید الخلوّ من الإشکال فلیجعل أمانةً، کما هو المتعارف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یشکل جواز النبش فیه وفیما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ÿ</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وفی سابقه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الأقرب، لکن لا یخلو من شائبة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الإجماع علی حرمة عنوان النبش محقّق، فکلّ ما کان اللفظ المعقد للإجماع شاملاً له یحکم بحرمته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فلایُترک الاحتیاط؛ لعدم التعدّی عن الموارد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الاصطبهاناتی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 الحکم لما إذا کانت الآثار وقفاً أو ملکاً لبانیها أو فی حیازته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فیه ممّا مرّ فی التعلیق علی المسوّغ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هتک المؤمن، ومع عدم العدوان بطریق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یشکل الجواز فیما یکون مستلزماً للهتک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نظر، وکذا ما بعده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 الحکم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التعلیل غیر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لولم یکن هتکاً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یکون الإخفاء مستحباً، وقد یکون محرّماً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وزوجته، لکنّ إطلاق الحکم بالکراهة فی الکلّ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استحبابه وما بعده غیر ثابت، ویؤتی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روی نقل جُثث عدّة من الصحابة والتابعین والعلویّین فی زمن الأئمة علیهم‌السلام بمشهدٍ منهم ومحضر، فمن تلک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جسد عبدالرحمن ابن الإمام الحسن السبط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نقل ذلک عن عدّة من أصحاب الأئمة من غیر نکیر منهم علیهم‌السلام ، وببالی أنّ ممّن أعدّ القبر هی الستّ الجلیلة الشریفة سیّدتنا نفیسة حفیدة الإمام أبی محمد الحسن السبط علیه‌السلام ، زوجة إسحاق المؤتمن ابن الإمام أبی عبدالله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وکفی علی رجحانه دلیلاً فعل أئمة أهل البیت علیهم‌السلام ،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إبراهیم موسی بن جعفر علیهماالسلام ، فلیراجع سِیَرهم السنیّة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الکلام فیها هو الکلام فی السوالف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والأخبار فی تأکّد استحبابها والحثّ علیها کثیرة، بل یستفاد من بعض الأحادیث کراهة ترکها والأمر باستغفار تارکها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الغُسل المندوب مستحب نفسی فلا ینحصر فی عدد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له وجه وجیه، ولکنّه لم یثبت جملة منها إلاّ بأدلة التسامح فی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ولها أفراد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استحبابه للفعل أیضاً، بمعنی استحباب إیقاع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الفقیه والتهذیب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وأتمّ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وأتمّ وضوء 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الوجوب لغةً بمعنی الثبوت، فهو أعمّ من الوجوب والاستحباب الاصطلاحیّین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أن یأتی به بعنوان القربة المطلقة فی نهار السبت، بل ولیلته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وحدة المطلوب یمکن دفع الإشکال بجواز تقدیمه یوم الخمیس، فلا یکون المانع من جواز التأخیر، وأمّا بناءً علی تعدّد المطلوب فلا یضرّ التوقیت؛ لأنّ الفرض کون ذات الغسل مطلوبا فی کلّ 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فی أواخره شواهد علی عدم کونه منه، کما حقّقناه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مدرک الحکم ضعیف سنداً، فلابدّ من قصد الرجاء، وممّا ذ کرنا یظهر الإشکال فی الفروع المتفرّعة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به فیها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خاف فوت الغُسل علیه یوم الجمعة لسببٍ آخر من مرضٍ ونحوه، کما سیأتی منه فی المسألة السادسة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 فالأولی الإتیان به فیها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قبل الزوال؛ لعدم الاستحباب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الزوال، وإذا تمکّن منه بعد الزوال لم تستحبَّ إعادته، نعم، لا بأس به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الزوال، لا بعده، وإن ترکه یستحبّ القضاء بعده ویوم السبت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لعذر، وإلاّ 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مشروعیّة عباداته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آکدیة غسل الجمعة للرجال بالنسبة إلی النساء إنّما هی فی السفر، وکذلک الرخصة فی ترکه لهنّ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حسن القمّی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فی باب الجنابة ما له ربط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یشکل الاعتماد علی مثل هذه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التعبیر بأنّه إن لم یکن لهذا القول دلیل واضح، ولکنّه لایخلو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أنّه قد مرّ أنّ الأولی فی التقدیم لیلة الجمعة الإتیان به رجاءً، بخلاف التقدیم یوم الخمیس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کونه قضاءً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قوّته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أداء النذر، لا عنوان غسل الجمعة، کما مرّ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البطلان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حتّی فی هذا الفرض فی الصورة الاُولی؛ لما مرّ من احتمال أن یکون قصد غُسل الجمعة دخیلاً فی تحقّقه، وکذا فی الصورة الثانیة إذا کان الغسل المأمور به متقوّماً بقصد الغایة الخاصّة، کما لم نستبعد ذلک فی الأغسال الفعلیّة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الصحّة مطلقاً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تأمّل، ولکن لا یستحبّ إعادته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 وفی الإجزاء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بل منع،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عدم الاجتزاء إلاّ مع قصده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 فالأحوط إتیانه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استحبابها إشکال، ولکن لا بأس بالإتیان بها رجاءً، نعم، قد ثبت استحباب غُسل اللیلة الاُولی من شهر رمضان ولیلة السابع عشر، والتاسع عشر، والحادی والعشرین، والثالث والعشرین، والرابع والعشرین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یثبت الاستحباب المذکور فلابدّ من الإتیان بها رجاءً إلاّ غسل أول لیلة من شهر رمضان ولیلة سبع عشرة منه، ولیلة تسع عشرة منه، ولیلة إحدی وعشرین منه، ولیلة ثلاث وعشرین منه، ولیلة أربعة وعشرین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غیر اللیلة الاُولی ولیلة السابع عشر والتاسع عشر والحادی والعشرین، وغسل الأول من لیلة الثالث والعشرین وفی لیلة الرابع والعشرین یأتی به رجاءً، ومن ذلک یظهر الحال فی الفروع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والأولی فعله برجاء الندب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یظهر للمتتبِّع أنّ الوارد فی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اللیلة الاُولی، أو أوّل لیلة فیه، ولم یرد الیوم الأول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الموجود فی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غُسل اللیلة الاُولی فی نهرٍ جارٍ، وغسل الیوم الأول فی ماءٍ جارٍ، وفیه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اغتسل أول لیلة منه لا تصیبه حکّة إلی شهر رمضان القابل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ویصبّ علی رأسه ثلاثین کفّاً من الماء فی الغسل الأول، وثلاثین غرفة فی الغسل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أثر نفس الأغسال فی اللیلة الاُولی، وأمّا صبّ الأکفّ مع الاغتسال فی تلک اللیلة فی نهرٍ جارٍ فأثره الطهر إلی شهر رمضان من قابل، وأن یکون دواء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بالنسبة إلی غُسل اللیل، أمّا بالنسبة إلی غُسل الیوم فالظاهر أنّ الجمیع عمل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تثبت الأولویة فیه وفیما بعده، بل جواز الغُسل قبل الغروب غیر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الإتیان بها بعد الغروب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بقصد ما هو المطلوب منه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تنقض بالنسبة إلی الأعمال المشروطة بالطهارة، کما فی غُسل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صلی‌الله‌علیه‌و‌آله علی مافی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یثبت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یثبت استحبابه، وکذا الأغسال الآتیة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إلی آخر هذا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بعد أول اللیل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نجد له مدرکاً معتبراً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 عدم ثبوت استحباب الغُسل فی هذه الأیّام، نعم، لا بأس بالإتیان بها رجاءً، وکذا لم یثبت استحباب الغسل فی یوم الغدیر والنصف من شعبان والیوم السابع عشر من ربیع الأوّل إلی آخر ما ذکر فی هذا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عن المشهور، بل وعن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والصیمری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أن یقال باستحباب غسلٍ لیوم الغدیر، والأولی إتیانه صدر النهار، وغسل آخر لفعل صلاة قبل الزوال بنصف ساعة، فالثانی من الأغسال الفعلیة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ورد فی بعض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المباهلة، لاغُسل یومها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به رجاءً، نعم، یستحبّ لیلة النصف من شعبان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یثبت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نظفر بدلیله، نعم، ورد استحبابه فی لیلة 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حُکی عن السیّد والشهید قدّس سرّهما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اعتبار بمدرک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علیه دلیل 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نقله المجلسی رحمه‌الله من إخبار أحمد بن إسحاق بفعله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مثل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نُسب إلی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یذکر له دلیل، إلاّ أنّه یستفاد من فحوی بعض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والعمل به فضیل، وإن کان المشهور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الأوّل من وجه لو ثبت استحباب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أشرنا إلی وجهه فی أوّل الفصل، لکنّه غیر مقبول عند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أن یقصد الرجاء فی أکثرها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یثبت استحباب الغسل للدخول فیه، وکذا الحال فی مسجد النبی صلی‌الله‌علیه‌و‌آله وسائر المشاهد المشرّفة، ولا بأس بالإتیان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لدخول المسجد وللدخول فی سائر المشاهد یغتسل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الاتصال العرفیّ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ولا بأس به رجاءً، إلاّ فی غسل دخول الحرم فالظاهر جواز إتیانه بعد الدخول، بل بعد دخول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یقصد عند الغسل فی أوّل الیوم أو اللیل التشرّف فی آخره فهو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بعضها تأمّل، والأمر سهل بعد جواز الإتیان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الثابت استحبابه من القسمین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 للإحرام والذبح والنحر والحلق وزیارة البیت، والاستخارة، والمباهلة، والاستسقاء، ولوداع قبر النبیّ صلی‌الله‌علیه‌و‌آله ، ومسّ المیت بعد تغسیله، فیؤتی بغیر ما ذکر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قصد الرجاء فی أکثرها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یثبت استحباب أکثر ما ذکر فی هذا الفصل، وإنّما الثابت استحباب الغُسل للإحرام والطواف والذبح والنحر والحلق وزیارة الکعبة، وزیارة الحسین علیه‌السلام ولو من بعید، والاستخارة، والاستسقاء، والمباهلة، والمولود، وترک صلاة الکسوف عمداً مع احتراق قرص الشمس کلّیاً، ومسّ المیّت بعد تغسیله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یؤتی به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نظفر بدلیل صالح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یرد دلیل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قلنا باستحباب الغسل استحبابا نفسیا فلا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مدرک الحکم غیر معتبر،وکذا التاسع والحادی عشر والثانی عشر والثالث عشر والسادس عشر والسابع عشر والثامن عشر والعشرون والحادی والعشرون والرابع والعشرون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کثیر من هذه الموارد ضعف فی الدلیل أو فی الدلالة، فالأحوط الإتیان بها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وفیما بعده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نظفر بالنصّ علیه، نعم ذکره السیّد والمجلسی، ولابأس بإتیانه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الإجماع المحکیّ عن المنتهی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قدس‌سره یرید به عمل اُمّ داود، وهو عمل الاستفتاح،وهو فی شهر رجب، وقد تقدم فی المورد الحادی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الأولی الإتیان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الرجاء، اُو لغایات 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الإجماع المحکیّ عن الغنیة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کذلک بلا 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المراد من الروایة بلا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من الدلیل بلا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واحتمال غیره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 قصد الرجاء فی أکثرها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الکلام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تمامیة الشرط الثانی أیضاً غیر بعیدة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أن لا مطلوبیة نفسیّة لنفس الأفعال فی بابٍ من الأبواب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لایعتبر قصد السبب ولا الغایة فی أیّ 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وفی السابع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الجزم بالاستحباب شائبة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مراده قدس‌سره الغسل بالفتح، فیکون وجهه الاحتیاط لدفع النجاسه المظنونة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الکلام حوله فی فصلها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فصل الأغسال المکانیّة أنّ ذلک قد ورد فی البعض، وتسریته إلی الجمیع فیها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نوع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المتیقّن أن یتعقّبه بحیث یصدق عرفاً أنّه اغتسل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اختاره قدس‌سره فی فصل مقدّمات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الأغسال المذکورة بجمیع أقسامها وأنواعها مطلقاً، أی التی ثبت استحبابها بالدلیل الخاصّ، أو بقاعدة التسامح لا تغنی عن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کفایتها عنه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ینبغی رعایة تقدیمه علی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لم ینوِها، بمعنی کفایة الغسل المأتیّ به قریباً عمّا أمر لأجله، فی غیر الأغسال التی شرّعت عقوبةً، کغسل قتل الوزغ، والنظر إلی مصلوب، فیجب إتیانها متعدّدة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لو نوی واحداً منها فکفایة غسل واحد للتداخل القهری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یکفی فی امتثال الأمر الواقعیّ بالغسل الإتیان بالغسل قربةً الی اللّه تعالی، ولا یعتبر فی صحة الغسل قصد أیّ عنوان، فإذا قصد مالم یؤمر به بعنوانه لم یضرّ بصحّة ما أتی به بعد فرض إتیانه علی وجه 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الکلام فیه فی بابَی الوضوء وغُسل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الإشکال فیه، ولا بأس بإتیانه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العذر الموجب لسقوط الطهارة المائیة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إن لم یکن الأقوی فی هذه الصورة مزج غیر الکافی بالمضاف، وتحصیل الکافی بشرط بقاء صدق الإطلاق بعد الامتزاج، وکون المورد من مصادیق الفقدان محلّ تأمّل،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مع إمکان مزجه بالمضاف بحیث یکون المجموع بعد المزج ماءً مطلقاً کافیاً، فإنّ الأحوط حینئذٍ ذلک،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السهم لاتخلو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وعدم العُسر والمشقّة أو غیرهما من الأعذار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حجّیة قولهما فی مثل المورد وإن لم تخلُ من قوّة إلاّ أنّه لایُترک الاحتیاط مع عدم حصول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أفاد قوله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الإطلاق ممنوع، بل یدور ذلک 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قلّةً وکثرةً، واختلاف الموارد والأشخاص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التأمّل فی 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البیّنة کحکم العلم؛ وقد تقدّم، وکذا الاطمئنان الحاصل من شهادة العدل الواحد، أو من سائر المناشئ العقلائیة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التأمّل فی إطلاقه مع العلم فضلاً عن البیّنة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حصل منه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اعتبار حصول الاطمئنان، أو قیام أمارة 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حصل الاطمئنان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ولا یبعد عدم وجوبه فیما تیقّن بعدمه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احتمل تجدّد الماء احتمالاً عقلائیاً یجب إعادة الفحص، وإلاّ فلا، ولافرق فی ذلک بین کون الفحص الأوّل قبل الوقت أو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لاحتمال تجدّد وجوده احتمالاً معتدّاً به، فلا یُترک الاحتیاط لو کان الاحتمال عقلائیاً، وإلاّ فلا بأس بترک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أقربه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احتمال ماء جدید بعد الفحص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یحتمل حدوث ماء 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احتمالاً عقلائیاً معتدّاً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احتمالاً معتدّاً به علی 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المناط غایة ما یبلغه السهم 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المناط فی الرمی هو أبعد ما یقدر علیه الرامی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ویتقدّر بقدره، فإذا ضاق عن مطلق الطلب یسقط مطلقاً، وإذا ضاق عن تمام الطلب یسقط بمقداره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تمام الجوانب إن لم یفِ الوقت بشیء منها، وإلاّ فالسقوط بالنسبة إلی مالایسعه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لأهمّیة رعایة الوقت من الطهارة المائیة، وکذا فیما کان فی طلبه حرج ومشقّة لا تحتمل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بمقدار لا یتمکّن من إتیان تمام صلاته فی وقته، ولا یجدی فی المقام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لعدم إطلاقه علی وجه یوجب توسعة الوقت اختیاراً، فمهما لم یتمکّن من إتیان تمام الصلاة بالطهارة المائیة یجب التنزّل إلی الترابیة، ولیس له تفویت الوقت ولو فی رکعة مقدّمة لتحصیل الماء لأهمّیة الوقت من الطهور جزماً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الطلب لیس نفسیا لیتحقق العصیان بترکه مطلقاً، نعم، علی ما هو المختار، یکون عاصیاً بتفویت الواجب المطلق، وهو الطهارة المائیة فیما إذا علم أنّه لو طلب الماء لعثر علیه وفی غیر هذه الصورة یکون متجرّیاً، أمّا صلاته حینئذٍ فهی صحیحة علی أی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تبطل صلاته إن ظهر وجود الماء، وإن حصل منه 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أتی بالصلاة برجاء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رجاء زوال العذر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کون الوجدان عبارة عن تمکّنه الفعلی ولو بالتفاته إلیه، وإلاّ فلا وجه له لصدق التمکّن واقعاً،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التفصیل یبن الإعادة والقضاء بوجوب الإعادة دون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یخلو لزوم الإعادة فی الوقت من قوّة، نعم، لو لم یتبیّن فیه لیس علیه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صدر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تبیّن له السعة فی مکانٍ صلّی فیه فلیجدّد الطلب، فإن لم یجد ماءً بنی علی صحّة صلاته، وإلاّ أعادها، وإن کان فی غیر ذلک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علم بأنّه لو کان طالباً له لوجده فالظاهر وجوب إعادة الصلاة، وإن کان فی هذا الحال غیر قادر علی الطلب وکان تکلیفه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 نّه لو کان قاطعاً بأ نّه لو طلب ما ظفر به صحّت صلاته ولا یعیدها، وأمّا مع الاشتباه واحتمال الأمرین ففیه إشکال، فلا یُترک الاحتیاط بالإعادة أو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ولا بالقضاء أیضاً؛ لِما أشرنا إلیه سابقاً من أنّ موضوع التیمّم غیر الواجد للماء فی تمام الوقت المعلوم انکشاف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إلاّ أن یکون عالماً بالماء فنسیه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حاجة إلی القضاء إذا کان الانکشاف فی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یجوز فی وجه، وکذا الإبطال، علی احتیاطٍ فیهما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المختار من کون الواجب المشروط قبل تحقّق شرطه یکون فعلیّاً، لا فرق فی عدم جواز إراقة الماء بین قبل الوقت وبعده لو علم، بل احتمل عدم وجود ماء آخر، وکذلک الأمر فی إبطال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قامت أمارة معتبرة علیه، وکذا فی الفرع الآتی، والأحوط عدم الإراقة مع الاحتمال العقلائی لعدمه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الشیرزای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السیستانی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 یعلم حکم ما لو کان کلّ جانبٍ أو بعضه مختلفاً حُزونةً وسُهُولةً، وأنّه حینئذٍ لابدّ من ملاحظة الأکثریة فی کلّ 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کان فی کلّ جانب بعضه سهل وبعضه حزن لا تبعد ملاحظة النسبة، لکن لا یُترک الاحتیاط بغلوة سهمین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إذا کان بعض الجوانب بعضه حَزنة وبعضه سهلة، لکن بالتوزیع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الطلب بمقدار غلوتین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لزوماً لو لم یکن أقوی فیما إذا أمکن الإخراج بطریق غیر متعارف، کما فی الفرض المذکور فی المتن، والأظهر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فساده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المتیقّن منه وجوب اشتراء نفس الماء ولو بأضعاف عوضه ، وأمّا آلات تحصیله فوجوب اشترائها ولو بأضعاف القیمة بحیث یوجب الضرر الفاحش محلّ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فیما إذا کان الثمن الخطیر أکثر من ثمن مثله فی ذلک الزمان والمکان، والأظهر فیما إذا لم یکن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استلزم ترک وفائه حرجاً أو خوف ضرر من جهة اُخری، وإلاّ فیصدق علیه التمکّن من تحصیله، فیجب مقدّمةً للواجب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مع بعض مراتب المنّة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المسوِّغ هو نفس الضرر، وأمّا الاحتمال المعتدّ به عند العقلاء ولو بملاحظة</w:t>
      </w:r>
      <w:r>
        <w:rPr>
          <w:rFonts w:eastAsia="IRNazanin" w:cs="IRNazanin"/>
          <w:b w:val="false"/>
          <w:bCs w:val="false"/>
          <w:i w:val="false"/>
          <w:iCs w:val="false"/>
          <w:color w:val="333333"/>
          <w:sz w:val="20"/>
          <w:szCs w:val="20"/>
        </w:rPr>
        <w:t>ÿ</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الاهتمام بالمحتمل المعبّر عنه بالخوف فهو طریق إلیه کالعلم، نعم، الخوف بمعنی القلق والاضطراب النفسی الذی یکون تحمّله حرجیّاً من مصادیق المسوّغ الرابع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عن منشأٍ عقلائی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بأیّ وجه یدفع به ضرر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یتوجّه ذلک فی المقدّمات التی تتقدّم علی ذِیها زماناً، کتحصیل الماء ونحوه، و یشکل الحکم فی المقدّمات التی تقارنه زماناً، کما إذا کان الاغتراف ضرریاً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یوجب 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حرمة تحمّله، وإلاّ فحکمه حکم الحرج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بعید غایته، بل لا یبعد القطع بعدم التخییر بین الطهارة المائیة والترابیة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من جهة اقتضاء الامتنان نفی الإلزام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 لا یُترک الاحتیاط الآتی، بل کونه عزیمة والبطلان لا یخلو من وجه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الرفیعی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خروج الوقت، أمّا قبله فیلزم إعادتها، کما یأتی منه رحمه‌الله فی المسألة الرابعة و الثلاثین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صادف ضیق الوقت علی وجهٍ لا یتمکّن من تحصیل الطهارة المائیّة بعد التفاته، بل مع کون الضرر مالیّاً لا یجدی هذا المقدار فیحتاج إلی کونه حین تیمّمه مضیّقاً، لا حین التفاته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ذلک بعد خروج الوقت ، وأمّا قبله فیعید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الکلام حوله 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الصحّة فی هذه الصورة والتی تلیها قویة جدّاً، نعم، لو أخلّ اعتقاده المذکور بقصد قربته فوضوؤه وغسله باطلان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تبعد الصحّة مع تحقّق 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خروج الوقت، أمّا قبله فیلزم إعادتها، کما یأتی منه رحمه‌الله فی المسألة الرابعة والثلاثین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مجرّد فتوی بعض العلماء لایصلح منشأً للاحتیاط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هذا الحکم نظر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أدلّة رفع الضرر مطلقة من حیث السبب القهری أو الاختیاری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قدس‌سره فی المسألة التالیة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وجود النصّ فی جواز الجنابة لمن یعلم بعدم تمکّنه من استعمال الماء، وظاهره إطلاق الجواز فی الوقت وقبله، وهو موافق للقاعدة، فإنّ إطلاق أدلّة بدلیّة التراب عن الماء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التراب أحد الطهورین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التیمّم أحد الطهورین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یکفیک الصعید عشر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 جوازه فی الوضوء والغسل، والنصّ موءکّد للقاعدة، لا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 ممّا ذکرنا أ نّه لا یجوز الغسل ولا الوضوء مع الضرر مطلقاً، وأ نّه یجوز للمتطهّر أن یحدث بالأکبر أو الأصغر مطلقاً قبل الوقت وفی الوقت مع تمکّنه من استعمال الماء، ومع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لهذه الأولویّة مع احتمال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لهذا الاحتیاط وجه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المنع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گلپایگانی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مورده خصوص فقد الماء دون غیره، بل لولا إطلاق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 علی مَن کان محدِثاً بحیث کانت وظیفته التیمّم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بحیث لا یتحمّل 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ممّا لا یتحمّل 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خاف من استعمال الماء ضرراً موجباً لهلاکة نفسه، أو نفس محترمة، أو حصول مرض أو اشتداده، أو حرج علیه، ولا شبهة فی الحرمة عندها، وأمّا دون ذلک فیشکل ترک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وما بعده یختصّ به، ولایکفی فی مشروعیّة التیمّم إذا کان متعلّقاً بغیره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المناط ترتّب الأثر علی الاحتمال عند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صرف الخوف علی النفس المحترمة الّتی لیست مرتبطة به لایوجب عدم لزوم استعمال الماء فی الوضوء، وإن قلنا بوجوب حفظها فی مورد العلم بالتلف، أو قیام أمارة شرعیة معتبرة علیه؛ لعدم وجوب الاحتیاط فی مورد احتمال التلف قطعاً، وأمّا فی صورة احتمال حدوث مرض لها أو وجود حرج أو مشقّة لها فعدم وجوب الاحتیاط معلوم، بل لو علم بذلک أمکن القول بعدم لزوم إعطائه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یکون خوف حدوثه فیما بعد مسوّغاً للتیمّم فعلاً هو قلّة الماء عمّا یحتاج إلیه بنفسه، أو بما یرتبط به من الحیوان والإنسان المحترم وغیره، بل ولو کان واجب القتل دون ما لا یرتبط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عرض لشخص عطش مهلک فعلاً وکان واجب الحفظ أو جائزه تعیّن أو جاز صرف الماء إلیه والتیمّم، مرتبطاً کان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التفصیل فیه ممّا سبق، وأنّه ربّما یندرج فی هذا المسوّغ إذا کان ممّن یهمّه أمره، وربّما یندرج فی غیره، وفیما عدا ذلک لایسوغ التیمّم، بل یجب صرف الماء فی الوضوء أو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قتله بکیفیة خاصّة لایقتضی جواز منع الماء عنه حتّی یموت عطشاً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المراد به مایشمل من یجب قتله حدّاً ففیه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یوجب ذلک حرجاً علی مالک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الجواز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یختصّ ذلک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وإن جاز ولو بالذبح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منافٍ لما ذکر آنفاً من أنّ هذا القسم یجوز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لأنّه یکفی فی هذا المسوّغ خوف العطش،ولو لم یکن بحدٍّ یجوز شرب الماء النجس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الجزم بکونه کالعدم مشکل، فإنّ المقام من صغریات باب التزاحم، ودعوی أنّ المستفاد من دلیل الوضوء الوجدان الّذی لامحذور فیه عُهدَتُها علی مدّعیها، فلابدّ من الأخذ بالحائطة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الطفل مرتبطاً به وهو یموّنه فلا إشکال فی وجوب التیمّم وإبقاء الماء الطاهر له، بل لا یخلو من قوّة فی غیره أیضاً إذا توقّف حفظه علیه، وکذا الرفیق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حرمة إشرابه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أیضاً نظر؛ لأنّه لا یجب علیه تحصیل اختیار غیره أیضاً فی هذه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أن یکون مطلق المحذور الشـرعی ـ من ترک واجب أو فعل محرّم أو ترک شرط أو إیجاد مانع ـ موجباً للانتقال إلی التیمّم، لا لما ذکره، بل لاستفادة ذلک من مجموع ما ورد فی الانتقال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کلّ واجب لیس له بدل، ولعلّ هذا مراد الماتن بقرینة تعلیله لتقدیم رفع الخبث بأنّ الوضوء له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استعماله فی رفع الخبث مبنیّ علی تقدیم ما له بدل طولیّ علی غیره فی باب التزاحم، وعلی أنّ المقام داخل فی ذلک الباب، وفی کلا الأمرین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کون ما له البدل الطولیّ مقدماً فتقدّم الکلام حوله فی المسألة الثانیة والعشرین وأمّا عدم کون المقام داخلاً فی ذلک الباب فلأنّ التزاحم متقوّم بتوجّه خطابین لایمکن الجمع بینهما، وفی المقام لا أمر إلاّ بالصلاة مع الطهارة من الحدث والخبث، وحیث إنّه لایمکن الجمع بین الأمرین یقع التعارض بین دلیلیهما، والأحدث منهما غیر معلوم، فلابدّ من تقدیم الطهارة الحَدَثیة؛ لإطلاق الآیة الشریفة، ولکن لایُترک الاحتیاط بضمّ التیمّم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والأظهر 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إثبات الأهمّیة بهذا التعلیل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دلالة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 مبنیة علی لزوم الوضوء مع غُسل الحیض؛ لوروده فی الحائض، وقد عرفت أنّ الأظهر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ولا تخلو الصحّة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أنه لا یتعلّق الأمر الغیری بهما مطلقاً، فالظاهر حینئذٍ هی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یتمّ بناءً علی عدم وجوب الصلاة علی فاقد الطهورین، وإلاّ فالأظهر 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أنّ الأقرب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الکلام علیه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دار أمره بین رفع الحدث وتطهیر بدنه طهّر بدنه وتیمّم، وإن دار أمره بین رفع الحدث وتطهیر ساتره رفع الحدث وصلّی عاریاً، وإذا دار أمره بین رفع الحدث وبین تطهیر البدن أو الساتر مع فرض نجاستهما رفع الحدث وطهّر بدنه، و صلّی عاریاً علی الأقوی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صدر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 الأوّل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أمکن جمع الماء بعد أن یتوضّأ به، ثمّ تطهیر البدن به تعیّن ذلک علیه، وإلاّ فالإشکال فی الفرض المتقدّم آتٍ بعینه هنا ، وعلی أیّ حالٍ فإذا طهّر البدن أوّلاً ثمّ تیمّم وصلّی فی الثوب النجس عاریاً علی القولین صحّت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الأقوی، وقد مرّ وجوب الصلاة عاریاً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المتعیّن علی ما هو المشهور الأقوی من وجوب الصلاة عاریاً مع الانحصار، نعم، علی القول بتعیّن الصلاة فی الثوب النجس ففی تقدیم التطهیر علی رفع الحدث إشکال، وعلی فرض التقدیم ففی تقدیم أحدهما علی الآخر أیضاً إشکال، نعم، علی القول بالتخییر لا یخلو من وجه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إنّ الأقرب 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 الطهورین، فلا إشکال فی تعیّن الطاهر للشرب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صرف الماء لتحصیل الساتر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یختلج بالبال عاجلاً بمقتضی الصناعة تقدیم جانب الوضوء، ولکنّ المقام یحتاج إلی الفحص الزائد؛ ولذا لا یمکننا الجزم بالحکم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تقدیم الساتر والتیمّم، وکذا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الأصحّ أنّ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أدرک رکعة فقد أدرک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حاکمة علی أدلّة التیمّم؛ لأنّ مفاد أدلّة التیمّم جوازه عند ضیق الوقت، والقاعدة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ضیق فی الوقت، فمن أدرک رکعة أو أکثر بالطهارة المائیّة فقد أدرکها بالمائیّة فی تمام الوقت فلا یشرع له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فمشروعیّة التیمّم عند العجز عن أداء الصلاة بالطهارة المائیّة فی الوقت کاملة، والقاعدة ترفع العجز وتصیّره متمکّناً من أدائها فی الوقت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البیان قد اندفع ما ذکره السید الاُستاد قدس‌سره من أنّ الوقت معتبر فی تمام أجزاء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وقعت بتمام أجزائها فی الوقت، ولم یقع شیء منها خارج الوقت، وحصل مراعاة الوقت ومراعاة الطهارة المائیة، فالتیمّم غیر مشروع؛ لعدم تحقّق موضوعه، فاغتنم هذا وتدبّره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یقدّم الأول ویأتی تمام الصلاة فی الوقت مع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الأقوائیة مشکلة، بل لو توضأ لغایة اُخری وصلّی مُدرِکاً للرکعة فلا إشکال فی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یجوز ذلک، کما یجوز أن یتوضّأ ویصلّی 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الشدة تأمّل، نعم، هو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أغمض عن بعض المناقشات فی هذا الاستصحاب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فرق بینهما فی حصول خوف الفوت ولزوم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أ نّه فی الصورة الثانیة أیضاً یحتمل سعة الوقت بمقتضی الشکّ فی کفایة الوقت، فإن کان خوف الفوت موجباً للحکم فهو موجود فی الفرض الأوّل أیضاً، فالأظهر عدم الفرق، وأنّ المکلّف لا ینتقل حکمه إلی التیمّم لاستصحاب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ومنشأ التوهّم اعتبار الضیق فی الفرع الأوّلی حقیقیّاً ـ أی کون الوقت أقلّ من العمل ـ وفی الثانی عرفیّاً، وجعله متعلّق العلم مع الشکّ فی کونه أقلّ حتی یفوت العمل،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المجوّز فی الثانیة أهمّیة إحراز الوقت علی الطهارة المائیّة بضمیمة أنّ الاستصحاب فی الاُولی رافع لموضوع الدوران العقلی، ولا مورد له فی الثانیة لفرض العلم بالوقت،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کفایة الخوف المزبور فی المقام نظر؛ لعدم اقتضاء دلیل موضوعیّته ولا طریقیّته، فالمدار بمقتضی الإطلاقات علی نفس الفوت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إطلاقه حتی فیما إذا أدرک من الوقت رکعة مع الطهارة المائیّة محلّ تأمّل، وتقدّم الکلام فی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وقد 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التعلیل إشکال؛ حیث إنّه لم یسلّم کون عدم الوجدان بمعنی الفقدان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تخلو الصحّة من قوّة، مع حصول نیّة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قصد أمره النفسیّ إن قیل به، وإن کان الحقّ خلافه کما مرّ، فعلیه لا تبعد الصحّة، سواء کان هناک ضیق أم لا، وسواء علم المکلّف بذلک أم لم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منّا أنّ الوضوء الصحیح ما یتحقّق بقصد الکون علی الطهارة، وعلیه لا مجال للتفصیل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الکلام فیه فی مبحث الغایات، فلیراجع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ویصحّ کذلک إذا أتی به بقصد الملاک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یکفی فی صحّة العبادة عدم النهی، فالأظهر التعلیل بکونه محبوباً وإن لم یکن الأمر متوجّهاً، فلا یرد أنّ الأمر بالشیء وإن لم یقتضِ النهی عن الضد لکن یقتضی عدم الأمر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صحّته إشکال،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بعدها بقدر غیر متّسع للطهارة المائیّة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لاتبعد کفایته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لاتبعد کفایته لصلاة اُخری، بل ولو فقد بعدها بلا فصل بحیث لم یسع الوقت للتوضّـؤ أو الاغتسال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هو الکفایة فی الصورة الأخیرة، فلا وجه لتجدیده ما دام العذر مستمرّاً، وعلی هذا فلو فقد الماء بعد الصلاة ولم یسعِ الوقت للطهارة المائیة وإن وسع بتجدید التیمّم فلا یحتاج إلی تجدید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یتمّ بناءً علی کون التیمّم مبیحاً، أمّا بناءً علی الرافعیّة فلا وجه للتبعیض، ولمّا کان ظاهر الأدلّة مثل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یکفیک الصعید عشر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الثانی فجمیع الغایات المترتّبة علی المائیّة تجوز بالترابیّة، ولکن إلی نهایة تأثیره، وهو عدم الماء، أو عدم التمکّن من استعماله، فمع وجوده والتمکّن یبطل بذاته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ما کان مشارکا معها فی الضیق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بل لا یبعد استباحتها حال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مجوّزیة التیمّم للوقوف فی المسجد عند أقصریّة زمانه عن زمان الغسل وبین مجوّزیة التیمّم للمسّ فی الآن غیر المتمکّن من الوضوء مع أقصریّة زمانه عن زمان الوضوء نظر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الإشکال ظاهر لمن تأمّل وتدبّر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الانتقال إلی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ومثله قصد الأمر النفسی لو قیل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أنّ الصحّة تختصّ بهذه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عدم الفرق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مبنیّ علی حرمة استعمال آنیة الذهب والفضّة فی غیر الأکل والشرب، وقد تقدّم أنّها 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الکلام عن هذه المسألة فی مبحث الأوانی، فلیرجع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إخراج الماء منه بوجه لا یکون محرّماً، کما لو أخذه منه بتوسیط صبیّ أو حیوان أو بقصد التفریغ علی أعضائه أو فیما لا یعدّ الأخذ تصرّفاً فیه عرفاً وإلاّ لم ینتقل إلی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العبارة تشویش واضطراب، فإنّه مع عدم الآنیة کیف یمکن الاغتسال بالمرور؟ ومع وجودها واستلزام أخذ الماء للمکث لا حاجة إلی الاغتسال بالمرور، بل یأخذ الماء ویغتسل خارج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أنّه من فاقد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یجب التیمّم علیه؛ لکونه غیر واجدٍ للماء، ولایعتبر فی صحته قصد الغایة؛ لأنّ الغایة سبب للأمر به، ولیست عنوانا قصدیا مأخوذا فی التیمّم، فإذا تیمّم یکون قادرا علی تحصیل الطهارة المائیة لمشروعیة المکث فی المسجد حینئذٍ له، ومنه یظهر الخلل فیما ذکره من الوجه والتفریع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الوجدان الموجب للبطلان هو التمکّن من استعمال الماء مع قطع النظر عن التیمّم وصحّته، لا التمکّن الناشئ من قبل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فی مواضع منها ما تقدّم منه رحمه‌الله فی المسوِّغ الخامس، ومنها موارد الحرج أو الضرر الذی یجوز تحمّله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لضعف الروایة، وجبرانه بعمل المشهور بناءً علی التسامح فی أدلة السنن فی باب المستحبات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دلیله غیر تام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 فی النصّ هو التیمّم للمُحدِث بالحدث الأصغر، وأمّا التیمّم للمحدِث بالحدث الأکبر فلا دلیل علیه، ولا اعتداد بالتسامح، ولا اطمئنان بالمناط فی العبادیات، فالتعدّی عن مورد الحکم إلی غیره محلّ تأمّل، فالإتیان به رجاءً نِعمَ السبیل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إشکال فی مشروعیة التیمّم ووجوبه، سواء کان زمانه أقلّ من زمان الغسل أو زمان الخروج، أم لم یکن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والظاهر أنّه لو کان واجدا لما یتیمّم به بلا تأخیر وجب علیه ذلک، وإلاّ خرج مسرعا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إمکان التطهیر بدون تنجیس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وجوبه محلّ النظر،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ضمّ التیمّم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تقدیم التراب الخالص مع التمکّن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الجواز یتوقّف علی الجزم بعدم صدق عنوان الأرض علیه، وکذلک الحکم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الجواز، والأحوط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حکمه حکم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یجوز التیمّم علی العقیق والفیروزج وما أشبههما ممّا لم یخرج عن اسم الأرض، وإن طبق علیه عنوان آخر غیر الأرض، ولا منافاة بین صدق عنوان وعنوان آخر علی شیء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الأحجار الکریمة غیر خارجة عن اسم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الغبار الواقع علیه بحیث یضرب علی الغبار، أمّا إذا کان فی باطنه بحیث یثور بالضرب علیه فالأحوط الجمع بین التیمّم به وبالطین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إشکال فی حسن الاحتیاط، ولکن لا ملزم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الأحوط نفضه إذا کان سبباً لکثرة 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أنّ الأحوط تقدیم التراب مع التمکّن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اعتبار الترتیب بین التراب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 التیمّم بالطین عن ذی الغبار تأمّل، 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فالأحوط وجوباً أن یصلّی فی الوقت من دون طهارة، ثمّ یقضیها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الإشکال فیه، وأنّه یجب الأداء فاقدا، والقضاء مع أحد الطهورین إن تمکّن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لایخلو وجوبه من قوّة، وأمّا التیمّم به فلایجوز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المدار علی بلّ الجسد بالماء وإمکان المسح ببقیة البلّة، وحینئذٍ فیجب الوضوء أو الغسل بهما فی صورة بلّ أعضاء الوضوء أو الغسل بهما، ومسح الرأس والقدمین ببلّتهما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کفایة الأداء، ولاینبغی ترک الاحتیاط بضمّ القضاء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 أنّ الأقوی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غیر مواضع المسح فی الوضوء، وأمّا فیها فلابدّ وأن یکون بنداوة الید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الاحتیاط لا یُترک، وکذا مابعده، ویقدّم ما فیه الغبار من الحجر والمدر علی غیره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والتخییر بینهما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الجواز فی المذکورات إلاّ الرماد إذا کان من غیر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رعایة الاحتیاط المذکور، وکذا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والأولی تقدیم التراب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 لمکان الفرج منها أحیاناً علی وجه لا یستوعب تمام الکفّ، نعم، مع الاستیعاب ولو عرفاً لابأس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نعم، هو کذلک حال عدم التمکّن من التراب، بل ومن مطلق وجه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کالطین المستعمل فی النجف الأشرف دون المستعمل فی بعض البلدان مما لایصدق علیه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الطین الأرمنی فالظاهر صدق الأرض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کلّ ما یصدق علیه الحجر، ومنه المَرمَر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وحجر المرمر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فرض صدق اسم الأرض علی المذکورات لا إشکال فیه، نعم، یراعی اعتبار التراب مقدّماً علی غیره،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الإصطهباناتی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کراهیة، بل لایجوز فی بعض أفرادها الخارج عن اسم الأرض، وسیأتی فی المسألة العاشرة من الفصل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 الإزالة مطلقاً تأمّل، والأقوی وجوب إزالة المقدار الذی ینافی صدق المسح بالید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وجوبه غیر معلوم، بل الأحوط عدم إزالة مجموعه وعلوق شیء منه علی الید، کما أنّ الأقوی عدم جواز إزالته بالغسل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لا یصدق التیمّم علی الأرض، أو صدق التیمّم علیها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فیصحّ التیمّم به، وفی فرض کون الخلیط غالبا أو مساویا لا یصحّ التیمّم به، وفی مورد الشکّ فی الغلبة لا یصحّ أیضاً، إلاّ إذا کانت حالته السابقة استهلاک الخلیط فیصحّ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جمال الدین الگلپایگانی، الخمینی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صدق التراب بالإطلاق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کون اسم التراب بقول مطلق صادقاً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المناط صدق العنوان المأخوذ فی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المناط هو الصدق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ومع الانحصار یجمع بینه وبین التیمّم بذی الغبار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 الحکم مورد الإشکال والتأمّل، ومبنیّ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علی وجه الاستهلاک، کما مرّ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عدّ الضرب للتیمّم عرفاً تصرّفاً فی مکان الغیر، وإلاّ فالأقوی عدم اشتراط الإباحة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فیما یتیمّم به، وأمّا فی غیره فالأقوی عدم الإبطال، خصوصاً مقرّ المتیمّم إذا لم یکن مکان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فی صورة الجهل فیبطل؛ إذ الحکم الواقعی فی ظرف الجهل فعلی، والترکیب اتحادی، وأمّا فی صورة النسیان فیفصّل بین کونه قصوریاً وتقصیریاً، فیصحّ علی الأوّل، ویبطل علی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الجهل بالغصبیة، أمّا إذا کان جاهلاً بالحکم فلا بدّ من الإعادة إذا کان مقصّراً، کما تقدّم فی الوضوء، کما لا یشمل الاستثناء نسیان الغاصب إذا کان ممّن لا یبالی مع الالتفات، کما فی الوضوء والغسل، وقد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یعذر به لا مثل نسیان الغاصب الذی لایفرق حاله بالالتفات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أیضاً مرّ الکلام فی هذه المسألة ونظائرها فی مبحث الأوانی، فلیراجع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مع جفاف الترابین وجفاف الأعضاء عن الرطوبة المسریة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إزالة ما علق بأعضائه من التیمّم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فی محلّ ابتلائه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یظهر الإشکال فیما أفاده ممّا ذکرنا فی الفرع السابق، وعلی ذلک المبنی یتعیّن الوضوء؛ لإمکان جریان الأصل فی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ولوجوب الوضوء وجه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تقدیم التیمّم فی الصورة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وجوب تقدیم التیمّم علی الوضوء کی لا ینتهی إلی العلم الإجمالی بنجاسة التراب أو محلّ التیمّم، فیعلم تفصیلاً ببطلان التیمّم، وحینئذٍ فیجب أیضاً نفض التراب علی فرض وجوده عن یده ووجهه؛ کی لا یلزم هذا المحذور فی طرف وضوئه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إذا لم تکن حالته السابقة تراباً وشکّ فی استحالته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مع وجود الحالة السابقة مع بقاء موضوعه، کما فی صورة الشکّ فی طبخ التراب وصیرورته آجرّاً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إشکال فی حسن الاحتیاط، لکنّ مقتضی الصناعة أن یصلّی بلا طَهور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المحبوس فی مکان إذا کان ماؤه وترابه مغصوبین یصلّی مع التیمّم، ولا إعادة ولا قضاء علیه، وإذا کان ماؤه مباحا أو یرضی المالک بالتوضّؤ به یصلّی مع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یجوز للمحبوس الوضوء فی ذلک المکان إذا کان الماء مباحاً، وخصوصاً إذا کانت غسالة وضوئه لا تقع علی أرض المحبس، بل یجوز الوضوء إذا کان الماء مغصوباً للحابس، ولم یکن للمحبوس ماء سواه بحیث کان مضطراً إلی ذلک الماء کاضطراره إلی ذلک المکان فیجوز له الوضوء منه، وإن ضمن قیمته للمالک، وأمّا فی غیر ذلک فلا یجوز له الوضوء وإن کان الماء ممّا لا قیمة له، ویجوز له التیمّم إذا کان التراب مباحاً، ولا یجوز له الضرب علی أرض المحبس، فإن لم یجد التراب المباح کان من فاقد الطهورین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به، وإلاّ فلا إشکال فیه لو کان ما یتیمّم به مباحاً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التعلیل منظور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مجرّد عدم القیمة للماء لایوجب جواز التصرّف فیه إذا کان ملکا للغیر بدون 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سیّما مع استلزامه إتلاف شیء من العین، أو فقد وصف من أوصافه المعتدّ بها، بل الظاهر عدم الجواز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الأظهر کفایة الوضوء بالماء الّذی غصبه الحابس فیما یکون زمان الحبس مدّة طویلة، لا برهة قلیلة؛ لحرجیّة الاجتناب فی الأول دون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للماء قیمة ضمنها لصاحبه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أن یکون المستفاد من النصوص اشتراط الدفعة، فلا أثر للتعاقب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ویأتی بالمرتبة المتأخّرة أیضا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یأتی بالمرتبة المتأخّرة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اعتباره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اعتبار العلوق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العلوق موافق للاحتیاط، واستحباب النفض لأجل عدم بقاء شیء من التراب فی 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ینبغی أن یحتاط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بالاستحباب مشکل؛ لعدم تحقّق الإجماع المصطلح بالشروط المقرّرة عند المتأخرین، وعدم حجیّة خبر فقه الرّضا؛ لعدم ثبوته عنه علیه‌السلام ، بل المعلوم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للإجماع والنقل عن أهل البیت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المذکورات مبنیّ علی قاعدة التسامح، وعلی شمولها لفتوی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جملة من القیود والشروط المذکورة فی هذا الفصل محلّ تأمّل، ولکنّه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الکفّین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فی التیمّم أن یضرب ضربتین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للوجه والیدین، والثانیة للیدین خاصّة، من غیر فرق بین ما هو بدل الوضوء، أو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کفایة الوضع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یکفی فی جمیع الفروض المذکورة، فإنّ مقتضی النصوص الواردة اختصاص الحکم بالکیفیة الخاصة، وقاعدة المیسور لا اعتبار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الاحتیاط حسن و لاینبغی ترکه، بل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ویحتاط بالجمع بین بعض الباطن وتمام الظاهر، مع تعذّر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الأحوط الجمع بین التیمّم بالظاهر والباطن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الجمع بین الظاهر والباطن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من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المستوی، والمراد من الجبینین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بینها وبین طرف الحاجب إلی قصاص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لزوم مسح الجبینین هو الأحوط الذی 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فالواجب مسح تمام الجبهة وتمام الجبینین بباطن الیدین مطلقاً، ولو کان استیعاب الممسوح ببعض الماسحین کما سیشیر إلیه معبّراً عنه بالتوزیع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 اللنکرانی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مقتضی بعض النصوص کفایة المسح بالأصابع لکن الاحتیاط بما فی المتن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نحو یصدق فی العرف أ نّه مسح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استیعاب الماسح فی الیسری والیمنی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الترتیب بین المسحین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الترتیب بین المسحین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من المرفق، کما عُزِیَ إلی بعض، وهو ضعیفٌ مضعّف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إلی اُصولها التی یعبّر عنها بالاُشاجع، کما توهّمه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توقف العلم بالفراغ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الإطلاق یشمل حتّی ما بین السبّابة والإبهام، والأولی أن یمرّ الماسح علی الفرجة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مرّ فی الوضوء حدوثاً وبقاءً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النیة فی ضرب الیدین أو وضعهما هو الأحوط لزوما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یعتبر قصد البدلیّة أیضا، بل یعتبر قصد التعیین فیما إذا کان من علیه متعدّدا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التیمّم غیر رافع للحدث، فلا معنی لقصده به، وأمّا قصد الاستباحة فلاعتباره وجه تقدّم فی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فیکفی قصد الکون علی الطهارة، کما مرّ فی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رعایة الموالاة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وجوبه مطلقاً نظر، والأقرب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عدّ هذا من 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مقتضی الصناعة عدم الاعتبار، 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اشتراطها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مع فوات الموالاة، وأمّا مع عدمه فیعید المسح علی تمام العضو الذی بقی منه جزء لم یُمسح، وعلی ما بعده إن لم یکن هو العضو الأخیر؛ مراعاةً للترتیب، ویصحّ التیمم حینئذٍ، ولایجب استینافه من رأس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یُعدّ تابعاً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عُدّ جزءا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تراجع المسألة الحادیة عشرة 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فی باب الوضوء احتمال التفصیل بین دقاق الشعر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لم یخرج عن المتعارف بحیث ینافی صدق المسح علی الید أو الجبهة، وکذا فی الفرع الثانی لا یجب رفع الشعر إذا کان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کانت الجبیرة علی الماسح فالأحوط الجمع بین المسح بها وبالظهر، وإذا کانت فی الممسوح فالأحوط الجمع بینه وبین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الجمع بین المسح بها وبالظهر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ویمکن الحکم بالصحّة، خصوصاً بعد الوقت، إلاّ أنّه 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النائب یضرب بیدیه علی الأرض، ثمّ یمسح بهما علی جبهة العاجز وظهر یدیه إن لم یمکن ضرب النائب یدی المنوب عنه علی الأرض، وإلاّ کانت هی الوظیفة، والأحوط فی الفرض الأوّل إن أمکن الجمع بین ما ذکرنا وبین مسح المنوب عنه جبهته وظاهر یدیه علی الأرض ولو بمعاونة الغیر، ثمّ الأحوط فیما لو کانت الوظیفة إمرار النائب یدی نفسه علی أعضاء العاجز أن یلاحظ النحو الذی کان علی المنوب عنه، بأن یمسح بالیمنی ما کان یمسحه المنوب عنه بیمناه، وبالیسری کذلک، وأسهل الطرق لتحصیل هذا الاحتیاط أن یجلس القادر خلف العاجز ویضرب یدی نفسه علی ما یصحّ، ویمسح بهما علی جبهة العاجز، ثمّ یمسح باطن یدیه علی ظاهر یدی العاجز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المسح للمنوب جبهته وظاهر یدیه بالتراب أیضا إن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ذکره فی هذه المسألة مبنیّ علی اشتراط الطهارة فی الیدین وما یتیمّم به، وکلاهما مورد الإشکال، والاحتیاط طریقه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فیضرب به ویمسح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الاحتیاط فیه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أن الأحوط الجمع بین الضرب بالباطن والضرب بالظاهر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العمل بما ذکره فی الفرعین، مع إضافة التیمّم بالذراع فی الفرع الأول، وبالاستنابة 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یکن له ذراع، وإلاّ فلیتیمّم بها وبالموجودة، والأحوط مسح تمام الجبهة والجبینین بالموجودة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ومقطوع الیدین لو کان له ذراع یتیمّم بها، وهو مقدّم علی مسح الجبهة علی الأرض وعلی الاستنابة، بل الأحوط تنزیل الذراعین منزلة الکفّین فی المسح علی ظهرهما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الاکتفاء بما ذکره فی الفرعین نظر، وطریق الاحتیاط إضافة التیمّم بالذراع فی الفرع الأوّل، وبالاستنابة فی الفرع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هذا الاحتیاط فیه وفیما بعده، ولایبعد کفایة الاستنابة، بل وفی ما یأتی من مقطوع الیدین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الذراع، ومعه فیتیمّم به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الجمع بینه وبین إتمام مسح جبهته بیده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الاکتفاء بالباطن حینئذٍ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له الاکتفاء بضرب الظاهر والمسح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کانت حلقته رقیقة دقیقة، ولا یُقاس باب التیمّم بباب الوضوء من الاکتفاء بتدویره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نقله من محلّه إلی المحلّ الممسوح حتّی یمسح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حال المسح علی الید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قصد ما هو المأمور به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وجوب التعیین مطلقاً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فرض وقوعه وقصد ما هو مأمور به بالفعل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 ما فی الذمّة مع التعدّد لا یجوز، إلاّ مع قصد جمیع ما فی الذمّة أو بعضها المعیّن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 أنّ قصد الغایة غیر معتبر فی صحة التیمّم، بل العبرة بکونه مأمورا به واقعا ولو للکون علی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کان قاصداً للأمر الفعلی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المناط فی الصحّة والفساد فی هذا المورد، بل وغیره من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الأمر الداعی إلی الامتثال، وعدم وجوده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ما هو المناط فی الصحّة والفساد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احتمال الصحّة وعدم الأثر فی التقیید بعد تمشّی القربة من العامل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الصحّة مطلقاً مع حصول قصد القربة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علی ما یقوّیه فی المتن من تساوی ما هو بدل عن الوضوء مع ما هو بدل عن الغُسل فی کفایة الضربة الواحدة، وأمّا علی ما هو المشهور من وجوب التعدّد فی ما هو بدل عن الغُسل فلایصحّ، إلاّ إذا أتی بالضربة الثانیة احتیاطا، أو کان التبیّن قبل فوات الموالاة فیأتی بالضربة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مرّ فی سابقته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نظر،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منع، والمدار علی وصول الأثر، سواء کان الماسح متحرّکاً أو ثابتاً، وکذلک الممسوح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نظیره فی المسألة الثلاثین 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کان صدورها بالاختیار أم لا، کحرکة المرتعش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صدقاً حقیقیاً فی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مع فصل قلیل لا یضرّ بالموالاة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مسح باقی الممسوح، والمراد بالإعادة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مسح ذلک العضو، لا إعادة التیمّم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الإصطهباناتی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علی ما هو الأقوی عنده من تساوی التیمّمین فی کفایة الضربة الواحدة، وأمّا علی المشهور فلا یکفیه تیمّم واحد بالقصد المذکور، إلاّ مع الإتیان بالضربة الثانیة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رعایة الکیفیّتین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بقصد القربة،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إن لم یکن أقوی التعدّد فیهما، ولایُترک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ینبغی ترک الاحتیاط بالعمل بما جعله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ولا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لم یدخل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أ نّه مع الشکّ فی الجزء الأخیر یکفی فی عدم الاعتناء به تحقّق الفراغ البنائی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أنّه یأتی به، ولا فرق فی الشکّ فی الأجزاء بعد تجاوز المحلّ، أو عدم التجاوز عنه، کما هو الحال فی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لعدم تمامیة قاعدة التجاوز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یکون الشکّ فی أصل الوجود، وأمّا إذا شکّ فی صحّة الموجود فتجری قاعدة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فیه وفی ما بعده، وکذا لو شکّ فی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إذا کان الشکّ فی الجزء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رکنا بل مطلقا علی الأحوط، وکذا الحال فی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بلحاظ مورد الجمع بین الطهارة المائیة والترابیة احتیاطاً، وإمّا من باب ذکر بعض أحکام الوضوء هنا استطرادا، والأوّل أنسب، والأمر فی ذلک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ومثله إباحة فضاء التیمّم، واستعمال أوانی الذهب والفضة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أنّ اشتراط أن لایکون التراب فی آنیة الذهب والفضة أیضا مختصّ بحال العلم والعمد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الأحوط لمن یعلم بعدم التمکّن من التیمّم فی الوقت وصیرورته فیه من فاقد الطَهورین أن یتیمّم قبل الوقت بقصد غایة اُخری، واجبة أو مندوبة، وإبقائه حتی یصلّی به بعد دخول الوقت،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 صحّة التیمّم بدخول الوقت غیر ظاهر، خصوصاً لمن علم بعدم التمکّن بعد دخول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یکون ذلک أحوط، کما 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التأخیر مع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الإتیان بتلک الغایة، ورعایة ما یأتی اعتباره فی صحّة الصلاة مع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أتی بتلک الغایة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أنّ الأحوط التأخیر مع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أتی فی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عدم جوازه، مع رجاء زوال العذر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عدم البدار مع رجاء الارتفاع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فیه أیضا التأخیر إلی آخر الوقت، خصوصاً مع الظنّ بالارتفاع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الأقوی عدم جوازه، مع رجاء زوال العذر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الیأس من زوال العذر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الفرق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إشکال فی صورة عدم ارتفاع العذر فی أثناء الوقت، وأمّا فی صورة الارتفاع فالأحوط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حین صیرورة الواجب مضیّقا، الملازم مع انقطاع الرجاء عن تحصیل الطهارة المائیة، وإتیان الصلاة معها بما لها من الأجزاء الواجبة فی الوقت دون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لو لم یکن الأقوی الاقتصار فی التحدید علی الواجبات، وما جرت سیرة المتشرّعة والمصلّین علی إتیانه من المندوبات المختصرة التی قلّ ما تُترک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یظهر حکمه ممّا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مع رجاء زواله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الحکیم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یأسه بوجدانه بناءً علی تمامیّة الإجماع فی کفایة الرجاء فی وجوب التأخیر، وإلاّ ففی اعتبار الیأس فی البدار إشکال؛ للاستصحاب المزبور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لارتفاع العذر، والحکم بالصحّة حینئذٍ وإن کان له وجه لکنّ الأحوط بل الأقوی فی بعض الصور هی الإعادة، أمّا لو اعتقد عدم السعة للطهارة المائیة فبان خلافها فلا إشکال فی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له عذر آخر من مسوّغات التیمّم غیر ضیق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تجب إعادة الصلاة إذا زال العذر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الجنابة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الوجه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تراجع المسألة العشرون 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مسوّغات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وجوب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دلیل علی استحباب الإعادة فی المقام بالخصوص، ومورد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تعیّنها علیه، وإلاّ وجب إعادتها ظهرا بالمائیة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الاحتیاط هنا ضعیف غایته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أنّ التیمّم دائماً لا بدّ أن یکون بقصد الکون علی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غیر صافیةٍ عن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الکلام والتأمّل فی 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فیما کان بدلاً عن الأغسال المندوبة ـ کغُسل الجمعة والزیارة ودخول مکة المعظمة وأمثالها من الأغسال الزمانیة والمکانیة ـ یُؤتی بها برجاء المطلوبیة، کما هو الحال فیما هو بدل عن وضوء الحائض والوضوء التجدیدی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إطلاقه خصوصاً لمثل التجدیدی نظر، نعم، لا بأس به رجاءً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یثبت بدلیّة التیمّم عن الوضوء والغسل غیر الرافعین للحدث،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الکلام فی جواز التیمّم قبل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أقربه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الأقرب الاکتفاء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حکمه حکم مبدله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کفایة تیمّم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تفصیله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ینتقض ما یکون بدلاً عن الوضوء بما ینتقض به الوضوء، وما یکون بدلاً عن الغسل بما ینتقض به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انتقاض ما یکون بدلاً عن الغسل بما ینتقض به الوضوء فیجیء حکمه فی المسألة الرابعة والعشرین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ما یظهر منه الفرق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وتمکّن من استعماله شرعاً وعقلاً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مفتی الشیعة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صحّتهما واستحباب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التفصیل مختصّ بالفریضة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وجیه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تفصیله فی محلّه،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الوجدان بعد تجاوز النصف فالأحوط بعد الوضوء الإتیان بطواف کامل بقصد ما علیه من الإتمام أو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مساواة الطواف للفریضة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بعد تمام الدفن فقد مرّ الإشکال فی النبش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الإلحاق غیر بعید، لکن لاینبغی ترک الاحتیاط حتی قبل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أقربه الإلحاق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الروایة تختصّ بوجدان الماء، لکنّ الاحتیاط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وقبل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هو الکفایة، حتّی لو وجد قبل الرکوع؛ لِمَا تقدّم من أنّ وجدانه فی أثناء الصلاة غیر ناقضٍ للتیمّم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فی الصورة الاُولی أیضاً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الاکتفاء به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جواز الاکتفاء به فیما لو کان بعد الرکوع، سیّما مع عدم التمکّن من الطهارة المائیّة فی أثناء الصلاة؛ لکثرة الفعل، أو الانحراف عن القبلة ونحوهما من المحاذیر قویّ، خصوصاً فی الفریضة، نعم، رعایة الاحتیاط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الجواز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أقربه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جواز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ما هو بمنزلته، کما ثبت الرکوع بطریق تعبّدی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أقواهما الأوّل، لکنّ الإعادة بعد الإتمام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 نّه کالوجدان بعد الرکوع الوجدانی، وکذلک لو قامت أمارة اُخری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الأقوی کفایة 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شائبة إشکال، وإن کان هو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والأقرب عدم الصحّة فی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إذا کان له الماء بمقدار الوضوء فقط من الأول یصحّ تیمّمه بدلاً عن الغسل، ویکفی عن الوضوء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إذا أباح له مالک الماء صَرْفَه فی الغسل، لا فی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کفایة الغسل مطلقاً عن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المذهب المشهور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القوّة تأمّل، کما لا یخفی وجهه،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یکن مانع من استعماله ولو لأجل مزاحمة بعضهم 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تمکّن کلّ واحدٍ منهم من السبق إلیه ولم یفعل، ولعلّه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التفصیل الّذی تقّدم فی الصورة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أنّه لا فرق بینهما فی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الماء وافیا للغسل اغتسل، ولا حاجة إلی تیمّمٍ بدلاً عن الوضوء، وکذا فی صورة کفایة الماء للوضوء لا حاجة إلیه، بل التیمّم بدلاً عن الغُسل کافٍ عن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یبطل علی الأحوط الأقوی، فیتیمّم بدلاً عن الغُسل، لکنّ الأحوط لغیر الجنب أن یأتی تیمّمه الذی هو بدل الغسل بعنوان الاحتیاط، وأمّا الجنب فیکفیه تیمّم واحد بقصد ما یجب علیه واقعا، وإن کان معه من الماء مقدار یکفیه الوضوء فالأحوط الجمع بینه وبین التیمّم بدل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غیر جُنب، وکذا إن کان جنبا علی الأحوط، مع ضمّ التیمّم بدلاً عن غُسل الجنابة،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 الوضوء، ووجوب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بالکیفیّة الاحتیاطیة التی عرفتها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التداخل، وقد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التداخل، لکن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ما هو المناط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فی بابَی الوضوء والغُسل عدم تأثیر قصد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أ نّه یصحّ حتی إذا وقع علی نحو التقیید، إذا قصد فیه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الفانی، الخمینی</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الیأس عن زوال العذر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الأقوی جواز التیمّم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عن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وإشکال، کفرضهِ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المسألة مکرّرة، وقد مرّت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یحرم علی الجنب، والمسألة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وجوب الغسل علیه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الإشکال فی إطلاقه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 الکلام فی المسوّغ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حکم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یراجع السادس من مسوّغات التیمّم فی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المسوّغات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جمعت غسالة الوضوء للمحدثِ بالأصغر صحّ أن یغتسل بها الجنب، أو یغسّل بها المیّت إذا کانت کافیة لذلک، أمّا غسالة غسل الجنابة فقد تقدّم الإشکال فیها، فإذا انحصر الماء بها جمع بین الطهارة منها والتیمّم، وأمّا غسالة المیّت فهی نجسة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البحث عنه فی أوائل التیمّم، وتقدّم حرمة تفویت القدرة، أو وجوب تحصیل غرض المولی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لزومه لا یخلو من قوّة، وکذا الحال فی الوضوء، بل الوضوء قبل الوقت لأجل الصلاة فی الوقت لا مانع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یکفی تیمّمه بقصد القربة، وکذا فی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الوجوب بالنسبة إلیه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ملزم لذلک، بل یجوز الإتیان به لأجل الصلاة فی الوقت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جعله مقابلاً لغایة اُخری نظرٌ تقدّم وجهه فی مبحث الغایات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لغایة اُخری ثمّ المسّ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وجب المسّ وجب التیمّم لغایة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یجب رفعه، زاد عن المتعارف أم لا، بعد فرض کونه شعر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أن یرفعه ویمسح علی البشرة، سواء کان متعارفاً أم زائداً علی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بعید غایته، ویکتفی بمسح البشرة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الکلام فیه فی مبحثَی الوضوء والغسل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الحال فیه کما تقدم فی الثالث من شرائط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کون المنشأ احتمالاً یعتنی به العقلاء، ومعه یشکل الاکتفاء بالظنّ بالعدم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لا حاجة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لصدق عنوان المسّ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السیستانی</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الوظیفة التیمّم بقصد القربة، ثمّ الوضوء أو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الانتقال إلی التیمّم لو کان علی غیر موضعه، ویمکن أن یقال بلزوم التیمّم لأجل هذا المسّ الواجب، ویستباح به المسّ للغسل أو الوضوء فقط، وإذا لم یکن فی موضعه فالظاهر سقوط الحرمة، وإن کان مراعاة الاحتیاط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سقوطها أداءً عمّن فقد الطَهورین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طَهور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لایُترک مع تقدیم الاستنابة، ثمّ التیمّم علی التوضُّؤ والاغتسال، ویقدّم فیهما الجبیرة علی المباشرة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أنّ الأظهر کفایتها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الحاصل أ نّه یحتاط باُمور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 بنفسه،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الجبیرة،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الاستنابة،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التیمّم قبل الشروع فی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تقدیم الأخیرتین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image" Target="media/image2.jpeg"/><Relationship Id="rId560" Type="http://schemas.openxmlformats.org/officeDocument/2006/relationships/image" Target="media/image2.jpeg"/><Relationship Id="rId561" Type="http://schemas.openxmlformats.org/officeDocument/2006/relationships/footer" Target="footer554.xml"/><Relationship Id="rId562" Type="http://schemas.openxmlformats.org/officeDocument/2006/relationships/footnotes" Target="footnotes.xml"/><Relationship Id="rId563" Type="http://schemas.openxmlformats.org/officeDocument/2006/relationships/numbering" Target="numbering.xml"/><Relationship Id="rId564" Type="http://schemas.openxmlformats.org/officeDocument/2006/relationships/fontTable" Target="fontTable.xml"/><Relationship Id="rId565" Type="http://schemas.openxmlformats.org/officeDocument/2006/relationships/settings" Target="settings.xml"/><Relationship Id="rId5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43429</Words>
  <Characters>199020</Characters>
  <CharactersWithSpaces>236387</CharactersWithSpaces>
  <Paragraphs>6119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2026-08-24T06:02:50Z</dcterms:created>
  <dc:creator>ghaemiyeh.com</dc:creator>
  <dc:description/>
  <dc:language>en-US</dc:language>
  <cp:lastModifiedBy/>
  <dcterms:modified xsi:type="dcterms:W3CDTF">2026-08-24T09:33:12Z</dcterms:modified>
  <cp:revision>1</cp:revision>
  <dc:subject/>
  <dc:title>العروة الوثقی والتعلیقات علیها جلد 5</dc:title>
</cp:coreProperties>
</file>

<file path=docProps/custom.xml><?xml version="1.0" encoding="utf-8"?>
<Properties xmlns="http://schemas.openxmlformats.org/officeDocument/2006/custom-properties" xmlns:vt="http://schemas.openxmlformats.org/officeDocument/2006/docPropsVTypes"/>
</file>