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تحریرات فی الاصول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243_3244359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24245_3244359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24247_3244359995">
            <w:r>
              <w:rPr>
                <w:webHidden/>
                <w:rStyle w:val="IndexLink"/>
                <w:rtl w:val="true"/>
              </w:rPr>
              <w:t>المقصد السابع فی القطع و أحکامه</w:t>
            </w:r>
            <w:r>
              <w:rPr>
                <w:rStyle w:val="IndexLink"/>
                <w:rtl w:val="true"/>
              </w:rPr>
              <w:tab/>
            </w:r>
            <w:r>
              <w:rPr>
                <w:rStyle w:val="IndexLink"/>
              </w:rPr>
              <w:t>12</w:t>
            </w:r>
          </w:hyperlink>
        </w:p>
        <w:p>
          <w:pPr>
            <w:pStyle w:val="Contents3"/>
            <w:tabs>
              <w:tab w:val="clear" w:pos="8459"/>
              <w:tab w:val="right" w:pos="9026" w:leader="dot"/>
            </w:tabs>
            <w:rPr/>
          </w:pPr>
          <w:hyperlink w:anchor="__RefHeading___Toc624249_324435999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24251_3244359995">
            <w:r>
              <w:rPr>
                <w:webHidden/>
                <w:rStyle w:val="IndexLink"/>
                <w:rtl w:val="true"/>
              </w:rPr>
              <w:t>المقدمة</w:t>
            </w:r>
            <w:r>
              <w:rPr>
                <w:rStyle w:val="IndexLink"/>
                <w:rtl w:val="true"/>
              </w:rPr>
              <w:tab/>
            </w:r>
            <w:r>
              <w:rPr>
                <w:rStyle w:val="IndexLink"/>
              </w:rPr>
              <w:t>13</w:t>
            </w:r>
          </w:hyperlink>
        </w:p>
        <w:p>
          <w:pPr>
            <w:pStyle w:val="Contents4"/>
            <w:tabs>
              <w:tab w:val="clear" w:pos="8176"/>
              <w:tab w:val="right" w:pos="9026" w:leader="dot"/>
            </w:tabs>
            <w:rPr/>
          </w:pPr>
          <w:hyperlink w:anchor="__RefHeading___Toc624253_3244359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24255_3244359995">
            <w:r>
              <w:rPr>
                <w:webHidden/>
                <w:rStyle w:val="IndexLink"/>
                <w:rtl w:val="true"/>
              </w:rPr>
              <w:t>أحدها</w:t>
            </w:r>
            <w:r>
              <w:rPr>
                <w:rStyle w:val="IndexLink"/>
                <w:rtl w:val="true"/>
              </w:rPr>
              <w:t xml:space="preserve">: </w:t>
            </w:r>
            <w:r>
              <w:rPr>
                <w:rStyle w:val="IndexLink"/>
                <w:rtl w:val="true"/>
              </w:rPr>
              <w:t>حول أصولیة مسألة القطع</w:t>
            </w:r>
            <w:r>
              <w:rPr>
                <w:rStyle w:val="IndexLink"/>
                <w:rtl w:val="true"/>
              </w:rPr>
              <w:tab/>
            </w:r>
            <w:r>
              <w:rPr>
                <w:rStyle w:val="IndexLink"/>
              </w:rPr>
              <w:t>13</w:t>
            </w:r>
          </w:hyperlink>
        </w:p>
        <w:p>
          <w:pPr>
            <w:pStyle w:val="Contents5"/>
            <w:tabs>
              <w:tab w:val="clear" w:pos="7892"/>
              <w:tab w:val="right" w:pos="9026" w:leader="dot"/>
            </w:tabs>
            <w:rPr/>
          </w:pPr>
          <w:hyperlink w:anchor="__RefHeading___Toc624257_3244359995">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624259_3244359995">
            <w:r>
              <w:rPr>
                <w:webHidden/>
                <w:rStyle w:val="IndexLink"/>
                <w:rtl w:val="true"/>
              </w:rPr>
              <w:t>تذنیب</w:t>
            </w:r>
            <w:r>
              <w:rPr>
                <w:rStyle w:val="IndexLink"/>
                <w:rtl w:val="true"/>
              </w:rPr>
              <w:tab/>
            </w:r>
            <w:r>
              <w:rPr>
                <w:rStyle w:val="IndexLink"/>
              </w:rPr>
              <w:t>15</w:t>
            </w:r>
          </w:hyperlink>
        </w:p>
        <w:p>
          <w:pPr>
            <w:pStyle w:val="Contents4"/>
            <w:tabs>
              <w:tab w:val="clear" w:pos="8176"/>
              <w:tab w:val="right" w:pos="9026" w:leader="dot"/>
            </w:tabs>
            <w:rPr/>
          </w:pPr>
          <w:hyperlink w:anchor="__RefHeading___Toc624261_3244359995">
            <w:r>
              <w:rPr>
                <w:webHidden/>
                <w:rStyle w:val="IndexLink"/>
                <w:rtl w:val="true"/>
              </w:rPr>
              <w:t>ثانیها</w:t>
            </w:r>
            <w:r>
              <w:rPr>
                <w:rStyle w:val="IndexLink"/>
                <w:rtl w:val="true"/>
              </w:rPr>
              <w:t xml:space="preserve">: </w:t>
            </w:r>
            <w:r>
              <w:rPr>
                <w:rStyle w:val="IndexLink"/>
                <w:rtl w:val="true"/>
              </w:rPr>
              <w:t>إشارة إلی الخلط بین مباحث القطع و مباحث الظن و الاشتغال</w:t>
            </w:r>
            <w:r>
              <w:rPr>
                <w:rStyle w:val="IndexLink"/>
                <w:rtl w:val="true"/>
              </w:rPr>
              <w:tab/>
            </w:r>
            <w:r>
              <w:rPr>
                <w:rStyle w:val="IndexLink"/>
              </w:rPr>
              <w:t>16</w:t>
            </w:r>
          </w:hyperlink>
        </w:p>
        <w:p>
          <w:pPr>
            <w:pStyle w:val="Contents4"/>
            <w:tabs>
              <w:tab w:val="clear" w:pos="8176"/>
              <w:tab w:val="right" w:pos="9026" w:leader="dot"/>
            </w:tabs>
            <w:rPr/>
          </w:pPr>
          <w:hyperlink w:anchor="__RefHeading___Toc624263_3244359995">
            <w:r>
              <w:rPr>
                <w:webHidden/>
                <w:rStyle w:val="IndexLink"/>
                <w:rtl w:val="true"/>
              </w:rPr>
              <w:t>ثالثها</w:t>
            </w:r>
            <w:r>
              <w:rPr>
                <w:rStyle w:val="IndexLink"/>
                <w:rtl w:val="true"/>
              </w:rPr>
              <w:t xml:space="preserve">: </w:t>
            </w:r>
            <w:r>
              <w:rPr>
                <w:rStyle w:val="IndexLink"/>
                <w:rtl w:val="true"/>
              </w:rPr>
              <w:t>فی أنه لا وجه لاعتبار قید التکلیف</w:t>
            </w:r>
            <w:r>
              <w:rPr>
                <w:rStyle w:val="IndexLink"/>
                <w:rtl w:val="true"/>
              </w:rPr>
              <w:tab/>
            </w:r>
            <w:r>
              <w:rPr>
                <w:rStyle w:val="IndexLink"/>
              </w:rPr>
              <w:t>17</w:t>
            </w:r>
          </w:hyperlink>
        </w:p>
        <w:p>
          <w:pPr>
            <w:pStyle w:val="Contents4"/>
            <w:tabs>
              <w:tab w:val="clear" w:pos="8176"/>
              <w:tab w:val="right" w:pos="9026" w:leader="dot"/>
            </w:tabs>
            <w:rPr/>
          </w:pPr>
          <w:hyperlink w:anchor="__RefHeading___Toc624265_3244359995">
            <w:r>
              <w:rPr>
                <w:webHidden/>
                <w:rStyle w:val="IndexLink"/>
                <w:rtl w:val="true"/>
              </w:rPr>
              <w:t>رابعها</w:t>
            </w:r>
            <w:r>
              <w:rPr>
                <w:rStyle w:val="IndexLink"/>
                <w:rtl w:val="true"/>
              </w:rPr>
              <w:t xml:space="preserve">: </w:t>
            </w:r>
            <w:r>
              <w:rPr>
                <w:rStyle w:val="IndexLink"/>
                <w:rtl w:val="true"/>
              </w:rPr>
              <w:t>فی أن التقسیم إلی القطع و الظن و الشک مجرد عنوان</w:t>
            </w:r>
            <w:r>
              <w:rPr>
                <w:rStyle w:val="IndexLink"/>
                <w:rtl w:val="true"/>
              </w:rPr>
              <w:tab/>
            </w:r>
            <w:r>
              <w:rPr>
                <w:rStyle w:val="IndexLink"/>
              </w:rPr>
              <w:t>18</w:t>
            </w:r>
          </w:hyperlink>
        </w:p>
        <w:p>
          <w:pPr>
            <w:pStyle w:val="Contents4"/>
            <w:tabs>
              <w:tab w:val="clear" w:pos="8176"/>
              <w:tab w:val="right" w:pos="9026" w:leader="dot"/>
            </w:tabs>
            <w:rPr/>
          </w:pPr>
          <w:hyperlink w:anchor="__RefHeading___Toc624267_3244359995">
            <w:r>
              <w:rPr>
                <w:webHidden/>
                <w:rStyle w:val="IndexLink"/>
                <w:rtl w:val="true"/>
              </w:rPr>
              <w:t>خامسها</w:t>
            </w:r>
            <w:r>
              <w:rPr>
                <w:rStyle w:val="IndexLink"/>
                <w:rtl w:val="true"/>
              </w:rPr>
              <w:t xml:space="preserve">: </w:t>
            </w:r>
            <w:r>
              <w:rPr>
                <w:rStyle w:val="IndexLink"/>
                <w:rtl w:val="true"/>
              </w:rPr>
              <w:t>فی المختار فی تقسیم حالات العاقل</w:t>
            </w:r>
            <w:r>
              <w:rPr>
                <w:rStyle w:val="IndexLink"/>
                <w:rtl w:val="true"/>
              </w:rPr>
              <w:tab/>
            </w:r>
            <w:r>
              <w:rPr>
                <w:rStyle w:val="IndexLink"/>
              </w:rPr>
              <w:t>21</w:t>
            </w:r>
          </w:hyperlink>
        </w:p>
        <w:p>
          <w:pPr>
            <w:pStyle w:val="Contents3"/>
            <w:tabs>
              <w:tab w:val="clear" w:pos="8459"/>
              <w:tab w:val="right" w:pos="9026" w:leader="dot"/>
            </w:tabs>
            <w:rPr/>
          </w:pPr>
          <w:hyperlink w:anchor="__RefHeading___Toc624269_3244359995">
            <w:r>
              <w:rPr>
                <w:webHidden/>
                <w:rStyle w:val="IndexLink"/>
                <w:rtl w:val="true"/>
              </w:rPr>
              <w:t>المبحث الأول فیما یتعلق بالقطع جعلا و ردعا</w:t>
            </w:r>
            <w:r>
              <w:rPr>
                <w:rStyle w:val="IndexLink"/>
                <w:rtl w:val="true"/>
              </w:rPr>
              <w:tab/>
            </w:r>
            <w:r>
              <w:rPr>
                <w:rStyle w:val="IndexLink"/>
              </w:rPr>
              <w:t>23</w:t>
            </w:r>
          </w:hyperlink>
        </w:p>
        <w:p>
          <w:pPr>
            <w:pStyle w:val="Contents4"/>
            <w:tabs>
              <w:tab w:val="clear" w:pos="8176"/>
              <w:tab w:val="right" w:pos="9026" w:leader="dot"/>
            </w:tabs>
            <w:rPr/>
          </w:pPr>
          <w:hyperlink w:anchor="__RefHeading___Toc624271_3244359995">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624273_3244359995">
            <w:r>
              <w:rPr>
                <w:webHidden/>
                <w:rStyle w:val="IndexLink"/>
                <w:rtl w:val="true"/>
              </w:rPr>
              <w:t>تمهید</w:t>
            </w:r>
            <w:r>
              <w:rPr>
                <w:rStyle w:val="IndexLink"/>
                <w:rtl w:val="true"/>
              </w:rPr>
              <w:tab/>
            </w:r>
            <w:r>
              <w:rPr>
                <w:rStyle w:val="IndexLink"/>
              </w:rPr>
              <w:t>24</w:t>
            </w:r>
          </w:hyperlink>
        </w:p>
        <w:p>
          <w:pPr>
            <w:pStyle w:val="Contents4"/>
            <w:tabs>
              <w:tab w:val="clear" w:pos="8176"/>
              <w:tab w:val="right" w:pos="9026" w:leader="dot"/>
            </w:tabs>
            <w:rPr/>
          </w:pPr>
          <w:hyperlink w:anchor="__RefHeading___Toc624275_3244359995">
            <w:r>
              <w:rPr>
                <w:webHidden/>
                <w:rStyle w:val="IndexLink"/>
                <w:rtl w:val="true"/>
              </w:rPr>
              <w:t>الجهة الأولی</w:t>
            </w:r>
            <w:r>
              <w:rPr>
                <w:rStyle w:val="IndexLink"/>
                <w:rtl w:val="true"/>
              </w:rPr>
              <w:t xml:space="preserve">: </w:t>
            </w:r>
            <w:r>
              <w:rPr>
                <w:rStyle w:val="IndexLink"/>
                <w:rtl w:val="true"/>
              </w:rPr>
              <w:t>فی عدم ذاتیة الطریقیة و الکاشفیة</w:t>
            </w:r>
            <w:r>
              <w:rPr>
                <w:rStyle w:val="IndexLink"/>
                <w:rtl w:val="true"/>
              </w:rPr>
              <w:tab/>
            </w:r>
            <w:r>
              <w:rPr>
                <w:rStyle w:val="IndexLink"/>
              </w:rPr>
              <w:t>25</w:t>
            </w:r>
          </w:hyperlink>
        </w:p>
        <w:p>
          <w:pPr>
            <w:pStyle w:val="Contents4"/>
            <w:tabs>
              <w:tab w:val="clear" w:pos="8176"/>
              <w:tab w:val="right" w:pos="9026" w:leader="dot"/>
            </w:tabs>
            <w:rPr/>
          </w:pPr>
          <w:hyperlink w:anchor="__RefHeading___Toc624277_3244359995">
            <w:r>
              <w:rPr>
                <w:webHidden/>
                <w:rStyle w:val="IndexLink"/>
                <w:rtl w:val="true"/>
              </w:rPr>
              <w:t>الجهة الثانیة</w:t>
            </w:r>
            <w:r>
              <w:rPr>
                <w:rStyle w:val="IndexLink"/>
                <w:rtl w:val="true"/>
              </w:rPr>
              <w:t xml:space="preserve">: </w:t>
            </w:r>
            <w:r>
              <w:rPr>
                <w:rStyle w:val="IndexLink"/>
                <w:rtl w:val="true"/>
              </w:rPr>
              <w:t>فی أن الحجیة أمر انتزاعی</w:t>
            </w:r>
            <w:r>
              <w:rPr>
                <w:rStyle w:val="IndexLink"/>
                <w:rtl w:val="true"/>
              </w:rPr>
              <w:tab/>
            </w:r>
            <w:r>
              <w:rPr>
                <w:rStyle w:val="IndexLink"/>
              </w:rPr>
              <w:t>27</w:t>
            </w:r>
          </w:hyperlink>
        </w:p>
        <w:p>
          <w:pPr>
            <w:pStyle w:val="Contents4"/>
            <w:tabs>
              <w:tab w:val="clear" w:pos="8176"/>
              <w:tab w:val="right" w:pos="9026" w:leader="dot"/>
            </w:tabs>
            <w:rPr/>
          </w:pPr>
          <w:hyperlink w:anchor="__RefHeading___Toc624279_3244359995">
            <w:r>
              <w:rPr>
                <w:webHidden/>
                <w:rStyle w:val="IndexLink"/>
                <w:rtl w:val="true"/>
              </w:rPr>
              <w:t>الجهة الثالثة</w:t>
            </w:r>
            <w:r>
              <w:rPr>
                <w:rStyle w:val="IndexLink"/>
                <w:rtl w:val="true"/>
              </w:rPr>
              <w:t xml:space="preserve">: </w:t>
            </w:r>
            <w:r>
              <w:rPr>
                <w:rStyle w:val="IndexLink"/>
                <w:rtl w:val="true"/>
              </w:rPr>
              <w:t>فی اتصاف الاحتمال أحیانا بالحجیة</w:t>
            </w:r>
            <w:r>
              <w:rPr>
                <w:rStyle w:val="IndexLink"/>
                <w:rtl w:val="true"/>
              </w:rPr>
              <w:tab/>
            </w:r>
            <w:r>
              <w:rPr>
                <w:rStyle w:val="IndexLink"/>
              </w:rPr>
              <w:t>30</w:t>
            </w:r>
          </w:hyperlink>
        </w:p>
        <w:p>
          <w:pPr>
            <w:pStyle w:val="Contents5"/>
            <w:tabs>
              <w:tab w:val="clear" w:pos="7892"/>
              <w:tab w:val="right" w:pos="9026" w:leader="dot"/>
            </w:tabs>
            <w:rPr/>
          </w:pPr>
          <w:hyperlink w:anchor="__RefHeading___Toc624281_3244359995">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624283_3244359995">
            <w:r>
              <w:rPr>
                <w:webHidden/>
                <w:rStyle w:val="IndexLink"/>
                <w:rtl w:val="true"/>
              </w:rPr>
              <w:t>إمکان سلب حجیة القطع و إمکان الردع عن العمل به</w:t>
            </w:r>
            <w:r>
              <w:rPr>
                <w:rStyle w:val="IndexLink"/>
                <w:rtl w:val="true"/>
              </w:rPr>
              <w:tab/>
            </w:r>
            <w:r>
              <w:rPr>
                <w:rStyle w:val="IndexLink"/>
              </w:rPr>
              <w:t>30</w:t>
            </w:r>
          </w:hyperlink>
        </w:p>
        <w:p>
          <w:pPr>
            <w:pStyle w:val="Contents5"/>
            <w:tabs>
              <w:tab w:val="clear" w:pos="7892"/>
              <w:tab w:val="right" w:pos="9026" w:leader="dot"/>
            </w:tabs>
            <w:rPr/>
          </w:pPr>
          <w:hyperlink w:anchor="__RefHeading___Toc624285_3244359995">
            <w:r>
              <w:rPr>
                <w:webHidden/>
                <w:rStyle w:val="IndexLink"/>
                <w:rtl w:val="true"/>
              </w:rPr>
              <w:t>تنبیه</w:t>
            </w:r>
            <w:r>
              <w:rPr>
                <w:rStyle w:val="IndexLink"/>
                <w:rtl w:val="true"/>
              </w:rPr>
              <w:tab/>
            </w:r>
            <w:r>
              <w:rPr>
                <w:rStyle w:val="IndexLink"/>
              </w:rPr>
              <w:t>37</w:t>
            </w:r>
          </w:hyperlink>
        </w:p>
        <w:p>
          <w:pPr>
            <w:pStyle w:val="Contents5"/>
            <w:tabs>
              <w:tab w:val="clear" w:pos="7892"/>
              <w:tab w:val="right" w:pos="9026" w:leader="dot"/>
            </w:tabs>
            <w:rPr/>
          </w:pPr>
          <w:hyperlink w:anchor="__RefHeading___Toc624287_3244359995">
            <w:r>
              <w:rPr>
                <w:webHidden/>
                <w:rStyle w:val="IndexLink"/>
                <w:rtl w:val="true"/>
              </w:rPr>
              <w:t>طریقتنا فی کیفیة ردع الشارع عن القطع جعلا و امتثالا</w:t>
            </w:r>
            <w:r>
              <w:rPr>
                <w:rStyle w:val="IndexLink"/>
                <w:rtl w:val="true"/>
              </w:rPr>
              <w:tab/>
            </w:r>
            <w:r>
              <w:rPr>
                <w:rStyle w:val="IndexLink"/>
              </w:rPr>
              <w:t>37</w:t>
            </w:r>
          </w:hyperlink>
        </w:p>
        <w:p>
          <w:pPr>
            <w:pStyle w:val="Contents5"/>
            <w:tabs>
              <w:tab w:val="clear" w:pos="7892"/>
              <w:tab w:val="right" w:pos="9026" w:leader="dot"/>
            </w:tabs>
            <w:rPr/>
          </w:pPr>
          <w:hyperlink w:anchor="__RefHeading___Toc624289_3244359995">
            <w:r>
              <w:rPr>
                <w:webHidden/>
                <w:rStyle w:val="IndexLink"/>
                <w:rtl w:val="true"/>
              </w:rPr>
              <w:t>تذنیب</w:t>
            </w:r>
            <w:r>
              <w:rPr>
                <w:rStyle w:val="IndexLink"/>
                <w:rtl w:val="true"/>
              </w:rPr>
              <w:tab/>
            </w:r>
            <w:r>
              <w:rPr>
                <w:rStyle w:val="IndexLink"/>
              </w:rPr>
              <w:t>40</w:t>
            </w:r>
          </w:hyperlink>
        </w:p>
        <w:p>
          <w:pPr>
            <w:pStyle w:val="Contents4"/>
            <w:tabs>
              <w:tab w:val="clear" w:pos="8176"/>
              <w:tab w:val="right" w:pos="9026" w:leader="dot"/>
            </w:tabs>
            <w:rPr/>
          </w:pPr>
          <w:hyperlink w:anchor="__RefHeading___Toc624291_3244359995">
            <w:r>
              <w:rPr>
                <w:webHidden/>
                <w:rStyle w:val="IndexLink"/>
                <w:rtl w:val="true"/>
              </w:rPr>
              <w:t>الجهة الرابعة</w:t>
            </w:r>
            <w:r>
              <w:rPr>
                <w:rStyle w:val="IndexLink"/>
                <w:rtl w:val="true"/>
              </w:rPr>
              <w:t xml:space="preserve">: </w:t>
            </w:r>
            <w:r>
              <w:rPr>
                <w:rStyle w:val="IndexLink"/>
                <w:rtl w:val="true"/>
              </w:rPr>
              <w:t>حول جعل الحجیة للقطع و وجوب موافقته</w:t>
            </w:r>
            <w:r>
              <w:rPr>
                <w:rStyle w:val="IndexLink"/>
                <w:rtl w:val="true"/>
              </w:rPr>
              <w:tab/>
            </w:r>
            <w:r>
              <w:rPr>
                <w:rStyle w:val="IndexLink"/>
              </w:rPr>
              <w:t>41</w:t>
            </w:r>
          </w:hyperlink>
        </w:p>
        <w:p>
          <w:pPr>
            <w:pStyle w:val="Contents3"/>
            <w:tabs>
              <w:tab w:val="clear" w:pos="8459"/>
              <w:tab w:val="right" w:pos="9026" w:leader="dot"/>
            </w:tabs>
            <w:rPr/>
          </w:pPr>
          <w:hyperlink w:anchor="__RefHeading___Toc624293_3244359995">
            <w:r>
              <w:rPr>
                <w:webHidden/>
                <w:rStyle w:val="IndexLink"/>
                <w:rtl w:val="true"/>
              </w:rPr>
              <w:t>المبحث الثانی فی التجری</w:t>
            </w:r>
            <w:r>
              <w:rPr>
                <w:rStyle w:val="IndexLink"/>
                <w:rtl w:val="true"/>
              </w:rPr>
              <w:tab/>
            </w:r>
            <w:r>
              <w:rPr>
                <w:rStyle w:val="IndexLink"/>
              </w:rPr>
              <w:t>46</w:t>
            </w:r>
          </w:hyperlink>
        </w:p>
        <w:p>
          <w:pPr>
            <w:pStyle w:val="Contents4"/>
            <w:tabs>
              <w:tab w:val="clear" w:pos="8176"/>
              <w:tab w:val="right" w:pos="9026" w:leader="dot"/>
            </w:tabs>
            <w:rPr/>
          </w:pPr>
          <w:hyperlink w:anchor="__RefHeading___Toc624295_3244359995">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624297_3244359995">
            <w:r>
              <w:rPr>
                <w:webHidden/>
                <w:rStyle w:val="IndexLink"/>
                <w:rtl w:val="true"/>
              </w:rPr>
              <w:t>الجهة الأولی فی المراد من التجری لغة و اصطلاحا</w:t>
            </w:r>
            <w:r>
              <w:rPr>
                <w:rStyle w:val="IndexLink"/>
                <w:rtl w:val="true"/>
              </w:rPr>
              <w:tab/>
            </w:r>
            <w:r>
              <w:rPr>
                <w:rStyle w:val="IndexLink"/>
              </w:rPr>
              <w:t>47</w:t>
            </w:r>
          </w:hyperlink>
        </w:p>
        <w:p>
          <w:pPr>
            <w:pStyle w:val="Contents5"/>
            <w:tabs>
              <w:tab w:val="clear" w:pos="7892"/>
              <w:tab w:val="right" w:pos="9026" w:leader="dot"/>
            </w:tabs>
            <w:rPr/>
          </w:pPr>
          <w:hyperlink w:anchor="__RefHeading___Toc624299_3244359995">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624301_3244359995">
            <w:r>
              <w:rPr>
                <w:webHidden/>
                <w:rStyle w:val="IndexLink"/>
                <w:rtl w:val="true"/>
              </w:rPr>
              <w:t>وهم و دفع</w:t>
            </w:r>
            <w:r>
              <w:rPr>
                <w:rStyle w:val="IndexLink"/>
                <w:rtl w:val="true"/>
              </w:rPr>
              <w:tab/>
            </w:r>
            <w:r>
              <w:rPr>
                <w:rStyle w:val="IndexLink"/>
              </w:rPr>
              <w:t>48</w:t>
            </w:r>
          </w:hyperlink>
        </w:p>
        <w:p>
          <w:pPr>
            <w:pStyle w:val="Contents4"/>
            <w:tabs>
              <w:tab w:val="clear" w:pos="8176"/>
              <w:tab w:val="right" w:pos="9026" w:leader="dot"/>
            </w:tabs>
            <w:rPr/>
          </w:pPr>
          <w:hyperlink w:anchor="__RefHeading___Toc624303_3244359995">
            <w:r>
              <w:rPr>
                <w:webHidden/>
                <w:rStyle w:val="IndexLink"/>
                <w:rtl w:val="true"/>
              </w:rPr>
              <w:t>الجهة الثانیة فی أن مسألة التجری فقهیة</w:t>
            </w:r>
            <w:r>
              <w:rPr>
                <w:rStyle w:val="IndexLink"/>
                <w:rtl w:val="true"/>
              </w:rPr>
              <w:tab/>
            </w:r>
            <w:r>
              <w:rPr>
                <w:rStyle w:val="IndexLink"/>
              </w:rPr>
              <w:t>50</w:t>
            </w:r>
          </w:hyperlink>
        </w:p>
        <w:p>
          <w:pPr>
            <w:pStyle w:val="Contents5"/>
            <w:tabs>
              <w:tab w:val="clear" w:pos="7892"/>
              <w:tab w:val="right" w:pos="9026" w:leader="dot"/>
            </w:tabs>
            <w:rPr/>
          </w:pPr>
          <w:hyperlink w:anchor="__RefHeading___Toc624305_3244359995">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24307_3244359995">
            <w:r>
              <w:rPr>
                <w:webHidden/>
                <w:rStyle w:val="IndexLink"/>
                <w:rtl w:val="true"/>
              </w:rPr>
              <w:t>إشکال و دفع</w:t>
            </w:r>
            <w:r>
              <w:rPr>
                <w:rStyle w:val="IndexLink"/>
                <w:rtl w:val="true"/>
              </w:rPr>
              <w:tab/>
            </w:r>
            <w:r>
              <w:rPr>
                <w:rStyle w:val="IndexLink"/>
              </w:rPr>
              <w:t>51</w:t>
            </w:r>
          </w:hyperlink>
        </w:p>
        <w:p>
          <w:pPr>
            <w:pStyle w:val="Contents4"/>
            <w:tabs>
              <w:tab w:val="clear" w:pos="8176"/>
              <w:tab w:val="right" w:pos="9026" w:leader="dot"/>
            </w:tabs>
            <w:rPr/>
          </w:pPr>
          <w:hyperlink w:anchor="__RefHeading___Toc624309_3244359995">
            <w:r>
              <w:rPr>
                <w:webHidden/>
                <w:rStyle w:val="IndexLink"/>
                <w:rtl w:val="true"/>
              </w:rPr>
              <w:t>الجهة الثالثة فی عرض الأقوال فی التجری</w:t>
            </w:r>
            <w:r>
              <w:rPr>
                <w:rStyle w:val="IndexLink"/>
                <w:rtl w:val="true"/>
              </w:rPr>
              <w:tab/>
            </w:r>
            <w:r>
              <w:rPr>
                <w:rStyle w:val="IndexLink"/>
              </w:rPr>
              <w:t>54</w:t>
            </w:r>
          </w:hyperlink>
        </w:p>
        <w:p>
          <w:pPr>
            <w:pStyle w:val="Contents4"/>
            <w:tabs>
              <w:tab w:val="clear" w:pos="8176"/>
              <w:tab w:val="right" w:pos="9026" w:leader="dot"/>
            </w:tabs>
            <w:rPr/>
          </w:pPr>
          <w:hyperlink w:anchor="__RefHeading___Toc624311_3244359995">
            <w:r>
              <w:rPr>
                <w:webHidden/>
                <w:rStyle w:val="IndexLink"/>
                <w:rtl w:val="true"/>
              </w:rPr>
              <w:t>الجهة الرابعة فی المختار من حکم التجری</w:t>
            </w:r>
            <w:r>
              <w:rPr>
                <w:rStyle w:val="IndexLink"/>
                <w:rtl w:val="true"/>
              </w:rPr>
              <w:tab/>
            </w:r>
            <w:r>
              <w:rPr>
                <w:rStyle w:val="IndexLink"/>
              </w:rPr>
              <w:t>57</w:t>
            </w:r>
          </w:hyperlink>
        </w:p>
        <w:p>
          <w:pPr>
            <w:pStyle w:val="Contents4"/>
            <w:tabs>
              <w:tab w:val="clear" w:pos="8176"/>
              <w:tab w:val="right" w:pos="9026" w:leader="dot"/>
            </w:tabs>
            <w:rPr/>
          </w:pPr>
          <w:hyperlink w:anchor="__RefHeading___Toc624313_3244359995">
            <w:r>
              <w:rPr>
                <w:webHidden/>
                <w:rStyle w:val="IndexLink"/>
                <w:rtl w:val="true"/>
              </w:rPr>
              <w:t>المسألة الأولی هل التجری</w:t>
            </w:r>
            <w:r>
              <w:rPr>
                <w:rStyle w:val="IndexLink"/>
                <w:rtl w:val="true"/>
              </w:rPr>
              <w:t xml:space="preserve">- </w:t>
            </w:r>
            <w:r>
              <w:rPr>
                <w:rStyle w:val="IndexLink"/>
                <w:rtl w:val="true"/>
              </w:rPr>
              <w:t>بما هو تجر</w:t>
            </w:r>
            <w:r>
              <w:rPr>
                <w:rStyle w:val="IndexLink"/>
                <w:rtl w:val="true"/>
              </w:rPr>
              <w:t xml:space="preserve">- </w:t>
            </w:r>
            <w:r>
              <w:rPr>
                <w:rStyle w:val="IndexLink"/>
                <w:rtl w:val="true"/>
              </w:rPr>
              <w:t>حرام شرعا، أم لا؟</w:t>
            </w:r>
            <w:r>
              <w:rPr>
                <w:rStyle w:val="IndexLink"/>
                <w:rtl w:val="true"/>
              </w:rPr>
              <w:tab/>
            </w:r>
            <w:r>
              <w:rPr>
                <w:rStyle w:val="IndexLink"/>
              </w:rPr>
              <w:t>58</w:t>
            </w:r>
          </w:hyperlink>
        </w:p>
        <w:p>
          <w:pPr>
            <w:pStyle w:val="Contents5"/>
            <w:tabs>
              <w:tab w:val="clear" w:pos="7892"/>
              <w:tab w:val="right" w:pos="9026" w:leader="dot"/>
            </w:tabs>
            <w:rPr/>
          </w:pPr>
          <w:hyperlink w:anchor="__RefHeading___Toc624315_3244359995">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624317_3244359995">
            <w:r>
              <w:rPr>
                <w:webHidden/>
                <w:rStyle w:val="IndexLink"/>
                <w:rtl w:val="true"/>
              </w:rPr>
              <w:t>البحث الأول</w:t>
            </w:r>
            <w:r>
              <w:rPr>
                <w:rStyle w:val="IndexLink"/>
                <w:rtl w:val="true"/>
              </w:rPr>
              <w:t xml:space="preserve">: </w:t>
            </w:r>
            <w:r>
              <w:rPr>
                <w:rStyle w:val="IndexLink"/>
                <w:rtl w:val="true"/>
              </w:rPr>
              <w:t>فی نفی القبح الذاتی للتجری</w:t>
            </w:r>
            <w:r>
              <w:rPr>
                <w:rStyle w:val="IndexLink"/>
                <w:rtl w:val="true"/>
              </w:rPr>
              <w:tab/>
            </w:r>
            <w:r>
              <w:rPr>
                <w:rStyle w:val="IndexLink"/>
              </w:rPr>
              <w:t>63</w:t>
            </w:r>
          </w:hyperlink>
        </w:p>
        <w:p>
          <w:pPr>
            <w:pStyle w:val="Contents6"/>
            <w:tabs>
              <w:tab w:val="clear" w:pos="7609"/>
              <w:tab w:val="right" w:pos="9026" w:leader="dot"/>
            </w:tabs>
            <w:rPr/>
          </w:pPr>
          <w:hyperlink w:anchor="__RefHeading___Toc624319_324435999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624321_3244359995">
            <w:r>
              <w:rPr>
                <w:webHidden/>
                <w:rStyle w:val="IndexLink"/>
                <w:rtl w:val="true"/>
              </w:rPr>
              <w:t>تنبیه</w:t>
            </w:r>
            <w:r>
              <w:rPr>
                <w:rStyle w:val="IndexLink"/>
                <w:rtl w:val="true"/>
              </w:rPr>
              <w:t xml:space="preserve">: </w:t>
            </w:r>
            <w:r>
              <w:rPr>
                <w:rStyle w:val="IndexLink"/>
                <w:rtl w:val="true"/>
              </w:rPr>
              <w:t>فی أن قبح الظلم لیس ذاتیا</w:t>
            </w:r>
            <w:r>
              <w:rPr>
                <w:rStyle w:val="IndexLink"/>
                <w:rtl w:val="true"/>
              </w:rPr>
              <w:tab/>
            </w:r>
            <w:r>
              <w:rPr>
                <w:rStyle w:val="IndexLink"/>
              </w:rPr>
              <w:t>64</w:t>
            </w:r>
          </w:hyperlink>
        </w:p>
        <w:p>
          <w:pPr>
            <w:pStyle w:val="Contents5"/>
            <w:tabs>
              <w:tab w:val="clear" w:pos="7892"/>
              <w:tab w:val="right" w:pos="9026" w:leader="dot"/>
            </w:tabs>
            <w:rPr/>
          </w:pPr>
          <w:hyperlink w:anchor="__RefHeading___Toc624323_3244359995">
            <w:r>
              <w:rPr>
                <w:webHidden/>
                <w:rStyle w:val="IndexLink"/>
                <w:rtl w:val="true"/>
              </w:rPr>
              <w:t>البحث الثانی</w:t>
            </w:r>
            <w:r>
              <w:rPr>
                <w:rStyle w:val="IndexLink"/>
                <w:rtl w:val="true"/>
              </w:rPr>
              <w:t xml:space="preserve">: </w:t>
            </w:r>
            <w:r>
              <w:rPr>
                <w:rStyle w:val="IndexLink"/>
                <w:rtl w:val="true"/>
              </w:rPr>
              <w:t>هل الظلم یستتبع العقوبة أم لا؟</w:t>
            </w:r>
            <w:r>
              <w:rPr>
                <w:rStyle w:val="IndexLink"/>
                <w:rtl w:val="true"/>
              </w:rPr>
              <w:tab/>
            </w:r>
            <w:r>
              <w:rPr>
                <w:rStyle w:val="IndexLink"/>
              </w:rPr>
              <w:t>65</w:t>
            </w:r>
          </w:hyperlink>
        </w:p>
        <w:p>
          <w:pPr>
            <w:pStyle w:val="Contents6"/>
            <w:tabs>
              <w:tab w:val="clear" w:pos="7609"/>
              <w:tab w:val="right" w:pos="9026" w:leader="dot"/>
            </w:tabs>
            <w:rPr/>
          </w:pPr>
          <w:hyperlink w:anchor="__RefHeading___Toc624325_3244359995">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624327_3244359995">
            <w:r>
              <w:rPr>
                <w:webHidden/>
                <w:rStyle w:val="IndexLink"/>
                <w:rtl w:val="true"/>
              </w:rPr>
              <w:t>وهم و دفع</w:t>
            </w:r>
            <w:r>
              <w:rPr>
                <w:rStyle w:val="IndexLink"/>
                <w:rtl w:val="true"/>
              </w:rPr>
              <w:t xml:space="preserve">: </w:t>
            </w:r>
            <w:r>
              <w:rPr>
                <w:rStyle w:val="IndexLink"/>
                <w:rtl w:val="true"/>
              </w:rPr>
              <w:t>حول مصادفة العاصی للواقع دون المتجری</w:t>
            </w:r>
            <w:r>
              <w:rPr>
                <w:rStyle w:val="IndexLink"/>
                <w:rtl w:val="true"/>
              </w:rPr>
              <w:tab/>
            </w:r>
            <w:r>
              <w:rPr>
                <w:rStyle w:val="IndexLink"/>
              </w:rPr>
              <w:t>70</w:t>
            </w:r>
          </w:hyperlink>
        </w:p>
        <w:p>
          <w:pPr>
            <w:pStyle w:val="Contents6"/>
            <w:tabs>
              <w:tab w:val="clear" w:pos="7609"/>
              <w:tab w:val="right" w:pos="9026" w:leader="dot"/>
            </w:tabs>
            <w:rPr/>
          </w:pPr>
          <w:hyperlink w:anchor="__RefHeading___Toc624329_3244359995">
            <w:r>
              <w:rPr>
                <w:webHidden/>
                <w:rStyle w:val="IndexLink"/>
                <w:rtl w:val="true"/>
              </w:rPr>
              <w:t>إعضال عدم اختیاریة الإرادة و انحلاله</w:t>
            </w:r>
            <w:r>
              <w:rPr>
                <w:rStyle w:val="IndexLink"/>
                <w:rtl w:val="true"/>
              </w:rPr>
              <w:tab/>
            </w:r>
            <w:r>
              <w:rPr>
                <w:rStyle w:val="IndexLink"/>
              </w:rPr>
              <w:t>72</w:t>
            </w:r>
          </w:hyperlink>
        </w:p>
        <w:p>
          <w:pPr>
            <w:pStyle w:val="Contents6"/>
            <w:tabs>
              <w:tab w:val="clear" w:pos="7609"/>
              <w:tab w:val="right" w:pos="9026" w:leader="dot"/>
            </w:tabs>
            <w:rPr/>
          </w:pPr>
          <w:hyperlink w:anchor="__RefHeading___Toc624331_3244359995">
            <w:r>
              <w:rPr>
                <w:webHidden/>
                <w:rStyle w:val="IndexLink"/>
                <w:rtl w:val="true"/>
              </w:rPr>
              <w:t>هل یستتبع الظلم العقاب بناء علی استلزام القبیح للعقوبة؟</w:t>
            </w:r>
            <w:r>
              <w:rPr>
                <w:rStyle w:val="IndexLink"/>
                <w:rtl w:val="true"/>
              </w:rPr>
              <w:tab/>
            </w:r>
            <w:r>
              <w:rPr>
                <w:rStyle w:val="IndexLink"/>
              </w:rPr>
              <w:t>74</w:t>
            </w:r>
          </w:hyperlink>
        </w:p>
        <w:p>
          <w:pPr>
            <w:pStyle w:val="Contents6"/>
            <w:tabs>
              <w:tab w:val="clear" w:pos="7609"/>
              <w:tab w:val="right" w:pos="9026" w:leader="dot"/>
            </w:tabs>
            <w:rPr/>
          </w:pPr>
          <w:hyperlink w:anchor="__RefHeading___Toc624333_3244359995">
            <w:r>
              <w:rPr>
                <w:webHidden/>
                <w:rStyle w:val="IndexLink"/>
                <w:rtl w:val="true"/>
              </w:rPr>
              <w:t>وهم و دفع</w:t>
            </w:r>
            <w:r>
              <w:rPr>
                <w:rStyle w:val="IndexLink"/>
                <w:rtl w:val="true"/>
              </w:rPr>
              <w:tab/>
            </w:r>
            <w:r>
              <w:rPr>
                <w:rStyle w:val="IndexLink"/>
              </w:rPr>
              <w:t>75</w:t>
            </w:r>
          </w:hyperlink>
        </w:p>
        <w:p>
          <w:pPr>
            <w:pStyle w:val="Contents6"/>
            <w:tabs>
              <w:tab w:val="clear" w:pos="7609"/>
              <w:tab w:val="right" w:pos="9026" w:leader="dot"/>
            </w:tabs>
            <w:rPr/>
          </w:pPr>
          <w:hyperlink w:anchor="__RefHeading___Toc624335_3244359995">
            <w:r>
              <w:rPr>
                <w:webHidden/>
                <w:rStyle w:val="IndexLink"/>
                <w:rtl w:val="true"/>
              </w:rPr>
              <w:t>فذلکة الکلام</w:t>
            </w:r>
            <w:r>
              <w:rPr>
                <w:rStyle w:val="IndexLink"/>
                <w:rtl w:val="true"/>
              </w:rPr>
              <w:tab/>
            </w:r>
            <w:r>
              <w:rPr>
                <w:rStyle w:val="IndexLink"/>
              </w:rPr>
              <w:t>76</w:t>
            </w:r>
          </w:hyperlink>
        </w:p>
        <w:p>
          <w:pPr>
            <w:pStyle w:val="Contents5"/>
            <w:tabs>
              <w:tab w:val="clear" w:pos="7892"/>
              <w:tab w:val="right" w:pos="9026" w:leader="dot"/>
            </w:tabs>
            <w:rPr/>
          </w:pPr>
          <w:hyperlink w:anchor="__RefHeading___Toc624337_3244359995">
            <w:r>
              <w:rPr>
                <w:webHidden/>
                <w:rStyle w:val="IndexLink"/>
                <w:rtl w:val="true"/>
              </w:rPr>
              <w:t>البحث الثالث</w:t>
            </w:r>
            <w:r>
              <w:rPr>
                <w:rStyle w:val="IndexLink"/>
                <w:rtl w:val="true"/>
              </w:rPr>
              <w:t xml:space="preserve">: </w:t>
            </w:r>
            <w:r>
              <w:rPr>
                <w:rStyle w:val="IndexLink"/>
                <w:rtl w:val="true"/>
              </w:rPr>
              <w:t>حول قاعدة الملازمة بین حکم العقل و الشرع</w:t>
            </w:r>
            <w:r>
              <w:rPr>
                <w:rStyle w:val="IndexLink"/>
                <w:rtl w:val="true"/>
              </w:rPr>
              <w:tab/>
            </w:r>
            <w:r>
              <w:rPr>
                <w:rStyle w:val="IndexLink"/>
              </w:rPr>
              <w:t>78</w:t>
            </w:r>
          </w:hyperlink>
        </w:p>
        <w:p>
          <w:pPr>
            <w:pStyle w:val="Contents4"/>
            <w:tabs>
              <w:tab w:val="clear" w:pos="8176"/>
              <w:tab w:val="right" w:pos="9026" w:leader="dot"/>
            </w:tabs>
            <w:rPr/>
          </w:pPr>
          <w:hyperlink w:anchor="__RefHeading___Toc624339_3244359995">
            <w:r>
              <w:rPr>
                <w:webHidden/>
                <w:rStyle w:val="IndexLink"/>
                <w:rtl w:val="true"/>
              </w:rPr>
              <w:t>المسألة الثانیة فی حرمة المتجری به</w:t>
            </w:r>
            <w:r>
              <w:rPr>
                <w:rStyle w:val="IndexLink"/>
                <w:rtl w:val="true"/>
              </w:rPr>
              <w:tab/>
            </w:r>
            <w:r>
              <w:rPr>
                <w:rStyle w:val="IndexLink"/>
              </w:rPr>
              <w:t>82</w:t>
            </w:r>
          </w:hyperlink>
        </w:p>
        <w:p>
          <w:pPr>
            <w:pStyle w:val="Contents5"/>
            <w:tabs>
              <w:tab w:val="clear" w:pos="7892"/>
              <w:tab w:val="right" w:pos="9026" w:leader="dot"/>
            </w:tabs>
            <w:rPr/>
          </w:pPr>
          <w:hyperlink w:anchor="__RefHeading___Toc624341_3244359995">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624343_3244359995">
            <w:r>
              <w:rPr>
                <w:webHidden/>
                <w:rStyle w:val="IndexLink"/>
                <w:rtl w:val="true"/>
              </w:rPr>
              <w:t>الأدلة الإثباتیة علی حرمة الفعل المتجری به</w:t>
            </w:r>
            <w:r>
              <w:rPr>
                <w:rStyle w:val="IndexLink"/>
                <w:rtl w:val="true"/>
              </w:rPr>
              <w:tab/>
            </w:r>
            <w:r>
              <w:rPr>
                <w:rStyle w:val="IndexLink"/>
              </w:rPr>
              <w:t>87</w:t>
            </w:r>
          </w:hyperlink>
        </w:p>
        <w:p>
          <w:pPr>
            <w:pStyle w:val="Contents5"/>
            <w:tabs>
              <w:tab w:val="clear" w:pos="7892"/>
              <w:tab w:val="right" w:pos="9026" w:leader="dot"/>
            </w:tabs>
            <w:rPr/>
          </w:pPr>
          <w:hyperlink w:anchor="__RefHeading___Toc624345_3244359995">
            <w:r>
              <w:rPr>
                <w:webHidden/>
                <w:rStyle w:val="IndexLink"/>
                <w:rtl w:val="true"/>
              </w:rPr>
              <w:t>وهم و دفع</w:t>
            </w:r>
            <w:r>
              <w:rPr>
                <w:rStyle w:val="IndexLink"/>
                <w:rtl w:val="true"/>
              </w:rPr>
              <w:tab/>
            </w:r>
            <w:r>
              <w:rPr>
                <w:rStyle w:val="IndexLink"/>
              </w:rPr>
              <w:t>88</w:t>
            </w:r>
          </w:hyperlink>
        </w:p>
        <w:p>
          <w:pPr>
            <w:pStyle w:val="Contents4"/>
            <w:tabs>
              <w:tab w:val="clear" w:pos="8176"/>
              <w:tab w:val="right" w:pos="9026" w:leader="dot"/>
            </w:tabs>
            <w:rPr/>
          </w:pPr>
          <w:hyperlink w:anchor="__RefHeading___Toc624347_3244359995">
            <w:r>
              <w:rPr>
                <w:webHidden/>
                <w:rStyle w:val="IndexLink"/>
                <w:rtl w:val="true"/>
              </w:rPr>
              <w:t>المسألة الثالثة حول تحقق الامتثال بالفعل المتجری به بناء علی حرمته</w:t>
            </w:r>
            <w:r>
              <w:rPr>
                <w:rStyle w:val="IndexLink"/>
                <w:rtl w:val="true"/>
              </w:rPr>
              <w:tab/>
            </w:r>
            <w:r>
              <w:rPr>
                <w:rStyle w:val="IndexLink"/>
              </w:rPr>
              <w:t>93</w:t>
            </w:r>
          </w:hyperlink>
        </w:p>
        <w:p>
          <w:pPr>
            <w:pStyle w:val="Contents3"/>
            <w:tabs>
              <w:tab w:val="clear" w:pos="8459"/>
              <w:tab w:val="right" w:pos="9026" w:leader="dot"/>
            </w:tabs>
            <w:rPr/>
          </w:pPr>
          <w:hyperlink w:anchor="__RefHeading___Toc624349_3244359995">
            <w:r>
              <w:rPr>
                <w:webHidden/>
                <w:rStyle w:val="IndexLink"/>
                <w:rtl w:val="true"/>
              </w:rPr>
              <w:t>المبحث الثالث فی أقسام القطع</w:t>
            </w:r>
            <w:r>
              <w:rPr>
                <w:rStyle w:val="IndexLink"/>
                <w:rtl w:val="true"/>
              </w:rPr>
              <w:tab/>
            </w:r>
            <w:r>
              <w:rPr>
                <w:rStyle w:val="IndexLink"/>
              </w:rPr>
              <w:t>96</w:t>
            </w:r>
          </w:hyperlink>
        </w:p>
        <w:p>
          <w:pPr>
            <w:pStyle w:val="Contents4"/>
            <w:tabs>
              <w:tab w:val="clear" w:pos="8176"/>
              <w:tab w:val="right" w:pos="9026" w:leader="dot"/>
            </w:tabs>
            <w:rPr/>
          </w:pPr>
          <w:hyperlink w:anchor="__RefHeading___Toc624351_3244359995">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624353_3244359995">
            <w:r>
              <w:rPr>
                <w:webHidden/>
                <w:rStyle w:val="IndexLink"/>
                <w:rtl w:val="true"/>
              </w:rPr>
              <w:t>الصورة الأولی</w:t>
            </w:r>
            <w:r>
              <w:rPr>
                <w:rStyle w:val="IndexLink"/>
                <w:rtl w:val="true"/>
              </w:rPr>
              <w:t xml:space="preserve">: </w:t>
            </w:r>
            <w:r>
              <w:rPr>
                <w:rStyle w:val="IndexLink"/>
                <w:rtl w:val="true"/>
              </w:rPr>
              <w:t>تعلق الحکم بعنوان بما هو هو</w:t>
            </w:r>
            <w:r>
              <w:rPr>
                <w:rStyle w:val="IndexLink"/>
                <w:rtl w:val="true"/>
              </w:rPr>
              <w:tab/>
            </w:r>
            <w:r>
              <w:rPr>
                <w:rStyle w:val="IndexLink"/>
              </w:rPr>
              <w:t>97</w:t>
            </w:r>
          </w:hyperlink>
        </w:p>
        <w:p>
          <w:pPr>
            <w:pStyle w:val="Contents5"/>
            <w:tabs>
              <w:tab w:val="clear" w:pos="7892"/>
              <w:tab w:val="right" w:pos="9026" w:leader="dot"/>
            </w:tabs>
            <w:rPr/>
          </w:pPr>
          <w:hyperlink w:anchor="__RefHeading___Toc624355_3244359995">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624357_3244359995">
            <w:r>
              <w:rPr>
                <w:webHidden/>
                <w:rStyle w:val="IndexLink"/>
                <w:rtl w:val="true"/>
              </w:rPr>
              <w:t>وهم</w:t>
            </w:r>
            <w:r>
              <w:rPr>
                <w:rStyle w:val="IndexLink"/>
                <w:rtl w:val="true"/>
              </w:rPr>
              <w:tab/>
            </w:r>
            <w:r>
              <w:rPr>
                <w:rStyle w:val="IndexLink"/>
              </w:rPr>
              <w:t>98</w:t>
            </w:r>
          </w:hyperlink>
        </w:p>
        <w:p>
          <w:pPr>
            <w:pStyle w:val="Contents4"/>
            <w:tabs>
              <w:tab w:val="clear" w:pos="8176"/>
              <w:tab w:val="right" w:pos="9026" w:leader="dot"/>
            </w:tabs>
            <w:rPr/>
          </w:pPr>
          <w:hyperlink w:anchor="__RefHeading___Toc624359_3244359995">
            <w:r>
              <w:rPr>
                <w:webHidden/>
                <w:rStyle w:val="IndexLink"/>
                <w:rtl w:val="true"/>
              </w:rPr>
              <w:t>الصورة الثانیة</w:t>
            </w:r>
            <w:r>
              <w:rPr>
                <w:rStyle w:val="IndexLink"/>
                <w:rtl w:val="true"/>
              </w:rPr>
              <w:t xml:space="preserve">: </w:t>
            </w:r>
            <w:r>
              <w:rPr>
                <w:rStyle w:val="IndexLink"/>
                <w:rtl w:val="true"/>
              </w:rPr>
              <w:t>تعلق الحکم بالعنوان بما هو مقطوع</w:t>
            </w:r>
            <w:r>
              <w:rPr>
                <w:rStyle w:val="IndexLink"/>
                <w:rtl w:val="true"/>
              </w:rPr>
              <w:tab/>
            </w:r>
            <w:r>
              <w:rPr>
                <w:rStyle w:val="IndexLink"/>
              </w:rPr>
              <w:t>100</w:t>
            </w:r>
          </w:hyperlink>
        </w:p>
        <w:p>
          <w:pPr>
            <w:pStyle w:val="Contents5"/>
            <w:tabs>
              <w:tab w:val="clear" w:pos="7892"/>
              <w:tab w:val="right" w:pos="9026" w:leader="dot"/>
            </w:tabs>
            <w:rPr/>
          </w:pPr>
          <w:hyperlink w:anchor="__RefHeading___Toc624361_3244359995">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624363_3244359995">
            <w:r>
              <w:rPr>
                <w:webHidden/>
                <w:rStyle w:val="IndexLink"/>
                <w:rtl w:val="true"/>
              </w:rPr>
              <w:t>إعضالات و انحلالات</w:t>
            </w:r>
            <w:r>
              <w:rPr>
                <w:rStyle w:val="IndexLink"/>
                <w:rtl w:val="true"/>
              </w:rPr>
              <w:tab/>
            </w:r>
            <w:r>
              <w:rPr>
                <w:rStyle w:val="IndexLink"/>
              </w:rPr>
              <w:t>103</w:t>
            </w:r>
          </w:hyperlink>
        </w:p>
        <w:p>
          <w:pPr>
            <w:pStyle w:val="Contents4"/>
            <w:tabs>
              <w:tab w:val="clear" w:pos="8176"/>
              <w:tab w:val="right" w:pos="9026" w:leader="dot"/>
            </w:tabs>
            <w:rPr/>
          </w:pPr>
          <w:hyperlink w:anchor="__RefHeading___Toc624365_3244359995">
            <w:r>
              <w:rPr>
                <w:webHidden/>
                <w:rStyle w:val="IndexLink"/>
                <w:rtl w:val="true"/>
              </w:rPr>
              <w:t>الصورة الثالثة</w:t>
            </w:r>
            <w:r>
              <w:rPr>
                <w:rStyle w:val="IndexLink"/>
                <w:rtl w:val="true"/>
              </w:rPr>
              <w:t xml:space="preserve">: </w:t>
            </w:r>
            <w:r>
              <w:rPr>
                <w:rStyle w:val="IndexLink"/>
                <w:rtl w:val="true"/>
              </w:rPr>
              <w:t>أن یکون العلم بالحکم موضوعا</w:t>
            </w:r>
            <w:r>
              <w:rPr>
                <w:rStyle w:val="IndexLink"/>
                <w:rtl w:val="true"/>
              </w:rPr>
              <w:tab/>
            </w:r>
            <w:r>
              <w:rPr>
                <w:rStyle w:val="IndexLink"/>
              </w:rPr>
              <w:t>110</w:t>
            </w:r>
          </w:hyperlink>
        </w:p>
        <w:p>
          <w:pPr>
            <w:pStyle w:val="Contents5"/>
            <w:tabs>
              <w:tab w:val="clear" w:pos="7892"/>
              <w:tab w:val="right" w:pos="9026" w:leader="dot"/>
            </w:tabs>
            <w:rPr/>
          </w:pPr>
          <w:hyperlink w:anchor="__RefHeading___Toc624367_3244359995">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624369_3244359995">
            <w:r>
              <w:rPr>
                <w:webHidden/>
                <w:rStyle w:val="IndexLink"/>
                <w:rtl w:val="true"/>
              </w:rPr>
              <w:t>الفرض الأول</w:t>
            </w:r>
            <w:r>
              <w:rPr>
                <w:rStyle w:val="IndexLink"/>
                <w:rtl w:val="true"/>
              </w:rPr>
              <w:t xml:space="preserve">: </w:t>
            </w:r>
            <w:r>
              <w:rPr>
                <w:rStyle w:val="IndexLink"/>
                <w:rtl w:val="true"/>
              </w:rPr>
              <w:t>أن یکون العلم بالحکم موضوعا لحکم آخر متعلق بموضوع آخر</w:t>
            </w:r>
            <w:r>
              <w:rPr>
                <w:rStyle w:val="IndexLink"/>
                <w:rtl w:val="true"/>
              </w:rPr>
              <w:tab/>
            </w:r>
            <w:r>
              <w:rPr>
                <w:rStyle w:val="IndexLink"/>
              </w:rPr>
              <w:t>110</w:t>
            </w:r>
          </w:hyperlink>
        </w:p>
        <w:p>
          <w:pPr>
            <w:pStyle w:val="Contents5"/>
            <w:tabs>
              <w:tab w:val="clear" w:pos="7892"/>
              <w:tab w:val="right" w:pos="9026" w:leader="dot"/>
            </w:tabs>
            <w:rPr/>
          </w:pPr>
          <w:hyperlink w:anchor="__RefHeading___Toc624371_3244359995">
            <w:r>
              <w:rPr>
                <w:webHidden/>
                <w:rStyle w:val="IndexLink"/>
                <w:rtl w:val="true"/>
              </w:rPr>
              <w:t>الفرض الثانی</w:t>
            </w:r>
            <w:r>
              <w:rPr>
                <w:rStyle w:val="IndexLink"/>
                <w:rtl w:val="true"/>
              </w:rPr>
              <w:t xml:space="preserve">: </w:t>
            </w:r>
            <w:r>
              <w:rPr>
                <w:rStyle w:val="IndexLink"/>
                <w:rtl w:val="true"/>
              </w:rPr>
              <w:t>أن یکون العلم بالحکم موضوعا لحکم مضاد یتعلق بنفس ذلک الموضوع</w:t>
            </w:r>
            <w:r>
              <w:rPr>
                <w:rStyle w:val="IndexLink"/>
                <w:rtl w:val="true"/>
              </w:rPr>
              <w:tab/>
            </w:r>
            <w:r>
              <w:rPr>
                <w:rStyle w:val="IndexLink"/>
              </w:rPr>
              <w:t>111</w:t>
            </w:r>
          </w:hyperlink>
        </w:p>
        <w:p>
          <w:pPr>
            <w:pStyle w:val="Contents5"/>
            <w:tabs>
              <w:tab w:val="clear" w:pos="7892"/>
              <w:tab w:val="right" w:pos="9026" w:leader="dot"/>
            </w:tabs>
            <w:rPr/>
          </w:pPr>
          <w:hyperlink w:anchor="__RefHeading___Toc624373_3244359995">
            <w:r>
              <w:rPr>
                <w:webHidden/>
                <w:rStyle w:val="IndexLink"/>
                <w:rtl w:val="true"/>
              </w:rPr>
              <w:t>الفرض الثالث</w:t>
            </w:r>
            <w:r>
              <w:rPr>
                <w:rStyle w:val="IndexLink"/>
                <w:rtl w:val="true"/>
              </w:rPr>
              <w:t xml:space="preserve">: </w:t>
            </w:r>
            <w:r>
              <w:rPr>
                <w:rStyle w:val="IndexLink"/>
                <w:rtl w:val="true"/>
              </w:rPr>
              <w:t>أن یکون العلم بالحکم، قیدا أو شرطا لمتعلق الحکم الآخر المماثل، بذلک الموضوع أو الشرط</w:t>
            </w:r>
            <w:r>
              <w:rPr>
                <w:rStyle w:val="IndexLink"/>
                <w:rtl w:val="true"/>
              </w:rPr>
              <w:tab/>
            </w:r>
            <w:r>
              <w:rPr>
                <w:rStyle w:val="IndexLink"/>
              </w:rPr>
              <w:t>114</w:t>
            </w:r>
          </w:hyperlink>
        </w:p>
        <w:p>
          <w:pPr>
            <w:pStyle w:val="Contents5"/>
            <w:tabs>
              <w:tab w:val="clear" w:pos="7892"/>
              <w:tab w:val="right" w:pos="9026" w:leader="dot"/>
            </w:tabs>
            <w:rPr/>
          </w:pPr>
          <w:hyperlink w:anchor="__RefHeading___Toc624375_3244359995">
            <w:r>
              <w:rPr>
                <w:webHidden/>
                <w:rStyle w:val="IndexLink"/>
                <w:rtl w:val="true"/>
              </w:rPr>
              <w:t>الفرض الرابع</w:t>
            </w:r>
            <w:r>
              <w:rPr>
                <w:rStyle w:val="IndexLink"/>
                <w:rtl w:val="true"/>
              </w:rPr>
              <w:t xml:space="preserve">: </w:t>
            </w:r>
            <w:r>
              <w:rPr>
                <w:rStyle w:val="IndexLink"/>
                <w:rtl w:val="true"/>
              </w:rPr>
              <w:t>أن یکون العلم بالحکم، مأخوذا قیدا أو شرطا فی موضوع نفس ذلک الحکم</w:t>
            </w:r>
            <w:r>
              <w:rPr>
                <w:rStyle w:val="IndexLink"/>
                <w:rtl w:val="true"/>
              </w:rPr>
              <w:tab/>
            </w:r>
            <w:r>
              <w:rPr>
                <w:rStyle w:val="IndexLink"/>
              </w:rPr>
              <w:t>117</w:t>
            </w:r>
          </w:hyperlink>
        </w:p>
        <w:p>
          <w:pPr>
            <w:pStyle w:val="Contents4"/>
            <w:tabs>
              <w:tab w:val="clear" w:pos="8176"/>
              <w:tab w:val="right" w:pos="9026" w:leader="dot"/>
            </w:tabs>
            <w:rPr/>
          </w:pPr>
          <w:hyperlink w:anchor="__RefHeading___Toc624377_3244359995">
            <w:r>
              <w:rPr>
                <w:webHidden/>
                <w:rStyle w:val="IndexLink"/>
                <w:rtl w:val="true"/>
              </w:rPr>
              <w:t>نقل مختار الوالد المحقق</w:t>
            </w:r>
            <w:r>
              <w:rPr>
                <w:rStyle w:val="IndexLink"/>
                <w:rtl w:val="true"/>
              </w:rPr>
              <w:t xml:space="preserve">- </w:t>
            </w:r>
            <w:r>
              <w:rPr>
                <w:rStyle w:val="IndexLink"/>
                <w:rtl w:val="true"/>
              </w:rPr>
              <w:t>مد ظله</w:t>
            </w:r>
            <w:r>
              <w:rPr>
                <w:rStyle w:val="IndexLink"/>
                <w:rtl w:val="true"/>
              </w:rPr>
              <w:t xml:space="preserve">- </w:t>
            </w:r>
            <w:r>
              <w:rPr>
                <w:rStyle w:val="IndexLink"/>
                <w:rtl w:val="true"/>
              </w:rPr>
              <w:t>و نقده</w:t>
            </w:r>
            <w:r>
              <w:rPr>
                <w:rStyle w:val="IndexLink"/>
                <w:rtl w:val="true"/>
              </w:rPr>
              <w:tab/>
            </w:r>
            <w:r>
              <w:rPr>
                <w:rStyle w:val="IndexLink"/>
              </w:rPr>
              <w:t>121</w:t>
            </w:r>
          </w:hyperlink>
        </w:p>
        <w:p>
          <w:pPr>
            <w:pStyle w:val="Contents4"/>
            <w:tabs>
              <w:tab w:val="clear" w:pos="8176"/>
              <w:tab w:val="right" w:pos="9026" w:leader="dot"/>
            </w:tabs>
            <w:rPr/>
          </w:pPr>
          <w:hyperlink w:anchor="__RefHeading___Toc624379_3244359995">
            <w:r>
              <w:rPr>
                <w:webHidden/>
                <w:rStyle w:val="IndexLink"/>
                <w:rtl w:val="true"/>
              </w:rPr>
              <w:t>وهم و دفع</w:t>
            </w:r>
            <w:r>
              <w:rPr>
                <w:rStyle w:val="IndexLink"/>
                <w:rtl w:val="true"/>
              </w:rPr>
              <w:tab/>
            </w:r>
            <w:r>
              <w:rPr>
                <w:rStyle w:val="IndexLink"/>
              </w:rPr>
              <w:t>122</w:t>
            </w:r>
          </w:hyperlink>
        </w:p>
        <w:p>
          <w:pPr>
            <w:pStyle w:val="Contents4"/>
            <w:tabs>
              <w:tab w:val="clear" w:pos="8176"/>
              <w:tab w:val="right" w:pos="9026" w:leader="dot"/>
            </w:tabs>
            <w:rPr/>
          </w:pPr>
          <w:hyperlink w:anchor="__RefHeading___Toc624381_3244359995">
            <w:r>
              <w:rPr>
                <w:webHidden/>
                <w:rStyle w:val="IndexLink"/>
                <w:rtl w:val="true"/>
              </w:rPr>
              <w:t>التحقیق فی جواب الدور</w:t>
            </w:r>
            <w:r>
              <w:rPr>
                <w:rStyle w:val="IndexLink"/>
                <w:rtl w:val="true"/>
              </w:rPr>
              <w:tab/>
            </w:r>
            <w:r>
              <w:rPr>
                <w:rStyle w:val="IndexLink"/>
              </w:rPr>
              <w:t>123</w:t>
            </w:r>
          </w:hyperlink>
        </w:p>
        <w:p>
          <w:pPr>
            <w:pStyle w:val="Contents4"/>
            <w:tabs>
              <w:tab w:val="clear" w:pos="8176"/>
              <w:tab w:val="right" w:pos="9026" w:leader="dot"/>
            </w:tabs>
            <w:rPr/>
          </w:pPr>
          <w:hyperlink w:anchor="__RefHeading___Toc624383_3244359995">
            <w:r>
              <w:rPr>
                <w:webHidden/>
                <w:rStyle w:val="IndexLink"/>
                <w:rtl w:val="true"/>
              </w:rPr>
              <w:t>بقی شی‌ء</w:t>
            </w:r>
            <w:r>
              <w:rPr>
                <w:rStyle w:val="IndexLink"/>
                <w:rtl w:val="true"/>
              </w:rPr>
              <w:t xml:space="preserve">: </w:t>
            </w:r>
            <w:r>
              <w:rPr>
                <w:rStyle w:val="IndexLink"/>
                <w:rtl w:val="true"/>
              </w:rPr>
              <w:t>حول تکفل الدلیل لقیدیة العلم فی الموضوع و الحکم</w:t>
            </w:r>
            <w:r>
              <w:rPr>
                <w:rStyle w:val="IndexLink"/>
                <w:rtl w:val="true"/>
              </w:rPr>
              <w:tab/>
            </w:r>
            <w:r>
              <w:rPr>
                <w:rStyle w:val="IndexLink"/>
              </w:rPr>
              <w:t>127</w:t>
            </w:r>
          </w:hyperlink>
        </w:p>
        <w:p>
          <w:pPr>
            <w:pStyle w:val="Contents4"/>
            <w:tabs>
              <w:tab w:val="clear" w:pos="8176"/>
              <w:tab w:val="right" w:pos="9026" w:leader="dot"/>
            </w:tabs>
            <w:rPr/>
          </w:pPr>
          <w:hyperlink w:anchor="__RefHeading___Toc624385_3244359995">
            <w:r>
              <w:rPr>
                <w:webHidden/>
                <w:rStyle w:val="IndexLink"/>
                <w:rtl w:val="true"/>
              </w:rPr>
              <w:t>تذییل حول أقسام القطع و ما یختص به من الأحکام</w:t>
            </w:r>
            <w:r>
              <w:rPr>
                <w:rStyle w:val="IndexLink"/>
                <w:rtl w:val="true"/>
              </w:rPr>
              <w:tab/>
            </w:r>
            <w:r>
              <w:rPr>
                <w:rStyle w:val="IndexLink"/>
              </w:rPr>
              <w:t>127</w:t>
            </w:r>
          </w:hyperlink>
        </w:p>
        <w:p>
          <w:pPr>
            <w:pStyle w:val="Contents5"/>
            <w:tabs>
              <w:tab w:val="clear" w:pos="7892"/>
              <w:tab w:val="right" w:pos="9026" w:leader="dot"/>
            </w:tabs>
            <w:rPr/>
          </w:pPr>
          <w:hyperlink w:anchor="__RefHeading___Toc624387_3244359995">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624389_3244359995">
            <w:r>
              <w:rPr>
                <w:webHidden/>
                <w:rStyle w:val="IndexLink"/>
                <w:rtl w:val="true"/>
              </w:rPr>
              <w:t>التنبیه الأول</w:t>
            </w:r>
            <w:r>
              <w:rPr>
                <w:rStyle w:val="IndexLink"/>
                <w:rtl w:val="true"/>
              </w:rPr>
              <w:tab/>
            </w:r>
            <w:r>
              <w:rPr>
                <w:rStyle w:val="IndexLink"/>
              </w:rPr>
              <w:t>128</w:t>
            </w:r>
          </w:hyperlink>
        </w:p>
        <w:p>
          <w:pPr>
            <w:pStyle w:val="Contents5"/>
            <w:tabs>
              <w:tab w:val="clear" w:pos="7892"/>
              <w:tab w:val="right" w:pos="9026" w:leader="dot"/>
            </w:tabs>
            <w:rPr/>
          </w:pPr>
          <w:hyperlink w:anchor="__RefHeading___Toc624391_3244359995">
            <w:r>
              <w:rPr>
                <w:webHidden/>
                <w:rStyle w:val="IndexLink"/>
                <w:rtl w:val="true"/>
              </w:rPr>
              <w:t>التنبیه الثانی</w:t>
            </w:r>
            <w:r>
              <w:rPr>
                <w:rStyle w:val="IndexLink"/>
                <w:rtl w:val="true"/>
              </w:rPr>
              <w:tab/>
            </w:r>
            <w:r>
              <w:rPr>
                <w:rStyle w:val="IndexLink"/>
              </w:rPr>
              <w:t>128</w:t>
            </w:r>
          </w:hyperlink>
        </w:p>
        <w:p>
          <w:pPr>
            <w:pStyle w:val="Contents5"/>
            <w:tabs>
              <w:tab w:val="clear" w:pos="7892"/>
              <w:tab w:val="right" w:pos="9026" w:leader="dot"/>
            </w:tabs>
            <w:rPr/>
          </w:pPr>
          <w:hyperlink w:anchor="__RefHeading___Toc624393_3244359995">
            <w:r>
              <w:rPr>
                <w:webHidden/>
                <w:rStyle w:val="IndexLink"/>
                <w:rtl w:val="true"/>
              </w:rPr>
              <w:t>التنبیه الثالث</w:t>
            </w:r>
            <w:r>
              <w:rPr>
                <w:rStyle w:val="IndexLink"/>
                <w:rtl w:val="true"/>
              </w:rPr>
              <w:tab/>
            </w:r>
            <w:r>
              <w:rPr>
                <w:rStyle w:val="IndexLink"/>
              </w:rPr>
              <w:t>129</w:t>
            </w:r>
          </w:hyperlink>
        </w:p>
        <w:p>
          <w:pPr>
            <w:pStyle w:val="Contents3"/>
            <w:tabs>
              <w:tab w:val="clear" w:pos="8459"/>
              <w:tab w:val="right" w:pos="9026" w:leader="dot"/>
            </w:tabs>
            <w:rPr/>
          </w:pPr>
          <w:hyperlink w:anchor="__RefHeading___Toc624395_3244359995">
            <w:r>
              <w:rPr>
                <w:webHidden/>
                <w:rStyle w:val="IndexLink"/>
                <w:rtl w:val="true"/>
              </w:rPr>
              <w:t>المبحث الرابع قیام الأمارات و الأصول مقام القطع</w:t>
            </w:r>
            <w:r>
              <w:rPr>
                <w:rStyle w:val="IndexLink"/>
                <w:rtl w:val="true"/>
              </w:rPr>
              <w:tab/>
            </w:r>
            <w:r>
              <w:rPr>
                <w:rStyle w:val="IndexLink"/>
              </w:rPr>
              <w:t>131</w:t>
            </w:r>
          </w:hyperlink>
        </w:p>
        <w:p>
          <w:pPr>
            <w:pStyle w:val="Contents4"/>
            <w:tabs>
              <w:tab w:val="clear" w:pos="8176"/>
              <w:tab w:val="right" w:pos="9026" w:leader="dot"/>
            </w:tabs>
            <w:rPr/>
          </w:pPr>
          <w:hyperlink w:anchor="__RefHeading___Toc624397_3244359995">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624399_3244359995">
            <w:r>
              <w:rPr>
                <w:webHidden/>
                <w:rStyle w:val="IndexLink"/>
                <w:rtl w:val="true"/>
              </w:rPr>
              <w:t>الجهة الأولی</w:t>
            </w:r>
            <w:r>
              <w:rPr>
                <w:rStyle w:val="IndexLink"/>
                <w:rtl w:val="true"/>
              </w:rPr>
              <w:t xml:space="preserve">: </w:t>
            </w:r>
            <w:r>
              <w:rPr>
                <w:rStyle w:val="IndexLink"/>
                <w:rtl w:val="true"/>
              </w:rPr>
              <w:t>فی قیام الأمارات مقام القطع الطریقی المحض</w:t>
            </w:r>
            <w:r>
              <w:rPr>
                <w:rStyle w:val="IndexLink"/>
                <w:rtl w:val="true"/>
              </w:rPr>
              <w:tab/>
            </w:r>
            <w:r>
              <w:rPr>
                <w:rStyle w:val="IndexLink"/>
              </w:rPr>
              <w:t>132</w:t>
            </w:r>
          </w:hyperlink>
        </w:p>
        <w:p>
          <w:pPr>
            <w:pStyle w:val="Contents4"/>
            <w:tabs>
              <w:tab w:val="clear" w:pos="8176"/>
              <w:tab w:val="right" w:pos="9026" w:leader="dot"/>
            </w:tabs>
            <w:rPr/>
          </w:pPr>
          <w:hyperlink w:anchor="__RefHeading___Toc624401_3244359995">
            <w:r>
              <w:rPr>
                <w:webHidden/>
                <w:rStyle w:val="IndexLink"/>
                <w:rtl w:val="true"/>
              </w:rPr>
              <w:t>الجهة الثانیة</w:t>
            </w:r>
            <w:r>
              <w:rPr>
                <w:rStyle w:val="IndexLink"/>
                <w:rtl w:val="true"/>
              </w:rPr>
              <w:t xml:space="preserve">: </w:t>
            </w:r>
            <w:r>
              <w:rPr>
                <w:rStyle w:val="IndexLink"/>
                <w:rtl w:val="true"/>
              </w:rPr>
              <w:t>فی قیامها مقام القطع الطریقی المأخوذ فی الموضوع علی أن یکون جزء</w:t>
            </w:r>
            <w:r>
              <w:rPr>
                <w:rStyle w:val="IndexLink"/>
                <w:rtl w:val="true"/>
              </w:rPr>
              <w:tab/>
            </w:r>
            <w:r>
              <w:rPr>
                <w:rStyle w:val="IndexLink"/>
              </w:rPr>
              <w:t>134</w:t>
            </w:r>
          </w:hyperlink>
        </w:p>
        <w:p>
          <w:pPr>
            <w:pStyle w:val="Contents5"/>
            <w:tabs>
              <w:tab w:val="clear" w:pos="7892"/>
              <w:tab w:val="right" w:pos="9026" w:leader="dot"/>
            </w:tabs>
            <w:rPr/>
          </w:pPr>
          <w:hyperlink w:anchor="__RefHeading___Toc624403_3244359995">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624405_3244359995">
            <w:r>
              <w:rPr>
                <w:webHidden/>
                <w:rStyle w:val="IndexLink"/>
                <w:rtl w:val="true"/>
              </w:rPr>
              <w:t>المقام الأول</w:t>
            </w:r>
            <w:r>
              <w:rPr>
                <w:rStyle w:val="IndexLink"/>
                <w:rtl w:val="true"/>
              </w:rPr>
              <w:t xml:space="preserve">: </w:t>
            </w:r>
            <w:r>
              <w:rPr>
                <w:rStyle w:val="IndexLink"/>
                <w:rtl w:val="true"/>
              </w:rPr>
              <w:t>فی إمکانه</w:t>
            </w:r>
            <w:r>
              <w:rPr>
                <w:rStyle w:val="IndexLink"/>
                <w:rtl w:val="true"/>
              </w:rPr>
              <w:tab/>
            </w:r>
            <w:r>
              <w:rPr>
                <w:rStyle w:val="IndexLink"/>
              </w:rPr>
              <w:t>134</w:t>
            </w:r>
          </w:hyperlink>
        </w:p>
        <w:p>
          <w:pPr>
            <w:pStyle w:val="Contents6"/>
            <w:tabs>
              <w:tab w:val="clear" w:pos="7609"/>
              <w:tab w:val="right" w:pos="9026" w:leader="dot"/>
            </w:tabs>
            <w:rPr/>
          </w:pPr>
          <w:hyperlink w:anchor="__RefHeading___Toc624407_3244359995">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624409_3244359995">
            <w:r>
              <w:rPr>
                <w:webHidden/>
                <w:rStyle w:val="IndexLink"/>
                <w:rtl w:val="true"/>
              </w:rPr>
              <w:t>تذییل</w:t>
            </w:r>
            <w:r>
              <w:rPr>
                <w:rStyle w:val="IndexLink"/>
                <w:rtl w:val="true"/>
              </w:rPr>
              <w:tab/>
            </w:r>
            <w:r>
              <w:rPr>
                <w:rStyle w:val="IndexLink"/>
              </w:rPr>
              <w:t>139</w:t>
            </w:r>
          </w:hyperlink>
        </w:p>
        <w:p>
          <w:pPr>
            <w:pStyle w:val="Contents5"/>
            <w:tabs>
              <w:tab w:val="clear" w:pos="7892"/>
              <w:tab w:val="right" w:pos="9026" w:leader="dot"/>
            </w:tabs>
            <w:rPr/>
          </w:pPr>
          <w:hyperlink w:anchor="__RefHeading___Toc624411_3244359995">
            <w:r>
              <w:rPr>
                <w:webHidden/>
                <w:rStyle w:val="IndexLink"/>
                <w:rtl w:val="true"/>
              </w:rPr>
              <w:t>المقام الثانی</w:t>
            </w:r>
            <w:r>
              <w:rPr>
                <w:rStyle w:val="IndexLink"/>
                <w:rtl w:val="true"/>
              </w:rPr>
              <w:t xml:space="preserve">: </w:t>
            </w:r>
            <w:r>
              <w:rPr>
                <w:rStyle w:val="IndexLink"/>
                <w:rtl w:val="true"/>
              </w:rPr>
              <w:t>فی النّظر إلی أدلة حجیة الأمارات</w:t>
            </w:r>
            <w:r>
              <w:rPr>
                <w:rStyle w:val="IndexLink"/>
                <w:rtl w:val="true"/>
              </w:rPr>
              <w:tab/>
            </w:r>
            <w:r>
              <w:rPr>
                <w:rStyle w:val="IndexLink"/>
              </w:rPr>
              <w:t>139</w:t>
            </w:r>
          </w:hyperlink>
        </w:p>
        <w:p>
          <w:pPr>
            <w:pStyle w:val="Contents6"/>
            <w:tabs>
              <w:tab w:val="clear" w:pos="7609"/>
              <w:tab w:val="right" w:pos="9026" w:leader="dot"/>
            </w:tabs>
            <w:rPr/>
          </w:pPr>
          <w:hyperlink w:anchor="__RefHeading___Toc624413_3244359995">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624415_3244359995">
            <w:r>
              <w:rPr>
                <w:webHidden/>
                <w:rStyle w:val="IndexLink"/>
                <w:rtl w:val="true"/>
              </w:rPr>
              <w:t>وهم و دفع</w:t>
            </w:r>
            <w:r>
              <w:rPr>
                <w:rStyle w:val="IndexLink"/>
                <w:rtl w:val="true"/>
              </w:rPr>
              <w:tab/>
            </w:r>
            <w:r>
              <w:rPr>
                <w:rStyle w:val="IndexLink"/>
              </w:rPr>
              <w:t>140</w:t>
            </w:r>
          </w:hyperlink>
        </w:p>
        <w:p>
          <w:pPr>
            <w:pStyle w:val="Contents6"/>
            <w:tabs>
              <w:tab w:val="clear" w:pos="7609"/>
              <w:tab w:val="right" w:pos="9026" w:leader="dot"/>
            </w:tabs>
            <w:rPr/>
          </w:pPr>
          <w:hyperlink w:anchor="__RefHeading___Toc624417_3244359995">
            <w:r>
              <w:rPr>
                <w:webHidden/>
                <w:rStyle w:val="IndexLink"/>
                <w:rtl w:val="true"/>
              </w:rPr>
              <w:t>وهم و دفع آخرین</w:t>
            </w:r>
            <w:r>
              <w:rPr>
                <w:rStyle w:val="IndexLink"/>
                <w:rtl w:val="true"/>
              </w:rPr>
              <w:tab/>
            </w:r>
            <w:r>
              <w:rPr>
                <w:rStyle w:val="IndexLink"/>
              </w:rPr>
              <w:t>142</w:t>
            </w:r>
          </w:hyperlink>
        </w:p>
        <w:p>
          <w:pPr>
            <w:pStyle w:val="Contents4"/>
            <w:tabs>
              <w:tab w:val="clear" w:pos="8176"/>
              <w:tab w:val="right" w:pos="9026" w:leader="dot"/>
            </w:tabs>
            <w:rPr/>
          </w:pPr>
          <w:hyperlink w:anchor="__RefHeading___Toc624419_3244359995">
            <w:r>
              <w:rPr>
                <w:webHidden/>
                <w:rStyle w:val="IndexLink"/>
                <w:rtl w:val="true"/>
              </w:rPr>
              <w:t>الجهة الثالثة</w:t>
            </w:r>
            <w:r>
              <w:rPr>
                <w:rStyle w:val="IndexLink"/>
                <w:rtl w:val="true"/>
              </w:rPr>
              <w:t xml:space="preserve">: </w:t>
            </w:r>
            <w:r>
              <w:rPr>
                <w:rStyle w:val="IndexLink"/>
                <w:rtl w:val="true"/>
              </w:rPr>
              <w:t>فی قیام الأمارات مقام القطع المأخوذ تمام الموضوع</w:t>
            </w:r>
            <w:r>
              <w:rPr>
                <w:rStyle w:val="IndexLink"/>
                <w:rtl w:val="true"/>
              </w:rPr>
              <w:tab/>
            </w:r>
            <w:r>
              <w:rPr>
                <w:rStyle w:val="IndexLink"/>
              </w:rPr>
              <w:t>144</w:t>
            </w:r>
          </w:hyperlink>
        </w:p>
        <w:p>
          <w:pPr>
            <w:pStyle w:val="Contents4"/>
            <w:tabs>
              <w:tab w:val="clear" w:pos="8176"/>
              <w:tab w:val="right" w:pos="9026" w:leader="dot"/>
            </w:tabs>
            <w:rPr/>
          </w:pPr>
          <w:hyperlink w:anchor="__RefHeading___Toc624421_3244359995">
            <w:r>
              <w:rPr>
                <w:webHidden/>
                <w:rStyle w:val="IndexLink"/>
                <w:rtl w:val="true"/>
              </w:rPr>
              <w:t>الجهة الرابعة</w:t>
            </w:r>
            <w:r>
              <w:rPr>
                <w:rStyle w:val="IndexLink"/>
                <w:rtl w:val="true"/>
              </w:rPr>
              <w:t xml:space="preserve">: </w:t>
            </w:r>
            <w:r>
              <w:rPr>
                <w:rStyle w:val="IndexLink"/>
                <w:rtl w:val="true"/>
              </w:rPr>
              <w:t>فی قیام الأمارات مقام القطع المأخوذ صفة فی الدلیل</w:t>
            </w:r>
            <w:r>
              <w:rPr>
                <w:rStyle w:val="IndexLink"/>
                <w:rtl w:val="true"/>
              </w:rPr>
              <w:tab/>
            </w:r>
            <w:r>
              <w:rPr>
                <w:rStyle w:val="IndexLink"/>
              </w:rPr>
              <w:t>145</w:t>
            </w:r>
          </w:hyperlink>
        </w:p>
        <w:p>
          <w:pPr>
            <w:pStyle w:val="Contents4"/>
            <w:tabs>
              <w:tab w:val="clear" w:pos="8176"/>
              <w:tab w:val="right" w:pos="9026" w:leader="dot"/>
            </w:tabs>
            <w:rPr/>
          </w:pPr>
          <w:hyperlink w:anchor="__RefHeading___Toc624423_3244359995">
            <w:r>
              <w:rPr>
                <w:webHidden/>
                <w:rStyle w:val="IndexLink"/>
                <w:rtl w:val="true"/>
              </w:rPr>
              <w:t>الجهة الخامسة</w:t>
            </w:r>
            <w:r>
              <w:rPr>
                <w:rStyle w:val="IndexLink"/>
                <w:rtl w:val="true"/>
              </w:rPr>
              <w:t xml:space="preserve">: </w:t>
            </w:r>
            <w:r>
              <w:rPr>
                <w:rStyle w:val="IndexLink"/>
                <w:rtl w:val="true"/>
              </w:rPr>
              <w:t>فی قیام الاستصحاب مقام القطع</w:t>
            </w:r>
            <w:r>
              <w:rPr>
                <w:rStyle w:val="IndexLink"/>
                <w:rtl w:val="true"/>
              </w:rPr>
              <w:tab/>
            </w:r>
            <w:r>
              <w:rPr>
                <w:rStyle w:val="IndexLink"/>
              </w:rPr>
              <w:t>146</w:t>
            </w:r>
          </w:hyperlink>
        </w:p>
        <w:p>
          <w:pPr>
            <w:pStyle w:val="Contents4"/>
            <w:tabs>
              <w:tab w:val="clear" w:pos="8176"/>
              <w:tab w:val="right" w:pos="9026" w:leader="dot"/>
            </w:tabs>
            <w:rPr/>
          </w:pPr>
          <w:hyperlink w:anchor="__RefHeading___Toc624425_3244359995">
            <w:r>
              <w:rPr>
                <w:webHidden/>
                <w:rStyle w:val="IndexLink"/>
                <w:rtl w:val="true"/>
              </w:rPr>
              <w:t>الجهة السادسة</w:t>
            </w:r>
            <w:r>
              <w:rPr>
                <w:rStyle w:val="IndexLink"/>
                <w:rtl w:val="true"/>
              </w:rPr>
              <w:t xml:space="preserve">: </w:t>
            </w:r>
            <w:r>
              <w:rPr>
                <w:rStyle w:val="IndexLink"/>
                <w:rtl w:val="true"/>
              </w:rPr>
              <w:t>فی قیام قاعدة التجاوز و الفراغ مقامه</w:t>
            </w:r>
            <w:r>
              <w:rPr>
                <w:rStyle w:val="IndexLink"/>
                <w:rtl w:val="true"/>
              </w:rPr>
              <w:tab/>
            </w:r>
            <w:r>
              <w:rPr>
                <w:rStyle w:val="IndexLink"/>
              </w:rPr>
              <w:t>151</w:t>
            </w:r>
          </w:hyperlink>
        </w:p>
        <w:p>
          <w:pPr>
            <w:pStyle w:val="Contents4"/>
            <w:tabs>
              <w:tab w:val="clear" w:pos="8176"/>
              <w:tab w:val="right" w:pos="9026" w:leader="dot"/>
            </w:tabs>
            <w:rPr/>
          </w:pPr>
          <w:hyperlink w:anchor="__RefHeading___Toc624427_3244359995">
            <w:r>
              <w:rPr>
                <w:webHidden/>
                <w:rStyle w:val="IndexLink"/>
                <w:rtl w:val="true"/>
              </w:rPr>
              <w:t>الجهة السابعة</w:t>
            </w:r>
            <w:r>
              <w:rPr>
                <w:rStyle w:val="IndexLink"/>
                <w:rtl w:val="true"/>
              </w:rPr>
              <w:t xml:space="preserve">: </w:t>
            </w:r>
            <w:r>
              <w:rPr>
                <w:rStyle w:val="IndexLink"/>
                <w:rtl w:val="true"/>
              </w:rPr>
              <w:t>قیام أصل الحل و الطهارة أو الاستصحاب مقامه</w:t>
            </w:r>
            <w:r>
              <w:rPr>
                <w:rStyle w:val="IndexLink"/>
                <w:rtl w:val="true"/>
              </w:rPr>
              <w:tab/>
            </w:r>
            <w:r>
              <w:rPr>
                <w:rStyle w:val="IndexLink"/>
              </w:rPr>
              <w:t>152</w:t>
            </w:r>
          </w:hyperlink>
        </w:p>
        <w:p>
          <w:pPr>
            <w:pStyle w:val="Contents4"/>
            <w:tabs>
              <w:tab w:val="clear" w:pos="8176"/>
              <w:tab w:val="right" w:pos="9026" w:leader="dot"/>
            </w:tabs>
            <w:rPr/>
          </w:pPr>
          <w:hyperlink w:anchor="__RefHeading___Toc624429_3244359995">
            <w:r>
              <w:rPr>
                <w:webHidden/>
                <w:rStyle w:val="IndexLink"/>
                <w:rtl w:val="true"/>
              </w:rPr>
              <w:t>الجهة الثامنة</w:t>
            </w:r>
            <w:r>
              <w:rPr>
                <w:rStyle w:val="IndexLink"/>
                <w:rtl w:val="true"/>
              </w:rPr>
              <w:t xml:space="preserve">: </w:t>
            </w:r>
            <w:r>
              <w:rPr>
                <w:rStyle w:val="IndexLink"/>
                <w:rtl w:val="true"/>
              </w:rPr>
              <w:t>تقریب قیام الأصول العملیة مقام القطع</w:t>
            </w:r>
            <w:r>
              <w:rPr>
                <w:rStyle w:val="IndexLink"/>
                <w:rtl w:val="true"/>
              </w:rPr>
              <w:tab/>
            </w:r>
            <w:r>
              <w:rPr>
                <w:rStyle w:val="IndexLink"/>
              </w:rPr>
              <w:t>153</w:t>
            </w:r>
          </w:hyperlink>
        </w:p>
        <w:p>
          <w:pPr>
            <w:pStyle w:val="Contents5"/>
            <w:tabs>
              <w:tab w:val="clear" w:pos="7892"/>
              <w:tab w:val="right" w:pos="9026" w:leader="dot"/>
            </w:tabs>
            <w:rPr/>
          </w:pPr>
          <w:hyperlink w:anchor="__RefHeading___Toc624431_3244359995">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24433_3244359995">
            <w:r>
              <w:rPr>
                <w:webHidden/>
                <w:rStyle w:val="IndexLink"/>
                <w:rtl w:val="true"/>
              </w:rPr>
              <w:t>توضیح و إفادة</w:t>
            </w:r>
            <w:r>
              <w:rPr>
                <w:rStyle w:val="IndexLink"/>
                <w:rtl w:val="true"/>
              </w:rPr>
              <w:tab/>
            </w:r>
            <w:r>
              <w:rPr>
                <w:rStyle w:val="IndexLink"/>
              </w:rPr>
              <w:t>154</w:t>
            </w:r>
          </w:hyperlink>
        </w:p>
        <w:p>
          <w:pPr>
            <w:pStyle w:val="Contents5"/>
            <w:tabs>
              <w:tab w:val="clear" w:pos="7892"/>
              <w:tab w:val="right" w:pos="9026" w:leader="dot"/>
            </w:tabs>
            <w:rPr/>
          </w:pPr>
          <w:hyperlink w:anchor="__RefHeading___Toc624435_3244359995">
            <w:r>
              <w:rPr>
                <w:webHidden/>
                <w:rStyle w:val="IndexLink"/>
                <w:rtl w:val="true"/>
              </w:rPr>
              <w:t>تتمیم و تکمیل</w:t>
            </w:r>
            <w:r>
              <w:rPr>
                <w:rStyle w:val="IndexLink"/>
                <w:rtl w:val="true"/>
              </w:rPr>
              <w:t xml:space="preserve">: </w:t>
            </w:r>
            <w:r>
              <w:rPr>
                <w:rStyle w:val="IndexLink"/>
                <w:rtl w:val="true"/>
              </w:rPr>
              <w:t>فی کیفیة قیام البراءة الشرعیة مقام القطع</w:t>
            </w:r>
            <w:r>
              <w:rPr>
                <w:rStyle w:val="IndexLink"/>
                <w:rtl w:val="true"/>
              </w:rPr>
              <w:tab/>
            </w:r>
            <w:r>
              <w:rPr>
                <w:rStyle w:val="IndexLink"/>
              </w:rPr>
              <w:t>156</w:t>
            </w:r>
          </w:hyperlink>
        </w:p>
        <w:p>
          <w:pPr>
            <w:pStyle w:val="Contents5"/>
            <w:tabs>
              <w:tab w:val="clear" w:pos="7892"/>
              <w:tab w:val="right" w:pos="9026" w:leader="dot"/>
            </w:tabs>
            <w:rPr/>
          </w:pPr>
          <w:hyperlink w:anchor="__RefHeading___Toc624437_3244359995">
            <w:r>
              <w:rPr>
                <w:webHidden/>
                <w:rStyle w:val="IndexLink"/>
                <w:rtl w:val="true"/>
              </w:rPr>
              <w:t>تذییل</w:t>
            </w:r>
            <w:r>
              <w:rPr>
                <w:rStyle w:val="IndexLink"/>
                <w:rtl w:val="true"/>
              </w:rPr>
              <w:t xml:space="preserve">: </w:t>
            </w:r>
            <w:r>
              <w:rPr>
                <w:rStyle w:val="IndexLink"/>
                <w:rtl w:val="true"/>
              </w:rPr>
              <w:t>فی وجه قیام العلم الإجمالی و الاحتمال المنجز مقام القطع</w:t>
            </w:r>
            <w:r>
              <w:rPr>
                <w:rStyle w:val="IndexLink"/>
                <w:rtl w:val="true"/>
              </w:rPr>
              <w:tab/>
            </w:r>
            <w:r>
              <w:rPr>
                <w:rStyle w:val="IndexLink"/>
              </w:rPr>
              <w:t>157</w:t>
            </w:r>
          </w:hyperlink>
        </w:p>
        <w:p>
          <w:pPr>
            <w:pStyle w:val="Contents4"/>
            <w:tabs>
              <w:tab w:val="clear" w:pos="8176"/>
              <w:tab w:val="right" w:pos="9026" w:leader="dot"/>
            </w:tabs>
            <w:rPr/>
          </w:pPr>
          <w:hyperlink w:anchor="__RefHeading___Toc624439_3244359995">
            <w:r>
              <w:rPr>
                <w:webHidden/>
                <w:rStyle w:val="IndexLink"/>
                <w:rtl w:val="true"/>
              </w:rPr>
              <w:t>الجهة التاسعة</w:t>
            </w:r>
            <w:r>
              <w:rPr>
                <w:rStyle w:val="IndexLink"/>
                <w:rtl w:val="true"/>
              </w:rPr>
              <w:t xml:space="preserve">: </w:t>
            </w:r>
            <w:r>
              <w:rPr>
                <w:rStyle w:val="IndexLink"/>
                <w:rtl w:val="true"/>
              </w:rPr>
              <w:t>فی قیام الظن الانسدادی مقامه</w:t>
            </w:r>
            <w:r>
              <w:rPr>
                <w:rStyle w:val="IndexLink"/>
                <w:rtl w:val="true"/>
              </w:rPr>
              <w:tab/>
            </w:r>
            <w:r>
              <w:rPr>
                <w:rStyle w:val="IndexLink"/>
              </w:rPr>
              <w:t>158</w:t>
            </w:r>
          </w:hyperlink>
        </w:p>
        <w:p>
          <w:pPr>
            <w:pStyle w:val="Contents3"/>
            <w:tabs>
              <w:tab w:val="clear" w:pos="8459"/>
              <w:tab w:val="right" w:pos="9026" w:leader="dot"/>
            </w:tabs>
            <w:rPr/>
          </w:pPr>
          <w:hyperlink w:anchor="__RefHeading___Toc624441_3244359995">
            <w:r>
              <w:rPr>
                <w:webHidden/>
                <w:rStyle w:val="IndexLink"/>
                <w:rtl w:val="true"/>
              </w:rPr>
              <w:t>المبحث الخامس فی الموافقة الالتزامیة</w:t>
            </w:r>
            <w:r>
              <w:rPr>
                <w:rStyle w:val="IndexLink"/>
                <w:rtl w:val="true"/>
              </w:rPr>
              <w:tab/>
            </w:r>
            <w:r>
              <w:rPr>
                <w:rStyle w:val="IndexLink"/>
              </w:rPr>
              <w:t>160</w:t>
            </w:r>
          </w:hyperlink>
        </w:p>
        <w:p>
          <w:pPr>
            <w:pStyle w:val="Contents4"/>
            <w:tabs>
              <w:tab w:val="clear" w:pos="8176"/>
              <w:tab w:val="right" w:pos="9026" w:leader="dot"/>
            </w:tabs>
            <w:rPr/>
          </w:pPr>
          <w:hyperlink w:anchor="__RefHeading___Toc624443_3244359995">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624445_3244359995">
            <w:r>
              <w:rPr>
                <w:webHidden/>
                <w:rStyle w:val="IndexLink"/>
                <w:rtl w:val="true"/>
              </w:rPr>
              <w:t>المقام الأول فی مرحلة الثبوت</w:t>
            </w:r>
            <w:r>
              <w:rPr>
                <w:rStyle w:val="IndexLink"/>
                <w:rtl w:val="true"/>
              </w:rPr>
              <w:tab/>
            </w:r>
            <w:r>
              <w:rPr>
                <w:rStyle w:val="IndexLink"/>
              </w:rPr>
              <w:t>161</w:t>
            </w:r>
          </w:hyperlink>
        </w:p>
        <w:p>
          <w:pPr>
            <w:pStyle w:val="Contents4"/>
            <w:tabs>
              <w:tab w:val="clear" w:pos="8176"/>
              <w:tab w:val="right" w:pos="9026" w:leader="dot"/>
            </w:tabs>
            <w:rPr/>
          </w:pPr>
          <w:hyperlink w:anchor="__RefHeading___Toc624447_3244359995">
            <w:r>
              <w:rPr>
                <w:webHidden/>
                <w:rStyle w:val="IndexLink"/>
                <w:rtl w:val="true"/>
              </w:rPr>
              <w:t>المقام الثانی فی مرحلة الإثبات</w:t>
            </w:r>
            <w:r>
              <w:rPr>
                <w:rStyle w:val="IndexLink"/>
                <w:rtl w:val="true"/>
              </w:rPr>
              <w:tab/>
            </w:r>
            <w:r>
              <w:rPr>
                <w:rStyle w:val="IndexLink"/>
              </w:rPr>
              <w:t>165</w:t>
            </w:r>
          </w:hyperlink>
        </w:p>
        <w:p>
          <w:pPr>
            <w:pStyle w:val="Contents3"/>
            <w:tabs>
              <w:tab w:val="clear" w:pos="8459"/>
              <w:tab w:val="right" w:pos="9026" w:leader="dot"/>
            </w:tabs>
            <w:rPr/>
          </w:pPr>
          <w:hyperlink w:anchor="__RefHeading___Toc624449_3244359995">
            <w:r>
              <w:rPr>
                <w:webHidden/>
                <w:rStyle w:val="IndexLink"/>
                <w:rtl w:val="true"/>
              </w:rPr>
              <w:t>المبحث السادس فی العلم الإجمالی</w:t>
            </w:r>
            <w:r>
              <w:rPr>
                <w:rStyle w:val="IndexLink"/>
                <w:rtl w:val="true"/>
              </w:rPr>
              <w:tab/>
            </w:r>
            <w:r>
              <w:rPr>
                <w:rStyle w:val="IndexLink"/>
              </w:rPr>
              <w:t>168</w:t>
            </w:r>
          </w:hyperlink>
        </w:p>
        <w:p>
          <w:pPr>
            <w:pStyle w:val="Contents4"/>
            <w:tabs>
              <w:tab w:val="clear" w:pos="8176"/>
              <w:tab w:val="right" w:pos="9026" w:leader="dot"/>
            </w:tabs>
            <w:rPr/>
          </w:pPr>
          <w:hyperlink w:anchor="__RefHeading___Toc624451_3244359995">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624453_3244359995">
            <w:r>
              <w:rPr>
                <w:webHidden/>
                <w:rStyle w:val="IndexLink"/>
                <w:rtl w:val="true"/>
              </w:rPr>
              <w:t>أحدها</w:t>
            </w:r>
            <w:r>
              <w:rPr>
                <w:rStyle w:val="IndexLink"/>
                <w:rtl w:val="true"/>
              </w:rPr>
              <w:t xml:space="preserve">: </w:t>
            </w:r>
            <w:r>
              <w:rPr>
                <w:rStyle w:val="IndexLink"/>
                <w:rtl w:val="true"/>
              </w:rPr>
              <w:t>فی حقیقة العلم الإجمالی</w:t>
            </w:r>
            <w:r>
              <w:rPr>
                <w:rStyle w:val="IndexLink"/>
                <w:rtl w:val="true"/>
              </w:rPr>
              <w:tab/>
            </w:r>
            <w:r>
              <w:rPr>
                <w:rStyle w:val="IndexLink"/>
              </w:rPr>
              <w:t>169</w:t>
            </w:r>
          </w:hyperlink>
        </w:p>
        <w:p>
          <w:pPr>
            <w:pStyle w:val="Contents4"/>
            <w:tabs>
              <w:tab w:val="clear" w:pos="8176"/>
              <w:tab w:val="right" w:pos="9026" w:leader="dot"/>
            </w:tabs>
            <w:rPr/>
          </w:pPr>
          <w:hyperlink w:anchor="__RefHeading___Toc624455_3244359995">
            <w:r>
              <w:rPr>
                <w:webHidden/>
                <w:rStyle w:val="IndexLink"/>
                <w:rtl w:val="true"/>
              </w:rPr>
              <w:t>ثانیها</w:t>
            </w:r>
            <w:r>
              <w:rPr>
                <w:rStyle w:val="IndexLink"/>
                <w:rtl w:val="true"/>
              </w:rPr>
              <w:t xml:space="preserve">: </w:t>
            </w:r>
            <w:r>
              <w:rPr>
                <w:rStyle w:val="IndexLink"/>
                <w:rtl w:val="true"/>
              </w:rPr>
              <w:t>فی بیان محل النزاع</w:t>
            </w:r>
            <w:r>
              <w:rPr>
                <w:rStyle w:val="IndexLink"/>
                <w:rtl w:val="true"/>
              </w:rPr>
              <w:tab/>
            </w:r>
            <w:r>
              <w:rPr>
                <w:rStyle w:val="IndexLink"/>
              </w:rPr>
              <w:t>171</w:t>
            </w:r>
          </w:hyperlink>
        </w:p>
        <w:p>
          <w:pPr>
            <w:pStyle w:val="Contents4"/>
            <w:tabs>
              <w:tab w:val="clear" w:pos="8176"/>
              <w:tab w:val="right" w:pos="9026" w:leader="dot"/>
            </w:tabs>
            <w:rPr/>
          </w:pPr>
          <w:hyperlink w:anchor="__RefHeading___Toc624457_3244359995">
            <w:r>
              <w:rPr>
                <w:webHidden/>
                <w:rStyle w:val="IndexLink"/>
                <w:rtl w:val="true"/>
              </w:rPr>
              <w:t>ثالثها</w:t>
            </w:r>
            <w:r>
              <w:rPr>
                <w:rStyle w:val="IndexLink"/>
                <w:rtl w:val="true"/>
              </w:rPr>
              <w:t xml:space="preserve">: </w:t>
            </w:r>
            <w:r>
              <w:rPr>
                <w:rStyle w:val="IndexLink"/>
                <w:rtl w:val="true"/>
              </w:rPr>
              <w:t>فی أن البحث عقلی محض</w:t>
            </w:r>
            <w:r>
              <w:rPr>
                <w:rStyle w:val="IndexLink"/>
                <w:rtl w:val="true"/>
              </w:rPr>
              <w:tab/>
            </w:r>
            <w:r>
              <w:rPr>
                <w:rStyle w:val="IndexLink"/>
              </w:rPr>
              <w:t>172</w:t>
            </w:r>
          </w:hyperlink>
        </w:p>
        <w:p>
          <w:pPr>
            <w:pStyle w:val="Contents4"/>
            <w:tabs>
              <w:tab w:val="clear" w:pos="8176"/>
              <w:tab w:val="right" w:pos="9026" w:leader="dot"/>
            </w:tabs>
            <w:rPr/>
          </w:pPr>
          <w:hyperlink w:anchor="__RefHeading___Toc624459_3244359995">
            <w:r>
              <w:rPr>
                <w:webHidden/>
                <w:rStyle w:val="IndexLink"/>
                <w:rtl w:val="true"/>
              </w:rPr>
              <w:t>رابعها</w:t>
            </w:r>
            <w:r>
              <w:rPr>
                <w:rStyle w:val="IndexLink"/>
                <w:rtl w:val="true"/>
              </w:rPr>
              <w:t xml:space="preserve">: </w:t>
            </w:r>
            <w:r>
              <w:rPr>
                <w:rStyle w:val="IndexLink"/>
                <w:rtl w:val="true"/>
              </w:rPr>
              <w:t>فی الوجوه و الأقوال فی المسألة</w:t>
            </w:r>
            <w:r>
              <w:rPr>
                <w:rStyle w:val="IndexLink"/>
                <w:rtl w:val="true"/>
              </w:rPr>
              <w:tab/>
            </w:r>
            <w:r>
              <w:rPr>
                <w:rStyle w:val="IndexLink"/>
              </w:rPr>
              <w:t>173</w:t>
            </w:r>
          </w:hyperlink>
        </w:p>
        <w:p>
          <w:pPr>
            <w:pStyle w:val="Contents5"/>
            <w:tabs>
              <w:tab w:val="clear" w:pos="7892"/>
              <w:tab w:val="right" w:pos="9026" w:leader="dot"/>
            </w:tabs>
            <w:rPr/>
          </w:pPr>
          <w:hyperlink w:anchor="__RefHeading___Toc624461_3244359995">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624463_3244359995">
            <w:r>
              <w:rPr>
                <w:webHidden/>
                <w:rStyle w:val="IndexLink"/>
                <w:rtl w:val="true"/>
              </w:rPr>
              <w:t>إیقاظ</w:t>
            </w:r>
            <w:r>
              <w:rPr>
                <w:rStyle w:val="IndexLink"/>
                <w:rtl w:val="true"/>
              </w:rPr>
              <w:t xml:space="preserve">: </w:t>
            </w:r>
            <w:r>
              <w:rPr>
                <w:rStyle w:val="IndexLink"/>
                <w:rtl w:val="true"/>
              </w:rPr>
              <w:t>فیه إشارة لبعض الأدلة الشرعیة علی تنجیز العلم الإجمالی</w:t>
            </w:r>
            <w:r>
              <w:rPr>
                <w:rStyle w:val="IndexLink"/>
                <w:rtl w:val="true"/>
              </w:rPr>
              <w:tab/>
            </w:r>
            <w:r>
              <w:rPr>
                <w:rStyle w:val="IndexLink"/>
              </w:rPr>
              <w:t>181</w:t>
            </w:r>
          </w:hyperlink>
        </w:p>
        <w:p>
          <w:pPr>
            <w:pStyle w:val="Contents4"/>
            <w:tabs>
              <w:tab w:val="clear" w:pos="8176"/>
              <w:tab w:val="right" w:pos="9026" w:leader="dot"/>
            </w:tabs>
            <w:rPr/>
          </w:pPr>
          <w:hyperlink w:anchor="__RefHeading___Toc624465_3244359995">
            <w:r>
              <w:rPr>
                <w:webHidden/>
                <w:rStyle w:val="IndexLink"/>
                <w:rtl w:val="true"/>
              </w:rPr>
              <w:t>المرحلة الأولی فیما هو الحق فی مسألة تنجیز العلم الإجمالی</w:t>
            </w:r>
            <w:r>
              <w:rPr>
                <w:rStyle w:val="IndexLink"/>
                <w:rtl w:val="true"/>
              </w:rPr>
              <w:tab/>
            </w:r>
            <w:r>
              <w:rPr>
                <w:rStyle w:val="IndexLink"/>
              </w:rPr>
              <w:t>182</w:t>
            </w:r>
          </w:hyperlink>
        </w:p>
        <w:p>
          <w:pPr>
            <w:pStyle w:val="Contents5"/>
            <w:tabs>
              <w:tab w:val="clear" w:pos="7892"/>
              <w:tab w:val="right" w:pos="9026" w:leader="dot"/>
            </w:tabs>
            <w:rPr/>
          </w:pPr>
          <w:hyperlink w:anchor="__RefHeading___Toc624467_3244359995">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624469_3244359995">
            <w:r>
              <w:rPr>
                <w:webHidden/>
                <w:rStyle w:val="IndexLink"/>
                <w:rtl w:val="true"/>
              </w:rPr>
              <w:t>تحقیق و تقریب</w:t>
            </w:r>
            <w:r>
              <w:rPr>
                <w:rStyle w:val="IndexLink"/>
                <w:rtl w:val="true"/>
              </w:rPr>
              <w:tab/>
            </w:r>
            <w:r>
              <w:rPr>
                <w:rStyle w:val="IndexLink"/>
              </w:rPr>
              <w:t>184</w:t>
            </w:r>
          </w:hyperlink>
        </w:p>
        <w:p>
          <w:pPr>
            <w:pStyle w:val="Contents5"/>
            <w:tabs>
              <w:tab w:val="clear" w:pos="7892"/>
              <w:tab w:val="right" w:pos="9026" w:leader="dot"/>
            </w:tabs>
            <w:rPr/>
          </w:pPr>
          <w:hyperlink w:anchor="__RefHeading___Toc624471_3244359995">
            <w:r>
              <w:rPr>
                <w:webHidden/>
                <w:rStyle w:val="IndexLink"/>
                <w:rtl w:val="true"/>
              </w:rPr>
              <w:t>بقی شی‌ء</w:t>
            </w:r>
            <w:r>
              <w:rPr>
                <w:rStyle w:val="IndexLink"/>
                <w:rtl w:val="true"/>
              </w:rPr>
              <w:t xml:space="preserve">: </w:t>
            </w:r>
            <w:r>
              <w:rPr>
                <w:rStyle w:val="IndexLink"/>
                <w:rtl w:val="true"/>
              </w:rPr>
              <w:t>فی بیان النسبة بین مصب الأحکام الواقعیة و مصب الأصول العملیة الحکمیة</w:t>
            </w:r>
            <w:r>
              <w:rPr>
                <w:rStyle w:val="IndexLink"/>
                <w:rtl w:val="true"/>
              </w:rPr>
              <w:tab/>
            </w:r>
            <w:r>
              <w:rPr>
                <w:rStyle w:val="IndexLink"/>
              </w:rPr>
              <w:t>187</w:t>
            </w:r>
          </w:hyperlink>
        </w:p>
        <w:p>
          <w:pPr>
            <w:pStyle w:val="Contents5"/>
            <w:tabs>
              <w:tab w:val="clear" w:pos="7892"/>
              <w:tab w:val="right" w:pos="9026" w:leader="dot"/>
            </w:tabs>
            <w:rPr/>
          </w:pPr>
          <w:hyperlink w:anchor="__RefHeading___Toc624473_3244359995">
            <w:r>
              <w:rPr>
                <w:webHidden/>
                <w:rStyle w:val="IndexLink"/>
                <w:rtl w:val="true"/>
              </w:rPr>
              <w:t>بقی شی‌ء آخر</w:t>
            </w:r>
            <w:r>
              <w:rPr>
                <w:rStyle w:val="IndexLink"/>
                <w:rtl w:val="true"/>
              </w:rPr>
              <w:t xml:space="preserve">: </w:t>
            </w:r>
            <w:r>
              <w:rPr>
                <w:rStyle w:val="IndexLink"/>
                <w:rtl w:val="true"/>
              </w:rPr>
              <w:t>فی عدم استلزام جعل حلیة المشکوک لمحال</w:t>
            </w:r>
            <w:r>
              <w:rPr>
                <w:rStyle w:val="IndexLink"/>
                <w:rtl w:val="true"/>
              </w:rPr>
              <w:tab/>
            </w:r>
            <w:r>
              <w:rPr>
                <w:rStyle w:val="IndexLink"/>
              </w:rPr>
              <w:t>187</w:t>
            </w:r>
          </w:hyperlink>
        </w:p>
        <w:p>
          <w:pPr>
            <w:pStyle w:val="Contents5"/>
            <w:tabs>
              <w:tab w:val="clear" w:pos="7892"/>
              <w:tab w:val="right" w:pos="9026" w:leader="dot"/>
            </w:tabs>
            <w:rPr/>
          </w:pPr>
          <w:hyperlink w:anchor="__RefHeading___Toc624475_3244359995">
            <w:r>
              <w:rPr>
                <w:webHidden/>
                <w:rStyle w:val="IndexLink"/>
                <w:rtl w:val="true"/>
              </w:rPr>
              <w:t>بحث و تحقیق فی منجزیة العلم الإجمالی</w:t>
            </w:r>
            <w:r>
              <w:rPr>
                <w:rStyle w:val="IndexLink"/>
                <w:rtl w:val="true"/>
              </w:rPr>
              <w:tab/>
            </w:r>
            <w:r>
              <w:rPr>
                <w:rStyle w:val="IndexLink"/>
              </w:rPr>
              <w:t>188</w:t>
            </w:r>
          </w:hyperlink>
        </w:p>
        <w:p>
          <w:pPr>
            <w:pStyle w:val="Contents5"/>
            <w:tabs>
              <w:tab w:val="clear" w:pos="7892"/>
              <w:tab w:val="right" w:pos="9026" w:leader="dot"/>
            </w:tabs>
            <w:rPr/>
          </w:pPr>
          <w:hyperlink w:anchor="__RefHeading___Toc624477_3244359995">
            <w:r>
              <w:rPr>
                <w:webHidden/>
                <w:rStyle w:val="IndexLink"/>
                <w:rtl w:val="true"/>
              </w:rPr>
              <w:t>تتمیم و تحلیل حول تنجیز ضمان المثلیین و التکالیف عند العلم الإجمالی</w:t>
            </w:r>
            <w:r>
              <w:rPr>
                <w:rStyle w:val="IndexLink"/>
                <w:rtl w:val="true"/>
              </w:rPr>
              <w:tab/>
            </w:r>
            <w:r>
              <w:rPr>
                <w:rStyle w:val="IndexLink"/>
              </w:rPr>
              <w:t>192</w:t>
            </w:r>
          </w:hyperlink>
        </w:p>
        <w:p>
          <w:pPr>
            <w:pStyle w:val="Contents5"/>
            <w:tabs>
              <w:tab w:val="clear" w:pos="7892"/>
              <w:tab w:val="right" w:pos="9026" w:leader="dot"/>
            </w:tabs>
            <w:rPr/>
          </w:pPr>
          <w:hyperlink w:anchor="__RefHeading___Toc624479_3244359995">
            <w:r>
              <w:rPr>
                <w:webHidden/>
                <w:rStyle w:val="IndexLink"/>
                <w:rtl w:val="true"/>
              </w:rPr>
              <w:t>نقل مختار المحقق الأصفهانی فی تنجیز العلم الإجمالی و نقده</w:t>
            </w:r>
            <w:r>
              <w:rPr>
                <w:rStyle w:val="IndexLink"/>
                <w:rtl w:val="true"/>
              </w:rPr>
              <w:tab/>
            </w:r>
            <w:r>
              <w:rPr>
                <w:rStyle w:val="IndexLink"/>
              </w:rPr>
              <w:t>193</w:t>
            </w:r>
          </w:hyperlink>
        </w:p>
        <w:p>
          <w:pPr>
            <w:pStyle w:val="Contents4"/>
            <w:tabs>
              <w:tab w:val="clear" w:pos="8176"/>
              <w:tab w:val="right" w:pos="9026" w:leader="dot"/>
            </w:tabs>
            <w:rPr/>
          </w:pPr>
          <w:hyperlink w:anchor="__RefHeading___Toc624481_3244359995">
            <w:r>
              <w:rPr>
                <w:webHidden/>
                <w:rStyle w:val="IndexLink"/>
                <w:rtl w:val="true"/>
              </w:rPr>
              <w:t>المرحلة الثانیة فی کفایة الامتثال الإجمالی و عدم کفایته</w:t>
            </w:r>
            <w:r>
              <w:rPr>
                <w:rStyle w:val="IndexLink"/>
                <w:rtl w:val="true"/>
              </w:rPr>
              <w:tab/>
            </w:r>
            <w:r>
              <w:rPr>
                <w:rStyle w:val="IndexLink"/>
              </w:rPr>
              <w:t>193</w:t>
            </w:r>
          </w:hyperlink>
        </w:p>
        <w:p>
          <w:pPr>
            <w:pStyle w:val="Contents5"/>
            <w:tabs>
              <w:tab w:val="clear" w:pos="7892"/>
              <w:tab w:val="right" w:pos="9026" w:leader="dot"/>
            </w:tabs>
            <w:rPr/>
          </w:pPr>
          <w:hyperlink w:anchor="__RefHeading___Toc624483_3244359995">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624485_3244359995">
            <w:r>
              <w:rPr>
                <w:webHidden/>
                <w:rStyle w:val="IndexLink"/>
                <w:rtl w:val="true"/>
              </w:rPr>
              <w:t>الجهة الأولی</w:t>
            </w:r>
            <w:r>
              <w:rPr>
                <w:rStyle w:val="IndexLink"/>
                <w:rtl w:val="true"/>
              </w:rPr>
              <w:t xml:space="preserve">: </w:t>
            </w:r>
            <w:r>
              <w:rPr>
                <w:rStyle w:val="IndexLink"/>
                <w:rtl w:val="true"/>
              </w:rPr>
              <w:t>فی إمکان تحصیل قصد الوجه بالامتثال الإجمالی</w:t>
            </w:r>
            <w:r>
              <w:rPr>
                <w:rStyle w:val="IndexLink"/>
                <w:rtl w:val="true"/>
              </w:rPr>
              <w:tab/>
            </w:r>
            <w:r>
              <w:rPr>
                <w:rStyle w:val="IndexLink"/>
              </w:rPr>
              <w:t>196</w:t>
            </w:r>
          </w:hyperlink>
        </w:p>
        <w:p>
          <w:pPr>
            <w:pStyle w:val="Contents5"/>
            <w:tabs>
              <w:tab w:val="clear" w:pos="7892"/>
              <w:tab w:val="right" w:pos="9026" w:leader="dot"/>
            </w:tabs>
            <w:rPr/>
          </w:pPr>
          <w:hyperlink w:anchor="__RefHeading___Toc624487_3244359995">
            <w:r>
              <w:rPr>
                <w:webHidden/>
                <w:rStyle w:val="IndexLink"/>
                <w:rtl w:val="true"/>
              </w:rPr>
              <w:t>الجهة الثانیة</w:t>
            </w:r>
            <w:r>
              <w:rPr>
                <w:rStyle w:val="IndexLink"/>
                <w:rtl w:val="true"/>
              </w:rPr>
              <w:t xml:space="preserve">: </w:t>
            </w:r>
            <w:r>
              <w:rPr>
                <w:rStyle w:val="IndexLink"/>
                <w:rtl w:val="true"/>
              </w:rPr>
              <w:t>فی صحة الامتثال الإجمالی</w:t>
            </w:r>
            <w:r>
              <w:rPr>
                <w:rStyle w:val="IndexLink"/>
                <w:rtl w:val="true"/>
              </w:rPr>
              <w:tab/>
            </w:r>
            <w:r>
              <w:rPr>
                <w:rStyle w:val="IndexLink"/>
              </w:rPr>
              <w:t>197</w:t>
            </w:r>
          </w:hyperlink>
        </w:p>
        <w:p>
          <w:pPr>
            <w:pStyle w:val="Contents5"/>
            <w:tabs>
              <w:tab w:val="clear" w:pos="7892"/>
              <w:tab w:val="right" w:pos="9026" w:leader="dot"/>
            </w:tabs>
            <w:rPr/>
          </w:pPr>
          <w:hyperlink w:anchor="__RefHeading___Toc624489_3244359995">
            <w:r>
              <w:rPr>
                <w:webHidden/>
                <w:rStyle w:val="IndexLink"/>
                <w:rtl w:val="true"/>
              </w:rPr>
              <w:t>تذنیب</w:t>
            </w:r>
            <w:r>
              <w:rPr>
                <w:rStyle w:val="IndexLink"/>
                <w:rtl w:val="true"/>
              </w:rPr>
              <w:t xml:space="preserve">: </w:t>
            </w:r>
            <w:r>
              <w:rPr>
                <w:rStyle w:val="IndexLink"/>
                <w:rtl w:val="true"/>
              </w:rPr>
              <w:t>فی دوران الأمر بین الامتثال الإجمالی و الظن الانسدادی</w:t>
            </w:r>
            <w:r>
              <w:rPr>
                <w:rStyle w:val="IndexLink"/>
                <w:rtl w:val="true"/>
              </w:rPr>
              <w:tab/>
            </w:r>
            <w:r>
              <w:rPr>
                <w:rStyle w:val="IndexLink"/>
              </w:rPr>
              <w:t>205</w:t>
            </w:r>
          </w:hyperlink>
        </w:p>
        <w:p>
          <w:pPr>
            <w:pStyle w:val="Contents5"/>
            <w:tabs>
              <w:tab w:val="clear" w:pos="7892"/>
              <w:tab w:val="right" w:pos="9026" w:leader="dot"/>
            </w:tabs>
            <w:rPr/>
          </w:pPr>
          <w:hyperlink w:anchor="__RefHeading___Toc624491_3244359995">
            <w:r>
              <w:rPr>
                <w:webHidden/>
                <w:rStyle w:val="IndexLink"/>
                <w:rtl w:val="true"/>
              </w:rPr>
              <w:t>الخلاف حول مراتب الامتثالین التفصیلیّ و الإجمالی</w:t>
            </w:r>
            <w:r>
              <w:rPr>
                <w:rStyle w:val="IndexLink"/>
                <w:rtl w:val="true"/>
              </w:rPr>
              <w:tab/>
            </w:r>
            <w:r>
              <w:rPr>
                <w:rStyle w:val="IndexLink"/>
              </w:rPr>
              <w:t>206</w:t>
            </w:r>
          </w:hyperlink>
        </w:p>
        <w:p>
          <w:pPr>
            <w:pStyle w:val="Contents5"/>
            <w:tabs>
              <w:tab w:val="clear" w:pos="7892"/>
              <w:tab w:val="right" w:pos="9026" w:leader="dot"/>
            </w:tabs>
            <w:rPr/>
          </w:pPr>
          <w:hyperlink w:anchor="__RefHeading___Toc624493_3244359995">
            <w:r>
              <w:rPr>
                <w:webHidden/>
                <w:rStyle w:val="IndexLink"/>
                <w:rtl w:val="true"/>
              </w:rPr>
              <w:t>فذلکة البحث</w:t>
            </w:r>
            <w:r>
              <w:rPr>
                <w:rStyle w:val="IndexLink"/>
                <w:rtl w:val="true"/>
              </w:rPr>
              <w:tab/>
            </w:r>
            <w:r>
              <w:rPr>
                <w:rStyle w:val="IndexLink"/>
              </w:rPr>
              <w:t>208</w:t>
            </w:r>
          </w:hyperlink>
        </w:p>
        <w:p>
          <w:pPr>
            <w:pStyle w:val="Contents2"/>
            <w:tabs>
              <w:tab w:val="clear" w:pos="8743"/>
              <w:tab w:val="right" w:pos="9026" w:leader="dot"/>
            </w:tabs>
            <w:rPr/>
          </w:pPr>
          <w:hyperlink w:anchor="__RefHeading___Toc624495_3244359995">
            <w:r>
              <w:rPr>
                <w:webHidden/>
                <w:rStyle w:val="IndexLink"/>
                <w:rtl w:val="true"/>
              </w:rPr>
              <w:t>المقصد الثامن فی الظن</w:t>
            </w:r>
            <w:r>
              <w:rPr>
                <w:rStyle w:val="IndexLink"/>
                <w:rtl w:val="true"/>
              </w:rPr>
              <w:tab/>
            </w:r>
            <w:r>
              <w:rPr>
                <w:rStyle w:val="IndexLink"/>
              </w:rPr>
              <w:t>210</w:t>
            </w:r>
          </w:hyperlink>
        </w:p>
        <w:p>
          <w:pPr>
            <w:pStyle w:val="Contents3"/>
            <w:tabs>
              <w:tab w:val="clear" w:pos="8459"/>
              <w:tab w:val="right" w:pos="9026" w:leader="dot"/>
            </w:tabs>
            <w:rPr/>
          </w:pPr>
          <w:hyperlink w:anchor="__RefHeading___Toc624497_3244359995">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624499_3244359995">
            <w:r>
              <w:rPr>
                <w:webHidden/>
                <w:rStyle w:val="IndexLink"/>
                <w:rtl w:val="true"/>
              </w:rPr>
              <w:t>مقدمة</w:t>
            </w:r>
            <w:r>
              <w:rPr>
                <w:rStyle w:val="IndexLink"/>
                <w:rtl w:val="true"/>
              </w:rPr>
              <w:tab/>
            </w:r>
            <w:r>
              <w:rPr>
                <w:rStyle w:val="IndexLink"/>
              </w:rPr>
              <w:t>211</w:t>
            </w:r>
          </w:hyperlink>
        </w:p>
        <w:p>
          <w:pPr>
            <w:pStyle w:val="Contents4"/>
            <w:tabs>
              <w:tab w:val="clear" w:pos="8176"/>
              <w:tab w:val="right" w:pos="9026" w:leader="dot"/>
            </w:tabs>
            <w:rPr/>
          </w:pPr>
          <w:hyperlink w:anchor="__RefHeading___Toc624501_3244359995">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624503_3244359995">
            <w:r>
              <w:rPr>
                <w:webHidden/>
                <w:rStyle w:val="IndexLink"/>
                <w:rtl w:val="true"/>
              </w:rPr>
              <w:t>الجهة الأولی</w:t>
            </w:r>
            <w:r>
              <w:rPr>
                <w:rStyle w:val="IndexLink"/>
                <w:rtl w:val="true"/>
              </w:rPr>
              <w:t xml:space="preserve">: </w:t>
            </w:r>
            <w:r>
              <w:rPr>
                <w:rStyle w:val="IndexLink"/>
                <w:rtl w:val="true"/>
              </w:rPr>
              <w:t>فی تنقیح محل النزاع</w:t>
            </w:r>
            <w:r>
              <w:rPr>
                <w:rStyle w:val="IndexLink"/>
                <w:rtl w:val="true"/>
              </w:rPr>
              <w:tab/>
            </w:r>
            <w:r>
              <w:rPr>
                <w:rStyle w:val="IndexLink"/>
              </w:rPr>
              <w:t>211</w:t>
            </w:r>
          </w:hyperlink>
        </w:p>
        <w:p>
          <w:pPr>
            <w:pStyle w:val="Contents4"/>
            <w:tabs>
              <w:tab w:val="clear" w:pos="8176"/>
              <w:tab w:val="right" w:pos="9026" w:leader="dot"/>
            </w:tabs>
            <w:rPr/>
          </w:pPr>
          <w:hyperlink w:anchor="__RefHeading___Toc624505_3244359995">
            <w:r>
              <w:rPr>
                <w:webHidden/>
                <w:rStyle w:val="IndexLink"/>
                <w:rtl w:val="true"/>
              </w:rPr>
              <w:t>الجهة الثانیة</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الإمکان</w:t>
            </w:r>
            <w:r>
              <w:rPr>
                <w:rStyle w:val="IndexLink"/>
                <w:rtl w:val="true"/>
              </w:rPr>
              <w:t xml:space="preserve">» </w:t>
            </w:r>
            <w:r>
              <w:rPr>
                <w:rStyle w:val="IndexLink"/>
                <w:rtl w:val="true"/>
              </w:rPr>
              <w:t>المزبور</w:t>
            </w:r>
            <w:r>
              <w:rPr>
                <w:rStyle w:val="IndexLink"/>
                <w:rtl w:val="true"/>
              </w:rPr>
              <w:tab/>
            </w:r>
            <w:r>
              <w:rPr>
                <w:rStyle w:val="IndexLink"/>
              </w:rPr>
              <w:t>213</w:t>
            </w:r>
          </w:hyperlink>
        </w:p>
        <w:p>
          <w:pPr>
            <w:pStyle w:val="Contents5"/>
            <w:tabs>
              <w:tab w:val="clear" w:pos="7892"/>
              <w:tab w:val="right" w:pos="9026" w:leader="dot"/>
            </w:tabs>
            <w:rPr/>
          </w:pPr>
          <w:hyperlink w:anchor="__RefHeading___Toc624507_3244359995">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624509_3244359995">
            <w:r>
              <w:rPr>
                <w:webHidden/>
                <w:rStyle w:val="IndexLink"/>
                <w:rtl w:val="true"/>
              </w:rPr>
              <w:t>بقی شی‌ء</w:t>
            </w:r>
            <w:r>
              <w:rPr>
                <w:rStyle w:val="IndexLink"/>
                <w:rtl w:val="true"/>
              </w:rPr>
              <w:tab/>
            </w:r>
            <w:r>
              <w:rPr>
                <w:rStyle w:val="IndexLink"/>
              </w:rPr>
              <w:t>216</w:t>
            </w:r>
          </w:hyperlink>
        </w:p>
        <w:p>
          <w:pPr>
            <w:pStyle w:val="Contents5"/>
            <w:tabs>
              <w:tab w:val="clear" w:pos="7892"/>
              <w:tab w:val="right" w:pos="9026" w:leader="dot"/>
            </w:tabs>
            <w:rPr/>
          </w:pPr>
          <w:hyperlink w:anchor="__RefHeading___Toc624511_3244359995">
            <w:r>
              <w:rPr>
                <w:webHidden/>
                <w:rStyle w:val="IndexLink"/>
                <w:rtl w:val="true"/>
              </w:rPr>
              <w:t>بقی شی‌ء آخر</w:t>
            </w:r>
            <w:r>
              <w:rPr>
                <w:rStyle w:val="IndexLink"/>
                <w:rtl w:val="true"/>
              </w:rPr>
              <w:tab/>
            </w:r>
            <w:r>
              <w:rPr>
                <w:rStyle w:val="IndexLink"/>
              </w:rPr>
              <w:t>217</w:t>
            </w:r>
          </w:hyperlink>
        </w:p>
        <w:p>
          <w:pPr>
            <w:pStyle w:val="Contents4"/>
            <w:tabs>
              <w:tab w:val="clear" w:pos="8176"/>
              <w:tab w:val="right" w:pos="9026" w:leader="dot"/>
            </w:tabs>
            <w:rPr/>
          </w:pPr>
          <w:hyperlink w:anchor="__RefHeading___Toc624513_3244359995">
            <w:r>
              <w:rPr>
                <w:webHidden/>
                <w:rStyle w:val="IndexLink"/>
                <w:rtl w:val="true"/>
              </w:rPr>
              <w:t>الجهة الثالثة</w:t>
            </w:r>
            <w:r>
              <w:rPr>
                <w:rStyle w:val="IndexLink"/>
                <w:rtl w:val="true"/>
              </w:rPr>
              <w:t xml:space="preserve">: </w:t>
            </w:r>
            <w:r>
              <w:rPr>
                <w:rStyle w:val="IndexLink"/>
                <w:rtl w:val="true"/>
              </w:rPr>
              <w:t>حول المحاذیر التی یمکن أن تذکر للتعبد بما یؤدی إلی خلاف الواقع أحیانا</w:t>
            </w:r>
            <w:r>
              <w:rPr>
                <w:rStyle w:val="IndexLink"/>
                <w:rtl w:val="true"/>
              </w:rPr>
              <w:tab/>
            </w:r>
            <w:r>
              <w:rPr>
                <w:rStyle w:val="IndexLink"/>
              </w:rPr>
              <w:t>218</w:t>
            </w:r>
          </w:hyperlink>
        </w:p>
        <w:p>
          <w:pPr>
            <w:pStyle w:val="Contents5"/>
            <w:tabs>
              <w:tab w:val="clear" w:pos="7892"/>
              <w:tab w:val="right" w:pos="9026" w:leader="dot"/>
            </w:tabs>
            <w:rPr/>
          </w:pPr>
          <w:hyperlink w:anchor="__RefHeading___Toc624515_3244359995">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624517_3244359995">
            <w:r>
              <w:rPr>
                <w:webHidden/>
                <w:rStyle w:val="IndexLink"/>
                <w:rtl w:val="true"/>
              </w:rPr>
              <w:t>انقسام المحاذیر العقلیة إلی ثلاث طوائف</w:t>
            </w:r>
            <w:r>
              <w:rPr>
                <w:rStyle w:val="IndexLink"/>
                <w:rtl w:val="true"/>
              </w:rPr>
              <w:tab/>
            </w:r>
            <w:r>
              <w:rPr>
                <w:rStyle w:val="IndexLink"/>
              </w:rPr>
              <w:t>220</w:t>
            </w:r>
          </w:hyperlink>
        </w:p>
        <w:p>
          <w:pPr>
            <w:pStyle w:val="Contents6"/>
            <w:tabs>
              <w:tab w:val="clear" w:pos="7609"/>
              <w:tab w:val="right" w:pos="9026" w:leader="dot"/>
            </w:tabs>
            <w:rPr/>
          </w:pPr>
          <w:hyperlink w:anchor="__RefHeading___Toc624519_3244359995">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624521_3244359995">
            <w:r>
              <w:rPr>
                <w:webHidden/>
                <w:rStyle w:val="IndexLink"/>
                <w:rtl w:val="true"/>
              </w:rPr>
              <w:t>الطائفة الأولی</w:t>
            </w:r>
            <w:r>
              <w:rPr>
                <w:rStyle w:val="IndexLink"/>
                <w:rtl w:val="true"/>
              </w:rPr>
              <w:t xml:space="preserve">: </w:t>
            </w:r>
            <w:r>
              <w:rPr>
                <w:rStyle w:val="IndexLink"/>
                <w:rtl w:val="true"/>
              </w:rPr>
              <w:t>المحاذیر الممنوعة عقلا</w:t>
            </w:r>
            <w:r>
              <w:rPr>
                <w:rStyle w:val="IndexLink"/>
                <w:rtl w:val="true"/>
              </w:rPr>
              <w:tab/>
            </w:r>
            <w:r>
              <w:rPr>
                <w:rStyle w:val="IndexLink"/>
              </w:rPr>
              <w:t>221</w:t>
            </w:r>
          </w:hyperlink>
        </w:p>
        <w:p>
          <w:pPr>
            <w:pStyle w:val="Contents6"/>
            <w:tabs>
              <w:tab w:val="clear" w:pos="7609"/>
              <w:tab w:val="right" w:pos="9026" w:leader="dot"/>
            </w:tabs>
            <w:rPr/>
          </w:pPr>
          <w:hyperlink w:anchor="__RefHeading___Toc624523_3244359995">
            <w:r>
              <w:rPr>
                <w:webHidden/>
                <w:rStyle w:val="IndexLink"/>
                <w:rtl w:val="true"/>
              </w:rPr>
              <w:t>الطائفة الثانیة</w:t>
            </w:r>
            <w:r>
              <w:rPr>
                <w:rStyle w:val="IndexLink"/>
                <w:rtl w:val="true"/>
              </w:rPr>
              <w:t xml:space="preserve">: </w:t>
            </w:r>
            <w:r>
              <w:rPr>
                <w:rStyle w:val="IndexLink"/>
                <w:rtl w:val="true"/>
              </w:rPr>
              <w:t>ما هو المحذور عند الإمامیة حسب المذهب</w:t>
            </w:r>
            <w:r>
              <w:rPr>
                <w:rStyle w:val="IndexLink"/>
                <w:rtl w:val="true"/>
              </w:rPr>
              <w:tab/>
            </w:r>
            <w:r>
              <w:rPr>
                <w:rStyle w:val="IndexLink"/>
              </w:rPr>
              <w:t>225</w:t>
            </w:r>
          </w:hyperlink>
        </w:p>
        <w:p>
          <w:pPr>
            <w:pStyle w:val="Contents6"/>
            <w:tabs>
              <w:tab w:val="clear" w:pos="7609"/>
              <w:tab w:val="right" w:pos="9026" w:leader="dot"/>
            </w:tabs>
            <w:rPr/>
          </w:pPr>
          <w:hyperlink w:anchor="__RefHeading___Toc624525_3244359995">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624527_3244359995">
            <w:r>
              <w:rPr>
                <w:webHidden/>
                <w:rStyle w:val="IndexLink"/>
                <w:rtl w:val="true"/>
              </w:rPr>
              <w:t>تتمیم</w:t>
            </w:r>
            <w:r>
              <w:rPr>
                <w:rStyle w:val="IndexLink"/>
                <w:rtl w:val="true"/>
              </w:rPr>
              <w:t xml:space="preserve">: </w:t>
            </w:r>
            <w:r>
              <w:rPr>
                <w:rStyle w:val="IndexLink"/>
                <w:rtl w:val="true"/>
              </w:rPr>
              <w:t>حول اجتماع المصلحة و المفسدة بناء علی المختار</w:t>
            </w:r>
            <w:r>
              <w:rPr>
                <w:rStyle w:val="IndexLink"/>
                <w:rtl w:val="true"/>
              </w:rPr>
              <w:tab/>
            </w:r>
            <w:r>
              <w:rPr>
                <w:rStyle w:val="IndexLink"/>
              </w:rPr>
              <w:t>228</w:t>
            </w:r>
          </w:hyperlink>
        </w:p>
        <w:p>
          <w:pPr>
            <w:pStyle w:val="Contents6"/>
            <w:tabs>
              <w:tab w:val="clear" w:pos="7609"/>
              <w:tab w:val="right" w:pos="9026" w:leader="dot"/>
            </w:tabs>
            <w:rPr/>
          </w:pPr>
          <w:hyperlink w:anchor="__RefHeading___Toc624529_3244359995">
            <w:r>
              <w:rPr>
                <w:webHidden/>
                <w:rStyle w:val="IndexLink"/>
                <w:rtl w:val="true"/>
              </w:rPr>
              <w:t>الطائفة الثالثة</w:t>
            </w:r>
            <w:r>
              <w:rPr>
                <w:rStyle w:val="IndexLink"/>
                <w:rtl w:val="true"/>
              </w:rPr>
              <w:t xml:space="preserve">: </w:t>
            </w:r>
            <w:r>
              <w:rPr>
                <w:rStyle w:val="IndexLink"/>
                <w:rtl w:val="true"/>
              </w:rPr>
              <w:t>ما لا یلتزم بها المسلمون</w:t>
            </w:r>
            <w:r>
              <w:rPr>
                <w:rStyle w:val="IndexLink"/>
                <w:rtl w:val="true"/>
              </w:rPr>
              <w:tab/>
            </w:r>
            <w:r>
              <w:rPr>
                <w:rStyle w:val="IndexLink"/>
              </w:rPr>
              <w:t>230</w:t>
            </w:r>
          </w:hyperlink>
        </w:p>
        <w:p>
          <w:pPr>
            <w:pStyle w:val="Contents6"/>
            <w:tabs>
              <w:tab w:val="clear" w:pos="7609"/>
              <w:tab w:val="right" w:pos="9026" w:leader="dot"/>
            </w:tabs>
            <w:rPr/>
          </w:pPr>
          <w:hyperlink w:anchor="__RefHeading___Toc624531_3244359995">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624533_3244359995">
            <w:r>
              <w:rPr>
                <w:webHidden/>
                <w:rStyle w:val="IndexLink"/>
                <w:rtl w:val="true"/>
              </w:rPr>
              <w:t>تذنیب</w:t>
            </w:r>
            <w:r>
              <w:rPr>
                <w:rStyle w:val="IndexLink"/>
                <w:rtl w:val="true"/>
              </w:rPr>
              <w:t xml:space="preserve">: </w:t>
            </w:r>
            <w:r>
              <w:rPr>
                <w:rStyle w:val="IndexLink"/>
                <w:rtl w:val="true"/>
              </w:rPr>
              <w:t>فی حل المشکلة بلحاظ الأصول المتصدیة لجعل الحکم أو رفعه</w:t>
            </w:r>
            <w:r>
              <w:rPr>
                <w:rStyle w:val="IndexLink"/>
                <w:rtl w:val="true"/>
              </w:rPr>
              <w:tab/>
            </w:r>
            <w:r>
              <w:rPr>
                <w:rStyle w:val="IndexLink"/>
              </w:rPr>
              <w:t>235</w:t>
            </w:r>
          </w:hyperlink>
        </w:p>
        <w:p>
          <w:pPr>
            <w:pStyle w:val="Contents6"/>
            <w:tabs>
              <w:tab w:val="clear" w:pos="7609"/>
              <w:tab w:val="right" w:pos="9026" w:leader="dot"/>
            </w:tabs>
            <w:rPr/>
          </w:pPr>
          <w:hyperlink w:anchor="__RefHeading___Toc624535_3244359995">
            <w:r>
              <w:rPr>
                <w:webHidden/>
                <w:rStyle w:val="IndexLink"/>
                <w:rtl w:val="true"/>
              </w:rPr>
              <w:t>بیان محذور جعل الأحکام مع علم الشارع باندراسها فیما بعد</w:t>
            </w:r>
            <w:r>
              <w:rPr>
                <w:rStyle w:val="IndexLink"/>
                <w:rtl w:val="true"/>
              </w:rPr>
              <w:tab/>
            </w:r>
            <w:r>
              <w:rPr>
                <w:rStyle w:val="IndexLink"/>
              </w:rPr>
              <w:t>237</w:t>
            </w:r>
          </w:hyperlink>
        </w:p>
        <w:p>
          <w:pPr>
            <w:pStyle w:val="Contents6"/>
            <w:tabs>
              <w:tab w:val="clear" w:pos="7609"/>
              <w:tab w:val="right" w:pos="9026" w:leader="dot"/>
            </w:tabs>
            <w:rPr/>
          </w:pPr>
          <w:hyperlink w:anchor="__RefHeading___Toc624537_3244359995">
            <w:r>
              <w:rPr>
                <w:webHidden/>
                <w:rStyle w:val="IndexLink"/>
                <w:rtl w:val="true"/>
              </w:rPr>
              <w:t>فذلکة البحث و عصاری الغائلة</w:t>
            </w:r>
            <w:r>
              <w:rPr>
                <w:rStyle w:val="IndexLink"/>
                <w:rtl w:val="true"/>
              </w:rPr>
              <w:tab/>
            </w:r>
            <w:r>
              <w:rPr>
                <w:rStyle w:val="IndexLink"/>
              </w:rPr>
              <w:t>238</w:t>
            </w:r>
          </w:hyperlink>
        </w:p>
        <w:p>
          <w:pPr>
            <w:pStyle w:val="Contents6"/>
            <w:tabs>
              <w:tab w:val="clear" w:pos="7609"/>
              <w:tab w:val="right" w:pos="9026" w:leader="dot"/>
            </w:tabs>
            <w:rPr/>
          </w:pPr>
          <w:hyperlink w:anchor="__RefHeading___Toc624539_3244359995">
            <w:r>
              <w:rPr>
                <w:webHidden/>
                <w:rStyle w:val="IndexLink"/>
                <w:rtl w:val="true"/>
              </w:rPr>
              <w:t>أجوبة الأصحاب عن المشکلة و نقدها</w:t>
            </w:r>
            <w:r>
              <w:rPr>
                <w:rStyle w:val="IndexLink"/>
                <w:rtl w:val="true"/>
              </w:rPr>
              <w:tab/>
            </w:r>
            <w:r>
              <w:rPr>
                <w:rStyle w:val="IndexLink"/>
              </w:rPr>
              <w:t>238</w:t>
            </w:r>
          </w:hyperlink>
        </w:p>
        <w:p>
          <w:pPr>
            <w:pStyle w:val="Contents6"/>
            <w:tabs>
              <w:tab w:val="clear" w:pos="7609"/>
              <w:tab w:val="right" w:pos="9026" w:leader="dot"/>
            </w:tabs>
            <w:rPr/>
          </w:pPr>
          <w:hyperlink w:anchor="__RefHeading___Toc624541_3244359995">
            <w:r>
              <w:rPr>
                <w:webHidden/>
                <w:rStyle w:val="IndexLink"/>
                <w:rtl w:val="true"/>
              </w:rPr>
              <w:t>توهم</w:t>
            </w:r>
            <w:r>
              <w:rPr>
                <w:rStyle w:val="IndexLink"/>
                <w:rtl w:val="true"/>
              </w:rPr>
              <w:t xml:space="preserve">: </w:t>
            </w:r>
            <w:r>
              <w:rPr>
                <w:rStyle w:val="IndexLink"/>
                <w:rtl w:val="true"/>
              </w:rPr>
              <w:t>عدم إمکان جعل الحجیة مع الالتفات إلی خطأ الطریق</w:t>
            </w:r>
            <w:r>
              <w:rPr>
                <w:rStyle w:val="IndexLink"/>
                <w:rtl w:val="true"/>
              </w:rPr>
              <w:tab/>
            </w:r>
            <w:r>
              <w:rPr>
                <w:rStyle w:val="IndexLink"/>
              </w:rPr>
              <w:t>242</w:t>
            </w:r>
          </w:hyperlink>
        </w:p>
        <w:p>
          <w:pPr>
            <w:pStyle w:val="Contents6"/>
            <w:tabs>
              <w:tab w:val="clear" w:pos="7609"/>
              <w:tab w:val="right" w:pos="9026" w:leader="dot"/>
            </w:tabs>
            <w:rPr/>
          </w:pPr>
          <w:hyperlink w:anchor="__RefHeading___Toc624543_3244359995">
            <w:r>
              <w:rPr>
                <w:webHidden/>
                <w:rStyle w:val="IndexLink"/>
                <w:rtl w:val="true"/>
              </w:rPr>
              <w:t>حلّ المشکلة عن طریق الخطابات القانونیّة</w:t>
            </w:r>
            <w:r>
              <w:rPr>
                <w:rStyle w:val="IndexLink"/>
                <w:rtl w:val="true"/>
              </w:rPr>
              <w:tab/>
            </w:r>
            <w:r>
              <w:rPr>
                <w:rStyle w:val="IndexLink"/>
              </w:rPr>
              <w:t>246</w:t>
            </w:r>
          </w:hyperlink>
        </w:p>
        <w:p>
          <w:pPr>
            <w:pStyle w:val="Contents6"/>
            <w:tabs>
              <w:tab w:val="clear" w:pos="7609"/>
              <w:tab w:val="right" w:pos="9026" w:leader="dot"/>
            </w:tabs>
            <w:rPr/>
          </w:pPr>
          <w:hyperlink w:anchor="__RefHeading___Toc624545_3244359995">
            <w:r>
              <w:rPr>
                <w:webHidden/>
                <w:rStyle w:val="IndexLink"/>
                <w:rtl w:val="true"/>
              </w:rPr>
              <w:t>بقی شی‌ء و هو سبیل حلّ المشکلة بلحاظ المذاهب المختلفة فی باب الأمارات</w:t>
            </w:r>
            <w:r>
              <w:rPr>
                <w:rStyle w:val="IndexLink"/>
                <w:rtl w:val="true"/>
              </w:rPr>
              <w:tab/>
            </w:r>
            <w:r>
              <w:rPr>
                <w:rStyle w:val="IndexLink"/>
              </w:rPr>
              <w:t>249</w:t>
            </w:r>
          </w:hyperlink>
        </w:p>
        <w:p>
          <w:pPr>
            <w:pStyle w:val="Contents6"/>
            <w:tabs>
              <w:tab w:val="clear" w:pos="7609"/>
              <w:tab w:val="right" w:pos="9026" w:leader="dot"/>
            </w:tabs>
            <w:rPr/>
          </w:pPr>
          <w:hyperlink w:anchor="__RefHeading___Toc624547_3244359995">
            <w:r>
              <w:rPr>
                <w:webHidden/>
                <w:rStyle w:val="IndexLink"/>
                <w:rtl w:val="true"/>
              </w:rPr>
              <w:t>تذنیب</w:t>
            </w:r>
            <w:r>
              <w:rPr>
                <w:rStyle w:val="IndexLink"/>
                <w:rtl w:val="true"/>
              </w:rPr>
              <w:t xml:space="preserve">: </w:t>
            </w:r>
            <w:r>
              <w:rPr>
                <w:rStyle w:val="IndexLink"/>
                <w:rtl w:val="true"/>
              </w:rPr>
              <w:t>فی حلّ المشکلة من ناحیة قاعدتی الفراغ و التجاوز</w:t>
            </w:r>
            <w:r>
              <w:rPr>
                <w:rStyle w:val="IndexLink"/>
                <w:rtl w:val="true"/>
              </w:rPr>
              <w:tab/>
            </w:r>
            <w:r>
              <w:rPr>
                <w:rStyle w:val="IndexLink"/>
              </w:rPr>
              <w:t>249</w:t>
            </w:r>
          </w:hyperlink>
        </w:p>
        <w:p>
          <w:pPr>
            <w:pStyle w:val="Contents6"/>
            <w:tabs>
              <w:tab w:val="clear" w:pos="7609"/>
              <w:tab w:val="right" w:pos="9026" w:leader="dot"/>
            </w:tabs>
            <w:rPr/>
          </w:pPr>
          <w:hyperlink w:anchor="__RefHeading___Toc624549_3244359995">
            <w:r>
              <w:rPr>
                <w:webHidden/>
                <w:rStyle w:val="IndexLink"/>
                <w:rtl w:val="true"/>
              </w:rPr>
              <w:t>ذنابة</w:t>
            </w:r>
            <w:r>
              <w:rPr>
                <w:rStyle w:val="IndexLink"/>
                <w:rtl w:val="true"/>
              </w:rPr>
              <w:t xml:space="preserve">: </w:t>
            </w:r>
            <w:r>
              <w:rPr>
                <w:rStyle w:val="IndexLink"/>
                <w:rtl w:val="true"/>
              </w:rPr>
              <w:t>فی حلّ المشکلة من ناحیة قواعد الحلّ و الطهارة و البراءة</w:t>
            </w:r>
            <w:r>
              <w:rPr>
                <w:rStyle w:val="IndexLink"/>
                <w:rtl w:val="true"/>
              </w:rPr>
              <w:tab/>
            </w:r>
            <w:r>
              <w:rPr>
                <w:rStyle w:val="IndexLink"/>
              </w:rPr>
              <w:t>251</w:t>
            </w:r>
          </w:hyperlink>
        </w:p>
        <w:p>
          <w:pPr>
            <w:pStyle w:val="Contents6"/>
            <w:tabs>
              <w:tab w:val="clear" w:pos="7609"/>
              <w:tab w:val="right" w:pos="9026" w:leader="dot"/>
            </w:tabs>
            <w:rPr/>
          </w:pPr>
          <w:hyperlink w:anchor="__RefHeading___Toc624551_3244359995">
            <w:r>
              <w:rPr>
                <w:webHidden/>
                <w:rStyle w:val="IndexLink"/>
                <w:rtl w:val="true"/>
              </w:rPr>
              <w:t>بقی شی‌ء</w:t>
            </w:r>
            <w:r>
              <w:rPr>
                <w:rStyle w:val="IndexLink"/>
                <w:rtl w:val="true"/>
              </w:rPr>
              <w:t xml:space="preserve">: </w:t>
            </w:r>
            <w:r>
              <w:rPr>
                <w:rStyle w:val="IndexLink"/>
                <w:rtl w:val="true"/>
              </w:rPr>
              <w:t>فی حلّ المشکلة من ناحیة القطع</w:t>
            </w:r>
            <w:r>
              <w:rPr>
                <w:rStyle w:val="IndexLink"/>
                <w:rtl w:val="true"/>
              </w:rPr>
              <w:tab/>
            </w:r>
            <w:r>
              <w:rPr>
                <w:rStyle w:val="IndexLink"/>
              </w:rPr>
              <w:t>253</w:t>
            </w:r>
          </w:hyperlink>
        </w:p>
        <w:p>
          <w:pPr>
            <w:pStyle w:val="Contents6"/>
            <w:tabs>
              <w:tab w:val="clear" w:pos="7609"/>
              <w:tab w:val="right" w:pos="9026" w:leader="dot"/>
            </w:tabs>
            <w:rPr/>
          </w:pPr>
          <w:hyperlink w:anchor="__RefHeading___Toc624553_3244359995">
            <w:r>
              <w:rPr>
                <w:webHidden/>
                <w:rStyle w:val="IndexLink"/>
                <w:rtl w:val="true"/>
              </w:rPr>
              <w:t>بقی أمر آخر</w:t>
            </w:r>
            <w:r>
              <w:rPr>
                <w:rStyle w:val="IndexLink"/>
                <w:rtl w:val="true"/>
              </w:rPr>
              <w:t xml:space="preserve">: </w:t>
            </w:r>
            <w:r>
              <w:rPr>
                <w:rStyle w:val="IndexLink"/>
                <w:rtl w:val="true"/>
              </w:rPr>
              <w:t>و هو حلّ مشکلة فعلیّة الأحکام المندرسة</w:t>
            </w:r>
            <w:r>
              <w:rPr>
                <w:rStyle w:val="IndexLink"/>
                <w:rtl w:val="true"/>
              </w:rPr>
              <w:tab/>
            </w:r>
            <w:r>
              <w:rPr>
                <w:rStyle w:val="IndexLink"/>
              </w:rPr>
              <w:t>254</w:t>
            </w:r>
          </w:hyperlink>
        </w:p>
        <w:p>
          <w:pPr>
            <w:pStyle w:val="Contents6"/>
            <w:tabs>
              <w:tab w:val="clear" w:pos="7609"/>
              <w:tab w:val="right" w:pos="9026" w:leader="dot"/>
            </w:tabs>
            <w:rPr/>
          </w:pPr>
          <w:hyperlink w:anchor="__RefHeading___Toc624555_3244359995">
            <w:r>
              <w:rPr>
                <w:webHidden/>
                <w:rStyle w:val="IndexLink"/>
                <w:rtl w:val="true"/>
              </w:rPr>
              <w:t>إیقاظ</w:t>
            </w:r>
            <w:r>
              <w:rPr>
                <w:rStyle w:val="IndexLink"/>
                <w:rtl w:val="true"/>
              </w:rPr>
              <w:t xml:space="preserve">: </w:t>
            </w:r>
            <w:r>
              <w:rPr>
                <w:rStyle w:val="IndexLink"/>
                <w:rtl w:val="true"/>
              </w:rPr>
              <w:t>حول حلّ المشکلة من ناحیة اعتبار التکالیف دیونا علی العهدة</w:t>
            </w:r>
            <w:r>
              <w:rPr>
                <w:rStyle w:val="IndexLink"/>
                <w:rtl w:val="true"/>
              </w:rPr>
              <w:tab/>
            </w:r>
            <w:r>
              <w:rPr>
                <w:rStyle w:val="IndexLink"/>
              </w:rPr>
              <w:t>254</w:t>
            </w:r>
          </w:hyperlink>
        </w:p>
        <w:p>
          <w:pPr>
            <w:pStyle w:val="Contents4"/>
            <w:tabs>
              <w:tab w:val="clear" w:pos="8176"/>
              <w:tab w:val="right" w:pos="9026" w:leader="dot"/>
            </w:tabs>
            <w:rPr/>
          </w:pPr>
          <w:hyperlink w:anchor="__RefHeading___Toc624557_3244359995">
            <w:r>
              <w:rPr>
                <w:webHidden/>
                <w:rStyle w:val="IndexLink"/>
                <w:rtl w:val="true"/>
              </w:rPr>
              <w:t>الجهة الرابعة</w:t>
            </w:r>
            <w:r>
              <w:rPr>
                <w:rStyle w:val="IndexLink"/>
                <w:rtl w:val="true"/>
              </w:rPr>
              <w:t xml:space="preserve">: </w:t>
            </w:r>
            <w:r>
              <w:rPr>
                <w:rStyle w:val="IndexLink"/>
                <w:rtl w:val="true"/>
              </w:rPr>
              <w:t>حول تأسیس الأصل</w:t>
            </w:r>
            <w:r>
              <w:rPr>
                <w:rStyle w:val="IndexLink"/>
                <w:rtl w:val="true"/>
              </w:rPr>
              <w:tab/>
            </w:r>
            <w:r>
              <w:rPr>
                <w:rStyle w:val="IndexLink"/>
              </w:rPr>
              <w:t>256</w:t>
            </w:r>
          </w:hyperlink>
        </w:p>
        <w:p>
          <w:pPr>
            <w:pStyle w:val="Contents5"/>
            <w:tabs>
              <w:tab w:val="clear" w:pos="7892"/>
              <w:tab w:val="right" w:pos="9026" w:leader="dot"/>
            </w:tabs>
            <w:rPr/>
          </w:pPr>
          <w:hyperlink w:anchor="__RefHeading___Toc624559_3244359995">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624561_3244359995">
            <w:r>
              <w:rPr>
                <w:webHidden/>
                <w:rStyle w:val="IndexLink"/>
                <w:rtl w:val="true"/>
              </w:rPr>
              <w:t>المقام الأول</w:t>
            </w:r>
            <w:r>
              <w:rPr>
                <w:rStyle w:val="IndexLink"/>
                <w:rtl w:val="true"/>
              </w:rPr>
              <w:t xml:space="preserve">: </w:t>
            </w:r>
            <w:r>
              <w:rPr>
                <w:rStyle w:val="IndexLink"/>
                <w:rtl w:val="true"/>
              </w:rPr>
              <w:t>حول تمکّن الشارع من الردع عن الأمارات و عدمه</w:t>
            </w:r>
            <w:r>
              <w:rPr>
                <w:rStyle w:val="IndexLink"/>
                <w:rtl w:val="true"/>
              </w:rPr>
              <w:tab/>
            </w:r>
            <w:r>
              <w:rPr>
                <w:rStyle w:val="IndexLink"/>
              </w:rPr>
              <w:t>256</w:t>
            </w:r>
          </w:hyperlink>
        </w:p>
        <w:p>
          <w:pPr>
            <w:pStyle w:val="Contents6"/>
            <w:tabs>
              <w:tab w:val="clear" w:pos="7609"/>
              <w:tab w:val="right" w:pos="9026" w:leader="dot"/>
            </w:tabs>
            <w:rPr/>
          </w:pPr>
          <w:hyperlink w:anchor="__RefHeading___Toc624563_3244359995">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624565_3244359995">
            <w:r>
              <w:rPr>
                <w:webHidden/>
                <w:rStyle w:val="IndexLink"/>
                <w:rtl w:val="true"/>
              </w:rPr>
              <w:t>تذنیب</w:t>
            </w:r>
            <w:r>
              <w:rPr>
                <w:rStyle w:val="IndexLink"/>
                <w:rtl w:val="true"/>
              </w:rPr>
              <w:t xml:space="preserve">: </w:t>
            </w:r>
            <w:r>
              <w:rPr>
                <w:rStyle w:val="IndexLink"/>
                <w:rtl w:val="true"/>
              </w:rPr>
              <w:t>حول عدم تأسیس الأصل عند الشکّ فی الحجّیة</w:t>
            </w:r>
            <w:r>
              <w:rPr>
                <w:rStyle w:val="IndexLink"/>
                <w:rtl w:val="true"/>
              </w:rPr>
              <w:tab/>
            </w:r>
            <w:r>
              <w:rPr>
                <w:rStyle w:val="IndexLink"/>
              </w:rPr>
              <w:t>259</w:t>
            </w:r>
          </w:hyperlink>
        </w:p>
        <w:p>
          <w:pPr>
            <w:pStyle w:val="Contents6"/>
            <w:tabs>
              <w:tab w:val="clear" w:pos="7609"/>
              <w:tab w:val="right" w:pos="9026" w:leader="dot"/>
            </w:tabs>
            <w:rPr/>
          </w:pPr>
          <w:hyperlink w:anchor="__RefHeading___Toc624567_3244359995">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624569_3244359995">
            <w:r>
              <w:rPr>
                <w:webHidden/>
                <w:rStyle w:val="IndexLink"/>
                <w:rtl w:val="true"/>
              </w:rPr>
              <w:t>البحث الأوّل</w:t>
            </w:r>
            <w:r>
              <w:rPr>
                <w:rStyle w:val="IndexLink"/>
                <w:rtl w:val="true"/>
              </w:rPr>
              <w:t xml:space="preserve">: </w:t>
            </w:r>
            <w:r>
              <w:rPr>
                <w:rStyle w:val="IndexLink"/>
                <w:rtl w:val="true"/>
              </w:rPr>
              <w:t>فی أنّ الشکّ فی الحجّیة یساوق القطع بعدمها</w:t>
            </w:r>
            <w:r>
              <w:rPr>
                <w:rStyle w:val="IndexLink"/>
                <w:rtl w:val="true"/>
              </w:rPr>
              <w:tab/>
            </w:r>
            <w:r>
              <w:rPr>
                <w:rStyle w:val="IndexLink"/>
              </w:rPr>
              <w:t>260</w:t>
            </w:r>
          </w:hyperlink>
        </w:p>
        <w:p>
          <w:pPr>
            <w:pStyle w:val="Contents6"/>
            <w:tabs>
              <w:tab w:val="clear" w:pos="7609"/>
              <w:tab w:val="right" w:pos="9026" w:leader="dot"/>
            </w:tabs>
            <w:rPr/>
          </w:pPr>
          <w:hyperlink w:anchor="__RefHeading___Toc624571_3244359995">
            <w:r>
              <w:rPr>
                <w:webHidden/>
                <w:rStyle w:val="IndexLink"/>
                <w:rtl w:val="true"/>
              </w:rPr>
              <w:t>البحث الثانی</w:t>
            </w:r>
            <w:r>
              <w:rPr>
                <w:rStyle w:val="IndexLink"/>
                <w:rtl w:val="true"/>
              </w:rPr>
              <w:t xml:space="preserve">: </w:t>
            </w:r>
            <w:r>
              <w:rPr>
                <w:rStyle w:val="IndexLink"/>
                <w:rtl w:val="true"/>
              </w:rPr>
              <w:t>فی الخروج عن التساوق</w:t>
            </w:r>
            <w:r>
              <w:rPr>
                <w:rStyle w:val="IndexLink"/>
                <w:rtl w:val="true"/>
              </w:rPr>
              <w:tab/>
            </w:r>
            <w:r>
              <w:rPr>
                <w:rStyle w:val="IndexLink"/>
              </w:rPr>
              <w:t>263</w:t>
            </w:r>
          </w:hyperlink>
        </w:p>
        <w:p>
          <w:pPr>
            <w:pStyle w:val="Contents5"/>
            <w:tabs>
              <w:tab w:val="clear" w:pos="7892"/>
              <w:tab w:val="right" w:pos="9026" w:leader="dot"/>
            </w:tabs>
            <w:rPr/>
          </w:pPr>
          <w:hyperlink w:anchor="__RefHeading___Toc624573_3244359995">
            <w:r>
              <w:rPr>
                <w:webHidden/>
                <w:rStyle w:val="IndexLink"/>
                <w:rtl w:val="true"/>
              </w:rPr>
              <w:t>المقام الثانی</w:t>
            </w:r>
            <w:r>
              <w:rPr>
                <w:rStyle w:val="IndexLink"/>
                <w:rtl w:val="true"/>
              </w:rPr>
              <w:t xml:space="preserve">: </w:t>
            </w:r>
            <w:r>
              <w:rPr>
                <w:rStyle w:val="IndexLink"/>
                <w:rtl w:val="true"/>
              </w:rPr>
              <w:t>حول آثار الحجّیة</w:t>
            </w:r>
            <w:r>
              <w:rPr>
                <w:rStyle w:val="IndexLink"/>
                <w:rtl w:val="true"/>
              </w:rPr>
              <w:tab/>
            </w:r>
            <w:r>
              <w:rPr>
                <w:rStyle w:val="IndexLink"/>
              </w:rPr>
              <w:t>263</w:t>
            </w:r>
          </w:hyperlink>
        </w:p>
        <w:p>
          <w:pPr>
            <w:pStyle w:val="Contents6"/>
            <w:tabs>
              <w:tab w:val="clear" w:pos="7609"/>
              <w:tab w:val="right" w:pos="9026" w:leader="dot"/>
            </w:tabs>
            <w:rPr/>
          </w:pPr>
          <w:hyperlink w:anchor="__RefHeading___Toc624575_3244359995">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624577_3244359995">
            <w:r>
              <w:rPr>
                <w:webHidden/>
                <w:rStyle w:val="IndexLink"/>
                <w:rtl w:val="true"/>
              </w:rPr>
              <w:t>حکم الآثار بالنسبة إلی الأمارة مشکوکة الاعتبار</w:t>
            </w:r>
            <w:r>
              <w:rPr>
                <w:rStyle w:val="IndexLink"/>
                <w:rtl w:val="true"/>
              </w:rPr>
              <w:tab/>
            </w:r>
            <w:r>
              <w:rPr>
                <w:rStyle w:val="IndexLink"/>
              </w:rPr>
              <w:t>267</w:t>
            </w:r>
          </w:hyperlink>
        </w:p>
        <w:p>
          <w:pPr>
            <w:pStyle w:val="Contents6"/>
            <w:tabs>
              <w:tab w:val="clear" w:pos="7609"/>
              <w:tab w:val="right" w:pos="9026" w:leader="dot"/>
            </w:tabs>
            <w:rPr/>
          </w:pPr>
          <w:hyperlink w:anchor="__RefHeading___Toc624579_3244359995">
            <w:r>
              <w:rPr>
                <w:webHidden/>
                <w:rStyle w:val="IndexLink"/>
                <w:rtl w:val="true"/>
              </w:rPr>
              <w:t>إیقاظ</w:t>
            </w:r>
            <w:r>
              <w:rPr>
                <w:rStyle w:val="IndexLink"/>
                <w:rtl w:val="true"/>
              </w:rPr>
              <w:t xml:space="preserve">: </w:t>
            </w:r>
            <w:r>
              <w:rPr>
                <w:rStyle w:val="IndexLink"/>
                <w:rtl w:val="true"/>
              </w:rPr>
              <w:t>فی تقسیم جواز الإسناد إلی واقعی و ظاهری</w:t>
            </w:r>
            <w:r>
              <w:rPr>
                <w:rStyle w:val="IndexLink"/>
                <w:rtl w:val="true"/>
              </w:rPr>
              <w:tab/>
            </w:r>
            <w:r>
              <w:rPr>
                <w:rStyle w:val="IndexLink"/>
              </w:rPr>
              <w:t>268</w:t>
            </w:r>
          </w:hyperlink>
        </w:p>
        <w:p>
          <w:pPr>
            <w:pStyle w:val="Contents6"/>
            <w:tabs>
              <w:tab w:val="clear" w:pos="7609"/>
              <w:tab w:val="right" w:pos="9026" w:leader="dot"/>
            </w:tabs>
            <w:rPr/>
          </w:pPr>
          <w:hyperlink w:anchor="__RefHeading___Toc624581_3244359995">
            <w:r>
              <w:rPr>
                <w:webHidden/>
                <w:rStyle w:val="IndexLink"/>
                <w:rtl w:val="true"/>
              </w:rPr>
              <w:t>تتمیم</w:t>
            </w:r>
            <w:r>
              <w:rPr>
                <w:rStyle w:val="IndexLink"/>
                <w:rtl w:val="true"/>
              </w:rPr>
              <w:t xml:space="preserve">: </w:t>
            </w:r>
            <w:r>
              <w:rPr>
                <w:rStyle w:val="IndexLink"/>
                <w:rtl w:val="true"/>
              </w:rPr>
              <w:t>فی دعوی اختصاص جواز الإسناد بالأمارات</w:t>
            </w:r>
            <w:r>
              <w:rPr>
                <w:rStyle w:val="IndexLink"/>
                <w:rtl w:val="true"/>
              </w:rPr>
              <w:tab/>
            </w:r>
            <w:r>
              <w:rPr>
                <w:rStyle w:val="IndexLink"/>
              </w:rPr>
              <w:t>269</w:t>
            </w:r>
          </w:hyperlink>
        </w:p>
        <w:p>
          <w:pPr>
            <w:pStyle w:val="Contents6"/>
            <w:tabs>
              <w:tab w:val="clear" w:pos="7609"/>
              <w:tab w:val="right" w:pos="9026" w:leader="dot"/>
            </w:tabs>
            <w:rPr/>
          </w:pPr>
          <w:hyperlink w:anchor="__RefHeading___Toc624583_3244359995">
            <w:r>
              <w:rPr>
                <w:webHidden/>
                <w:rStyle w:val="IndexLink"/>
                <w:rtl w:val="true"/>
              </w:rPr>
              <w:t>تذنیب</w:t>
            </w:r>
            <w:r>
              <w:rPr>
                <w:rStyle w:val="IndexLink"/>
                <w:rtl w:val="true"/>
              </w:rPr>
              <w:tab/>
            </w:r>
            <w:r>
              <w:rPr>
                <w:rStyle w:val="IndexLink"/>
              </w:rPr>
              <w:t>270</w:t>
            </w:r>
          </w:hyperlink>
        </w:p>
        <w:p>
          <w:pPr>
            <w:pStyle w:val="Contents5"/>
            <w:tabs>
              <w:tab w:val="clear" w:pos="7892"/>
              <w:tab w:val="right" w:pos="9026" w:leader="dot"/>
            </w:tabs>
            <w:rPr/>
          </w:pPr>
          <w:hyperlink w:anchor="__RefHeading___Toc624585_3244359995">
            <w:r>
              <w:rPr>
                <w:webHidden/>
                <w:rStyle w:val="IndexLink"/>
                <w:rtl w:val="true"/>
              </w:rPr>
              <w:t>المقام الثالث</w:t>
            </w:r>
            <w:r>
              <w:rPr>
                <w:rStyle w:val="IndexLink"/>
                <w:rtl w:val="true"/>
              </w:rPr>
              <w:t xml:space="preserve">: </w:t>
            </w:r>
            <w:r>
              <w:rPr>
                <w:rStyle w:val="IndexLink"/>
                <w:rtl w:val="true"/>
              </w:rPr>
              <w:t>فی تقاریب تحریر الأصل</w:t>
            </w:r>
            <w:r>
              <w:rPr>
                <w:rStyle w:val="IndexLink"/>
                <w:rtl w:val="true"/>
              </w:rPr>
              <w:tab/>
            </w:r>
            <w:r>
              <w:rPr>
                <w:rStyle w:val="IndexLink"/>
              </w:rPr>
              <w:t>271</w:t>
            </w:r>
          </w:hyperlink>
        </w:p>
        <w:p>
          <w:pPr>
            <w:pStyle w:val="Contents6"/>
            <w:tabs>
              <w:tab w:val="clear" w:pos="7609"/>
              <w:tab w:val="right" w:pos="9026" w:leader="dot"/>
            </w:tabs>
            <w:rPr/>
          </w:pPr>
          <w:hyperlink w:anchor="__RefHeading___Toc624587_3244359995">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624589_3244359995">
            <w:r>
              <w:rPr>
                <w:webHidden/>
                <w:rStyle w:val="IndexLink"/>
                <w:rtl w:val="true"/>
              </w:rPr>
              <w:t>فذلکة الکلام</w:t>
            </w:r>
            <w:r>
              <w:rPr>
                <w:rStyle w:val="IndexLink"/>
                <w:rtl w:val="true"/>
              </w:rPr>
              <w:tab/>
            </w:r>
            <w:r>
              <w:rPr>
                <w:rStyle w:val="IndexLink"/>
              </w:rPr>
              <w:t>275</w:t>
            </w:r>
          </w:hyperlink>
        </w:p>
        <w:p>
          <w:pPr>
            <w:pStyle w:val="Contents6"/>
            <w:tabs>
              <w:tab w:val="clear" w:pos="7609"/>
              <w:tab w:val="right" w:pos="9026" w:leader="dot"/>
            </w:tabs>
            <w:rPr/>
          </w:pPr>
          <w:hyperlink w:anchor="__RefHeading___Toc624591_3244359995">
            <w:r>
              <w:rPr>
                <w:webHidden/>
                <w:rStyle w:val="IndexLink"/>
                <w:rtl w:val="true"/>
              </w:rPr>
              <w:t>تنبیه</w:t>
            </w:r>
            <w:r>
              <w:rPr>
                <w:rStyle w:val="IndexLink"/>
                <w:rtl w:val="true"/>
              </w:rPr>
              <w:t xml:space="preserve">: </w:t>
            </w:r>
            <w:r>
              <w:rPr>
                <w:rStyle w:val="IndexLink"/>
                <w:rtl w:val="true"/>
              </w:rPr>
              <w:t>فیه تقاریب أخر لمساوقة الشکّ فی الحجّیة مع القطع بعدمها</w:t>
            </w:r>
            <w:r>
              <w:rPr>
                <w:rStyle w:val="IndexLink"/>
                <w:rtl w:val="true"/>
              </w:rPr>
              <w:tab/>
            </w:r>
            <w:r>
              <w:rPr>
                <w:rStyle w:val="IndexLink"/>
              </w:rPr>
              <w:t>280</w:t>
            </w:r>
          </w:hyperlink>
        </w:p>
        <w:p>
          <w:pPr>
            <w:pStyle w:val="Contents6"/>
            <w:tabs>
              <w:tab w:val="clear" w:pos="7609"/>
              <w:tab w:val="right" w:pos="9026" w:leader="dot"/>
            </w:tabs>
            <w:rPr/>
          </w:pPr>
          <w:hyperlink w:anchor="__RefHeading___Toc624593_3244359995">
            <w:r>
              <w:rPr>
                <w:webHidden/>
                <w:rStyle w:val="IndexLink"/>
                <w:rtl w:val="true"/>
              </w:rPr>
              <w:t>الإیراد علی حدیث المساوقة</w:t>
            </w:r>
            <w:r>
              <w:rPr>
                <w:rStyle w:val="IndexLink"/>
                <w:rtl w:val="true"/>
              </w:rPr>
              <w:tab/>
            </w:r>
            <w:r>
              <w:rPr>
                <w:rStyle w:val="IndexLink"/>
              </w:rPr>
              <w:t>283</w:t>
            </w:r>
          </w:hyperlink>
        </w:p>
        <w:p>
          <w:pPr>
            <w:pStyle w:val="Contents6"/>
            <w:tabs>
              <w:tab w:val="clear" w:pos="7609"/>
              <w:tab w:val="right" w:pos="9026" w:leader="dot"/>
            </w:tabs>
            <w:rPr/>
          </w:pPr>
          <w:hyperlink w:anchor="__RefHeading___Toc624595_3244359995">
            <w:r>
              <w:rPr>
                <w:webHidden/>
                <w:rStyle w:val="IndexLink"/>
                <w:rtl w:val="true"/>
              </w:rPr>
              <w:t>فذلکة البحث</w:t>
            </w:r>
            <w:r>
              <w:rPr>
                <w:rStyle w:val="IndexLink"/>
                <w:rtl w:val="true"/>
              </w:rPr>
              <w:tab/>
            </w:r>
            <w:r>
              <w:rPr>
                <w:rStyle w:val="IndexLink"/>
              </w:rPr>
              <w:t>286</w:t>
            </w:r>
          </w:hyperlink>
        </w:p>
        <w:p>
          <w:pPr>
            <w:pStyle w:val="Contents3"/>
            <w:tabs>
              <w:tab w:val="clear" w:pos="8459"/>
              <w:tab w:val="right" w:pos="9026" w:leader="dot"/>
            </w:tabs>
            <w:rPr/>
          </w:pPr>
          <w:hyperlink w:anchor="__RefHeading___Toc624597_3244359995">
            <w:r>
              <w:rPr>
                <w:webHidden/>
                <w:rStyle w:val="IndexLink"/>
                <w:rtl w:val="true"/>
              </w:rPr>
              <w:t>المبحث الأوّل فی الظواهر</w:t>
            </w:r>
            <w:r>
              <w:rPr>
                <w:rStyle w:val="IndexLink"/>
                <w:rtl w:val="true"/>
              </w:rPr>
              <w:tab/>
            </w:r>
            <w:r>
              <w:rPr>
                <w:rStyle w:val="IndexLink"/>
              </w:rPr>
              <w:t>288</w:t>
            </w:r>
          </w:hyperlink>
        </w:p>
        <w:p>
          <w:pPr>
            <w:pStyle w:val="Contents4"/>
            <w:tabs>
              <w:tab w:val="clear" w:pos="8176"/>
              <w:tab w:val="right" w:pos="9026" w:leader="dot"/>
            </w:tabs>
            <w:rPr/>
          </w:pPr>
          <w:hyperlink w:anchor="__RefHeading___Toc624599_3244359995">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624601_3244359995">
            <w:r>
              <w:rPr>
                <w:webHidden/>
                <w:rStyle w:val="IndexLink"/>
                <w:rtl w:val="true"/>
              </w:rPr>
              <w:t>أحدها</w:t>
            </w:r>
            <w:r>
              <w:rPr>
                <w:rStyle w:val="IndexLink"/>
                <w:rtl w:val="true"/>
              </w:rPr>
              <w:t xml:space="preserve">: </w:t>
            </w:r>
            <w:r>
              <w:rPr>
                <w:rStyle w:val="IndexLink"/>
                <w:rtl w:val="true"/>
              </w:rPr>
              <w:t>فی عدم البحث عن حجیة الظواهر بعنوانها</w:t>
            </w:r>
            <w:r>
              <w:rPr>
                <w:rStyle w:val="IndexLink"/>
                <w:rtl w:val="true"/>
              </w:rPr>
              <w:tab/>
            </w:r>
            <w:r>
              <w:rPr>
                <w:rStyle w:val="IndexLink"/>
              </w:rPr>
              <w:t>289</w:t>
            </w:r>
          </w:hyperlink>
        </w:p>
        <w:p>
          <w:pPr>
            <w:pStyle w:val="Contents5"/>
            <w:tabs>
              <w:tab w:val="clear" w:pos="7892"/>
              <w:tab w:val="right" w:pos="9026" w:leader="dot"/>
            </w:tabs>
            <w:rPr/>
          </w:pPr>
          <w:hyperlink w:anchor="__RefHeading___Toc624603_3244359995">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624605_3244359995">
            <w:r>
              <w:rPr>
                <w:webHidden/>
                <w:rStyle w:val="IndexLink"/>
                <w:rtl w:val="true"/>
              </w:rPr>
              <w:t>المحتملات فی الطرق</w:t>
            </w:r>
            <w:r>
              <w:rPr>
                <w:rStyle w:val="IndexLink"/>
                <w:rtl w:val="true"/>
              </w:rPr>
              <w:tab/>
            </w:r>
            <w:r>
              <w:rPr>
                <w:rStyle w:val="IndexLink"/>
              </w:rPr>
              <w:t>291</w:t>
            </w:r>
          </w:hyperlink>
        </w:p>
        <w:p>
          <w:pPr>
            <w:pStyle w:val="Contents4"/>
            <w:tabs>
              <w:tab w:val="clear" w:pos="8176"/>
              <w:tab w:val="right" w:pos="9026" w:leader="dot"/>
            </w:tabs>
            <w:rPr/>
          </w:pPr>
          <w:hyperlink w:anchor="__RefHeading___Toc624607_3244359995">
            <w:r>
              <w:rPr>
                <w:webHidden/>
                <w:rStyle w:val="IndexLink"/>
                <w:rtl w:val="true"/>
              </w:rPr>
              <w:t>ثانیها</w:t>
            </w:r>
            <w:r>
              <w:rPr>
                <w:rStyle w:val="IndexLink"/>
                <w:rtl w:val="true"/>
              </w:rPr>
              <w:t xml:space="preserve">: </w:t>
            </w:r>
            <w:r>
              <w:rPr>
                <w:rStyle w:val="IndexLink"/>
                <w:rtl w:val="true"/>
              </w:rPr>
              <w:t>فی تحریر محطّ النزاع فی مسألة حجّیة الظواهر</w:t>
            </w:r>
            <w:r>
              <w:rPr>
                <w:rStyle w:val="IndexLink"/>
                <w:rtl w:val="true"/>
              </w:rPr>
              <w:tab/>
            </w:r>
            <w:r>
              <w:rPr>
                <w:rStyle w:val="IndexLink"/>
              </w:rPr>
              <w:t>295</w:t>
            </w:r>
          </w:hyperlink>
        </w:p>
        <w:p>
          <w:pPr>
            <w:pStyle w:val="Contents4"/>
            <w:tabs>
              <w:tab w:val="clear" w:pos="8176"/>
              <w:tab w:val="right" w:pos="9026" w:leader="dot"/>
            </w:tabs>
            <w:rPr/>
          </w:pPr>
          <w:hyperlink w:anchor="__RefHeading___Toc624609_3244359995">
            <w:r>
              <w:rPr>
                <w:webHidden/>
                <w:rStyle w:val="IndexLink"/>
                <w:rtl w:val="true"/>
              </w:rPr>
              <w:t>ثالثها</w:t>
            </w:r>
            <w:r>
              <w:rPr>
                <w:rStyle w:val="IndexLink"/>
                <w:rtl w:val="true"/>
              </w:rPr>
              <w:t xml:space="preserve">: </w:t>
            </w:r>
            <w:r>
              <w:rPr>
                <w:rStyle w:val="IndexLink"/>
                <w:rtl w:val="true"/>
              </w:rPr>
              <w:t>فی بیان مقدّمات انعقاد الظهور التصدیقی</w:t>
            </w:r>
            <w:r>
              <w:rPr>
                <w:rStyle w:val="IndexLink"/>
                <w:rtl w:val="true"/>
              </w:rPr>
              <w:tab/>
            </w:r>
            <w:r>
              <w:rPr>
                <w:rStyle w:val="IndexLink"/>
              </w:rPr>
              <w:t>297</w:t>
            </w:r>
          </w:hyperlink>
        </w:p>
        <w:p>
          <w:pPr>
            <w:pStyle w:val="Contents5"/>
            <w:tabs>
              <w:tab w:val="clear" w:pos="7892"/>
              <w:tab w:val="right" w:pos="9026" w:leader="dot"/>
            </w:tabs>
            <w:rPr/>
          </w:pPr>
          <w:hyperlink w:anchor="__RefHeading___Toc624611_3244359995">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624613_3244359995">
            <w:r>
              <w:rPr>
                <w:webHidden/>
                <w:rStyle w:val="IndexLink"/>
                <w:rtl w:val="true"/>
              </w:rPr>
              <w:t>تنقیح و توضیح</w:t>
            </w:r>
            <w:r>
              <w:rPr>
                <w:rStyle w:val="IndexLink"/>
                <w:rtl w:val="true"/>
              </w:rPr>
              <w:t xml:space="preserve">: </w:t>
            </w:r>
            <w:r>
              <w:rPr>
                <w:rStyle w:val="IndexLink"/>
                <w:rtl w:val="true"/>
              </w:rPr>
              <w:t>فی بیان المراحل الثلاث التی یتوقف علیها الظهور التام للکلام</w:t>
            </w:r>
            <w:r>
              <w:rPr>
                <w:rStyle w:val="IndexLink"/>
                <w:rtl w:val="true"/>
              </w:rPr>
              <w:tab/>
            </w:r>
            <w:r>
              <w:rPr>
                <w:rStyle w:val="IndexLink"/>
              </w:rPr>
              <w:t>300</w:t>
            </w:r>
          </w:hyperlink>
        </w:p>
        <w:p>
          <w:pPr>
            <w:pStyle w:val="Contents5"/>
            <w:tabs>
              <w:tab w:val="clear" w:pos="7892"/>
              <w:tab w:val="right" w:pos="9026" w:leader="dot"/>
            </w:tabs>
            <w:rPr/>
          </w:pPr>
          <w:hyperlink w:anchor="__RefHeading___Toc624615_3244359995">
            <w:r>
              <w:rPr>
                <w:webHidden/>
                <w:rStyle w:val="IndexLink"/>
                <w:rtl w:val="true"/>
              </w:rPr>
              <w:t>بقی شی‌ء</w:t>
            </w:r>
            <w:r>
              <w:rPr>
                <w:rStyle w:val="IndexLink"/>
                <w:rtl w:val="true"/>
              </w:rPr>
              <w:t xml:space="preserve">: </w:t>
            </w:r>
            <w:r>
              <w:rPr>
                <w:rStyle w:val="IndexLink"/>
                <w:rtl w:val="true"/>
              </w:rPr>
              <w:t>فی أنّه متی یجب إحراز اتحاد المرادین الحقیقی و الاستعمالی</w:t>
            </w:r>
            <w:r>
              <w:rPr>
                <w:rStyle w:val="IndexLink"/>
                <w:rtl w:val="true"/>
              </w:rPr>
              <w:tab/>
            </w:r>
            <w:r>
              <w:rPr>
                <w:rStyle w:val="IndexLink"/>
              </w:rPr>
              <w:t>305</w:t>
            </w:r>
          </w:hyperlink>
        </w:p>
        <w:p>
          <w:pPr>
            <w:pStyle w:val="Contents4"/>
            <w:tabs>
              <w:tab w:val="clear" w:pos="8176"/>
              <w:tab w:val="right" w:pos="9026" w:leader="dot"/>
            </w:tabs>
            <w:rPr/>
          </w:pPr>
          <w:hyperlink w:anchor="__RefHeading___Toc624617_3244359995">
            <w:r>
              <w:rPr>
                <w:webHidden/>
                <w:rStyle w:val="IndexLink"/>
                <w:rtl w:val="true"/>
              </w:rPr>
              <w:t>لزوم البحث عن حجیّة الظهور بعد حصول المراحل الثلاث السابقة</w:t>
            </w:r>
            <w:r>
              <w:rPr>
                <w:rStyle w:val="IndexLink"/>
                <w:rtl w:val="true"/>
              </w:rPr>
              <w:tab/>
            </w:r>
            <w:r>
              <w:rPr>
                <w:rStyle w:val="IndexLink"/>
              </w:rPr>
              <w:t>305</w:t>
            </w:r>
          </w:hyperlink>
        </w:p>
        <w:p>
          <w:pPr>
            <w:pStyle w:val="Contents4"/>
            <w:tabs>
              <w:tab w:val="clear" w:pos="8176"/>
              <w:tab w:val="right" w:pos="9026" w:leader="dot"/>
            </w:tabs>
            <w:rPr/>
          </w:pPr>
          <w:hyperlink w:anchor="__RefHeading___Toc624619_3244359995">
            <w:r>
              <w:rPr>
                <w:webHidden/>
                <w:rStyle w:val="IndexLink"/>
                <w:rtl w:val="true"/>
              </w:rPr>
              <w:t>ثبوت الحجیة الذاتیّة للظواهر</w:t>
            </w:r>
            <w:r>
              <w:rPr>
                <w:rStyle w:val="IndexLink"/>
                <w:rtl w:val="true"/>
              </w:rPr>
              <w:tab/>
            </w:r>
            <w:r>
              <w:rPr>
                <w:rStyle w:val="IndexLink"/>
              </w:rPr>
              <w:t>307</w:t>
            </w:r>
          </w:hyperlink>
        </w:p>
        <w:p>
          <w:pPr>
            <w:pStyle w:val="Contents4"/>
            <w:tabs>
              <w:tab w:val="clear" w:pos="8176"/>
              <w:tab w:val="right" w:pos="9026" w:leader="dot"/>
            </w:tabs>
            <w:rPr/>
          </w:pPr>
          <w:hyperlink w:anchor="__RefHeading___Toc624621_3244359995">
            <w:r>
              <w:rPr>
                <w:webHidden/>
                <w:rStyle w:val="IndexLink"/>
                <w:rtl w:val="true"/>
              </w:rPr>
              <w:t>تتمیم</w:t>
            </w:r>
            <w:r>
              <w:rPr>
                <w:rStyle w:val="IndexLink"/>
                <w:rtl w:val="true"/>
              </w:rPr>
              <w:t xml:space="preserve">: </w:t>
            </w:r>
            <w:r>
              <w:rPr>
                <w:rStyle w:val="IndexLink"/>
                <w:rtl w:val="true"/>
              </w:rPr>
              <w:t>فی بطلان التمسک علی حجّیة الظواهر بالروایات المستشهدة بالکتاب</w:t>
            </w:r>
            <w:r>
              <w:rPr>
                <w:rStyle w:val="IndexLink"/>
                <w:rtl w:val="true"/>
              </w:rPr>
              <w:tab/>
            </w:r>
            <w:r>
              <w:rPr>
                <w:rStyle w:val="IndexLink"/>
              </w:rPr>
              <w:t>308</w:t>
            </w:r>
          </w:hyperlink>
        </w:p>
        <w:p>
          <w:pPr>
            <w:pStyle w:val="Contents4"/>
            <w:tabs>
              <w:tab w:val="clear" w:pos="8176"/>
              <w:tab w:val="right" w:pos="9026" w:leader="dot"/>
            </w:tabs>
            <w:rPr/>
          </w:pPr>
          <w:hyperlink w:anchor="__RefHeading___Toc624623_3244359995">
            <w:r>
              <w:rPr>
                <w:webHidden/>
                <w:rStyle w:val="IndexLink"/>
                <w:rtl w:val="true"/>
              </w:rPr>
              <w:t>شبهات و حلول</w:t>
            </w:r>
            <w:r>
              <w:rPr>
                <w:rStyle w:val="IndexLink"/>
                <w:rtl w:val="true"/>
              </w:rPr>
              <w:tab/>
            </w:r>
            <w:r>
              <w:rPr>
                <w:rStyle w:val="IndexLink"/>
              </w:rPr>
              <w:t>309</w:t>
            </w:r>
          </w:hyperlink>
        </w:p>
        <w:p>
          <w:pPr>
            <w:pStyle w:val="Contents5"/>
            <w:tabs>
              <w:tab w:val="clear" w:pos="7892"/>
              <w:tab w:val="right" w:pos="9026" w:leader="dot"/>
            </w:tabs>
            <w:rPr/>
          </w:pPr>
          <w:hyperlink w:anchor="__RefHeading___Toc624625_3244359995">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624627_3244359995">
            <w:r>
              <w:rPr>
                <w:webHidden/>
                <w:rStyle w:val="IndexLink"/>
                <w:rtl w:val="true"/>
              </w:rPr>
              <w:t>الشبهة الأولی</w:t>
            </w:r>
            <w:r>
              <w:rPr>
                <w:rStyle w:val="IndexLink"/>
                <w:rtl w:val="true"/>
              </w:rPr>
              <w:t xml:space="preserve">: </w:t>
            </w:r>
            <w:r>
              <w:rPr>
                <w:rStyle w:val="IndexLink"/>
                <w:rtl w:val="true"/>
              </w:rPr>
              <w:t>فی اختصاص حجّیة الظواهر بحصول الوثوق أو الظن بالوفاق</w:t>
            </w:r>
            <w:r>
              <w:rPr>
                <w:rStyle w:val="IndexLink"/>
                <w:rtl w:val="true"/>
              </w:rPr>
              <w:tab/>
            </w:r>
            <w:r>
              <w:rPr>
                <w:rStyle w:val="IndexLink"/>
              </w:rPr>
              <w:t>309</w:t>
            </w:r>
          </w:hyperlink>
        </w:p>
        <w:p>
          <w:pPr>
            <w:pStyle w:val="Contents5"/>
            <w:tabs>
              <w:tab w:val="clear" w:pos="7892"/>
              <w:tab w:val="right" w:pos="9026" w:leader="dot"/>
            </w:tabs>
            <w:rPr/>
          </w:pPr>
          <w:hyperlink w:anchor="__RefHeading___Toc624629_3244359995">
            <w:r>
              <w:rPr>
                <w:webHidden/>
                <w:rStyle w:val="IndexLink"/>
                <w:rtl w:val="true"/>
              </w:rPr>
              <w:t>الشبهة الثانیة</w:t>
            </w:r>
            <w:r>
              <w:rPr>
                <w:rStyle w:val="IndexLink"/>
                <w:rtl w:val="true"/>
              </w:rPr>
              <w:t xml:space="preserve">: </w:t>
            </w:r>
            <w:r>
              <w:rPr>
                <w:rStyle w:val="IndexLink"/>
                <w:rtl w:val="true"/>
              </w:rPr>
              <w:t>فی انتفاء الحجّیة مع الظن بالخلاف</w:t>
            </w:r>
            <w:r>
              <w:rPr>
                <w:rStyle w:val="IndexLink"/>
                <w:rtl w:val="true"/>
              </w:rPr>
              <w:tab/>
            </w:r>
            <w:r>
              <w:rPr>
                <w:rStyle w:val="IndexLink"/>
              </w:rPr>
              <w:t>310</w:t>
            </w:r>
          </w:hyperlink>
        </w:p>
        <w:p>
          <w:pPr>
            <w:pStyle w:val="Contents5"/>
            <w:tabs>
              <w:tab w:val="clear" w:pos="7892"/>
              <w:tab w:val="right" w:pos="9026" w:leader="dot"/>
            </w:tabs>
            <w:rPr/>
          </w:pPr>
          <w:hyperlink w:anchor="__RefHeading___Toc624631_3244359995">
            <w:r>
              <w:rPr>
                <w:webHidden/>
                <w:rStyle w:val="IndexLink"/>
                <w:rtl w:val="true"/>
              </w:rPr>
              <w:t>الشبهة الثالثة</w:t>
            </w:r>
            <w:r>
              <w:rPr>
                <w:rStyle w:val="IndexLink"/>
                <w:rtl w:val="true"/>
              </w:rPr>
              <w:t xml:space="preserve">: </w:t>
            </w:r>
            <w:r>
              <w:rPr>
                <w:rStyle w:val="IndexLink"/>
                <w:rtl w:val="true"/>
              </w:rPr>
              <w:t>فی التفصیل بین المقصودین بالإفهام و غیرهم</w:t>
            </w:r>
            <w:r>
              <w:rPr>
                <w:rStyle w:val="IndexLink"/>
                <w:rtl w:val="true"/>
              </w:rPr>
              <w:tab/>
            </w:r>
            <w:r>
              <w:rPr>
                <w:rStyle w:val="IndexLink"/>
              </w:rPr>
              <w:t>311</w:t>
            </w:r>
          </w:hyperlink>
        </w:p>
        <w:p>
          <w:pPr>
            <w:pStyle w:val="Contents6"/>
            <w:tabs>
              <w:tab w:val="clear" w:pos="7609"/>
              <w:tab w:val="right" w:pos="9026" w:leader="dot"/>
            </w:tabs>
            <w:rPr/>
          </w:pPr>
          <w:hyperlink w:anchor="__RefHeading___Toc624633_3244359995">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624635_3244359995">
            <w:r>
              <w:rPr>
                <w:webHidden/>
                <w:rStyle w:val="IndexLink"/>
                <w:rtl w:val="true"/>
              </w:rPr>
              <w:t>بقی شی‌ء</w:t>
            </w:r>
            <w:r>
              <w:rPr>
                <w:rStyle w:val="IndexLink"/>
                <w:rtl w:val="true"/>
              </w:rPr>
              <w:t xml:space="preserve">: </w:t>
            </w:r>
            <w:r>
              <w:rPr>
                <w:rStyle w:val="IndexLink"/>
                <w:rtl w:val="true"/>
              </w:rPr>
              <w:t>و هو وجه للاختصاص بمن قصد إفهامه مع جوابه</w:t>
            </w:r>
            <w:r>
              <w:rPr>
                <w:rStyle w:val="IndexLink"/>
                <w:rtl w:val="true"/>
              </w:rPr>
              <w:tab/>
            </w:r>
            <w:r>
              <w:rPr>
                <w:rStyle w:val="IndexLink"/>
              </w:rPr>
              <w:t>314</w:t>
            </w:r>
          </w:hyperlink>
        </w:p>
        <w:p>
          <w:pPr>
            <w:pStyle w:val="Contents5"/>
            <w:tabs>
              <w:tab w:val="clear" w:pos="7892"/>
              <w:tab w:val="right" w:pos="9026" w:leader="dot"/>
            </w:tabs>
            <w:rPr/>
          </w:pPr>
          <w:hyperlink w:anchor="__RefHeading___Toc624637_3244359995">
            <w:r>
              <w:rPr>
                <w:webHidden/>
                <w:rStyle w:val="IndexLink"/>
                <w:rtl w:val="true"/>
              </w:rPr>
              <w:t>الشبهة الرابعة</w:t>
            </w:r>
            <w:r>
              <w:rPr>
                <w:rStyle w:val="IndexLink"/>
                <w:rtl w:val="true"/>
              </w:rPr>
              <w:t xml:space="preserve">: </w:t>
            </w:r>
            <w:r>
              <w:rPr>
                <w:rStyle w:val="IndexLink"/>
                <w:rtl w:val="true"/>
              </w:rPr>
              <w:t>فی منع الأخباریین لحجیة ظواهر الکتاب</w:t>
            </w:r>
            <w:r>
              <w:rPr>
                <w:rStyle w:val="IndexLink"/>
                <w:rtl w:val="true"/>
              </w:rPr>
              <w:tab/>
            </w:r>
            <w:r>
              <w:rPr>
                <w:rStyle w:val="IndexLink"/>
              </w:rPr>
              <w:t>315</w:t>
            </w:r>
          </w:hyperlink>
        </w:p>
        <w:p>
          <w:pPr>
            <w:pStyle w:val="Contents6"/>
            <w:tabs>
              <w:tab w:val="clear" w:pos="7609"/>
              <w:tab w:val="right" w:pos="9026" w:leader="dot"/>
            </w:tabs>
            <w:rPr/>
          </w:pPr>
          <w:hyperlink w:anchor="__RefHeading___Toc624639_3244359995">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624641_3244359995">
            <w:r>
              <w:rPr>
                <w:webHidden/>
                <w:rStyle w:val="IndexLink"/>
                <w:rtl w:val="true"/>
              </w:rPr>
              <w:t>بقی شی‌ء</w:t>
            </w:r>
            <w:r>
              <w:rPr>
                <w:rStyle w:val="IndexLink"/>
                <w:rtl w:val="true"/>
              </w:rPr>
              <w:t xml:space="preserve">: </w:t>
            </w:r>
            <w:r>
              <w:rPr>
                <w:rStyle w:val="IndexLink"/>
                <w:rtl w:val="true"/>
              </w:rPr>
              <w:t>حول بعض أدلّة حفظ الکتاب و تحریفه</w:t>
            </w:r>
            <w:r>
              <w:rPr>
                <w:rStyle w:val="IndexLink"/>
                <w:rtl w:val="true"/>
              </w:rPr>
              <w:tab/>
            </w:r>
            <w:r>
              <w:rPr>
                <w:rStyle w:val="IndexLink"/>
              </w:rPr>
              <w:t>318</w:t>
            </w:r>
          </w:hyperlink>
        </w:p>
        <w:p>
          <w:pPr>
            <w:pStyle w:val="Contents6"/>
            <w:tabs>
              <w:tab w:val="clear" w:pos="7609"/>
              <w:tab w:val="right" w:pos="9026" w:leader="dot"/>
            </w:tabs>
            <w:rPr/>
          </w:pPr>
          <w:hyperlink w:anchor="__RefHeading___Toc624643_3244359995">
            <w:r>
              <w:rPr>
                <w:webHidden/>
                <w:rStyle w:val="IndexLink"/>
                <w:rtl w:val="true"/>
              </w:rPr>
              <w:t>تذنیب</w:t>
            </w:r>
            <w:r>
              <w:rPr>
                <w:rStyle w:val="IndexLink"/>
                <w:rtl w:val="true"/>
              </w:rPr>
              <w:t xml:space="preserve">: </w:t>
            </w:r>
            <w:r>
              <w:rPr>
                <w:rStyle w:val="IndexLink"/>
                <w:rtl w:val="true"/>
              </w:rPr>
              <w:t>حول عصر کتابة القرآن المجید</w:t>
            </w:r>
            <w:r>
              <w:rPr>
                <w:rStyle w:val="IndexLink"/>
                <w:rtl w:val="true"/>
              </w:rPr>
              <w:tab/>
            </w:r>
            <w:r>
              <w:rPr>
                <w:rStyle w:val="IndexLink"/>
              </w:rPr>
              <w:t>322</w:t>
            </w:r>
          </w:hyperlink>
        </w:p>
        <w:p>
          <w:pPr>
            <w:pStyle w:val="Contents6"/>
            <w:tabs>
              <w:tab w:val="clear" w:pos="7609"/>
              <w:tab w:val="right" w:pos="9026" w:leader="dot"/>
            </w:tabs>
            <w:rPr/>
          </w:pPr>
          <w:hyperlink w:anchor="__RefHeading___Toc624645_3244359995">
            <w:r>
              <w:rPr>
                <w:webHidden/>
                <w:rStyle w:val="IndexLink"/>
                <w:rtl w:val="true"/>
              </w:rPr>
              <w:t>بقی شی‌ء</w:t>
            </w:r>
            <w:r>
              <w:rPr>
                <w:rStyle w:val="IndexLink"/>
                <w:rtl w:val="true"/>
              </w:rPr>
              <w:t xml:space="preserve">: </w:t>
            </w:r>
            <w:r>
              <w:rPr>
                <w:rStyle w:val="IndexLink"/>
                <w:rtl w:val="true"/>
              </w:rPr>
              <w:t>حول عدم إضرار العلم الإجمالی بالتحریف</w:t>
            </w:r>
            <w:r>
              <w:rPr>
                <w:rStyle w:val="IndexLink"/>
                <w:rtl w:val="true"/>
              </w:rPr>
              <w:tab/>
            </w:r>
            <w:r>
              <w:rPr>
                <w:rStyle w:val="IndexLink"/>
              </w:rPr>
              <w:t>323</w:t>
            </w:r>
          </w:hyperlink>
        </w:p>
        <w:p>
          <w:pPr>
            <w:pStyle w:val="Contents6"/>
            <w:tabs>
              <w:tab w:val="clear" w:pos="7609"/>
              <w:tab w:val="right" w:pos="9026" w:leader="dot"/>
            </w:tabs>
            <w:rPr/>
          </w:pPr>
          <w:hyperlink w:anchor="__RefHeading___Toc624647_3244359995">
            <w:r>
              <w:rPr>
                <w:webHidden/>
                <w:rStyle w:val="IndexLink"/>
                <w:rtl w:val="true"/>
              </w:rPr>
              <w:t>تتمیم الکلام و توضیح المرام</w:t>
            </w:r>
            <w:r>
              <w:rPr>
                <w:rStyle w:val="IndexLink"/>
                <w:rtl w:val="true"/>
              </w:rPr>
              <w:tab/>
            </w:r>
            <w:r>
              <w:rPr>
                <w:rStyle w:val="IndexLink"/>
              </w:rPr>
              <w:t>325</w:t>
            </w:r>
          </w:hyperlink>
        </w:p>
        <w:p>
          <w:pPr>
            <w:pStyle w:val="Contents6"/>
            <w:tabs>
              <w:tab w:val="clear" w:pos="7609"/>
              <w:tab w:val="right" w:pos="9026" w:leader="dot"/>
            </w:tabs>
            <w:rPr/>
          </w:pPr>
          <w:hyperlink w:anchor="__RefHeading___Toc624649_3244359995">
            <w:r>
              <w:rPr>
                <w:webHidden/>
                <w:rStyle w:val="IndexLink"/>
                <w:rtl w:val="true"/>
              </w:rPr>
              <w:t>الأوّل</w:t>
            </w:r>
            <w:r>
              <w:rPr>
                <w:rStyle w:val="IndexLink"/>
                <w:rtl w:val="true"/>
              </w:rPr>
              <w:t xml:space="preserve">: </w:t>
            </w:r>
            <w:r>
              <w:rPr>
                <w:rStyle w:val="IndexLink"/>
                <w:rtl w:val="true"/>
              </w:rPr>
              <w:t>حول ما دلّ علی اختصاص فهم القرآن بمن خوطب به</w:t>
            </w:r>
            <w:r>
              <w:rPr>
                <w:rStyle w:val="IndexLink"/>
                <w:rtl w:val="true"/>
              </w:rPr>
              <w:tab/>
            </w:r>
            <w:r>
              <w:rPr>
                <w:rStyle w:val="IndexLink"/>
              </w:rPr>
              <w:t>327</w:t>
            </w:r>
          </w:hyperlink>
        </w:p>
        <w:p>
          <w:pPr>
            <w:pStyle w:val="Contents6"/>
            <w:tabs>
              <w:tab w:val="clear" w:pos="7609"/>
              <w:tab w:val="right" w:pos="9026" w:leader="dot"/>
            </w:tabs>
            <w:rPr/>
          </w:pPr>
          <w:hyperlink w:anchor="__RefHeading___Toc624651_3244359995">
            <w:r>
              <w:rPr>
                <w:webHidden/>
                <w:rStyle w:val="IndexLink"/>
                <w:rtl w:val="true"/>
              </w:rPr>
              <w:t>و الثانی</w:t>
            </w:r>
            <w:r>
              <w:rPr>
                <w:rStyle w:val="IndexLink"/>
                <w:rtl w:val="true"/>
              </w:rPr>
              <w:t xml:space="preserve">: </w:t>
            </w:r>
            <w:r>
              <w:rPr>
                <w:rStyle w:val="IndexLink"/>
                <w:rtl w:val="true"/>
              </w:rPr>
              <w:t>حول ما دل علی النهی عن تفسیر القرآن بالرأی</w:t>
            </w:r>
            <w:r>
              <w:rPr>
                <w:rStyle w:val="IndexLink"/>
                <w:rtl w:val="true"/>
              </w:rPr>
              <w:tab/>
            </w:r>
            <w:r>
              <w:rPr>
                <w:rStyle w:val="IndexLink"/>
              </w:rPr>
              <w:t>327</w:t>
            </w:r>
          </w:hyperlink>
        </w:p>
        <w:p>
          <w:pPr>
            <w:pStyle w:val="Contents5"/>
            <w:tabs>
              <w:tab w:val="clear" w:pos="7892"/>
              <w:tab w:val="right" w:pos="9026" w:leader="dot"/>
            </w:tabs>
            <w:rPr/>
          </w:pPr>
          <w:hyperlink w:anchor="__RefHeading___Toc624653_3244359995">
            <w:r>
              <w:rPr>
                <w:webHidden/>
                <w:rStyle w:val="IndexLink"/>
                <w:rtl w:val="true"/>
              </w:rPr>
              <w:t>الشبهة الخامسة</w:t>
            </w:r>
            <w:r>
              <w:rPr>
                <w:rStyle w:val="IndexLink"/>
                <w:rtl w:val="true"/>
              </w:rPr>
              <w:t xml:space="preserve">: </w:t>
            </w:r>
            <w:r>
              <w:rPr>
                <w:rStyle w:val="IndexLink"/>
                <w:rtl w:val="true"/>
              </w:rPr>
              <w:t>فی عدم إمکان الاستدلال علی حجیة الظواهر بالدلیل اللفظی</w:t>
            </w:r>
            <w:r>
              <w:rPr>
                <w:rStyle w:val="IndexLink"/>
                <w:rtl w:val="true"/>
              </w:rPr>
              <w:tab/>
            </w:r>
            <w:r>
              <w:rPr>
                <w:rStyle w:val="IndexLink"/>
              </w:rPr>
              <w:t>328</w:t>
            </w:r>
          </w:hyperlink>
        </w:p>
        <w:p>
          <w:pPr>
            <w:pStyle w:val="Contents6"/>
            <w:tabs>
              <w:tab w:val="clear" w:pos="7609"/>
              <w:tab w:val="right" w:pos="9026" w:leader="dot"/>
            </w:tabs>
            <w:rPr/>
          </w:pPr>
          <w:hyperlink w:anchor="__RefHeading___Toc624655_3244359995">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624657_3244359995">
            <w:r>
              <w:rPr>
                <w:webHidden/>
                <w:rStyle w:val="IndexLink"/>
                <w:rtl w:val="true"/>
              </w:rPr>
              <w:t>بقی شی‌ء</w:t>
            </w:r>
            <w:r>
              <w:rPr>
                <w:rStyle w:val="IndexLink"/>
                <w:rtl w:val="true"/>
              </w:rPr>
              <w:t xml:space="preserve">: </w:t>
            </w:r>
            <w:r>
              <w:rPr>
                <w:rStyle w:val="IndexLink"/>
                <w:rtl w:val="true"/>
              </w:rPr>
              <w:t>حول شمول الآیات الناهیة عن الظن لحجّیة الظواهر</w:t>
            </w:r>
            <w:r>
              <w:rPr>
                <w:rStyle w:val="IndexLink"/>
                <w:rtl w:val="true"/>
              </w:rPr>
              <w:tab/>
            </w:r>
            <w:r>
              <w:rPr>
                <w:rStyle w:val="IndexLink"/>
              </w:rPr>
              <w:t>328</w:t>
            </w:r>
          </w:hyperlink>
        </w:p>
        <w:p>
          <w:pPr>
            <w:pStyle w:val="Contents6"/>
            <w:tabs>
              <w:tab w:val="clear" w:pos="7609"/>
              <w:tab w:val="right" w:pos="9026" w:leader="dot"/>
            </w:tabs>
            <w:rPr/>
          </w:pPr>
          <w:hyperlink w:anchor="__RefHeading___Toc624659_3244359995">
            <w:r>
              <w:rPr>
                <w:webHidden/>
                <w:rStyle w:val="IndexLink"/>
                <w:rtl w:val="true"/>
              </w:rPr>
              <w:t>بقی شی‌ء</w:t>
            </w:r>
            <w:r>
              <w:rPr>
                <w:rStyle w:val="IndexLink"/>
                <w:rtl w:val="true"/>
              </w:rPr>
              <w:t xml:space="preserve">: </w:t>
            </w:r>
            <w:r>
              <w:rPr>
                <w:rStyle w:val="IndexLink"/>
                <w:rtl w:val="true"/>
              </w:rPr>
              <w:t>فیما یرد علی الدلیل العقلی علی حجّیة الظواهر</w:t>
            </w:r>
            <w:r>
              <w:rPr>
                <w:rStyle w:val="IndexLink"/>
                <w:rtl w:val="true"/>
              </w:rPr>
              <w:tab/>
            </w:r>
            <w:r>
              <w:rPr>
                <w:rStyle w:val="IndexLink"/>
              </w:rPr>
              <w:t>332</w:t>
            </w:r>
          </w:hyperlink>
        </w:p>
        <w:p>
          <w:pPr>
            <w:pStyle w:val="Contents3"/>
            <w:tabs>
              <w:tab w:val="clear" w:pos="8459"/>
              <w:tab w:val="right" w:pos="9026" w:leader="dot"/>
            </w:tabs>
            <w:rPr/>
          </w:pPr>
          <w:hyperlink w:anchor="__RefHeading___Toc624661_3244359995">
            <w:r>
              <w:rPr>
                <w:webHidden/>
                <w:rStyle w:val="IndexLink"/>
                <w:rtl w:val="true"/>
              </w:rPr>
              <w:t>المبحث الثانی فی حجّیة قول اللّغوی</w:t>
            </w:r>
            <w:r>
              <w:rPr>
                <w:rStyle w:val="IndexLink"/>
                <w:rtl w:val="true"/>
              </w:rPr>
              <w:tab/>
            </w:r>
            <w:r>
              <w:rPr>
                <w:rStyle w:val="IndexLink"/>
              </w:rPr>
              <w:t>334</w:t>
            </w:r>
          </w:hyperlink>
        </w:p>
        <w:p>
          <w:pPr>
            <w:pStyle w:val="Contents4"/>
            <w:tabs>
              <w:tab w:val="clear" w:pos="8176"/>
              <w:tab w:val="right" w:pos="9026" w:leader="dot"/>
            </w:tabs>
            <w:rPr/>
          </w:pPr>
          <w:hyperlink w:anchor="__RefHeading___Toc624663_3244359995">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624665_3244359995">
            <w:r>
              <w:rPr>
                <w:webHidden/>
                <w:rStyle w:val="IndexLink"/>
                <w:rtl w:val="true"/>
              </w:rPr>
              <w:t>تمهید وجه إفراد هذا البحث</w:t>
            </w:r>
            <w:r>
              <w:rPr>
                <w:rStyle w:val="IndexLink"/>
                <w:rtl w:val="true"/>
              </w:rPr>
              <w:tab/>
            </w:r>
            <w:r>
              <w:rPr>
                <w:rStyle w:val="IndexLink"/>
              </w:rPr>
              <w:t>335</w:t>
            </w:r>
          </w:hyperlink>
        </w:p>
        <w:p>
          <w:pPr>
            <w:pStyle w:val="Contents4"/>
            <w:tabs>
              <w:tab w:val="clear" w:pos="8176"/>
              <w:tab w:val="right" w:pos="9026" w:leader="dot"/>
            </w:tabs>
            <w:rPr/>
          </w:pPr>
          <w:hyperlink w:anchor="__RefHeading___Toc624667_3244359995">
            <w:r>
              <w:rPr>
                <w:webHidden/>
                <w:rStyle w:val="IndexLink"/>
                <w:rtl w:val="true"/>
              </w:rPr>
              <w:t>أدلّة حجّیة قول اللغوی</w:t>
            </w:r>
            <w:r>
              <w:rPr>
                <w:rStyle w:val="IndexLink"/>
                <w:rtl w:val="true"/>
              </w:rPr>
              <w:tab/>
            </w:r>
            <w:r>
              <w:rPr>
                <w:rStyle w:val="IndexLink"/>
              </w:rPr>
              <w:t>338</w:t>
            </w:r>
          </w:hyperlink>
        </w:p>
        <w:p>
          <w:pPr>
            <w:pStyle w:val="Contents5"/>
            <w:tabs>
              <w:tab w:val="clear" w:pos="7892"/>
              <w:tab w:val="right" w:pos="9026" w:leader="dot"/>
            </w:tabs>
            <w:rPr/>
          </w:pPr>
          <w:hyperlink w:anchor="__RefHeading___Toc624669_3244359995">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624671_3244359995">
            <w:r>
              <w:rPr>
                <w:webHidden/>
                <w:rStyle w:val="IndexLink"/>
                <w:rtl w:val="true"/>
              </w:rPr>
              <w:t>الأمر الأوّل</w:t>
            </w:r>
            <w:r>
              <w:rPr>
                <w:rStyle w:val="IndexLink"/>
                <w:rtl w:val="true"/>
              </w:rPr>
              <w:t xml:space="preserve">: </w:t>
            </w:r>
            <w:r>
              <w:rPr>
                <w:rStyle w:val="IndexLink"/>
                <w:rtl w:val="true"/>
              </w:rPr>
              <w:t>الإجماع اللفظیّ القائم علی ذلک خصوصا</w:t>
            </w:r>
            <w:r>
              <w:rPr>
                <w:rStyle w:val="IndexLink"/>
                <w:rtl w:val="true"/>
              </w:rPr>
              <w:t>.</w:t>
              <w:tab/>
            </w:r>
            <w:r>
              <w:rPr>
                <w:rStyle w:val="IndexLink"/>
              </w:rPr>
              <w:t>338</w:t>
            </w:r>
          </w:hyperlink>
        </w:p>
        <w:p>
          <w:pPr>
            <w:pStyle w:val="Contents5"/>
            <w:tabs>
              <w:tab w:val="clear" w:pos="7892"/>
              <w:tab w:val="right" w:pos="9026" w:leader="dot"/>
            </w:tabs>
            <w:rPr/>
          </w:pPr>
          <w:hyperlink w:anchor="__RefHeading___Toc624673_3244359995">
            <w:r>
              <w:rPr>
                <w:webHidden/>
                <w:rStyle w:val="IndexLink"/>
                <w:rtl w:val="true"/>
              </w:rPr>
              <w:t>الأمر الثانی</w:t>
            </w:r>
            <w:r>
              <w:rPr>
                <w:rStyle w:val="IndexLink"/>
                <w:rtl w:val="true"/>
              </w:rPr>
              <w:t xml:space="preserve">: </w:t>
            </w:r>
            <w:r>
              <w:rPr>
                <w:rStyle w:val="IndexLink"/>
                <w:rtl w:val="true"/>
              </w:rPr>
              <w:t>الإجماع العملیّ و السیرة المخصوصة برجوع القوم إلی اللغویّین</w:t>
            </w:r>
            <w:r>
              <w:rPr>
                <w:rStyle w:val="IndexLink"/>
                <w:rtl w:val="true"/>
              </w:rPr>
              <w:t>.</w:t>
              <w:tab/>
            </w:r>
            <w:r>
              <w:rPr>
                <w:rStyle w:val="IndexLink"/>
              </w:rPr>
              <w:t>338</w:t>
            </w:r>
          </w:hyperlink>
        </w:p>
        <w:p>
          <w:pPr>
            <w:pStyle w:val="Contents5"/>
            <w:tabs>
              <w:tab w:val="clear" w:pos="7892"/>
              <w:tab w:val="right" w:pos="9026" w:leader="dot"/>
            </w:tabs>
            <w:rPr/>
          </w:pPr>
          <w:hyperlink w:anchor="__RefHeading___Toc624675_3244359995">
            <w:r>
              <w:rPr>
                <w:webHidden/>
                <w:rStyle w:val="IndexLink"/>
                <w:rtl w:val="true"/>
              </w:rPr>
              <w:t>الأمر الثالث</w:t>
            </w:r>
            <w:r>
              <w:rPr>
                <w:rStyle w:val="IndexLink"/>
                <w:rtl w:val="true"/>
              </w:rPr>
              <w:t xml:space="preserve">: </w:t>
            </w:r>
            <w:r>
              <w:rPr>
                <w:rStyle w:val="IndexLink"/>
                <w:rtl w:val="true"/>
              </w:rPr>
              <w:t>السیرة العامّة الکلّیة</w:t>
            </w:r>
            <w:r>
              <w:rPr>
                <w:rStyle w:val="IndexLink"/>
                <w:rtl w:val="true"/>
              </w:rPr>
              <w:tab/>
            </w:r>
            <w:r>
              <w:rPr>
                <w:rStyle w:val="IndexLink"/>
              </w:rPr>
              <w:t>338</w:t>
            </w:r>
          </w:hyperlink>
        </w:p>
        <w:p>
          <w:pPr>
            <w:pStyle w:val="Contents5"/>
            <w:tabs>
              <w:tab w:val="clear" w:pos="7892"/>
              <w:tab w:val="right" w:pos="9026" w:leader="dot"/>
            </w:tabs>
            <w:rPr/>
          </w:pPr>
          <w:hyperlink w:anchor="__RefHeading___Toc624677_3244359995">
            <w:r>
              <w:rPr>
                <w:webHidden/>
                <w:rStyle w:val="IndexLink"/>
                <w:rtl w:val="true"/>
              </w:rPr>
              <w:t>الأمر الرابع</w:t>
            </w:r>
            <w:r>
              <w:rPr>
                <w:rStyle w:val="IndexLink"/>
                <w:rtl w:val="true"/>
              </w:rPr>
              <w:t xml:space="preserve">: </w:t>
            </w:r>
            <w:r>
              <w:rPr>
                <w:rStyle w:val="IndexLink"/>
                <w:rtl w:val="true"/>
              </w:rPr>
              <w:t>أنّ مقتضی أدلّة حجّیة خبر الواحد، حجّیة قولهم</w:t>
            </w:r>
            <w:r>
              <w:rPr>
                <w:rStyle w:val="IndexLink"/>
                <w:rtl w:val="true"/>
              </w:rPr>
              <w:t>.</w:t>
              <w:tab/>
            </w:r>
            <w:r>
              <w:rPr>
                <w:rStyle w:val="IndexLink"/>
              </w:rPr>
              <w:t>339</w:t>
            </w:r>
          </w:hyperlink>
        </w:p>
        <w:p>
          <w:pPr>
            <w:pStyle w:val="Contents5"/>
            <w:tabs>
              <w:tab w:val="clear" w:pos="7892"/>
              <w:tab w:val="right" w:pos="9026" w:leader="dot"/>
            </w:tabs>
            <w:rPr/>
          </w:pPr>
          <w:hyperlink w:anchor="__RefHeading___Toc624679_3244359995">
            <w:r>
              <w:rPr>
                <w:webHidden/>
                <w:rStyle w:val="IndexLink"/>
                <w:rtl w:val="true"/>
              </w:rPr>
              <w:t>الأمر الخامس</w:t>
            </w:r>
            <w:r>
              <w:rPr>
                <w:rStyle w:val="IndexLink"/>
                <w:rtl w:val="true"/>
              </w:rPr>
              <w:tab/>
            </w:r>
            <w:r>
              <w:rPr>
                <w:rStyle w:val="IndexLink"/>
              </w:rPr>
              <w:t>340</w:t>
            </w:r>
          </w:hyperlink>
        </w:p>
        <w:p>
          <w:pPr>
            <w:pStyle w:val="Contents5"/>
            <w:tabs>
              <w:tab w:val="clear" w:pos="7892"/>
              <w:tab w:val="right" w:pos="9026" w:leader="dot"/>
            </w:tabs>
            <w:rPr/>
          </w:pPr>
          <w:hyperlink w:anchor="__RefHeading___Toc624681_3244359995">
            <w:r>
              <w:rPr>
                <w:webHidden/>
                <w:rStyle w:val="IndexLink"/>
                <w:rtl w:val="true"/>
              </w:rPr>
              <w:t>الأمر السادس</w:t>
            </w:r>
            <w:r>
              <w:rPr>
                <w:rStyle w:val="IndexLink"/>
                <w:rtl w:val="true"/>
              </w:rPr>
              <w:t xml:space="preserve">: </w:t>
            </w:r>
            <w:r>
              <w:rPr>
                <w:rStyle w:val="IndexLink"/>
                <w:rtl w:val="true"/>
              </w:rPr>
              <w:t>دلیل الانسداد</w:t>
            </w:r>
            <w:r>
              <w:rPr>
                <w:rStyle w:val="IndexLink"/>
                <w:rtl w:val="true"/>
              </w:rPr>
              <w:tab/>
            </w:r>
            <w:r>
              <w:rPr>
                <w:rStyle w:val="IndexLink"/>
              </w:rPr>
              <w:t>341</w:t>
            </w:r>
          </w:hyperlink>
        </w:p>
        <w:p>
          <w:pPr>
            <w:pStyle w:val="Contents4"/>
            <w:tabs>
              <w:tab w:val="clear" w:pos="8176"/>
              <w:tab w:val="right" w:pos="9026" w:leader="dot"/>
            </w:tabs>
            <w:rPr/>
          </w:pPr>
          <w:hyperlink w:anchor="__RefHeading___Toc624683_3244359995">
            <w:r>
              <w:rPr>
                <w:webHidden/>
                <w:rStyle w:val="IndexLink"/>
                <w:rtl w:val="true"/>
              </w:rPr>
              <w:t>تذنیب</w:t>
            </w:r>
            <w:r>
              <w:rPr>
                <w:rStyle w:val="IndexLink"/>
                <w:rtl w:val="true"/>
              </w:rPr>
              <w:t xml:space="preserve">: </w:t>
            </w:r>
            <w:r>
              <w:rPr>
                <w:rStyle w:val="IndexLink"/>
                <w:rtl w:val="true"/>
              </w:rPr>
              <w:t>حول محاذیر حجیة قول اللغوی</w:t>
            </w:r>
            <w:r>
              <w:rPr>
                <w:rStyle w:val="IndexLink"/>
                <w:rtl w:val="true"/>
              </w:rPr>
              <w:tab/>
            </w:r>
            <w:r>
              <w:rPr>
                <w:rStyle w:val="IndexLink"/>
              </w:rPr>
              <w:t>342</w:t>
            </w:r>
          </w:hyperlink>
        </w:p>
        <w:p>
          <w:pPr>
            <w:pStyle w:val="Contents3"/>
            <w:tabs>
              <w:tab w:val="clear" w:pos="8459"/>
              <w:tab w:val="right" w:pos="9026" w:leader="dot"/>
            </w:tabs>
            <w:rPr/>
          </w:pPr>
          <w:hyperlink w:anchor="__RefHeading___Toc624685_3244359995">
            <w:r>
              <w:rPr>
                <w:webHidden/>
                <w:rStyle w:val="IndexLink"/>
                <w:rtl w:val="true"/>
              </w:rPr>
              <w:t>المبحث الثالث فی حجّیة الإجماع المنقول</w:t>
            </w:r>
            <w:r>
              <w:rPr>
                <w:rStyle w:val="IndexLink"/>
                <w:rtl w:val="true"/>
              </w:rPr>
              <w:tab/>
            </w:r>
            <w:r>
              <w:rPr>
                <w:rStyle w:val="IndexLink"/>
              </w:rPr>
              <w:t>344</w:t>
            </w:r>
          </w:hyperlink>
        </w:p>
        <w:p>
          <w:pPr>
            <w:pStyle w:val="Contents4"/>
            <w:tabs>
              <w:tab w:val="clear" w:pos="8176"/>
              <w:tab w:val="right" w:pos="9026" w:leader="dot"/>
            </w:tabs>
            <w:rPr/>
          </w:pPr>
          <w:hyperlink w:anchor="__RefHeading___Toc624687_3244359995">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624689_3244359995">
            <w:r>
              <w:rPr>
                <w:webHidden/>
                <w:rStyle w:val="IndexLink"/>
                <w:rtl w:val="true"/>
              </w:rPr>
              <w:t>تمهید</w:t>
            </w:r>
            <w:r>
              <w:rPr>
                <w:rStyle w:val="IndexLink"/>
                <w:rtl w:val="true"/>
              </w:rPr>
              <w:tab/>
            </w:r>
            <w:r>
              <w:rPr>
                <w:rStyle w:val="IndexLink"/>
              </w:rPr>
              <w:t>345</w:t>
            </w:r>
          </w:hyperlink>
        </w:p>
        <w:p>
          <w:pPr>
            <w:pStyle w:val="Contents5"/>
            <w:tabs>
              <w:tab w:val="clear" w:pos="7892"/>
              <w:tab w:val="right" w:pos="9026" w:leader="dot"/>
            </w:tabs>
            <w:rPr/>
          </w:pPr>
          <w:hyperlink w:anchor="__RefHeading___Toc624691_3244359995">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624693_3244359995">
            <w:r>
              <w:rPr>
                <w:webHidden/>
                <w:rStyle w:val="IndexLink"/>
                <w:rtl w:val="true"/>
              </w:rPr>
              <w:t>الجهة الأولی</w:t>
            </w:r>
            <w:r>
              <w:rPr>
                <w:rStyle w:val="IndexLink"/>
                <w:rtl w:val="true"/>
              </w:rPr>
              <w:t xml:space="preserve">: </w:t>
            </w:r>
            <w:r>
              <w:rPr>
                <w:rStyle w:val="IndexLink"/>
                <w:rtl w:val="true"/>
              </w:rPr>
              <w:t>فی تعریف الإجماع</w:t>
            </w:r>
            <w:r>
              <w:rPr>
                <w:rStyle w:val="IndexLink"/>
                <w:rtl w:val="true"/>
              </w:rPr>
              <w:tab/>
            </w:r>
            <w:r>
              <w:rPr>
                <w:rStyle w:val="IndexLink"/>
              </w:rPr>
              <w:t>345</w:t>
            </w:r>
          </w:hyperlink>
        </w:p>
        <w:p>
          <w:pPr>
            <w:pStyle w:val="Contents5"/>
            <w:tabs>
              <w:tab w:val="clear" w:pos="7892"/>
              <w:tab w:val="right" w:pos="9026" w:leader="dot"/>
            </w:tabs>
            <w:rPr/>
          </w:pPr>
          <w:hyperlink w:anchor="__RefHeading___Toc624695_3244359995">
            <w:r>
              <w:rPr>
                <w:webHidden/>
                <w:rStyle w:val="IndexLink"/>
                <w:rtl w:val="true"/>
              </w:rPr>
              <w:t>الجهة الثانیة</w:t>
            </w:r>
            <w:r>
              <w:rPr>
                <w:rStyle w:val="IndexLink"/>
                <w:rtl w:val="true"/>
              </w:rPr>
              <w:t xml:space="preserve">: </w:t>
            </w:r>
            <w:r>
              <w:rPr>
                <w:rStyle w:val="IndexLink"/>
                <w:rtl w:val="true"/>
              </w:rPr>
              <w:t>فی عدم تفرّع هذه المسألة علی حجّیة خبر الواحد</w:t>
            </w:r>
            <w:r>
              <w:rPr>
                <w:rStyle w:val="IndexLink"/>
                <w:rtl w:val="true"/>
              </w:rPr>
              <w:tab/>
            </w:r>
            <w:r>
              <w:rPr>
                <w:rStyle w:val="IndexLink"/>
              </w:rPr>
              <w:t>347</w:t>
            </w:r>
          </w:hyperlink>
        </w:p>
        <w:p>
          <w:pPr>
            <w:pStyle w:val="Contents5"/>
            <w:tabs>
              <w:tab w:val="clear" w:pos="7892"/>
              <w:tab w:val="right" w:pos="9026" w:leader="dot"/>
            </w:tabs>
            <w:rPr/>
          </w:pPr>
          <w:hyperlink w:anchor="__RefHeading___Toc624697_3244359995">
            <w:r>
              <w:rPr>
                <w:webHidden/>
                <w:rStyle w:val="IndexLink"/>
                <w:rtl w:val="true"/>
              </w:rPr>
              <w:t>الجهة الثالثة</w:t>
            </w:r>
            <w:r>
              <w:rPr>
                <w:rStyle w:val="IndexLink"/>
                <w:rtl w:val="true"/>
              </w:rPr>
              <w:t xml:space="preserve">: </w:t>
            </w:r>
            <w:r>
              <w:rPr>
                <w:rStyle w:val="IndexLink"/>
                <w:rtl w:val="true"/>
              </w:rPr>
              <w:t>فی توقف هذه المسألة علی معرفة الإجماع المحصل</w:t>
            </w:r>
            <w:r>
              <w:rPr>
                <w:rStyle w:val="IndexLink"/>
                <w:rtl w:val="true"/>
              </w:rPr>
              <w:tab/>
            </w:r>
            <w:r>
              <w:rPr>
                <w:rStyle w:val="IndexLink"/>
              </w:rPr>
              <w:t>348</w:t>
            </w:r>
          </w:hyperlink>
        </w:p>
        <w:p>
          <w:pPr>
            <w:pStyle w:val="Contents5"/>
            <w:tabs>
              <w:tab w:val="clear" w:pos="7892"/>
              <w:tab w:val="right" w:pos="9026" w:leader="dot"/>
            </w:tabs>
            <w:rPr/>
          </w:pPr>
          <w:hyperlink w:anchor="__RefHeading___Toc624699_3244359995">
            <w:r>
              <w:rPr>
                <w:webHidden/>
                <w:rStyle w:val="IndexLink"/>
                <w:rtl w:val="true"/>
              </w:rPr>
              <w:t>الجهة الرابعة</w:t>
            </w:r>
            <w:r>
              <w:rPr>
                <w:rStyle w:val="IndexLink"/>
                <w:rtl w:val="true"/>
              </w:rPr>
              <w:t xml:space="preserve">: </w:t>
            </w:r>
            <w:r>
              <w:rPr>
                <w:rStyle w:val="IndexLink"/>
                <w:rtl w:val="true"/>
              </w:rPr>
              <w:t>فی وجه حجّیة الإجماع المحصّل</w:t>
            </w:r>
            <w:r>
              <w:rPr>
                <w:rStyle w:val="IndexLink"/>
                <w:rtl w:val="true"/>
              </w:rPr>
              <w:tab/>
            </w:r>
            <w:r>
              <w:rPr>
                <w:rStyle w:val="IndexLink"/>
              </w:rPr>
              <w:t>348</w:t>
            </w:r>
          </w:hyperlink>
        </w:p>
        <w:p>
          <w:pPr>
            <w:pStyle w:val="Contents6"/>
            <w:tabs>
              <w:tab w:val="clear" w:pos="7609"/>
              <w:tab w:val="right" w:pos="9026" w:leader="dot"/>
            </w:tabs>
            <w:rPr/>
          </w:pPr>
          <w:hyperlink w:anchor="__RefHeading___Toc624701_3244359995">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624703_3244359995">
            <w:r>
              <w:rPr>
                <w:webHidden/>
                <w:rStyle w:val="IndexLink"/>
                <w:rtl w:val="true"/>
              </w:rPr>
              <w:t>بقی شی‌ء</w:t>
            </w:r>
            <w:r>
              <w:rPr>
                <w:rStyle w:val="IndexLink"/>
                <w:rtl w:val="true"/>
              </w:rPr>
              <w:t xml:space="preserve">: </w:t>
            </w:r>
            <w:r>
              <w:rPr>
                <w:rStyle w:val="IndexLink"/>
                <w:rtl w:val="true"/>
              </w:rPr>
              <w:t>فی صعوبة تحصیل صغری الإجماع المحصّل</w:t>
            </w:r>
            <w:r>
              <w:rPr>
                <w:rStyle w:val="IndexLink"/>
                <w:rtl w:val="true"/>
              </w:rPr>
              <w:tab/>
            </w:r>
            <w:r>
              <w:rPr>
                <w:rStyle w:val="IndexLink"/>
              </w:rPr>
              <w:t>353</w:t>
            </w:r>
          </w:hyperlink>
        </w:p>
        <w:p>
          <w:pPr>
            <w:pStyle w:val="Contents5"/>
            <w:tabs>
              <w:tab w:val="clear" w:pos="7892"/>
              <w:tab w:val="right" w:pos="9026" w:leader="dot"/>
            </w:tabs>
            <w:rPr/>
          </w:pPr>
          <w:hyperlink w:anchor="__RefHeading___Toc624705_3244359995">
            <w:r>
              <w:rPr>
                <w:webHidden/>
                <w:rStyle w:val="IndexLink"/>
                <w:rtl w:val="true"/>
              </w:rPr>
              <w:t>الجهة الخامسة</w:t>
            </w:r>
            <w:r>
              <w:rPr>
                <w:rStyle w:val="IndexLink"/>
                <w:rtl w:val="true"/>
              </w:rPr>
              <w:t xml:space="preserve">: </w:t>
            </w:r>
            <w:r>
              <w:rPr>
                <w:rStyle w:val="IndexLink"/>
                <w:rtl w:val="true"/>
              </w:rPr>
              <w:t>هل الإجماع حجة أو ما یحکی عنه؟</w:t>
            </w:r>
            <w:r>
              <w:rPr>
                <w:rStyle w:val="IndexLink"/>
                <w:rtl w:val="true"/>
              </w:rPr>
              <w:tab/>
            </w:r>
            <w:r>
              <w:rPr>
                <w:rStyle w:val="IndexLink"/>
              </w:rPr>
              <w:t>356</w:t>
            </w:r>
          </w:hyperlink>
        </w:p>
        <w:p>
          <w:pPr>
            <w:pStyle w:val="Contents4"/>
            <w:tabs>
              <w:tab w:val="clear" w:pos="8176"/>
              <w:tab w:val="right" w:pos="9026" w:leader="dot"/>
            </w:tabs>
            <w:rPr/>
          </w:pPr>
          <w:hyperlink w:anchor="__RefHeading___Toc624707_3244359995">
            <w:r>
              <w:rPr>
                <w:webHidden/>
                <w:rStyle w:val="IndexLink"/>
                <w:rtl w:val="true"/>
              </w:rPr>
              <w:t>التحقیق فی حجّیة الإجماع المنقول</w:t>
            </w:r>
            <w:r>
              <w:rPr>
                <w:rStyle w:val="IndexLink"/>
                <w:rtl w:val="true"/>
              </w:rPr>
              <w:tab/>
            </w:r>
            <w:r>
              <w:rPr>
                <w:rStyle w:val="IndexLink"/>
              </w:rPr>
              <w:t>357</w:t>
            </w:r>
          </w:hyperlink>
        </w:p>
        <w:p>
          <w:pPr>
            <w:pStyle w:val="Contents5"/>
            <w:tabs>
              <w:tab w:val="clear" w:pos="7892"/>
              <w:tab w:val="right" w:pos="9026" w:leader="dot"/>
            </w:tabs>
            <w:rPr/>
          </w:pPr>
          <w:hyperlink w:anchor="__RefHeading___Toc624709_3244359995">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624711_3244359995">
            <w:r>
              <w:rPr>
                <w:webHidden/>
                <w:rStyle w:val="IndexLink"/>
                <w:rtl w:val="true"/>
              </w:rPr>
              <w:t>تذنیب</w:t>
            </w:r>
            <w:r>
              <w:rPr>
                <w:rStyle w:val="IndexLink"/>
                <w:rtl w:val="true"/>
              </w:rPr>
              <w:t xml:space="preserve">: </w:t>
            </w:r>
            <w:r>
              <w:rPr>
                <w:rStyle w:val="IndexLink"/>
                <w:rtl w:val="true"/>
              </w:rPr>
              <w:t>فی أنّ الإجماع المنقول من الظنون النوعیة الخاصة</w:t>
            </w:r>
            <w:r>
              <w:rPr>
                <w:rStyle w:val="IndexLink"/>
                <w:rtl w:val="true"/>
              </w:rPr>
              <w:tab/>
            </w:r>
            <w:r>
              <w:rPr>
                <w:rStyle w:val="IndexLink"/>
              </w:rPr>
              <w:t>361</w:t>
            </w:r>
          </w:hyperlink>
        </w:p>
        <w:p>
          <w:pPr>
            <w:pStyle w:val="Contents5"/>
            <w:tabs>
              <w:tab w:val="clear" w:pos="7892"/>
              <w:tab w:val="right" w:pos="9026" w:leader="dot"/>
            </w:tabs>
            <w:rPr/>
          </w:pPr>
          <w:hyperlink w:anchor="__RefHeading___Toc624713_3244359995">
            <w:r>
              <w:rPr>
                <w:webHidden/>
                <w:rStyle w:val="IndexLink"/>
                <w:rtl w:val="true"/>
              </w:rPr>
              <w:t>تنبیه</w:t>
            </w:r>
            <w:r>
              <w:rPr>
                <w:rStyle w:val="IndexLink"/>
                <w:rtl w:val="true"/>
              </w:rPr>
              <w:t xml:space="preserve">: </w:t>
            </w:r>
            <w:r>
              <w:rPr>
                <w:rStyle w:val="IndexLink"/>
                <w:rtl w:val="true"/>
              </w:rPr>
              <w:t>فی حجّیة الإجماع المقید بالسبب</w:t>
            </w:r>
            <w:r>
              <w:rPr>
                <w:rStyle w:val="IndexLink"/>
                <w:rtl w:val="true"/>
              </w:rPr>
              <w:tab/>
            </w:r>
            <w:r>
              <w:rPr>
                <w:rStyle w:val="IndexLink"/>
              </w:rPr>
              <w:t>362</w:t>
            </w:r>
          </w:hyperlink>
        </w:p>
        <w:p>
          <w:pPr>
            <w:pStyle w:val="Contents5"/>
            <w:tabs>
              <w:tab w:val="clear" w:pos="7892"/>
              <w:tab w:val="right" w:pos="9026" w:leader="dot"/>
            </w:tabs>
            <w:rPr/>
          </w:pPr>
          <w:hyperlink w:anchor="__RefHeading___Toc624715_3244359995">
            <w:r>
              <w:rPr>
                <w:webHidden/>
                <w:rStyle w:val="IndexLink"/>
                <w:rtl w:val="true"/>
              </w:rPr>
              <w:t>وهم و دفع</w:t>
            </w:r>
            <w:r>
              <w:rPr>
                <w:rStyle w:val="IndexLink"/>
                <w:rtl w:val="true"/>
              </w:rPr>
              <w:tab/>
            </w:r>
            <w:r>
              <w:rPr>
                <w:rStyle w:val="IndexLink"/>
              </w:rPr>
              <w:t>362</w:t>
            </w:r>
          </w:hyperlink>
        </w:p>
        <w:p>
          <w:pPr>
            <w:pStyle w:val="Contents3"/>
            <w:tabs>
              <w:tab w:val="clear" w:pos="8459"/>
              <w:tab w:val="right" w:pos="9026" w:leader="dot"/>
            </w:tabs>
            <w:rPr/>
          </w:pPr>
          <w:hyperlink w:anchor="__RefHeading___Toc624717_3244359995">
            <w:r>
              <w:rPr>
                <w:webHidden/>
                <w:rStyle w:val="IndexLink"/>
                <w:rtl w:val="true"/>
              </w:rPr>
              <w:t>المبحث الرابع فی الشهرة</w:t>
            </w:r>
            <w:r>
              <w:rPr>
                <w:rStyle w:val="IndexLink"/>
                <w:rtl w:val="true"/>
              </w:rPr>
              <w:tab/>
            </w:r>
            <w:r>
              <w:rPr>
                <w:rStyle w:val="IndexLink"/>
              </w:rPr>
              <w:t>364</w:t>
            </w:r>
          </w:hyperlink>
        </w:p>
        <w:p>
          <w:pPr>
            <w:pStyle w:val="Contents4"/>
            <w:tabs>
              <w:tab w:val="clear" w:pos="8176"/>
              <w:tab w:val="right" w:pos="9026" w:leader="dot"/>
            </w:tabs>
            <w:rPr/>
          </w:pPr>
          <w:hyperlink w:anchor="__RefHeading___Toc624719_3244359995">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624721_3244359995">
            <w:r>
              <w:rPr>
                <w:webHidden/>
                <w:rStyle w:val="IndexLink"/>
                <w:rtl w:val="true"/>
              </w:rPr>
              <w:t>تمهید فی أقسام الشهرة</w:t>
            </w:r>
            <w:r>
              <w:rPr>
                <w:rStyle w:val="IndexLink"/>
                <w:rtl w:val="true"/>
              </w:rPr>
              <w:tab/>
            </w:r>
            <w:r>
              <w:rPr>
                <w:rStyle w:val="IndexLink"/>
              </w:rPr>
              <w:t>365</w:t>
            </w:r>
          </w:hyperlink>
        </w:p>
        <w:p>
          <w:pPr>
            <w:pStyle w:val="Contents4"/>
            <w:tabs>
              <w:tab w:val="clear" w:pos="8176"/>
              <w:tab w:val="right" w:pos="9026" w:leader="dot"/>
            </w:tabs>
            <w:rPr/>
          </w:pPr>
          <w:hyperlink w:anchor="__RefHeading___Toc624723_3244359995">
            <w:r>
              <w:rPr>
                <w:webHidden/>
                <w:rStyle w:val="IndexLink"/>
                <w:rtl w:val="true"/>
              </w:rPr>
              <w:t>أدلّة حجّیة الشهرة</w:t>
            </w:r>
            <w:r>
              <w:rPr>
                <w:rStyle w:val="IndexLink"/>
                <w:rtl w:val="true"/>
              </w:rPr>
              <w:tab/>
            </w:r>
            <w:r>
              <w:rPr>
                <w:rStyle w:val="IndexLink"/>
              </w:rPr>
              <w:t>366</w:t>
            </w:r>
          </w:hyperlink>
        </w:p>
        <w:p>
          <w:pPr>
            <w:pStyle w:val="Contents5"/>
            <w:tabs>
              <w:tab w:val="clear" w:pos="7892"/>
              <w:tab w:val="right" w:pos="9026" w:leader="dot"/>
            </w:tabs>
            <w:rPr/>
          </w:pPr>
          <w:hyperlink w:anchor="__RefHeading___Toc624725_3244359995">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624727_3244359995">
            <w:r>
              <w:rPr>
                <w:webHidden/>
                <w:rStyle w:val="IndexLink"/>
                <w:rtl w:val="true"/>
              </w:rPr>
              <w:t>الوجه الأوّل</w:t>
            </w:r>
            <w:r>
              <w:rPr>
                <w:rStyle w:val="IndexLink"/>
                <w:rtl w:val="true"/>
              </w:rPr>
              <w:tab/>
            </w:r>
            <w:r>
              <w:rPr>
                <w:rStyle w:val="IndexLink"/>
              </w:rPr>
              <w:t>366</w:t>
            </w:r>
          </w:hyperlink>
        </w:p>
        <w:p>
          <w:pPr>
            <w:pStyle w:val="Contents5"/>
            <w:tabs>
              <w:tab w:val="clear" w:pos="7892"/>
              <w:tab w:val="right" w:pos="9026" w:leader="dot"/>
            </w:tabs>
            <w:rPr/>
          </w:pPr>
          <w:hyperlink w:anchor="__RefHeading___Toc624729_3244359995">
            <w:r>
              <w:rPr>
                <w:webHidden/>
                <w:rStyle w:val="IndexLink"/>
                <w:rtl w:val="true"/>
              </w:rPr>
              <w:t>الوجه الثانی</w:t>
            </w:r>
            <w:r>
              <w:rPr>
                <w:rStyle w:val="IndexLink"/>
                <w:rtl w:val="true"/>
              </w:rPr>
              <w:t xml:space="preserve">: </w:t>
            </w:r>
            <w:r>
              <w:rPr>
                <w:rStyle w:val="IndexLink"/>
                <w:rtl w:val="true"/>
              </w:rPr>
              <w:t>مقتضی عموم التعلیل فی مقبولة عمر بن حنظلة حجّیتها</w:t>
            </w:r>
            <w:r>
              <w:rPr>
                <w:rStyle w:val="IndexLink"/>
                <w:rtl w:val="true"/>
              </w:rPr>
              <w:tab/>
            </w:r>
            <w:r>
              <w:rPr>
                <w:rStyle w:val="IndexLink"/>
              </w:rPr>
              <w:t>370</w:t>
            </w:r>
          </w:hyperlink>
        </w:p>
        <w:p>
          <w:pPr>
            <w:pStyle w:val="Contents5"/>
            <w:tabs>
              <w:tab w:val="clear" w:pos="7892"/>
              <w:tab w:val="right" w:pos="9026" w:leader="dot"/>
            </w:tabs>
            <w:rPr/>
          </w:pPr>
          <w:hyperlink w:anchor="__RefHeading___Toc624731_3244359995">
            <w:r>
              <w:rPr>
                <w:webHidden/>
                <w:rStyle w:val="IndexLink"/>
                <w:rtl w:val="true"/>
              </w:rPr>
              <w:t>الوجه الثالث</w:t>
            </w:r>
            <w:r>
              <w:rPr>
                <w:rStyle w:val="IndexLink"/>
                <w:rtl w:val="true"/>
              </w:rPr>
              <w:t xml:space="preserve">: </w:t>
            </w:r>
            <w:r>
              <w:rPr>
                <w:rStyle w:val="IndexLink"/>
                <w:rtl w:val="true"/>
              </w:rPr>
              <w:t>مرفوعة زرارة</w:t>
            </w:r>
            <w:r>
              <w:rPr>
                <w:rStyle w:val="IndexLink"/>
                <w:rtl w:val="true"/>
              </w:rPr>
              <w:tab/>
            </w:r>
            <w:r>
              <w:rPr>
                <w:rStyle w:val="IndexLink"/>
              </w:rPr>
              <w:t>372</w:t>
            </w:r>
          </w:hyperlink>
        </w:p>
        <w:p>
          <w:pPr>
            <w:pStyle w:val="Contents5"/>
            <w:tabs>
              <w:tab w:val="clear" w:pos="7892"/>
              <w:tab w:val="right" w:pos="9026" w:leader="dot"/>
            </w:tabs>
            <w:rPr/>
          </w:pPr>
          <w:hyperlink w:anchor="__RefHeading___Toc624733_3244359995">
            <w:r>
              <w:rPr>
                <w:webHidden/>
                <w:rStyle w:val="IndexLink"/>
                <w:rtl w:val="true"/>
              </w:rPr>
              <w:t>الوجه الرابع</w:t>
            </w:r>
            <w:r>
              <w:rPr>
                <w:rStyle w:val="IndexLink"/>
                <w:rtl w:val="true"/>
              </w:rPr>
              <w:t xml:space="preserve">: </w:t>
            </w:r>
            <w:r>
              <w:rPr>
                <w:rStyle w:val="IndexLink"/>
                <w:rtl w:val="true"/>
              </w:rPr>
              <w:t>أنّ مقتضی حجّیة خبر الواحد حسب الأدلّة الشرعیّة، حجّیة الشهرة، للأولویّة، أو لمفهوم الموافقة، أو لأجل إلغاء الخصوصیّة</w:t>
            </w:r>
            <w:r>
              <w:rPr>
                <w:rStyle w:val="IndexLink"/>
                <w:rtl w:val="true"/>
              </w:rPr>
              <w:tab/>
            </w:r>
            <w:r>
              <w:rPr>
                <w:rStyle w:val="IndexLink"/>
              </w:rPr>
              <w:t>373</w:t>
            </w:r>
          </w:hyperlink>
        </w:p>
        <w:p>
          <w:pPr>
            <w:pStyle w:val="Contents4"/>
            <w:tabs>
              <w:tab w:val="clear" w:pos="8176"/>
              <w:tab w:val="right" w:pos="9026" w:leader="dot"/>
            </w:tabs>
            <w:rPr/>
          </w:pPr>
          <w:hyperlink w:anchor="__RefHeading___Toc624735_3244359995">
            <w:r>
              <w:rPr>
                <w:webHidden/>
                <w:rStyle w:val="IndexLink"/>
                <w:rtl w:val="true"/>
              </w:rPr>
              <w:t>تذنیب</w:t>
            </w:r>
            <w:r>
              <w:rPr>
                <w:rStyle w:val="IndexLink"/>
                <w:rtl w:val="true"/>
              </w:rPr>
              <w:t xml:space="preserve">: </w:t>
            </w:r>
            <w:r>
              <w:rPr>
                <w:rStyle w:val="IndexLink"/>
                <w:rtl w:val="true"/>
              </w:rPr>
              <w:t>حول حجیة الشهرة لاستلزامها للوثوق</w:t>
            </w:r>
            <w:r>
              <w:rPr>
                <w:rStyle w:val="IndexLink"/>
                <w:rtl w:val="true"/>
              </w:rPr>
              <w:tab/>
            </w:r>
            <w:r>
              <w:rPr>
                <w:rStyle w:val="IndexLink"/>
              </w:rPr>
              <w:t>374</w:t>
            </w:r>
          </w:hyperlink>
        </w:p>
        <w:p>
          <w:pPr>
            <w:pStyle w:val="Contents4"/>
            <w:tabs>
              <w:tab w:val="clear" w:pos="8176"/>
              <w:tab w:val="right" w:pos="9026" w:leader="dot"/>
            </w:tabs>
            <w:rPr/>
          </w:pPr>
          <w:hyperlink w:anchor="__RefHeading___Toc624737_3244359995">
            <w:r>
              <w:rPr>
                <w:webHidden/>
                <w:rStyle w:val="IndexLink"/>
                <w:rtl w:val="true"/>
              </w:rPr>
              <w:t>تذییل</w:t>
            </w:r>
            <w:r>
              <w:rPr>
                <w:rStyle w:val="IndexLink"/>
                <w:rtl w:val="true"/>
              </w:rPr>
              <w:t xml:space="preserve">: </w:t>
            </w:r>
            <w:r>
              <w:rPr>
                <w:rStyle w:val="IndexLink"/>
                <w:rtl w:val="true"/>
              </w:rPr>
              <w:t>حول الشهرة العملیة</w:t>
            </w:r>
            <w:r>
              <w:rPr>
                <w:rStyle w:val="IndexLink"/>
                <w:rtl w:val="true"/>
              </w:rPr>
              <w:tab/>
            </w:r>
            <w:r>
              <w:rPr>
                <w:rStyle w:val="IndexLink"/>
              </w:rPr>
              <w:t>376</w:t>
            </w:r>
          </w:hyperlink>
        </w:p>
        <w:p>
          <w:pPr>
            <w:pStyle w:val="Contents5"/>
            <w:tabs>
              <w:tab w:val="clear" w:pos="7892"/>
              <w:tab w:val="right" w:pos="9026" w:leader="dot"/>
            </w:tabs>
            <w:rPr/>
          </w:pPr>
          <w:hyperlink w:anchor="__RefHeading___Toc624739_3244359995">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624741_3244359995">
            <w:r>
              <w:rPr>
                <w:webHidden/>
                <w:rStyle w:val="IndexLink"/>
                <w:rtl w:val="true"/>
              </w:rPr>
              <w:t>المسألة الأولی فی جبر الشهرة العملیّة للسند</w:t>
            </w:r>
            <w:r>
              <w:rPr>
                <w:rStyle w:val="IndexLink"/>
                <w:rtl w:val="true"/>
              </w:rPr>
              <w:tab/>
            </w:r>
            <w:r>
              <w:rPr>
                <w:rStyle w:val="IndexLink"/>
              </w:rPr>
              <w:t>378</w:t>
            </w:r>
          </w:hyperlink>
        </w:p>
        <w:p>
          <w:pPr>
            <w:pStyle w:val="Contents6"/>
            <w:tabs>
              <w:tab w:val="clear" w:pos="7609"/>
              <w:tab w:val="right" w:pos="9026" w:leader="dot"/>
            </w:tabs>
            <w:rPr/>
          </w:pPr>
          <w:hyperlink w:anchor="__RefHeading___Toc624743_3244359995">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624745_3244359995">
            <w:r>
              <w:rPr>
                <w:webHidden/>
                <w:rStyle w:val="IndexLink"/>
                <w:rtl w:val="true"/>
              </w:rPr>
              <w:t>فرع</w:t>
            </w:r>
            <w:r>
              <w:rPr>
                <w:rStyle w:val="IndexLink"/>
                <w:rtl w:val="true"/>
              </w:rPr>
              <w:t xml:space="preserve">: </w:t>
            </w:r>
            <w:r>
              <w:rPr>
                <w:rStyle w:val="IndexLink"/>
                <w:rtl w:val="true"/>
              </w:rPr>
              <w:t>فی کفایة احتمال الاستناد للجبر</w:t>
            </w:r>
            <w:r>
              <w:rPr>
                <w:rStyle w:val="IndexLink"/>
                <w:rtl w:val="true"/>
              </w:rPr>
              <w:tab/>
            </w:r>
            <w:r>
              <w:rPr>
                <w:rStyle w:val="IndexLink"/>
              </w:rPr>
              <w:t>381</w:t>
            </w:r>
          </w:hyperlink>
        </w:p>
        <w:p>
          <w:pPr>
            <w:pStyle w:val="Contents5"/>
            <w:tabs>
              <w:tab w:val="clear" w:pos="7892"/>
              <w:tab w:val="right" w:pos="9026" w:leader="dot"/>
            </w:tabs>
            <w:rPr/>
          </w:pPr>
          <w:hyperlink w:anchor="__RefHeading___Toc624747_3244359995">
            <w:r>
              <w:rPr>
                <w:webHidden/>
                <w:rStyle w:val="IndexLink"/>
                <w:rtl w:val="true"/>
              </w:rPr>
              <w:t>المسألة الثانیة فی کسر الشهرة العملیة للروایات الصحیحة المخالفة</w:t>
            </w:r>
            <w:r>
              <w:rPr>
                <w:rStyle w:val="IndexLink"/>
                <w:rtl w:val="true"/>
              </w:rPr>
              <w:tab/>
            </w:r>
            <w:r>
              <w:rPr>
                <w:rStyle w:val="IndexLink"/>
              </w:rPr>
              <w:t>383</w:t>
            </w:r>
          </w:hyperlink>
        </w:p>
        <w:p>
          <w:pPr>
            <w:pStyle w:val="Contents4"/>
            <w:tabs>
              <w:tab w:val="clear" w:pos="8176"/>
              <w:tab w:val="right" w:pos="9026" w:leader="dot"/>
            </w:tabs>
            <w:rPr/>
          </w:pPr>
          <w:hyperlink w:anchor="__RefHeading___Toc624749_3244359995">
            <w:r>
              <w:rPr>
                <w:webHidden/>
                <w:rStyle w:val="IndexLink"/>
                <w:rtl w:val="true"/>
              </w:rPr>
              <w:t>بقی شی‌ء</w:t>
            </w:r>
            <w:r>
              <w:rPr>
                <w:rStyle w:val="IndexLink"/>
                <w:rtl w:val="true"/>
              </w:rPr>
              <w:t xml:space="preserve">: </w:t>
            </w:r>
            <w:r>
              <w:rPr>
                <w:rStyle w:val="IndexLink"/>
                <w:rtl w:val="true"/>
              </w:rPr>
              <w:t>حول تعارض السنة المفتی بها مع الصحاح المعرض عنها</w:t>
            </w:r>
            <w:r>
              <w:rPr>
                <w:rStyle w:val="IndexLink"/>
                <w:rtl w:val="true"/>
              </w:rPr>
              <w:tab/>
            </w:r>
            <w:r>
              <w:rPr>
                <w:rStyle w:val="IndexLink"/>
              </w:rPr>
              <w:t>385</w:t>
            </w:r>
          </w:hyperlink>
        </w:p>
        <w:p>
          <w:pPr>
            <w:pStyle w:val="Contents4"/>
            <w:tabs>
              <w:tab w:val="clear" w:pos="8176"/>
              <w:tab w:val="right" w:pos="9026" w:leader="dot"/>
            </w:tabs>
            <w:rPr/>
          </w:pPr>
          <w:hyperlink w:anchor="__RefHeading___Toc624751_3244359995">
            <w:r>
              <w:rPr>
                <w:webHidden/>
                <w:rStyle w:val="IndexLink"/>
                <w:rtl w:val="true"/>
              </w:rPr>
              <w:t>ذنابة</w:t>
            </w:r>
            <w:r>
              <w:rPr>
                <w:rStyle w:val="IndexLink"/>
                <w:rtl w:val="true"/>
              </w:rPr>
              <w:tab/>
            </w:r>
            <w:r>
              <w:rPr>
                <w:rStyle w:val="IndexLink"/>
              </w:rPr>
              <w:t>387</w:t>
            </w:r>
          </w:hyperlink>
        </w:p>
        <w:p>
          <w:pPr>
            <w:pStyle w:val="Contents4"/>
            <w:tabs>
              <w:tab w:val="clear" w:pos="8176"/>
              <w:tab w:val="right" w:pos="9026" w:leader="dot"/>
            </w:tabs>
            <w:rPr/>
          </w:pPr>
          <w:hyperlink w:anchor="__RefHeading___Toc624753_3244359995">
            <w:r>
              <w:rPr>
                <w:webHidden/>
                <w:rStyle w:val="IndexLink"/>
                <w:rtl w:val="true"/>
              </w:rPr>
              <w:t>تذنیب</w:t>
            </w:r>
            <w:r>
              <w:rPr>
                <w:rStyle w:val="IndexLink"/>
                <w:rtl w:val="true"/>
              </w:rPr>
              <w:t xml:space="preserve">: </w:t>
            </w:r>
            <w:r>
              <w:rPr>
                <w:rStyle w:val="IndexLink"/>
                <w:rtl w:val="true"/>
              </w:rPr>
              <w:t>فی حکم الشکّ فی تحقق الإعراض</w:t>
            </w:r>
            <w:r>
              <w:rPr>
                <w:rStyle w:val="IndexLink"/>
                <w:rtl w:val="true"/>
              </w:rPr>
              <w:tab/>
            </w:r>
            <w:r>
              <w:rPr>
                <w:rStyle w:val="IndexLink"/>
              </w:rPr>
              <w:t>388</w:t>
            </w:r>
          </w:hyperlink>
        </w:p>
        <w:p>
          <w:pPr>
            <w:pStyle w:val="Contents4"/>
            <w:tabs>
              <w:tab w:val="clear" w:pos="8176"/>
              <w:tab w:val="right" w:pos="9026" w:leader="dot"/>
            </w:tabs>
            <w:rPr/>
          </w:pPr>
          <w:hyperlink w:anchor="__RefHeading___Toc624755_3244359995">
            <w:r>
              <w:rPr>
                <w:webHidden/>
                <w:rStyle w:val="IndexLink"/>
                <w:rtl w:val="true"/>
              </w:rPr>
              <w:t>بقی شی‌ء</w:t>
            </w:r>
            <w:r>
              <w:rPr>
                <w:rStyle w:val="IndexLink"/>
                <w:rtl w:val="true"/>
              </w:rPr>
              <w:t xml:space="preserve">: </w:t>
            </w:r>
            <w:r>
              <w:rPr>
                <w:rStyle w:val="IndexLink"/>
                <w:rtl w:val="true"/>
              </w:rPr>
              <w:t>فی التمسّک بالبناء العقلائی عند الشکّ فی الإعراض</w:t>
            </w:r>
            <w:r>
              <w:rPr>
                <w:rStyle w:val="IndexLink"/>
                <w:rtl w:val="true"/>
              </w:rPr>
              <w:tab/>
            </w:r>
            <w:r>
              <w:rPr>
                <w:rStyle w:val="IndexLink"/>
              </w:rPr>
              <w:t>390</w:t>
            </w:r>
          </w:hyperlink>
        </w:p>
        <w:p>
          <w:pPr>
            <w:pStyle w:val="Contents4"/>
            <w:tabs>
              <w:tab w:val="clear" w:pos="8176"/>
              <w:tab w:val="right" w:pos="9026" w:leader="dot"/>
            </w:tabs>
            <w:rPr/>
          </w:pPr>
          <w:hyperlink w:anchor="__RefHeading___Toc624757_3244359995">
            <w:r>
              <w:rPr>
                <w:webHidden/>
                <w:rStyle w:val="IndexLink"/>
                <w:rtl w:val="true"/>
              </w:rPr>
              <w:t>بقی شی‌ء</w:t>
            </w:r>
            <w:r>
              <w:rPr>
                <w:rStyle w:val="IndexLink"/>
                <w:rtl w:val="true"/>
              </w:rPr>
              <w:t xml:space="preserve">: </w:t>
            </w:r>
            <w:r>
              <w:rPr>
                <w:rStyle w:val="IndexLink"/>
                <w:rtl w:val="true"/>
              </w:rPr>
              <w:t>فی صعوبة تحصیل الشهرة</w:t>
            </w:r>
            <w:r>
              <w:rPr>
                <w:rStyle w:val="IndexLink"/>
                <w:rtl w:val="true"/>
              </w:rPr>
              <w:tab/>
            </w:r>
            <w:r>
              <w:rPr>
                <w:rStyle w:val="IndexLink"/>
              </w:rPr>
              <w:t>391</w:t>
            </w:r>
          </w:hyperlink>
        </w:p>
        <w:p>
          <w:pPr>
            <w:pStyle w:val="Contents3"/>
            <w:tabs>
              <w:tab w:val="clear" w:pos="8459"/>
              <w:tab w:val="right" w:pos="9026" w:leader="dot"/>
            </w:tabs>
            <w:rPr/>
          </w:pPr>
          <w:hyperlink w:anchor="__RefHeading___Toc624759_3244359995">
            <w:r>
              <w:rPr>
                <w:webHidden/>
                <w:rStyle w:val="IndexLink"/>
                <w:rtl w:val="true"/>
              </w:rPr>
              <w:t>المبحث الخامس فی حجّیة الخبر الواحد، و خبر الواحد</w:t>
            </w:r>
            <w:r>
              <w:rPr>
                <w:rStyle w:val="IndexLink"/>
                <w:rtl w:val="true"/>
              </w:rPr>
              <w:tab/>
            </w:r>
            <w:r>
              <w:rPr>
                <w:rStyle w:val="IndexLink"/>
              </w:rPr>
              <w:t>392</w:t>
            </w:r>
          </w:hyperlink>
        </w:p>
        <w:p>
          <w:pPr>
            <w:pStyle w:val="Contents4"/>
            <w:tabs>
              <w:tab w:val="clear" w:pos="8176"/>
              <w:tab w:val="right" w:pos="9026" w:leader="dot"/>
            </w:tabs>
            <w:rPr/>
          </w:pPr>
          <w:hyperlink w:anchor="__RefHeading___Toc624761_3244359995">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624763_3244359995">
            <w:r>
              <w:rPr>
                <w:webHidden/>
                <w:rStyle w:val="IndexLink"/>
                <w:rtl w:val="true"/>
              </w:rPr>
              <w:t>مقدّمة</w:t>
            </w:r>
            <w:r>
              <w:rPr>
                <w:rStyle w:val="IndexLink"/>
                <w:rtl w:val="true"/>
              </w:rPr>
              <w:tab/>
            </w:r>
            <w:r>
              <w:rPr>
                <w:rStyle w:val="IndexLink"/>
              </w:rPr>
              <w:t>393</w:t>
            </w:r>
          </w:hyperlink>
        </w:p>
        <w:p>
          <w:pPr>
            <w:pStyle w:val="Contents5"/>
            <w:tabs>
              <w:tab w:val="clear" w:pos="7892"/>
              <w:tab w:val="right" w:pos="9026" w:leader="dot"/>
            </w:tabs>
            <w:rPr/>
          </w:pPr>
          <w:hyperlink w:anchor="__RefHeading___Toc624765_3244359995">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624767_3244359995">
            <w:r>
              <w:rPr>
                <w:webHidden/>
                <w:rStyle w:val="IndexLink"/>
                <w:rtl w:val="true"/>
              </w:rPr>
              <w:t>الأمر الأوّل</w:t>
            </w:r>
            <w:r>
              <w:rPr>
                <w:rStyle w:val="IndexLink"/>
                <w:rtl w:val="true"/>
              </w:rPr>
              <w:t xml:space="preserve">: </w:t>
            </w:r>
            <w:r>
              <w:rPr>
                <w:rStyle w:val="IndexLink"/>
                <w:rtl w:val="true"/>
              </w:rPr>
              <w:t>فی إشارة لموضوع علم الأصول و شموله لخبر الواحد</w:t>
            </w:r>
            <w:r>
              <w:rPr>
                <w:rStyle w:val="IndexLink"/>
                <w:rtl w:val="true"/>
              </w:rPr>
              <w:tab/>
            </w:r>
            <w:r>
              <w:rPr>
                <w:rStyle w:val="IndexLink"/>
              </w:rPr>
              <w:t>393</w:t>
            </w:r>
          </w:hyperlink>
        </w:p>
        <w:p>
          <w:pPr>
            <w:pStyle w:val="Contents5"/>
            <w:tabs>
              <w:tab w:val="clear" w:pos="7892"/>
              <w:tab w:val="right" w:pos="9026" w:leader="dot"/>
            </w:tabs>
            <w:rPr/>
          </w:pPr>
          <w:hyperlink w:anchor="__RefHeading___Toc624769_3244359995">
            <w:r>
              <w:rPr>
                <w:webHidden/>
                <w:rStyle w:val="IndexLink"/>
                <w:rtl w:val="true"/>
              </w:rPr>
              <w:t>الأمر الثانی</w:t>
            </w:r>
            <w:r>
              <w:rPr>
                <w:rStyle w:val="IndexLink"/>
                <w:rtl w:val="true"/>
              </w:rPr>
              <w:t xml:space="preserve">: </w:t>
            </w:r>
            <w:r>
              <w:rPr>
                <w:rStyle w:val="IndexLink"/>
                <w:rtl w:val="true"/>
              </w:rPr>
              <w:t>حول أصل الصدور و جهته و تشخیص الظهور و أصالته</w:t>
            </w:r>
            <w:r>
              <w:rPr>
                <w:rStyle w:val="IndexLink"/>
                <w:rtl w:val="true"/>
              </w:rPr>
              <w:tab/>
            </w:r>
            <w:r>
              <w:rPr>
                <w:rStyle w:val="IndexLink"/>
              </w:rPr>
              <w:t>397</w:t>
            </w:r>
          </w:hyperlink>
        </w:p>
        <w:p>
          <w:pPr>
            <w:pStyle w:val="Contents5"/>
            <w:tabs>
              <w:tab w:val="clear" w:pos="7892"/>
              <w:tab w:val="right" w:pos="9026" w:leader="dot"/>
            </w:tabs>
            <w:rPr/>
          </w:pPr>
          <w:hyperlink w:anchor="__RefHeading___Toc624771_3244359995">
            <w:r>
              <w:rPr>
                <w:webHidden/>
                <w:rStyle w:val="IndexLink"/>
                <w:rtl w:val="true"/>
              </w:rPr>
              <w:t>الأمر الثالث</w:t>
            </w:r>
            <w:r>
              <w:rPr>
                <w:rStyle w:val="IndexLink"/>
                <w:rtl w:val="true"/>
              </w:rPr>
              <w:t xml:space="preserve">: </w:t>
            </w:r>
            <w:r>
              <w:rPr>
                <w:rStyle w:val="IndexLink"/>
                <w:rtl w:val="true"/>
              </w:rPr>
              <w:t>فی أنّ بحث حجّیة الخبر قلیل الجدوی</w:t>
            </w:r>
            <w:r>
              <w:rPr>
                <w:rStyle w:val="IndexLink"/>
                <w:rtl w:val="true"/>
              </w:rPr>
              <w:tab/>
            </w:r>
            <w:r>
              <w:rPr>
                <w:rStyle w:val="IndexLink"/>
              </w:rPr>
              <w:t>398</w:t>
            </w:r>
          </w:hyperlink>
        </w:p>
        <w:p>
          <w:pPr>
            <w:pStyle w:val="Contents4"/>
            <w:tabs>
              <w:tab w:val="clear" w:pos="8176"/>
              <w:tab w:val="right" w:pos="9026" w:leader="dot"/>
            </w:tabs>
            <w:rPr/>
          </w:pPr>
          <w:hyperlink w:anchor="__RefHeading___Toc624773_3244359995">
            <w:r>
              <w:rPr>
                <w:webHidden/>
                <w:rStyle w:val="IndexLink"/>
                <w:rtl w:val="true"/>
              </w:rPr>
              <w:t>الموقف الأوّل فی الأدلّة الناهیة عن اتباع الظنّ</w:t>
            </w:r>
            <w:r>
              <w:rPr>
                <w:rStyle w:val="IndexLink"/>
                <w:rtl w:val="true"/>
              </w:rPr>
              <w:tab/>
            </w:r>
            <w:r>
              <w:rPr>
                <w:rStyle w:val="IndexLink"/>
              </w:rPr>
              <w:t>403</w:t>
            </w:r>
          </w:hyperlink>
        </w:p>
        <w:p>
          <w:pPr>
            <w:pStyle w:val="Contents5"/>
            <w:tabs>
              <w:tab w:val="clear" w:pos="7892"/>
              <w:tab w:val="right" w:pos="9026" w:leader="dot"/>
            </w:tabs>
            <w:rPr/>
          </w:pPr>
          <w:hyperlink w:anchor="__RefHeading___Toc624775_3244359995">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624777_3244359995">
            <w:r>
              <w:rPr>
                <w:webHidden/>
                <w:rStyle w:val="IndexLink"/>
                <w:rtl w:val="true"/>
              </w:rPr>
              <w:t>الوجه الأوّل</w:t>
            </w:r>
            <w:r>
              <w:rPr>
                <w:rStyle w:val="IndexLink"/>
                <w:rtl w:val="true"/>
              </w:rPr>
              <w:t xml:space="preserve">: </w:t>
            </w:r>
            <w:r>
              <w:rPr>
                <w:rStyle w:val="IndexLink"/>
                <w:rtl w:val="true"/>
              </w:rPr>
              <w:t>الآیات</w:t>
            </w:r>
            <w:r>
              <w:rPr>
                <w:rStyle w:val="IndexLink"/>
                <w:rtl w:val="true"/>
              </w:rPr>
              <w:tab/>
            </w:r>
            <w:r>
              <w:rPr>
                <w:rStyle w:val="IndexLink"/>
              </w:rPr>
              <w:t>403</w:t>
            </w:r>
          </w:hyperlink>
        </w:p>
        <w:p>
          <w:pPr>
            <w:pStyle w:val="Contents6"/>
            <w:tabs>
              <w:tab w:val="clear" w:pos="7609"/>
              <w:tab w:val="right" w:pos="9026" w:leader="dot"/>
            </w:tabs>
            <w:rPr/>
          </w:pPr>
          <w:hyperlink w:anchor="__RefHeading___Toc624779_3244359995">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624781_3244359995">
            <w:r>
              <w:rPr>
                <w:webHidden/>
                <w:rStyle w:val="IndexLink"/>
                <w:rtl w:val="true"/>
              </w:rPr>
              <w:t>حول وجوه المنع عن دلالة الآیات الناهیة عن اتباع الظنّ</w:t>
            </w:r>
            <w:r>
              <w:rPr>
                <w:rStyle w:val="IndexLink"/>
                <w:rtl w:val="true"/>
              </w:rPr>
              <w:tab/>
            </w:r>
            <w:r>
              <w:rPr>
                <w:rStyle w:val="IndexLink"/>
              </w:rPr>
              <w:t>409</w:t>
            </w:r>
          </w:hyperlink>
        </w:p>
        <w:p>
          <w:pPr>
            <w:pStyle w:val="Contents6"/>
            <w:tabs>
              <w:tab w:val="clear" w:pos="7609"/>
              <w:tab w:val="right" w:pos="9026" w:leader="dot"/>
            </w:tabs>
            <w:rPr/>
          </w:pPr>
          <w:hyperlink w:anchor="__RefHeading___Toc624783_3244359995">
            <w:r>
              <w:rPr>
                <w:webHidden/>
                <w:rStyle w:val="IndexLink"/>
                <w:rtl w:val="true"/>
              </w:rPr>
              <w:t>تذییل</w:t>
            </w:r>
            <w:r>
              <w:rPr>
                <w:rStyle w:val="IndexLink"/>
                <w:rtl w:val="true"/>
              </w:rPr>
              <w:t xml:space="preserve">: </w:t>
            </w:r>
            <w:r>
              <w:rPr>
                <w:rStyle w:val="IndexLink"/>
                <w:rtl w:val="true"/>
              </w:rPr>
              <w:t>حول دلالة آیة النبأ علی عدم حجیة الخبر</w:t>
            </w:r>
            <w:r>
              <w:rPr>
                <w:rStyle w:val="IndexLink"/>
                <w:rtl w:val="true"/>
              </w:rPr>
              <w:tab/>
            </w:r>
            <w:r>
              <w:rPr>
                <w:rStyle w:val="IndexLink"/>
              </w:rPr>
              <w:t>415</w:t>
            </w:r>
          </w:hyperlink>
        </w:p>
        <w:p>
          <w:pPr>
            <w:pStyle w:val="Contents5"/>
            <w:tabs>
              <w:tab w:val="clear" w:pos="7892"/>
              <w:tab w:val="right" w:pos="9026" w:leader="dot"/>
            </w:tabs>
            <w:rPr/>
          </w:pPr>
          <w:hyperlink w:anchor="__RefHeading___Toc624785_3244359995">
            <w:r>
              <w:rPr>
                <w:webHidden/>
                <w:rStyle w:val="IndexLink"/>
                <w:rtl w:val="true"/>
              </w:rPr>
              <w:t>الوجه الثانی الروایات و الأخبار</w:t>
            </w:r>
            <w:r>
              <w:rPr>
                <w:rStyle w:val="IndexLink"/>
                <w:rtl w:val="true"/>
              </w:rPr>
              <w:tab/>
            </w:r>
            <w:r>
              <w:rPr>
                <w:rStyle w:val="IndexLink"/>
              </w:rPr>
              <w:t>417</w:t>
            </w:r>
          </w:hyperlink>
        </w:p>
        <w:p>
          <w:pPr>
            <w:pStyle w:val="Contents6"/>
            <w:tabs>
              <w:tab w:val="clear" w:pos="7609"/>
              <w:tab w:val="right" w:pos="9026" w:leader="dot"/>
            </w:tabs>
            <w:rPr/>
          </w:pPr>
          <w:hyperlink w:anchor="__RefHeading___Toc624787_3244359995">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624789_3244359995">
            <w:r>
              <w:rPr>
                <w:webHidden/>
                <w:rStyle w:val="IndexLink"/>
                <w:rtl w:val="true"/>
              </w:rPr>
              <w:t>الطائفة الأولی</w:t>
            </w:r>
            <w:r>
              <w:rPr>
                <w:rStyle w:val="IndexLink"/>
                <w:rtl w:val="true"/>
              </w:rPr>
              <w:t>:</w:t>
              <w:tab/>
            </w:r>
            <w:r>
              <w:rPr>
                <w:rStyle w:val="IndexLink"/>
              </w:rPr>
              <w:t>418</w:t>
            </w:r>
          </w:hyperlink>
        </w:p>
        <w:p>
          <w:pPr>
            <w:pStyle w:val="Contents6"/>
            <w:tabs>
              <w:tab w:val="clear" w:pos="7609"/>
              <w:tab w:val="right" w:pos="9026" w:leader="dot"/>
            </w:tabs>
            <w:rPr/>
          </w:pPr>
          <w:hyperlink w:anchor="__RefHeading___Toc624791_3244359995">
            <w:r>
              <w:rPr>
                <w:webHidden/>
                <w:rStyle w:val="IndexLink"/>
                <w:rtl w:val="true"/>
              </w:rPr>
              <w:t>الطائفة الثانیة</w:t>
            </w:r>
            <w:r>
              <w:rPr>
                <w:rStyle w:val="IndexLink"/>
                <w:rtl w:val="true"/>
              </w:rPr>
              <w:t>:</w:t>
              <w:tab/>
            </w:r>
            <w:r>
              <w:rPr>
                <w:rStyle w:val="IndexLink"/>
              </w:rPr>
              <w:t>418</w:t>
            </w:r>
          </w:hyperlink>
        </w:p>
        <w:p>
          <w:pPr>
            <w:pStyle w:val="Contents6"/>
            <w:tabs>
              <w:tab w:val="clear" w:pos="7609"/>
              <w:tab w:val="right" w:pos="9026" w:leader="dot"/>
            </w:tabs>
            <w:rPr/>
          </w:pPr>
          <w:hyperlink w:anchor="__RefHeading___Toc624793_3244359995">
            <w:r>
              <w:rPr>
                <w:webHidden/>
                <w:rStyle w:val="IndexLink"/>
                <w:rtl w:val="true"/>
              </w:rPr>
              <w:t>الطائفة الثالثة</w:t>
            </w:r>
            <w:r>
              <w:rPr>
                <w:rStyle w:val="IndexLink"/>
                <w:rtl w:val="true"/>
              </w:rPr>
              <w:t>:</w:t>
              <w:tab/>
            </w:r>
            <w:r>
              <w:rPr>
                <w:rStyle w:val="IndexLink"/>
              </w:rPr>
              <w:t>420</w:t>
            </w:r>
          </w:hyperlink>
        </w:p>
        <w:p>
          <w:pPr>
            <w:pStyle w:val="Contents6"/>
            <w:tabs>
              <w:tab w:val="clear" w:pos="7609"/>
              <w:tab w:val="right" w:pos="9026" w:leader="dot"/>
            </w:tabs>
            <w:rPr/>
          </w:pPr>
          <w:hyperlink w:anchor="__RefHeading___Toc624795_3244359995">
            <w:r>
              <w:rPr>
                <w:webHidden/>
                <w:rStyle w:val="IndexLink"/>
                <w:rtl w:val="true"/>
              </w:rPr>
              <w:t>الطائفة الرابعة</w:t>
            </w:r>
            <w:r>
              <w:rPr>
                <w:rStyle w:val="IndexLink"/>
                <w:rtl w:val="true"/>
              </w:rPr>
              <w:t>:</w:t>
              <w:tab/>
            </w:r>
            <w:r>
              <w:rPr>
                <w:rStyle w:val="IndexLink"/>
              </w:rPr>
              <w:t>422</w:t>
            </w:r>
          </w:hyperlink>
        </w:p>
        <w:p>
          <w:pPr>
            <w:pStyle w:val="Contents6"/>
            <w:tabs>
              <w:tab w:val="clear" w:pos="7609"/>
              <w:tab w:val="right" w:pos="9026" w:leader="dot"/>
            </w:tabs>
            <w:rPr/>
          </w:pPr>
          <w:hyperlink w:anchor="__RefHeading___Toc624797_3244359995">
            <w:r>
              <w:rPr>
                <w:webHidden/>
                <w:rStyle w:val="IndexLink"/>
                <w:rtl w:val="true"/>
              </w:rPr>
              <w:t>الطائفة الخامسة</w:t>
            </w:r>
            <w:r>
              <w:rPr>
                <w:rStyle w:val="IndexLink"/>
                <w:rtl w:val="true"/>
              </w:rPr>
              <w:t>:</w:t>
              <w:tab/>
            </w:r>
            <w:r>
              <w:rPr>
                <w:rStyle w:val="IndexLink"/>
              </w:rPr>
              <w:t>424</w:t>
            </w:r>
          </w:hyperlink>
        </w:p>
        <w:p>
          <w:pPr>
            <w:pStyle w:val="Contents6"/>
            <w:tabs>
              <w:tab w:val="clear" w:pos="7609"/>
              <w:tab w:val="right" w:pos="9026" w:leader="dot"/>
            </w:tabs>
            <w:rPr/>
          </w:pPr>
          <w:hyperlink w:anchor="__RefHeading___Toc624799_3244359995">
            <w:r>
              <w:rPr>
                <w:webHidden/>
                <w:rStyle w:val="IndexLink"/>
                <w:rtl w:val="true"/>
              </w:rPr>
              <w:t>بقی شی‌ء</w:t>
            </w:r>
            <w:r>
              <w:rPr>
                <w:rStyle w:val="IndexLink"/>
                <w:rtl w:val="true"/>
              </w:rPr>
              <w:t xml:space="preserve">: </w:t>
            </w:r>
            <w:r>
              <w:rPr>
                <w:rStyle w:val="IndexLink"/>
                <w:rtl w:val="true"/>
              </w:rPr>
              <w:t>فی اختصاص الأخبار السابقة بعصر الأئمة علیهم السلام</w:t>
            </w:r>
            <w:r>
              <w:rPr>
                <w:rStyle w:val="IndexLink"/>
                <w:rtl w:val="true"/>
              </w:rPr>
              <w:tab/>
            </w:r>
            <w:r>
              <w:rPr>
                <w:rStyle w:val="IndexLink"/>
              </w:rPr>
              <w:t>425</w:t>
            </w:r>
          </w:hyperlink>
        </w:p>
        <w:p>
          <w:pPr>
            <w:pStyle w:val="Contents6"/>
            <w:tabs>
              <w:tab w:val="clear" w:pos="7609"/>
              <w:tab w:val="right" w:pos="9026" w:leader="dot"/>
            </w:tabs>
            <w:rPr/>
          </w:pPr>
          <w:hyperlink w:anchor="__RefHeading___Toc624801_3244359995">
            <w:r>
              <w:rPr>
                <w:webHidden/>
                <w:rStyle w:val="IndexLink"/>
                <w:rtl w:val="true"/>
              </w:rPr>
              <w:t>تتمّة</w:t>
            </w:r>
            <w:r>
              <w:rPr>
                <w:rStyle w:val="IndexLink"/>
                <w:rtl w:val="true"/>
              </w:rPr>
              <w:t>:</w:t>
              <w:tab/>
            </w:r>
            <w:r>
              <w:rPr>
                <w:rStyle w:val="IndexLink"/>
              </w:rPr>
              <w:t>426</w:t>
            </w:r>
          </w:hyperlink>
        </w:p>
        <w:p>
          <w:pPr>
            <w:pStyle w:val="Contents5"/>
            <w:tabs>
              <w:tab w:val="clear" w:pos="7892"/>
              <w:tab w:val="right" w:pos="9026" w:leader="dot"/>
            </w:tabs>
            <w:rPr/>
          </w:pPr>
          <w:hyperlink w:anchor="__RefHeading___Toc624803_3244359995">
            <w:r>
              <w:rPr>
                <w:webHidden/>
                <w:rStyle w:val="IndexLink"/>
                <w:rtl w:val="true"/>
              </w:rPr>
              <w:t>الوجه الثالث الإجماع المحکیّ عن السید رحمه اللَّه</w:t>
            </w:r>
            <w:r>
              <w:rPr>
                <w:rStyle w:val="IndexLink"/>
                <w:rtl w:val="true"/>
              </w:rPr>
              <w:tab/>
            </w:r>
            <w:r>
              <w:rPr>
                <w:rStyle w:val="IndexLink"/>
              </w:rPr>
              <w:t>427</w:t>
            </w:r>
          </w:hyperlink>
        </w:p>
        <w:p>
          <w:pPr>
            <w:pStyle w:val="Contents5"/>
            <w:tabs>
              <w:tab w:val="clear" w:pos="7892"/>
              <w:tab w:val="right" w:pos="9026" w:leader="dot"/>
            </w:tabs>
            <w:rPr/>
          </w:pPr>
          <w:hyperlink w:anchor="__RefHeading___Toc624805_3244359995">
            <w:r>
              <w:rPr>
                <w:webHidden/>
                <w:rStyle w:val="IndexLink"/>
                <w:rtl w:val="true"/>
              </w:rPr>
              <w:t>الوجه الرابع العقل</w:t>
            </w:r>
            <w:r>
              <w:rPr>
                <w:rStyle w:val="IndexLink"/>
                <w:rtl w:val="true"/>
              </w:rPr>
              <w:tab/>
            </w:r>
            <w:r>
              <w:rPr>
                <w:rStyle w:val="IndexLink"/>
              </w:rPr>
              <w:t>428</w:t>
            </w:r>
          </w:hyperlink>
        </w:p>
        <w:p>
          <w:pPr>
            <w:pStyle w:val="Contents4"/>
            <w:tabs>
              <w:tab w:val="clear" w:pos="8176"/>
              <w:tab w:val="right" w:pos="9026" w:leader="dot"/>
            </w:tabs>
            <w:rPr/>
          </w:pPr>
          <w:hyperlink w:anchor="__RefHeading___Toc624807_3244359995">
            <w:r>
              <w:rPr>
                <w:webHidden/>
                <w:rStyle w:val="IndexLink"/>
                <w:rtl w:val="true"/>
              </w:rPr>
              <w:t>الموقف الثانی حول الأدلّة الناهضة علی حجّیة الخبر الواحد</w:t>
            </w:r>
            <w:r>
              <w:rPr>
                <w:rStyle w:val="IndexLink"/>
                <w:rtl w:val="true"/>
              </w:rPr>
              <w:tab/>
            </w:r>
            <w:r>
              <w:rPr>
                <w:rStyle w:val="IndexLink"/>
              </w:rPr>
              <w:t>430</w:t>
            </w:r>
          </w:hyperlink>
        </w:p>
        <w:p>
          <w:pPr>
            <w:pStyle w:val="Contents5"/>
            <w:tabs>
              <w:tab w:val="clear" w:pos="7892"/>
              <w:tab w:val="right" w:pos="9026" w:leader="dot"/>
            </w:tabs>
            <w:rPr/>
          </w:pPr>
          <w:hyperlink w:anchor="__RefHeading___Toc624809_3244359995">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624811_3244359995">
            <w:r>
              <w:rPr>
                <w:webHidden/>
                <w:rStyle w:val="IndexLink"/>
                <w:rtl w:val="true"/>
              </w:rPr>
              <w:t>الوجه الأوّل الآیات الشریفة</w:t>
            </w:r>
            <w:r>
              <w:rPr>
                <w:rStyle w:val="IndexLink"/>
                <w:rtl w:val="true"/>
              </w:rPr>
              <w:tab/>
            </w:r>
            <w:r>
              <w:rPr>
                <w:rStyle w:val="IndexLink"/>
              </w:rPr>
              <w:t>432</w:t>
            </w:r>
          </w:hyperlink>
        </w:p>
        <w:p>
          <w:pPr>
            <w:pStyle w:val="Contents6"/>
            <w:tabs>
              <w:tab w:val="clear" w:pos="7609"/>
              <w:tab w:val="right" w:pos="9026" w:leader="dot"/>
            </w:tabs>
            <w:rPr/>
          </w:pPr>
          <w:hyperlink w:anchor="__RefHeading___Toc624813_3244359995">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624815_3244359995">
            <w:r>
              <w:rPr>
                <w:webHidden/>
                <w:rStyle w:val="IndexLink"/>
                <w:rtl w:val="true"/>
              </w:rPr>
              <w:t>الجهة الأولی</w:t>
            </w:r>
            <w:r>
              <w:rPr>
                <w:rStyle w:val="IndexLink"/>
                <w:rtl w:val="true"/>
              </w:rPr>
              <w:t xml:space="preserve">: </w:t>
            </w:r>
            <w:r>
              <w:rPr>
                <w:rStyle w:val="IndexLink"/>
                <w:rtl w:val="true"/>
              </w:rPr>
              <w:t>حول اختصاص الآیة بالمؤمنین</w:t>
            </w:r>
            <w:r>
              <w:rPr>
                <w:rStyle w:val="IndexLink"/>
                <w:rtl w:val="true"/>
              </w:rPr>
              <w:tab/>
            </w:r>
            <w:r>
              <w:rPr>
                <w:rStyle w:val="IndexLink"/>
              </w:rPr>
              <w:t>432</w:t>
            </w:r>
          </w:hyperlink>
        </w:p>
        <w:p>
          <w:pPr>
            <w:pStyle w:val="Contents6"/>
            <w:tabs>
              <w:tab w:val="clear" w:pos="7609"/>
              <w:tab w:val="right" w:pos="9026" w:leader="dot"/>
            </w:tabs>
            <w:rPr/>
          </w:pPr>
          <w:hyperlink w:anchor="__RefHeading___Toc624817_3244359995">
            <w:r>
              <w:rPr>
                <w:webHidden/>
                <w:rStyle w:val="IndexLink"/>
                <w:rtl w:val="true"/>
              </w:rPr>
              <w:t>الجهة الثانیة</w:t>
            </w:r>
            <w:r>
              <w:rPr>
                <w:rStyle w:val="IndexLink"/>
                <w:rtl w:val="true"/>
              </w:rPr>
              <w:t xml:space="preserve">: </w:t>
            </w:r>
            <w:r>
              <w:rPr>
                <w:rStyle w:val="IndexLink"/>
                <w:rtl w:val="true"/>
              </w:rPr>
              <w:t xml:space="preserve">حول دلالة </w:t>
            </w:r>
            <w:r>
              <w:rPr>
                <w:rStyle w:val="IndexLink"/>
                <w:rtl w:val="true"/>
              </w:rPr>
              <w:t>«</w:t>
            </w:r>
            <w:r>
              <w:rPr>
                <w:rStyle w:val="IndexLink"/>
                <w:rtl w:val="true"/>
              </w:rPr>
              <w:t>إن</w:t>
            </w:r>
            <w:r>
              <w:rPr>
                <w:rStyle w:val="IndexLink"/>
                <w:rtl w:val="true"/>
              </w:rPr>
              <w:t xml:space="preserve">» </w:t>
            </w:r>
            <w:r>
              <w:rPr>
                <w:rStyle w:val="IndexLink"/>
                <w:rtl w:val="true"/>
              </w:rPr>
              <w:t>الشرطیة علی الشکّ</w:t>
            </w:r>
            <w:r>
              <w:rPr>
                <w:rStyle w:val="IndexLink"/>
                <w:rtl w:val="true"/>
              </w:rPr>
              <w:tab/>
            </w:r>
            <w:r>
              <w:rPr>
                <w:rStyle w:val="IndexLink"/>
              </w:rPr>
              <w:t>432</w:t>
            </w:r>
          </w:hyperlink>
        </w:p>
        <w:p>
          <w:pPr>
            <w:pStyle w:val="Contents6"/>
            <w:tabs>
              <w:tab w:val="clear" w:pos="7609"/>
              <w:tab w:val="right" w:pos="9026" w:leader="dot"/>
            </w:tabs>
            <w:rPr/>
          </w:pPr>
          <w:hyperlink w:anchor="__RefHeading___Toc624819_3244359995">
            <w:r>
              <w:rPr>
                <w:webHidden/>
                <w:rStyle w:val="IndexLink"/>
                <w:rtl w:val="true"/>
              </w:rPr>
              <w:t>الجهة الثالثة</w:t>
            </w:r>
            <w:r>
              <w:rPr>
                <w:rStyle w:val="IndexLink"/>
                <w:rtl w:val="true"/>
              </w:rPr>
              <w:t xml:space="preserve">: </w:t>
            </w:r>
            <w:r>
              <w:rPr>
                <w:rStyle w:val="IndexLink"/>
                <w:rtl w:val="true"/>
              </w:rPr>
              <w:t>فی المراد من الفاسق</w:t>
            </w:r>
            <w:r>
              <w:rPr>
                <w:rStyle w:val="IndexLink"/>
                <w:rtl w:val="true"/>
              </w:rPr>
              <w:tab/>
            </w:r>
            <w:r>
              <w:rPr>
                <w:rStyle w:val="IndexLink"/>
              </w:rPr>
              <w:t>433</w:t>
            </w:r>
          </w:hyperlink>
        </w:p>
        <w:p>
          <w:pPr>
            <w:pStyle w:val="Contents6"/>
            <w:tabs>
              <w:tab w:val="clear" w:pos="7609"/>
              <w:tab w:val="right" w:pos="9026" w:leader="dot"/>
            </w:tabs>
            <w:rPr/>
          </w:pPr>
          <w:hyperlink w:anchor="__RefHeading___Toc624821_3244359995">
            <w:r>
              <w:rPr>
                <w:webHidden/>
                <w:rStyle w:val="IndexLink"/>
                <w:rtl w:val="true"/>
              </w:rPr>
              <w:t>الجهة الرابعة</w:t>
            </w:r>
            <w:r>
              <w:rPr>
                <w:rStyle w:val="IndexLink"/>
                <w:rtl w:val="true"/>
              </w:rPr>
              <w:t xml:space="preserve">: </w:t>
            </w:r>
            <w:r>
              <w:rPr>
                <w:rStyle w:val="IndexLink"/>
                <w:rtl w:val="true"/>
              </w:rPr>
              <w:t>فی محتملات المنطوق شرطاً و جزاءً</w:t>
            </w:r>
            <w:r>
              <w:rPr>
                <w:rStyle w:val="IndexLink"/>
                <w:rtl w:val="true"/>
              </w:rPr>
              <w:tab/>
            </w:r>
            <w:r>
              <w:rPr>
                <w:rStyle w:val="IndexLink"/>
              </w:rPr>
              <w:t>435</w:t>
            </w:r>
          </w:hyperlink>
        </w:p>
        <w:p>
          <w:pPr>
            <w:pStyle w:val="Contents6"/>
            <w:tabs>
              <w:tab w:val="clear" w:pos="7609"/>
              <w:tab w:val="right" w:pos="9026" w:leader="dot"/>
            </w:tabs>
            <w:rPr/>
          </w:pPr>
          <w:hyperlink w:anchor="__RefHeading___Toc624823_3244359995">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624825_3244359995">
            <w:r>
              <w:rPr>
                <w:webHidden/>
                <w:rStyle w:val="IndexLink"/>
                <w:rtl w:val="true"/>
              </w:rPr>
              <w:t>محتملات الجزاء</w:t>
            </w:r>
            <w:r>
              <w:rPr>
                <w:rStyle w:val="IndexLink"/>
                <w:rtl w:val="true"/>
              </w:rPr>
              <w:tab/>
            </w:r>
            <w:r>
              <w:rPr>
                <w:rStyle w:val="IndexLink"/>
              </w:rPr>
              <w:t>437</w:t>
            </w:r>
          </w:hyperlink>
        </w:p>
        <w:p>
          <w:pPr>
            <w:pStyle w:val="Contents6"/>
            <w:tabs>
              <w:tab w:val="clear" w:pos="7609"/>
              <w:tab w:val="right" w:pos="9026" w:leader="dot"/>
            </w:tabs>
            <w:rPr/>
          </w:pPr>
          <w:hyperlink w:anchor="__RefHeading___Toc624827_3244359995">
            <w:r>
              <w:rPr>
                <w:webHidden/>
                <w:rStyle w:val="IndexLink"/>
                <w:rtl w:val="true"/>
              </w:rPr>
              <w:t>منع دلالة الآیة علی حجّیة الخبر</w:t>
            </w:r>
            <w:r>
              <w:rPr>
                <w:rStyle w:val="IndexLink"/>
                <w:rtl w:val="true"/>
              </w:rPr>
              <w:tab/>
            </w:r>
            <w:r>
              <w:rPr>
                <w:rStyle w:val="IndexLink"/>
              </w:rPr>
              <w:t>437</w:t>
            </w:r>
          </w:hyperlink>
        </w:p>
        <w:p>
          <w:pPr>
            <w:pStyle w:val="Contents6"/>
            <w:tabs>
              <w:tab w:val="clear" w:pos="7609"/>
              <w:tab w:val="right" w:pos="9026" w:leader="dot"/>
            </w:tabs>
            <w:rPr/>
          </w:pPr>
          <w:hyperlink w:anchor="__RefHeading___Toc624829_3244359995">
            <w:r>
              <w:rPr>
                <w:webHidden/>
                <w:rStyle w:val="IndexLink"/>
                <w:rtl w:val="true"/>
              </w:rPr>
              <w:t>تنبیه</w:t>
            </w:r>
            <w:r>
              <w:rPr>
                <w:rStyle w:val="IndexLink"/>
                <w:rtl w:val="true"/>
              </w:rPr>
              <w:t xml:space="preserve">: </w:t>
            </w:r>
            <w:r>
              <w:rPr>
                <w:rStyle w:val="IndexLink"/>
                <w:rtl w:val="true"/>
              </w:rPr>
              <w:t xml:space="preserve">حول قراءة </w:t>
            </w:r>
            <w:r>
              <w:rPr>
                <w:rStyle w:val="IndexLink"/>
                <w:rtl w:val="true"/>
              </w:rPr>
              <w:t>«</w:t>
            </w:r>
            <w:r>
              <w:rPr>
                <w:rStyle w:val="IndexLink"/>
                <w:rtl w:val="true"/>
              </w:rPr>
              <w:t>فتثبّتوا</w:t>
            </w:r>
            <w:r>
              <w:rPr>
                <w:rStyle w:val="IndexLink"/>
                <w:rtl w:val="true"/>
              </w:rPr>
              <w:t>»</w:t>
              <w:tab/>
            </w:r>
            <w:r>
              <w:rPr>
                <w:rStyle w:val="IndexLink"/>
              </w:rPr>
              <w:t>441</w:t>
            </w:r>
          </w:hyperlink>
        </w:p>
        <w:p>
          <w:pPr>
            <w:pStyle w:val="Contents6"/>
            <w:tabs>
              <w:tab w:val="clear" w:pos="7609"/>
              <w:tab w:val="right" w:pos="9026" w:leader="dot"/>
            </w:tabs>
            <w:rPr/>
          </w:pPr>
          <w:hyperlink w:anchor="__RefHeading___Toc624831_3244359995">
            <w:r>
              <w:rPr>
                <w:webHidden/>
                <w:rStyle w:val="IndexLink"/>
                <w:rtl w:val="true"/>
              </w:rPr>
              <w:t>الجهة الخامسة</w:t>
            </w:r>
            <w:r>
              <w:rPr>
                <w:rStyle w:val="IndexLink"/>
                <w:rtl w:val="true"/>
              </w:rPr>
              <w:t xml:space="preserve">: </w:t>
            </w:r>
            <w:r>
              <w:rPr>
                <w:rStyle w:val="IndexLink"/>
                <w:rtl w:val="true"/>
              </w:rPr>
              <w:t xml:space="preserve">حول مفاد </w:t>
            </w:r>
            <w:r>
              <w:rPr>
                <w:rStyle w:val="IndexLink"/>
                <w:rtl w:val="true"/>
              </w:rPr>
              <w:t>«</w:t>
            </w:r>
            <w:r>
              <w:rPr>
                <w:rStyle w:val="IndexLink"/>
                <w:rtl w:val="true"/>
              </w:rPr>
              <w:t>النبأ</w:t>
            </w:r>
            <w:r>
              <w:rPr>
                <w:rStyle w:val="IndexLink"/>
                <w:rtl w:val="true"/>
              </w:rPr>
              <w:t>»</w:t>
              <w:tab/>
            </w:r>
            <w:r>
              <w:rPr>
                <w:rStyle w:val="IndexLink"/>
              </w:rPr>
              <w:t>442</w:t>
            </w:r>
          </w:hyperlink>
        </w:p>
        <w:p>
          <w:pPr>
            <w:pStyle w:val="Contents6"/>
            <w:tabs>
              <w:tab w:val="clear" w:pos="7609"/>
              <w:tab w:val="right" w:pos="9026" w:leader="dot"/>
            </w:tabs>
            <w:rPr/>
          </w:pPr>
          <w:hyperlink w:anchor="__RefHeading___Toc624833_3244359995">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624835_3244359995">
            <w:r>
              <w:rPr>
                <w:webHidden/>
                <w:rStyle w:val="IndexLink"/>
                <w:rtl w:val="true"/>
              </w:rPr>
              <w:t>تذنیب</w:t>
            </w:r>
            <w:r>
              <w:rPr>
                <w:rStyle w:val="IndexLink"/>
                <w:rtl w:val="true"/>
              </w:rPr>
              <w:t xml:space="preserve">: </w:t>
            </w:r>
            <w:r>
              <w:rPr>
                <w:rStyle w:val="IndexLink"/>
                <w:rtl w:val="true"/>
              </w:rPr>
              <w:t>حول حجّیة خبر العادل واقعا و إن لم یصل إلینا</w:t>
            </w:r>
            <w:r>
              <w:rPr>
                <w:rStyle w:val="IndexLink"/>
                <w:rtl w:val="true"/>
              </w:rPr>
              <w:tab/>
            </w:r>
            <w:r>
              <w:rPr>
                <w:rStyle w:val="IndexLink"/>
              </w:rPr>
              <w:t>443</w:t>
            </w:r>
          </w:hyperlink>
        </w:p>
        <w:p>
          <w:pPr>
            <w:pStyle w:val="Contents6"/>
            <w:tabs>
              <w:tab w:val="clear" w:pos="7609"/>
              <w:tab w:val="right" w:pos="9026" w:leader="dot"/>
            </w:tabs>
            <w:rPr/>
          </w:pPr>
          <w:hyperlink w:anchor="__RefHeading___Toc624837_3244359995">
            <w:r>
              <w:rPr>
                <w:webHidden/>
                <w:rStyle w:val="IndexLink"/>
                <w:rtl w:val="true"/>
              </w:rPr>
              <w:t>الجهة السادسة</w:t>
            </w:r>
            <w:r>
              <w:rPr>
                <w:rStyle w:val="IndexLink"/>
                <w:rtl w:val="true"/>
              </w:rPr>
              <w:t xml:space="preserve">: </w:t>
            </w:r>
            <w:r>
              <w:rPr>
                <w:rStyle w:val="IndexLink"/>
                <w:rtl w:val="true"/>
              </w:rPr>
              <w:t>فی مفاد قوله تعالی</w:t>
            </w:r>
            <w:r>
              <w:rPr>
                <w:rStyle w:val="IndexLink"/>
                <w:rtl w:val="true"/>
              </w:rPr>
              <w:t xml:space="preserve">: </w:t>
            </w:r>
            <w:r>
              <w:rPr>
                <w:rStyle w:val="IndexLink"/>
                <w:rtl w:val="true"/>
              </w:rPr>
              <w:t xml:space="preserve">أن تصیبوا قوما بجهالةٍ </w:t>
            </w:r>
            <w:r>
              <w:rPr>
                <w:rStyle w:val="IndexLink"/>
                <w:rtl w:val="true"/>
              </w:rPr>
              <w:t>...</w:t>
              <w:tab/>
            </w:r>
            <w:r>
              <w:rPr>
                <w:rStyle w:val="IndexLink"/>
              </w:rPr>
              <w:t>444</w:t>
            </w:r>
          </w:hyperlink>
        </w:p>
        <w:p>
          <w:pPr>
            <w:pStyle w:val="Contents6"/>
            <w:tabs>
              <w:tab w:val="clear" w:pos="7609"/>
              <w:tab w:val="right" w:pos="9026" w:leader="dot"/>
            </w:tabs>
            <w:rPr/>
          </w:pPr>
          <w:hyperlink w:anchor="__RefHeading___Toc624839_3244359995">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624841_3244359995">
            <w:r>
              <w:rPr>
                <w:webHidden/>
                <w:rStyle w:val="IndexLink"/>
                <w:rtl w:val="true"/>
              </w:rPr>
              <w:t>بقی شی‌ء</w:t>
            </w:r>
            <w:r>
              <w:rPr>
                <w:rStyle w:val="IndexLink"/>
                <w:rtl w:val="true"/>
              </w:rPr>
              <w:t xml:space="preserve">: </w:t>
            </w:r>
            <w:r>
              <w:rPr>
                <w:rStyle w:val="IndexLink"/>
                <w:rtl w:val="true"/>
              </w:rPr>
              <w:t>و هو إبطال علّیة الذیل و حذف الفعل</w:t>
            </w:r>
            <w:r>
              <w:rPr>
                <w:rStyle w:val="IndexLink"/>
                <w:rtl w:val="true"/>
              </w:rPr>
              <w:tab/>
            </w:r>
            <w:r>
              <w:rPr>
                <w:rStyle w:val="IndexLink"/>
              </w:rPr>
              <w:t>451</w:t>
            </w:r>
          </w:hyperlink>
        </w:p>
        <w:p>
          <w:pPr>
            <w:pStyle w:val="Contents6"/>
            <w:tabs>
              <w:tab w:val="clear" w:pos="7609"/>
              <w:tab w:val="right" w:pos="9026" w:leader="dot"/>
            </w:tabs>
            <w:rPr/>
          </w:pPr>
          <w:hyperlink w:anchor="__RefHeading___Toc624843_3244359995">
            <w:r>
              <w:rPr>
                <w:webHidden/>
                <w:rStyle w:val="IndexLink"/>
                <w:rtl w:val="true"/>
              </w:rPr>
              <w:t>الجهة السابعة</w:t>
            </w:r>
            <w:r>
              <w:rPr>
                <w:rStyle w:val="IndexLink"/>
                <w:rtl w:val="true"/>
              </w:rPr>
              <w:t xml:space="preserve">: </w:t>
            </w:r>
            <w:r>
              <w:rPr>
                <w:rStyle w:val="IndexLink"/>
                <w:rtl w:val="true"/>
              </w:rPr>
              <w:t>حول التقاریب التی یتمسّک بها لحجّیة خبر العدل و الثقة</w:t>
            </w:r>
            <w:r>
              <w:rPr>
                <w:rStyle w:val="IndexLink"/>
                <w:rtl w:val="true"/>
              </w:rPr>
              <w:tab/>
            </w:r>
            <w:r>
              <w:rPr>
                <w:rStyle w:val="IndexLink"/>
              </w:rPr>
              <w:t>454</w:t>
            </w:r>
          </w:hyperlink>
        </w:p>
        <w:p>
          <w:pPr>
            <w:pStyle w:val="Contents6"/>
            <w:tabs>
              <w:tab w:val="clear" w:pos="7609"/>
              <w:tab w:val="right" w:pos="9026" w:leader="dot"/>
            </w:tabs>
            <w:rPr/>
          </w:pPr>
          <w:hyperlink w:anchor="__RefHeading___Toc624845_3244359995">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624847_3244359995">
            <w:r>
              <w:rPr>
                <w:webHidden/>
                <w:rStyle w:val="IndexLink"/>
                <w:rtl w:val="true"/>
              </w:rPr>
              <w:t>أحدها</w:t>
            </w:r>
            <w:r>
              <w:rPr>
                <w:rStyle w:val="IndexLink"/>
                <w:rtl w:val="true"/>
              </w:rPr>
              <w:t xml:space="preserve">: </w:t>
            </w:r>
            <w:r>
              <w:rPr>
                <w:rStyle w:val="IndexLink"/>
                <w:rtl w:val="true"/>
              </w:rPr>
              <w:t>التمسّک بمناسبة الحکم و الموضوع</w:t>
            </w:r>
            <w:r>
              <w:rPr>
                <w:rStyle w:val="IndexLink"/>
                <w:rtl w:val="true"/>
              </w:rPr>
              <w:tab/>
            </w:r>
            <w:r>
              <w:rPr>
                <w:rStyle w:val="IndexLink"/>
              </w:rPr>
              <w:t>455</w:t>
            </w:r>
          </w:hyperlink>
        </w:p>
        <w:p>
          <w:pPr>
            <w:pStyle w:val="Contents6"/>
            <w:tabs>
              <w:tab w:val="clear" w:pos="7609"/>
              <w:tab w:val="right" w:pos="9026" w:leader="dot"/>
            </w:tabs>
            <w:rPr/>
          </w:pPr>
          <w:hyperlink w:anchor="__RefHeading___Toc624849_3244359995">
            <w:r>
              <w:rPr>
                <w:webHidden/>
                <w:rStyle w:val="IndexLink"/>
                <w:rtl w:val="true"/>
              </w:rPr>
              <w:t>ثانیها</w:t>
            </w:r>
            <w:r>
              <w:rPr>
                <w:rStyle w:val="IndexLink"/>
                <w:rtl w:val="true"/>
              </w:rPr>
              <w:t xml:space="preserve">: </w:t>
            </w:r>
            <w:r>
              <w:rPr>
                <w:rStyle w:val="IndexLink"/>
                <w:rtl w:val="true"/>
              </w:rPr>
              <w:t>التمسک بمفهوم الوصف</w:t>
            </w:r>
            <w:r>
              <w:rPr>
                <w:rStyle w:val="IndexLink"/>
                <w:rtl w:val="true"/>
              </w:rPr>
              <w:tab/>
            </w:r>
            <w:r>
              <w:rPr>
                <w:rStyle w:val="IndexLink"/>
              </w:rPr>
              <w:t>457</w:t>
            </w:r>
          </w:hyperlink>
        </w:p>
        <w:p>
          <w:pPr>
            <w:pStyle w:val="Contents6"/>
            <w:tabs>
              <w:tab w:val="clear" w:pos="7609"/>
              <w:tab w:val="right" w:pos="9026" w:leader="dot"/>
            </w:tabs>
            <w:rPr/>
          </w:pPr>
          <w:hyperlink w:anchor="__RefHeading___Toc624851_3244359995">
            <w:r>
              <w:rPr>
                <w:webHidden/>
                <w:rStyle w:val="IndexLink"/>
                <w:rtl w:val="true"/>
              </w:rPr>
              <w:t>ثالثها</w:t>
            </w:r>
            <w:r>
              <w:rPr>
                <w:rStyle w:val="IndexLink"/>
                <w:rtl w:val="true"/>
              </w:rPr>
              <w:t xml:space="preserve">: </w:t>
            </w:r>
            <w:r>
              <w:rPr>
                <w:rStyle w:val="IndexLink"/>
                <w:rtl w:val="true"/>
              </w:rPr>
              <w:t>التمسّک بمفهوم الشرط</w:t>
            </w:r>
            <w:r>
              <w:rPr>
                <w:rStyle w:val="IndexLink"/>
                <w:rtl w:val="true"/>
              </w:rPr>
              <w:tab/>
            </w:r>
            <w:r>
              <w:rPr>
                <w:rStyle w:val="IndexLink"/>
              </w:rPr>
              <w:t>459</w:t>
            </w:r>
          </w:hyperlink>
        </w:p>
        <w:p>
          <w:pPr>
            <w:pStyle w:val="Contents6"/>
            <w:tabs>
              <w:tab w:val="clear" w:pos="7609"/>
              <w:tab w:val="right" w:pos="9026" w:leader="dot"/>
            </w:tabs>
            <w:rPr/>
          </w:pPr>
          <w:hyperlink w:anchor="__RefHeading___Toc624853_3244359995">
            <w:r>
              <w:rPr>
                <w:webHidden/>
                <w:rStyle w:val="IndexLink"/>
                <w:rtl w:val="true"/>
              </w:rPr>
              <w:t>مناقشاتنا فی الاستدلال بآیة النبأ</w:t>
            </w:r>
            <w:r>
              <w:rPr>
                <w:rStyle w:val="IndexLink"/>
                <w:rtl w:val="true"/>
              </w:rPr>
              <w:tab/>
            </w:r>
            <w:r>
              <w:rPr>
                <w:rStyle w:val="IndexLink"/>
              </w:rPr>
              <w:t>464</w:t>
            </w:r>
          </w:hyperlink>
        </w:p>
        <w:p>
          <w:pPr>
            <w:pStyle w:val="Contents6"/>
            <w:tabs>
              <w:tab w:val="clear" w:pos="7609"/>
              <w:tab w:val="right" w:pos="9026" w:leader="dot"/>
            </w:tabs>
            <w:rPr/>
          </w:pPr>
          <w:hyperlink w:anchor="__RefHeading___Toc624855_3244359995">
            <w:r>
              <w:rPr>
                <w:webHidden/>
                <w:rStyle w:val="IndexLink"/>
                <w:rtl w:val="true"/>
              </w:rPr>
              <w:t>اشارة</w:t>
            </w:r>
            <w:r>
              <w:rPr>
                <w:rStyle w:val="IndexLink"/>
                <w:rtl w:val="true"/>
              </w:rPr>
              <w:tab/>
            </w:r>
            <w:r>
              <w:rPr>
                <w:rStyle w:val="IndexLink"/>
              </w:rPr>
              <w:t>464</w:t>
            </w:r>
          </w:hyperlink>
        </w:p>
        <w:p>
          <w:pPr>
            <w:pStyle w:val="Contents6"/>
            <w:tabs>
              <w:tab w:val="clear" w:pos="7609"/>
              <w:tab w:val="right" w:pos="9026" w:leader="dot"/>
            </w:tabs>
            <w:rPr/>
          </w:pPr>
          <w:hyperlink w:anchor="__RefHeading___Toc624857_3244359995">
            <w:r>
              <w:rPr>
                <w:webHidden/>
                <w:rStyle w:val="IndexLink"/>
                <w:rtl w:val="true"/>
              </w:rPr>
              <w:t>المناقشة الأولی</w:t>
            </w:r>
            <w:r>
              <w:rPr>
                <w:rStyle w:val="IndexLink"/>
                <w:rtl w:val="true"/>
              </w:rPr>
              <w:t>:</w:t>
              <w:tab/>
            </w:r>
            <w:r>
              <w:rPr>
                <w:rStyle w:val="IndexLink"/>
              </w:rPr>
              <w:t>464</w:t>
            </w:r>
          </w:hyperlink>
        </w:p>
        <w:p>
          <w:pPr>
            <w:pStyle w:val="Contents6"/>
            <w:tabs>
              <w:tab w:val="clear" w:pos="7609"/>
              <w:tab w:val="right" w:pos="9026" w:leader="dot"/>
            </w:tabs>
            <w:rPr/>
          </w:pPr>
          <w:hyperlink w:anchor="__RefHeading___Toc624859_3244359995">
            <w:r>
              <w:rPr>
                <w:webHidden/>
                <w:rStyle w:val="IndexLink"/>
                <w:rtl w:val="true"/>
              </w:rPr>
              <w:t>المناقشة الثانیة</w:t>
            </w:r>
            <w:r>
              <w:rPr>
                <w:rStyle w:val="IndexLink"/>
                <w:rtl w:val="true"/>
              </w:rPr>
              <w:t>:</w:t>
              <w:tab/>
            </w:r>
            <w:r>
              <w:rPr>
                <w:rStyle w:val="IndexLink"/>
              </w:rPr>
              <w:t>466</w:t>
            </w:r>
          </w:hyperlink>
        </w:p>
        <w:p>
          <w:pPr>
            <w:pStyle w:val="Contents6"/>
            <w:tabs>
              <w:tab w:val="clear" w:pos="7609"/>
              <w:tab w:val="right" w:pos="9026" w:leader="dot"/>
            </w:tabs>
            <w:rPr/>
          </w:pPr>
          <w:hyperlink w:anchor="__RefHeading___Toc624861_3244359995">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624863_3244359995">
            <w:r>
              <w:rPr>
                <w:webHidden/>
                <w:rStyle w:val="IndexLink"/>
                <w:rtl w:val="true"/>
              </w:rPr>
              <w:t>فذلکة البحث</w:t>
            </w:r>
            <w:r>
              <w:rPr>
                <w:rStyle w:val="IndexLink"/>
                <w:rtl w:val="true"/>
              </w:rPr>
              <w:t>:</w:t>
              <w:tab/>
            </w:r>
            <w:r>
              <w:rPr>
                <w:rStyle w:val="IndexLink"/>
              </w:rPr>
              <w:t>468</w:t>
            </w:r>
          </w:hyperlink>
        </w:p>
        <w:p>
          <w:pPr>
            <w:pStyle w:val="Contents6"/>
            <w:tabs>
              <w:tab w:val="clear" w:pos="7609"/>
              <w:tab w:val="right" w:pos="9026" w:leader="dot"/>
            </w:tabs>
            <w:rPr/>
          </w:pPr>
          <w:hyperlink w:anchor="__RefHeading___Toc624865_3244359995">
            <w:r>
              <w:rPr>
                <w:webHidden/>
                <w:rStyle w:val="IndexLink"/>
                <w:rtl w:val="true"/>
              </w:rPr>
              <w:t>بقی شی‌ء</w:t>
            </w:r>
            <w:r>
              <w:rPr>
                <w:rStyle w:val="IndexLink"/>
                <w:rtl w:val="true"/>
              </w:rPr>
              <w:t xml:space="preserve">: </w:t>
            </w:r>
            <w:r>
              <w:rPr>
                <w:rStyle w:val="IndexLink"/>
                <w:rtl w:val="true"/>
              </w:rPr>
              <w:t>حول التمسّک بالأولویة لحجّیة خبر العادل</w:t>
            </w:r>
            <w:r>
              <w:rPr>
                <w:rStyle w:val="IndexLink"/>
                <w:rtl w:val="true"/>
              </w:rPr>
              <w:tab/>
            </w:r>
            <w:r>
              <w:rPr>
                <w:rStyle w:val="IndexLink"/>
              </w:rPr>
              <w:t>469</w:t>
            </w:r>
          </w:hyperlink>
        </w:p>
        <w:p>
          <w:pPr>
            <w:pStyle w:val="Contents6"/>
            <w:tabs>
              <w:tab w:val="clear" w:pos="7609"/>
              <w:tab w:val="right" w:pos="9026" w:leader="dot"/>
            </w:tabs>
            <w:rPr/>
          </w:pPr>
          <w:hyperlink w:anchor="__RefHeading___Toc624867_3244359995">
            <w:r>
              <w:rPr>
                <w:webHidden/>
                <w:rStyle w:val="IndexLink"/>
                <w:rtl w:val="true"/>
              </w:rPr>
              <w:t>المناقشة الثالثة</w:t>
            </w:r>
            <w:r>
              <w:rPr>
                <w:rStyle w:val="IndexLink"/>
                <w:rtl w:val="true"/>
              </w:rPr>
              <w:t>:</w:t>
              <w:tab/>
            </w:r>
            <w:r>
              <w:rPr>
                <w:rStyle w:val="IndexLink"/>
              </w:rPr>
              <w:t>470</w:t>
            </w:r>
          </w:hyperlink>
        </w:p>
        <w:p>
          <w:pPr>
            <w:pStyle w:val="Contents6"/>
            <w:tabs>
              <w:tab w:val="clear" w:pos="7609"/>
              <w:tab w:val="right" w:pos="9026" w:leader="dot"/>
            </w:tabs>
            <w:rPr/>
          </w:pPr>
          <w:hyperlink w:anchor="__RefHeading___Toc624869_3244359995">
            <w:r>
              <w:rPr>
                <w:webHidden/>
                <w:rStyle w:val="IndexLink"/>
                <w:rtl w:val="true"/>
              </w:rPr>
              <w:t>تذنیب</w:t>
            </w:r>
            <w:r>
              <w:rPr>
                <w:rStyle w:val="IndexLink"/>
                <w:rtl w:val="true"/>
              </w:rPr>
              <w:t xml:space="preserve">: </w:t>
            </w:r>
            <w:r>
              <w:rPr>
                <w:rStyle w:val="IndexLink"/>
                <w:rtl w:val="true"/>
              </w:rPr>
              <w:t>فی منع حجّیة المفاهیم</w:t>
            </w:r>
            <w:r>
              <w:rPr>
                <w:rStyle w:val="IndexLink"/>
                <w:rtl w:val="true"/>
              </w:rPr>
              <w:tab/>
            </w:r>
            <w:r>
              <w:rPr>
                <w:rStyle w:val="IndexLink"/>
              </w:rPr>
              <w:t>470</w:t>
            </w:r>
          </w:hyperlink>
        </w:p>
        <w:p>
          <w:pPr>
            <w:pStyle w:val="Contents6"/>
            <w:tabs>
              <w:tab w:val="clear" w:pos="7609"/>
              <w:tab w:val="right" w:pos="9026" w:leader="dot"/>
            </w:tabs>
            <w:rPr/>
          </w:pPr>
          <w:hyperlink w:anchor="__RefHeading___Toc624871_3244359995">
            <w:r>
              <w:rPr>
                <w:webHidden/>
                <w:rStyle w:val="IndexLink"/>
                <w:rtl w:val="true"/>
              </w:rPr>
              <w:t>ذنابة</w:t>
            </w:r>
            <w:r>
              <w:rPr>
                <w:rStyle w:val="IndexLink"/>
                <w:rtl w:val="true"/>
              </w:rPr>
              <w:t xml:space="preserve">: </w:t>
            </w:r>
            <w:r>
              <w:rPr>
                <w:rStyle w:val="IndexLink"/>
                <w:rtl w:val="true"/>
              </w:rPr>
              <w:t>حول خروج مورد نزول الآیة عن المفهوم</w:t>
            </w:r>
            <w:r>
              <w:rPr>
                <w:rStyle w:val="IndexLink"/>
                <w:rtl w:val="true"/>
              </w:rPr>
              <w:tab/>
            </w:r>
            <w:r>
              <w:rPr>
                <w:rStyle w:val="IndexLink"/>
              </w:rPr>
              <w:t>471</w:t>
            </w:r>
          </w:hyperlink>
        </w:p>
        <w:p>
          <w:pPr>
            <w:pStyle w:val="Contents6"/>
            <w:tabs>
              <w:tab w:val="clear" w:pos="7609"/>
              <w:tab w:val="right" w:pos="9026" w:leader="dot"/>
            </w:tabs>
            <w:rPr/>
          </w:pPr>
          <w:hyperlink w:anchor="__RefHeading___Toc624873_3244359995">
            <w:r>
              <w:rPr>
                <w:webHidden/>
                <w:rStyle w:val="IndexLink"/>
                <w:rtl w:val="true"/>
              </w:rPr>
              <w:t>حول منع دلالة الآیات الأخر</w:t>
            </w:r>
            <w:r>
              <w:rPr>
                <w:rStyle w:val="IndexLink"/>
                <w:rtl w:val="true"/>
              </w:rPr>
              <w:tab/>
            </w:r>
            <w:r>
              <w:rPr>
                <w:rStyle w:val="IndexLink"/>
              </w:rPr>
              <w:t>473</w:t>
            </w:r>
          </w:hyperlink>
        </w:p>
        <w:p>
          <w:pPr>
            <w:pStyle w:val="Contents6"/>
            <w:tabs>
              <w:tab w:val="clear" w:pos="7609"/>
              <w:tab w:val="right" w:pos="9026" w:leader="dot"/>
            </w:tabs>
            <w:rPr/>
          </w:pPr>
          <w:hyperlink w:anchor="__RefHeading___Toc624875_3244359995">
            <w:r>
              <w:rPr>
                <w:webHidden/>
                <w:rStyle w:val="IndexLink"/>
                <w:rtl w:val="true"/>
              </w:rPr>
              <w:t>بقی شی‌ء</w:t>
            </w:r>
            <w:r>
              <w:rPr>
                <w:rStyle w:val="IndexLink"/>
                <w:rtl w:val="true"/>
              </w:rPr>
              <w:t xml:space="preserve">: </w:t>
            </w:r>
            <w:r>
              <w:rPr>
                <w:rStyle w:val="IndexLink"/>
                <w:rtl w:val="true"/>
              </w:rPr>
              <w:t>فی بطلان الاحتجاج علی الظنون الخاصّة بالظواهر و الأخبار</w:t>
            </w:r>
            <w:r>
              <w:rPr>
                <w:rStyle w:val="IndexLink"/>
                <w:rtl w:val="true"/>
              </w:rPr>
              <w:tab/>
            </w:r>
            <w:r>
              <w:rPr>
                <w:rStyle w:val="IndexLink"/>
              </w:rPr>
              <w:t>474</w:t>
            </w:r>
          </w:hyperlink>
        </w:p>
        <w:p>
          <w:pPr>
            <w:pStyle w:val="Contents5"/>
            <w:tabs>
              <w:tab w:val="clear" w:pos="7892"/>
              <w:tab w:val="right" w:pos="9026" w:leader="dot"/>
            </w:tabs>
            <w:rPr/>
          </w:pPr>
          <w:hyperlink w:anchor="__RefHeading___Toc624877_3244359995">
            <w:r>
              <w:rPr>
                <w:webHidden/>
                <w:rStyle w:val="IndexLink"/>
                <w:rtl w:val="true"/>
              </w:rPr>
              <w:t>الوجه الثانی السنّة</w:t>
            </w:r>
            <w:r>
              <w:rPr>
                <w:rStyle w:val="IndexLink"/>
                <w:rtl w:val="true"/>
              </w:rPr>
              <w:tab/>
            </w:r>
            <w:r>
              <w:rPr>
                <w:rStyle w:val="IndexLink"/>
              </w:rPr>
              <w:t>476</w:t>
            </w:r>
          </w:hyperlink>
        </w:p>
        <w:p>
          <w:pPr>
            <w:pStyle w:val="Contents6"/>
            <w:tabs>
              <w:tab w:val="clear" w:pos="7609"/>
              <w:tab w:val="right" w:pos="9026" w:leader="dot"/>
            </w:tabs>
            <w:rPr/>
          </w:pPr>
          <w:hyperlink w:anchor="__RefHeading___Toc624879_3244359995">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624881_3244359995">
            <w:r>
              <w:rPr>
                <w:webHidden/>
                <w:rStyle w:val="IndexLink"/>
                <w:rtl w:val="true"/>
              </w:rPr>
              <w:t>الجهة الأولی</w:t>
            </w:r>
            <w:r>
              <w:rPr>
                <w:rStyle w:val="IndexLink"/>
                <w:rtl w:val="true"/>
              </w:rPr>
              <w:t xml:space="preserve">: </w:t>
            </w:r>
            <w:r>
              <w:rPr>
                <w:rStyle w:val="IndexLink"/>
                <w:rtl w:val="true"/>
              </w:rPr>
              <w:t>فی اعتبار تواتره</w:t>
            </w:r>
            <w:r>
              <w:rPr>
                <w:rStyle w:val="IndexLink"/>
                <w:rtl w:val="true"/>
              </w:rPr>
              <w:tab/>
            </w:r>
            <w:r>
              <w:rPr>
                <w:rStyle w:val="IndexLink"/>
              </w:rPr>
              <w:t>477</w:t>
            </w:r>
          </w:hyperlink>
        </w:p>
        <w:p>
          <w:pPr>
            <w:pStyle w:val="Contents6"/>
            <w:tabs>
              <w:tab w:val="clear" w:pos="7609"/>
              <w:tab w:val="right" w:pos="9026" w:leader="dot"/>
            </w:tabs>
            <w:rPr/>
          </w:pPr>
          <w:hyperlink w:anchor="__RefHeading___Toc624883_3244359995">
            <w:r>
              <w:rPr>
                <w:webHidden/>
                <w:rStyle w:val="IndexLink"/>
                <w:rtl w:val="true"/>
              </w:rPr>
              <w:t>الجهة الثانیة</w:t>
            </w:r>
            <w:r>
              <w:rPr>
                <w:rStyle w:val="IndexLink"/>
                <w:rtl w:val="true"/>
              </w:rPr>
              <w:t xml:space="preserve">: </w:t>
            </w:r>
            <w:r>
              <w:rPr>
                <w:rStyle w:val="IndexLink"/>
                <w:rtl w:val="true"/>
              </w:rPr>
              <w:t>فی وجود التواتر المعنویّ أو الإجمالیّ بعد عدم تحقّق اللفظیّ منه</w:t>
            </w:r>
            <w:r>
              <w:rPr>
                <w:rStyle w:val="IndexLink"/>
                <w:rtl w:val="true"/>
              </w:rPr>
              <w:tab/>
            </w:r>
            <w:r>
              <w:rPr>
                <w:rStyle w:val="IndexLink"/>
              </w:rPr>
              <w:t>478</w:t>
            </w:r>
          </w:hyperlink>
        </w:p>
        <w:p>
          <w:pPr>
            <w:pStyle w:val="Contents6"/>
            <w:tabs>
              <w:tab w:val="clear" w:pos="7609"/>
              <w:tab w:val="right" w:pos="9026" w:leader="dot"/>
            </w:tabs>
            <w:rPr/>
          </w:pPr>
          <w:hyperlink w:anchor="__RefHeading___Toc624885_3244359995">
            <w:r>
              <w:rPr>
                <w:webHidden/>
                <w:rStyle w:val="IndexLink"/>
                <w:rtl w:val="true"/>
              </w:rPr>
              <w:t>فذلکة البحث</w:t>
            </w:r>
            <w:r>
              <w:rPr>
                <w:rStyle w:val="IndexLink"/>
                <w:rtl w:val="true"/>
              </w:rPr>
              <w:t>:</w:t>
              <w:tab/>
            </w:r>
            <w:r>
              <w:rPr>
                <w:rStyle w:val="IndexLink"/>
              </w:rPr>
              <w:t>480</w:t>
            </w:r>
          </w:hyperlink>
        </w:p>
        <w:p>
          <w:pPr>
            <w:pStyle w:val="Contents6"/>
            <w:tabs>
              <w:tab w:val="clear" w:pos="7609"/>
              <w:tab w:val="right" w:pos="9026" w:leader="dot"/>
            </w:tabs>
            <w:rPr/>
          </w:pPr>
          <w:hyperlink w:anchor="__RefHeading___Toc624887_3244359995">
            <w:r>
              <w:rPr>
                <w:webHidden/>
                <w:rStyle w:val="IndexLink"/>
                <w:rtl w:val="true"/>
              </w:rPr>
              <w:t>بقی شی‌ء</w:t>
            </w:r>
            <w:r>
              <w:rPr>
                <w:rStyle w:val="IndexLink"/>
                <w:rtl w:val="true"/>
              </w:rPr>
              <w:t xml:space="preserve">: </w:t>
            </w:r>
            <w:r>
              <w:rPr>
                <w:rStyle w:val="IndexLink"/>
                <w:rtl w:val="true"/>
              </w:rPr>
              <w:t>حول استدلال الوالد المحقّق علی عموم المدعی و ما فیه</w:t>
            </w:r>
            <w:r>
              <w:rPr>
                <w:rStyle w:val="IndexLink"/>
                <w:rtl w:val="true"/>
              </w:rPr>
              <w:tab/>
            </w:r>
            <w:r>
              <w:rPr>
                <w:rStyle w:val="IndexLink"/>
              </w:rPr>
              <w:t>482</w:t>
            </w:r>
          </w:hyperlink>
        </w:p>
        <w:p>
          <w:pPr>
            <w:pStyle w:val="Contents5"/>
            <w:tabs>
              <w:tab w:val="clear" w:pos="7892"/>
              <w:tab w:val="right" w:pos="9026" w:leader="dot"/>
            </w:tabs>
            <w:rPr/>
          </w:pPr>
          <w:hyperlink w:anchor="__RefHeading___Toc624889_3244359995">
            <w:r>
              <w:rPr>
                <w:webHidden/>
                <w:rStyle w:val="IndexLink"/>
                <w:rtl w:val="true"/>
              </w:rPr>
              <w:t>الوجه الثالث الإجماع</w:t>
            </w:r>
            <w:r>
              <w:rPr>
                <w:rStyle w:val="IndexLink"/>
                <w:rtl w:val="true"/>
              </w:rPr>
              <w:tab/>
            </w:r>
            <w:r>
              <w:rPr>
                <w:rStyle w:val="IndexLink"/>
              </w:rPr>
              <w:t>483</w:t>
            </w:r>
          </w:hyperlink>
        </w:p>
        <w:p>
          <w:pPr>
            <w:pStyle w:val="Contents5"/>
            <w:tabs>
              <w:tab w:val="clear" w:pos="7892"/>
              <w:tab w:val="right" w:pos="9026" w:leader="dot"/>
            </w:tabs>
            <w:rPr/>
          </w:pPr>
          <w:hyperlink w:anchor="__RefHeading___Toc624891_3244359995">
            <w:r>
              <w:rPr>
                <w:webHidden/>
                <w:rStyle w:val="IndexLink"/>
                <w:rtl w:val="true"/>
              </w:rPr>
              <w:t>الوجه الرابع بناء العقلاء</w:t>
            </w:r>
            <w:r>
              <w:rPr>
                <w:rStyle w:val="IndexLink"/>
                <w:rtl w:val="true"/>
              </w:rPr>
              <w:tab/>
            </w:r>
            <w:r>
              <w:rPr>
                <w:rStyle w:val="IndexLink"/>
              </w:rPr>
              <w:t>484</w:t>
            </w:r>
          </w:hyperlink>
        </w:p>
        <w:p>
          <w:pPr>
            <w:pStyle w:val="Contents6"/>
            <w:tabs>
              <w:tab w:val="clear" w:pos="7609"/>
              <w:tab w:val="right" w:pos="9026" w:leader="dot"/>
            </w:tabs>
            <w:rPr/>
          </w:pPr>
          <w:hyperlink w:anchor="__RefHeading___Toc624893_3244359995">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624895_3244359995">
            <w:r>
              <w:rPr>
                <w:webHidden/>
                <w:rStyle w:val="IndexLink"/>
                <w:rtl w:val="true"/>
              </w:rPr>
              <w:t>بحث و تحصیل</w:t>
            </w:r>
            <w:r>
              <w:rPr>
                <w:rStyle w:val="IndexLink"/>
                <w:rtl w:val="true"/>
              </w:rPr>
              <w:t xml:space="preserve">: </w:t>
            </w:r>
            <w:r>
              <w:rPr>
                <w:rStyle w:val="IndexLink"/>
                <w:rtl w:val="true"/>
              </w:rPr>
              <w:t>فی عدم إمضاء السیرة و ردعها</w:t>
            </w:r>
            <w:r>
              <w:rPr>
                <w:rStyle w:val="IndexLink"/>
                <w:rtl w:val="true"/>
              </w:rPr>
              <w:tab/>
            </w:r>
            <w:r>
              <w:rPr>
                <w:rStyle w:val="IndexLink"/>
              </w:rPr>
              <w:t>485</w:t>
            </w:r>
          </w:hyperlink>
        </w:p>
        <w:p>
          <w:pPr>
            <w:pStyle w:val="Contents6"/>
            <w:tabs>
              <w:tab w:val="clear" w:pos="7609"/>
              <w:tab w:val="right" w:pos="9026" w:leader="dot"/>
            </w:tabs>
            <w:rPr/>
          </w:pPr>
          <w:hyperlink w:anchor="__RefHeading___Toc624897_3244359995">
            <w:r>
              <w:rPr>
                <w:webHidden/>
                <w:rStyle w:val="IndexLink"/>
                <w:rtl w:val="true"/>
              </w:rPr>
              <w:t>مشکلات التمسک بالسیرة العقلائیّة و أجوبتها</w:t>
            </w:r>
            <w:r>
              <w:rPr>
                <w:rStyle w:val="IndexLink"/>
                <w:rtl w:val="true"/>
              </w:rPr>
              <w:tab/>
            </w:r>
            <w:r>
              <w:rPr>
                <w:rStyle w:val="IndexLink"/>
              </w:rPr>
              <w:t>486</w:t>
            </w:r>
          </w:hyperlink>
        </w:p>
        <w:p>
          <w:pPr>
            <w:pStyle w:val="Contents6"/>
            <w:tabs>
              <w:tab w:val="clear" w:pos="7609"/>
              <w:tab w:val="right" w:pos="9026" w:leader="dot"/>
            </w:tabs>
            <w:rPr/>
          </w:pPr>
          <w:hyperlink w:anchor="__RefHeading___Toc624899_3244359995">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624901_3244359995">
            <w:r>
              <w:rPr>
                <w:webHidden/>
                <w:rStyle w:val="IndexLink"/>
                <w:rtl w:val="true"/>
              </w:rPr>
              <w:t>أمّا المشکلة الأولی</w:t>
            </w:r>
            <w:r>
              <w:rPr>
                <w:rStyle w:val="IndexLink"/>
                <w:rtl w:val="true"/>
              </w:rPr>
              <w:t>:</w:t>
              <w:tab/>
            </w:r>
            <w:r>
              <w:rPr>
                <w:rStyle w:val="IndexLink"/>
              </w:rPr>
              <w:t>486</w:t>
            </w:r>
          </w:hyperlink>
        </w:p>
        <w:p>
          <w:pPr>
            <w:pStyle w:val="Contents6"/>
            <w:tabs>
              <w:tab w:val="clear" w:pos="7609"/>
              <w:tab w:val="right" w:pos="9026" w:leader="dot"/>
            </w:tabs>
            <w:rPr/>
          </w:pPr>
          <w:hyperlink w:anchor="__RefHeading___Toc624903_3244359995">
            <w:r>
              <w:rPr>
                <w:webHidden/>
                <w:rStyle w:val="IndexLink"/>
                <w:rtl w:val="true"/>
              </w:rPr>
              <w:t>و أمّا المشکلة الثانیة</w:t>
            </w:r>
            <w:r>
              <w:rPr>
                <w:rStyle w:val="IndexLink"/>
                <w:rtl w:val="true"/>
              </w:rPr>
              <w:t>:</w:t>
              <w:tab/>
            </w:r>
            <w:r>
              <w:rPr>
                <w:rStyle w:val="IndexLink"/>
              </w:rPr>
              <w:t>491</w:t>
            </w:r>
          </w:hyperlink>
        </w:p>
        <w:p>
          <w:pPr>
            <w:pStyle w:val="Contents6"/>
            <w:tabs>
              <w:tab w:val="clear" w:pos="7609"/>
              <w:tab w:val="right" w:pos="9026" w:leader="dot"/>
            </w:tabs>
            <w:rPr/>
          </w:pPr>
          <w:hyperlink w:anchor="__RefHeading___Toc624905_3244359995">
            <w:r>
              <w:rPr>
                <w:webHidden/>
                <w:rStyle w:val="IndexLink"/>
                <w:rtl w:val="true"/>
              </w:rPr>
              <w:t>و أمّا المشکلة الثالثة</w:t>
            </w:r>
            <w:r>
              <w:rPr>
                <w:rStyle w:val="IndexLink"/>
                <w:rtl w:val="true"/>
              </w:rPr>
              <w:t>:</w:t>
              <w:tab/>
            </w:r>
            <w:r>
              <w:rPr>
                <w:rStyle w:val="IndexLink"/>
              </w:rPr>
              <w:t>496</w:t>
            </w:r>
          </w:hyperlink>
        </w:p>
        <w:p>
          <w:pPr>
            <w:pStyle w:val="Contents6"/>
            <w:tabs>
              <w:tab w:val="clear" w:pos="7609"/>
              <w:tab w:val="right" w:pos="9026" w:leader="dot"/>
            </w:tabs>
            <w:rPr/>
          </w:pPr>
          <w:hyperlink w:anchor="__RefHeading___Toc624907_3244359995">
            <w:r>
              <w:rPr>
                <w:webHidden/>
                <w:rStyle w:val="IndexLink"/>
                <w:rtl w:val="true"/>
              </w:rPr>
              <w:t>تذنیب</w:t>
            </w:r>
            <w:r>
              <w:rPr>
                <w:rStyle w:val="IndexLink"/>
                <w:rtl w:val="true"/>
              </w:rPr>
              <w:t xml:space="preserve">: </w:t>
            </w:r>
            <w:r>
              <w:rPr>
                <w:rStyle w:val="IndexLink"/>
                <w:rtl w:val="true"/>
              </w:rPr>
              <w:t>فی حکم الشکّ فی إمضاء السیرة بالنسبة إلی الموضوعات مثلا</w:t>
            </w:r>
            <w:r>
              <w:rPr>
                <w:rStyle w:val="IndexLink"/>
                <w:rtl w:val="true"/>
              </w:rPr>
              <w:tab/>
            </w:r>
            <w:r>
              <w:rPr>
                <w:rStyle w:val="IndexLink"/>
              </w:rPr>
              <w:t>498</w:t>
            </w:r>
          </w:hyperlink>
        </w:p>
        <w:p>
          <w:pPr>
            <w:pStyle w:val="Contents5"/>
            <w:tabs>
              <w:tab w:val="clear" w:pos="7892"/>
              <w:tab w:val="right" w:pos="9026" w:leader="dot"/>
            </w:tabs>
            <w:rPr/>
          </w:pPr>
          <w:hyperlink w:anchor="__RefHeading___Toc624909_3244359995">
            <w:r>
              <w:rPr>
                <w:webHidden/>
                <w:rStyle w:val="IndexLink"/>
                <w:rtl w:val="true"/>
              </w:rPr>
              <w:t>الوجه الخامس سیرة المتشرّعة</w:t>
            </w:r>
            <w:r>
              <w:rPr>
                <w:rStyle w:val="IndexLink"/>
                <w:rtl w:val="true"/>
              </w:rPr>
              <w:tab/>
            </w:r>
            <w:r>
              <w:rPr>
                <w:rStyle w:val="IndexLink"/>
              </w:rPr>
              <w:t>499</w:t>
            </w:r>
          </w:hyperlink>
        </w:p>
        <w:p>
          <w:pPr>
            <w:pStyle w:val="Contents6"/>
            <w:tabs>
              <w:tab w:val="clear" w:pos="7609"/>
              <w:tab w:val="right" w:pos="9026" w:leader="dot"/>
            </w:tabs>
            <w:rPr/>
          </w:pPr>
          <w:hyperlink w:anchor="__RefHeading___Toc624911_3244359995">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624913_3244359995">
            <w:r>
              <w:rPr>
                <w:webHidden/>
                <w:rStyle w:val="IndexLink"/>
                <w:rtl w:val="true"/>
              </w:rPr>
              <w:t>بقی شی‌ء</w:t>
            </w:r>
            <w:r>
              <w:rPr>
                <w:rStyle w:val="IndexLink"/>
                <w:rtl w:val="true"/>
              </w:rPr>
              <w:t xml:space="preserve">: </w:t>
            </w:r>
            <w:r>
              <w:rPr>
                <w:rStyle w:val="IndexLink"/>
                <w:rtl w:val="true"/>
              </w:rPr>
              <w:t>و هو مناقشة فی اعتبار السیرة</w:t>
            </w:r>
            <w:r>
              <w:rPr>
                <w:rStyle w:val="IndexLink"/>
                <w:rtl w:val="true"/>
              </w:rPr>
              <w:tab/>
            </w:r>
            <w:r>
              <w:rPr>
                <w:rStyle w:val="IndexLink"/>
              </w:rPr>
              <w:t>499</w:t>
            </w:r>
          </w:hyperlink>
        </w:p>
        <w:p>
          <w:pPr>
            <w:pStyle w:val="Contents6"/>
            <w:tabs>
              <w:tab w:val="clear" w:pos="7609"/>
              <w:tab w:val="right" w:pos="9026" w:leader="dot"/>
            </w:tabs>
            <w:rPr/>
          </w:pPr>
          <w:hyperlink w:anchor="__RefHeading___Toc624915_3244359995">
            <w:r>
              <w:rPr>
                <w:webHidden/>
                <w:rStyle w:val="IndexLink"/>
                <w:rtl w:val="true"/>
              </w:rPr>
              <w:t>تنبیهات</w:t>
            </w:r>
            <w:r>
              <w:rPr>
                <w:rStyle w:val="IndexLink"/>
                <w:rtl w:val="true"/>
              </w:rPr>
              <w:tab/>
            </w:r>
            <w:r>
              <w:rPr>
                <w:rStyle w:val="IndexLink"/>
              </w:rPr>
              <w:t>501</w:t>
            </w:r>
          </w:hyperlink>
        </w:p>
        <w:p>
          <w:pPr>
            <w:pStyle w:val="Contents6"/>
            <w:tabs>
              <w:tab w:val="clear" w:pos="7609"/>
              <w:tab w:val="right" w:pos="9026" w:leader="dot"/>
            </w:tabs>
            <w:rPr/>
          </w:pPr>
          <w:hyperlink w:anchor="__RefHeading___Toc624917_3244359995">
            <w:r>
              <w:rPr>
                <w:webHidden/>
                <w:rStyle w:val="IndexLink"/>
                <w:rtl w:val="true"/>
              </w:rPr>
              <w:t>التنبیه الأوّل</w:t>
            </w:r>
            <w:r>
              <w:rPr>
                <w:rStyle w:val="IndexLink"/>
                <w:rtl w:val="true"/>
              </w:rPr>
              <w:t xml:space="preserve">: </w:t>
            </w:r>
            <w:r>
              <w:rPr>
                <w:rStyle w:val="IndexLink"/>
                <w:rtl w:val="true"/>
              </w:rPr>
              <w:t>حول استلزام حجّیة الخبر لعدم حجّیته</w:t>
            </w:r>
            <w:r>
              <w:rPr>
                <w:rStyle w:val="IndexLink"/>
                <w:rtl w:val="true"/>
              </w:rPr>
              <w:tab/>
            </w:r>
            <w:r>
              <w:rPr>
                <w:rStyle w:val="IndexLink"/>
              </w:rPr>
              <w:t>501</w:t>
            </w:r>
          </w:hyperlink>
        </w:p>
        <w:p>
          <w:pPr>
            <w:pStyle w:val="Contents6"/>
            <w:tabs>
              <w:tab w:val="clear" w:pos="7609"/>
              <w:tab w:val="right" w:pos="9026" w:leader="dot"/>
            </w:tabs>
            <w:rPr/>
          </w:pPr>
          <w:hyperlink w:anchor="__RefHeading___Toc624919_3244359995">
            <w:r>
              <w:rPr>
                <w:webHidden/>
                <w:rStyle w:val="IndexLink"/>
                <w:rtl w:val="true"/>
              </w:rPr>
              <w:t>التنبیه الثانی</w:t>
            </w:r>
            <w:r>
              <w:rPr>
                <w:rStyle w:val="IndexLink"/>
                <w:rtl w:val="true"/>
              </w:rPr>
              <w:t xml:space="preserve">: </w:t>
            </w:r>
            <w:r>
              <w:rPr>
                <w:rStyle w:val="IndexLink"/>
                <w:rtl w:val="true"/>
              </w:rPr>
              <w:t>حول مشکلة الأخبار مع الوسائط</w:t>
            </w:r>
            <w:r>
              <w:rPr>
                <w:rStyle w:val="IndexLink"/>
                <w:rtl w:val="true"/>
              </w:rPr>
              <w:tab/>
            </w:r>
            <w:r>
              <w:rPr>
                <w:rStyle w:val="IndexLink"/>
              </w:rPr>
              <w:t>506</w:t>
            </w:r>
          </w:hyperlink>
        </w:p>
        <w:p>
          <w:pPr>
            <w:pStyle w:val="Contents6"/>
            <w:tabs>
              <w:tab w:val="clear" w:pos="7609"/>
              <w:tab w:val="right" w:pos="9026" w:leader="dot"/>
            </w:tabs>
            <w:rPr/>
          </w:pPr>
          <w:hyperlink w:anchor="__RefHeading___Toc624921_3244359995">
            <w:r>
              <w:rPr>
                <w:webHidden/>
                <w:rStyle w:val="IndexLink"/>
                <w:rtl w:val="true"/>
              </w:rPr>
              <w:t>اشارة</w:t>
            </w:r>
            <w:r>
              <w:rPr>
                <w:rStyle w:val="IndexLink"/>
                <w:rtl w:val="true"/>
              </w:rPr>
              <w:tab/>
            </w:r>
            <w:r>
              <w:rPr>
                <w:rStyle w:val="IndexLink"/>
              </w:rPr>
              <w:t>506</w:t>
            </w:r>
          </w:hyperlink>
        </w:p>
        <w:p>
          <w:pPr>
            <w:pStyle w:val="Contents6"/>
            <w:tabs>
              <w:tab w:val="clear" w:pos="7609"/>
              <w:tab w:val="right" w:pos="9026" w:leader="dot"/>
            </w:tabs>
            <w:rPr/>
          </w:pPr>
          <w:hyperlink w:anchor="__RefHeading___Toc624923_3244359995">
            <w:r>
              <w:rPr>
                <w:webHidden/>
                <w:rStyle w:val="IndexLink"/>
                <w:rtl w:val="true"/>
              </w:rPr>
              <w:t>أجوبة أخری</w:t>
            </w:r>
            <w:r>
              <w:rPr>
                <w:rStyle w:val="IndexLink"/>
                <w:rtl w:val="true"/>
              </w:rPr>
              <w:t xml:space="preserve">: </w:t>
            </w:r>
            <w:r>
              <w:rPr>
                <w:rStyle w:val="IndexLink"/>
                <w:rtl w:val="true"/>
              </w:rPr>
              <w:t>عن مشکلة الإخبار مع الوسائط</w:t>
            </w:r>
            <w:r>
              <w:rPr>
                <w:rStyle w:val="IndexLink"/>
                <w:rtl w:val="true"/>
              </w:rPr>
              <w:tab/>
            </w:r>
            <w:r>
              <w:rPr>
                <w:rStyle w:val="IndexLink"/>
              </w:rPr>
              <w:t>512</w:t>
            </w:r>
          </w:hyperlink>
        </w:p>
        <w:p>
          <w:pPr>
            <w:pStyle w:val="Contents6"/>
            <w:tabs>
              <w:tab w:val="clear" w:pos="7609"/>
              <w:tab w:val="right" w:pos="9026" w:leader="dot"/>
            </w:tabs>
            <w:rPr/>
          </w:pPr>
          <w:hyperlink w:anchor="__RefHeading___Toc624925_3244359995">
            <w:r>
              <w:rPr>
                <w:webHidden/>
                <w:rStyle w:val="IndexLink"/>
                <w:rtl w:val="true"/>
              </w:rPr>
              <w:t>جولة حول ما ذکرناه</w:t>
            </w:r>
            <w:r>
              <w:rPr>
                <w:rStyle w:val="IndexLink"/>
                <w:rtl w:val="true"/>
              </w:rPr>
              <w:tab/>
            </w:r>
            <w:r>
              <w:rPr>
                <w:rStyle w:val="IndexLink"/>
              </w:rPr>
              <w:t>518</w:t>
            </w:r>
          </w:hyperlink>
        </w:p>
        <w:p>
          <w:pPr>
            <w:pStyle w:val="Contents6"/>
            <w:tabs>
              <w:tab w:val="clear" w:pos="7609"/>
              <w:tab w:val="right" w:pos="9026" w:leader="dot"/>
            </w:tabs>
            <w:rPr/>
          </w:pPr>
          <w:hyperlink w:anchor="__RefHeading___Toc624927_3244359995">
            <w:r>
              <w:rPr>
                <w:webHidden/>
                <w:rStyle w:val="IndexLink"/>
                <w:rtl w:val="true"/>
              </w:rPr>
              <w:t>تذنیب</w:t>
            </w:r>
            <w:r>
              <w:rPr>
                <w:rStyle w:val="IndexLink"/>
                <w:rtl w:val="true"/>
              </w:rPr>
              <w:t xml:space="preserve">: </w:t>
            </w:r>
            <w:r>
              <w:rPr>
                <w:rStyle w:val="IndexLink"/>
                <w:rtl w:val="true"/>
              </w:rPr>
              <w:t>حول إخبار العدول عن شی‌ء واحد</w:t>
            </w:r>
            <w:r>
              <w:rPr>
                <w:rStyle w:val="IndexLink"/>
                <w:rtl w:val="true"/>
              </w:rPr>
              <w:tab/>
            </w:r>
            <w:r>
              <w:rPr>
                <w:rStyle w:val="IndexLink"/>
              </w:rPr>
              <w:t>519</w:t>
            </w:r>
          </w:hyperlink>
        </w:p>
        <w:p>
          <w:pPr>
            <w:pStyle w:val="Contents6"/>
            <w:tabs>
              <w:tab w:val="clear" w:pos="7609"/>
              <w:tab w:val="right" w:pos="9026" w:leader="dot"/>
            </w:tabs>
            <w:rPr/>
          </w:pPr>
          <w:hyperlink w:anchor="__RefHeading___Toc624929_3244359995">
            <w:r>
              <w:rPr>
                <w:webHidden/>
                <w:rStyle w:val="IndexLink"/>
                <w:rtl w:val="true"/>
              </w:rPr>
              <w:t>التنبیه الثالث</w:t>
            </w:r>
            <w:r>
              <w:rPr>
                <w:rStyle w:val="IndexLink"/>
                <w:rtl w:val="true"/>
              </w:rPr>
              <w:t xml:space="preserve">: </w:t>
            </w:r>
            <w:r>
              <w:rPr>
                <w:rStyle w:val="IndexLink"/>
                <w:rtl w:val="true"/>
              </w:rPr>
              <w:t>حول الإشکال الناشئ من عدم حجیة الخبر فی الموضوعات</w:t>
            </w:r>
            <w:r>
              <w:rPr>
                <w:rStyle w:val="IndexLink"/>
                <w:rtl w:val="true"/>
              </w:rPr>
              <w:tab/>
            </w:r>
            <w:r>
              <w:rPr>
                <w:rStyle w:val="IndexLink"/>
              </w:rPr>
              <w:t>520</w:t>
            </w:r>
          </w:hyperlink>
        </w:p>
        <w:p>
          <w:pPr>
            <w:pStyle w:val="Contents6"/>
            <w:tabs>
              <w:tab w:val="clear" w:pos="7609"/>
              <w:tab w:val="right" w:pos="9026" w:leader="dot"/>
            </w:tabs>
            <w:rPr/>
          </w:pPr>
          <w:hyperlink w:anchor="__RefHeading___Toc624931_3244359995">
            <w:r>
              <w:rPr>
                <w:webHidden/>
                <w:rStyle w:val="IndexLink"/>
                <w:rtl w:val="true"/>
              </w:rPr>
              <w:t>التنبیه الرابع</w:t>
            </w:r>
            <w:r>
              <w:rPr>
                <w:rStyle w:val="IndexLink"/>
                <w:rtl w:val="true"/>
              </w:rPr>
              <w:t xml:space="preserve">: </w:t>
            </w:r>
            <w:r>
              <w:rPr>
                <w:rStyle w:val="IndexLink"/>
                <w:rtl w:val="true"/>
              </w:rPr>
              <w:t>حول مغایرة حجّیة الخبر لوجوب العمل به</w:t>
            </w:r>
            <w:r>
              <w:rPr>
                <w:rStyle w:val="IndexLink"/>
                <w:rtl w:val="true"/>
              </w:rPr>
              <w:tab/>
            </w:r>
            <w:r>
              <w:rPr>
                <w:rStyle w:val="IndexLink"/>
              </w:rPr>
              <w:t>521</w:t>
            </w:r>
          </w:hyperlink>
        </w:p>
        <w:p>
          <w:pPr>
            <w:pStyle w:val="Contents6"/>
            <w:tabs>
              <w:tab w:val="clear" w:pos="7609"/>
              <w:tab w:val="right" w:pos="9026" w:leader="dot"/>
            </w:tabs>
            <w:rPr/>
          </w:pPr>
          <w:hyperlink w:anchor="__RefHeading___Toc624933_3244359995">
            <w:r>
              <w:rPr>
                <w:webHidden/>
                <w:rStyle w:val="IndexLink"/>
                <w:rtl w:val="true"/>
              </w:rPr>
              <w:t>التنبیه الخامس</w:t>
            </w:r>
            <w:r>
              <w:rPr>
                <w:rStyle w:val="IndexLink"/>
                <w:rtl w:val="true"/>
              </w:rPr>
              <w:t xml:space="preserve">: </w:t>
            </w:r>
            <w:r>
              <w:rPr>
                <w:rStyle w:val="IndexLink"/>
                <w:rtl w:val="true"/>
              </w:rPr>
              <w:t>فی أنّه لا فائدة فی تقسیم الخبر إلی أقسامه</w:t>
            </w:r>
            <w:r>
              <w:rPr>
                <w:rStyle w:val="IndexLink"/>
                <w:rtl w:val="true"/>
              </w:rPr>
              <w:tab/>
            </w:r>
            <w:r>
              <w:rPr>
                <w:rStyle w:val="IndexLink"/>
              </w:rPr>
              <w:t>524</w:t>
            </w:r>
          </w:hyperlink>
        </w:p>
        <w:p>
          <w:pPr>
            <w:pStyle w:val="Contents6"/>
            <w:tabs>
              <w:tab w:val="clear" w:pos="7609"/>
              <w:tab w:val="right" w:pos="9026" w:leader="dot"/>
            </w:tabs>
            <w:rPr/>
          </w:pPr>
          <w:hyperlink w:anchor="__RefHeading___Toc624935_3244359995">
            <w:r>
              <w:rPr>
                <w:webHidden/>
                <w:rStyle w:val="IndexLink"/>
                <w:rtl w:val="true"/>
              </w:rPr>
              <w:t>تذنیب</w:t>
            </w:r>
            <w:r>
              <w:rPr>
                <w:rStyle w:val="IndexLink"/>
                <w:rtl w:val="true"/>
              </w:rPr>
              <w:t xml:space="preserve">: </w:t>
            </w:r>
            <w:r>
              <w:rPr>
                <w:rStyle w:val="IndexLink"/>
                <w:rtl w:val="true"/>
              </w:rPr>
              <w:t>فی الوجه العقلیّ علی حجّیة الخبر</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70_166144"/>
      <w:bookmarkStart w:id="1" w:name="pg13170_166144"/>
      <w:bookmarkEnd w:id="1"/>
    </w:p>
    <w:p>
      <w:pPr>
        <w:pStyle w:val="Heading2"/>
        <w:numPr>
          <w:ilvl w:val="1"/>
          <w:numId w:val="1"/>
        </w:numPr>
        <w:rPr/>
      </w:pPr>
      <w:bookmarkStart w:id="2" w:name="pg13170_166144"/>
      <w:bookmarkStart w:id="3" w:name="__RefHeading___Toc624243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۰‌۴۲۰۰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الطبع و النشر،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245_3244359995"/>
      <w:bookmarkStart w:id="6" w:name="_Toc2"/>
      <w:bookmarkEnd w:id="5"/>
      <w:r>
        <w:rPr>
          <w:rtl w:val="true"/>
        </w:rPr>
        <w:t>اشارة</w:t>
      </w:r>
      <w:bookmarkStart w:id="7" w:name="pg13170_166149"/>
      <w:bookmarkEnd w:id="6"/>
    </w:p>
    <w:p>
      <w:pPr>
        <w:pStyle w:val="Heading2"/>
        <w:numPr>
          <w:ilvl w:val="1"/>
          <w:numId w:val="1"/>
        </w:numPr>
        <w:rPr/>
      </w:pPr>
      <w:bookmarkStart w:id="8" w:name="__RefHeading___Toc624247_3244359995"/>
      <w:bookmarkStart w:id="9" w:name="_Toc3"/>
      <w:bookmarkEnd w:id="7"/>
      <w:bookmarkEnd w:id="8"/>
      <w:r>
        <w:rPr>
          <w:rtl w:val="true"/>
        </w:rPr>
        <w:t>المقصد السابع فی القطع و أحکامه</w:t>
      </w:r>
      <w:bookmarkEnd w:id="9"/>
    </w:p>
    <w:p>
      <w:pPr>
        <w:pStyle w:val="Heading3"/>
        <w:numPr>
          <w:ilvl w:val="2"/>
          <w:numId w:val="1"/>
        </w:numPr>
        <w:rPr/>
      </w:pPr>
      <w:bookmarkStart w:id="10" w:name="__RefHeading___Toc624249_3244359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مقدمة و مباحث</w:t>
      </w:r>
      <w:r>
        <w:rPr>
          <w:rFonts w:eastAsia="IRNazanin" w:cs="IRNazanin"/>
          <w:color w:val="111111"/>
          <w:sz w:val="28"/>
          <w:szCs w:val="28"/>
          <w:rtl w:val="true"/>
          <w:lang w:bidi="fa-IR"/>
        </w:rPr>
        <w:t>:</w:t>
      </w:r>
      <w:bookmarkStart w:id="12" w:name="pg13170_166150"/>
    </w:p>
    <w:p>
      <w:pPr>
        <w:pStyle w:val="Heading3"/>
        <w:numPr>
          <w:ilvl w:val="2"/>
          <w:numId w:val="1"/>
        </w:numPr>
        <w:rPr/>
      </w:pPr>
      <w:bookmarkStart w:id="13" w:name="__RefHeading___Toc624251_3244359995"/>
      <w:bookmarkStart w:id="14" w:name="_Toc5"/>
      <w:bookmarkEnd w:id="12"/>
      <w:bookmarkEnd w:id="13"/>
      <w:r>
        <w:rPr>
          <w:rtl w:val="true"/>
        </w:rPr>
        <w:t>المقدمة</w:t>
      </w:r>
      <w:bookmarkEnd w:id="14"/>
    </w:p>
    <w:p>
      <w:pPr>
        <w:pStyle w:val="Heading4"/>
        <w:numPr>
          <w:ilvl w:val="3"/>
          <w:numId w:val="1"/>
        </w:numPr>
        <w:rPr/>
      </w:pPr>
      <w:bookmarkStart w:id="15" w:name="__RefHeading___Toc624253_324435999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أما المقدمة، فتشتمل علی أمور</w:t>
      </w:r>
      <w:r>
        <w:rPr>
          <w:rFonts w:eastAsia="IRNazanin" w:cs="IRNazanin"/>
          <w:color w:val="111111"/>
          <w:sz w:val="28"/>
          <w:szCs w:val="28"/>
          <w:rtl w:val="true"/>
          <w:lang w:bidi="fa-IR"/>
        </w:rPr>
        <w:t>:</w:t>
      </w:r>
    </w:p>
    <w:p>
      <w:pPr>
        <w:pStyle w:val="Heading4"/>
        <w:numPr>
          <w:ilvl w:val="3"/>
          <w:numId w:val="1"/>
        </w:numPr>
        <w:rPr/>
      </w:pPr>
      <w:bookmarkStart w:id="17" w:name="__RefHeading___Toc624255_3244359995"/>
      <w:bookmarkStart w:id="18" w:name="_Toc7"/>
      <w:bookmarkEnd w:id="17"/>
      <w:r>
        <w:rPr>
          <w:rtl w:val="true"/>
        </w:rPr>
        <w:t>أحدها</w:t>
      </w:r>
      <w:r>
        <w:rPr>
          <w:rtl w:val="true"/>
        </w:rPr>
        <w:t xml:space="preserve">: </w:t>
      </w:r>
      <w:r>
        <w:rPr>
          <w:rtl w:val="true"/>
        </w:rPr>
        <w:t>حول أصولیة مسألة القطع</w:t>
      </w:r>
      <w:bookmarkEnd w:id="18"/>
    </w:p>
    <w:p>
      <w:pPr>
        <w:pStyle w:val="Heading5"/>
        <w:numPr>
          <w:ilvl w:val="4"/>
          <w:numId w:val="1"/>
        </w:numPr>
        <w:rPr/>
      </w:pPr>
      <w:bookmarkStart w:id="19" w:name="__RefHeading___Toc624257_3244359995"/>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فی کون هذه المسألة من المسائل الأصولیة</w:t>
      </w:r>
      <w:r>
        <w:rPr>
          <w:rStyle w:val="FootnoteAnchor"/>
          <w:rtl w:val="true"/>
        </w:rPr>
        <w:footnoteReference w:id="2"/>
      </w:r>
      <w:r>
        <w:rPr>
          <w:rFonts w:ascii="IRNazanin" w:hAnsi="IRNazanin" w:eastAsia="IRNazanin"/>
          <w:color w:val="111111"/>
          <w:sz w:val="28"/>
          <w:sz w:val="28"/>
          <w:szCs w:val="28"/>
          <w:rtl w:val="true"/>
          <w:lang w:bidi="fa-IR"/>
        </w:rPr>
        <w:t xml:space="preserve">و عدمه خلاف </w:t>
      </w:r>
      <w:r>
        <w:rPr>
          <w:rStyle w:val="FootnoteAnchor"/>
          <w:rtl w:val="true"/>
        </w:rPr>
        <w:footnoteReference w:id="3"/>
      </w:r>
      <w:r>
        <w:rPr>
          <w:rFonts w:ascii="IRNazanin" w:hAnsi="IRNazanin" w:eastAsia="IRNazanin"/>
          <w:color w:val="111111"/>
          <w:sz w:val="28"/>
          <w:sz w:val="28"/>
          <w:szCs w:val="28"/>
          <w:rtl w:val="true"/>
          <w:lang w:bidi="fa-IR"/>
        </w:rPr>
        <w:t>، فالأکثر علی الثانی،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تعریفها غیر منطبق علیها، ضرورة أن نتیجة المسألة الأصولیة، هی الواقعة کبری قیاس استنتاج الأحکام الفرعیة، و استنباط الفروع الفقهیة</w:t>
      </w:r>
      <w:r>
        <w:rPr>
          <w:rStyle w:val="FootnoteAnchor"/>
          <w:rtl w:val="true"/>
        </w:rPr>
        <w:footnoteReference w:id="4"/>
      </w:r>
      <w:r>
        <w:rPr>
          <w:rFonts w:ascii="IRNazanin" w:hAnsi="IRNazanin" w:eastAsia="IRNazanin"/>
          <w:color w:val="111111"/>
          <w:sz w:val="28"/>
          <w:sz w:val="28"/>
          <w:szCs w:val="28"/>
          <w:rtl w:val="true"/>
          <w:lang w:bidi="fa-IR"/>
        </w:rPr>
        <w:t>، و إذا کان القطع بالحکم حاصلا، تکون النتیجة حاصلة قبل القیاس و التوسط بالحد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صرح به الشیخ قدس سره </w:t>
      </w:r>
      <w:r>
        <w:rPr>
          <w:rStyle w:val="FootnoteAnchor"/>
          <w:rtl w:val="true"/>
        </w:rPr>
        <w:footnoteReference w:id="5"/>
      </w:r>
      <w:r>
        <w:rPr>
          <w:rFonts w:ascii="IRNazanin" w:hAnsi="IRNazanin" w:eastAsia="IRNazanin"/>
          <w:color w:val="111111"/>
          <w:sz w:val="28"/>
          <w:sz w:val="28"/>
          <w:szCs w:val="28"/>
          <w:rtl w:val="true"/>
          <w:lang w:bidi="fa-IR"/>
        </w:rPr>
        <w:t>و تبعه الأکثر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یترتب علیه حسب ما یظهر منه، عدم صحة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Style w:val="FootnoteAnchor"/>
          <w:rtl w:val="true"/>
        </w:rPr>
        <w:footnoteReference w:id="7"/>
      </w:r>
      <w:r>
        <w:rPr>
          <w:rFonts w:ascii="IRNazanin" w:hAnsi="IRNazanin" w:eastAsia="IRNazanin"/>
          <w:color w:val="111111"/>
          <w:sz w:val="28"/>
          <w:sz w:val="28"/>
          <w:szCs w:val="28"/>
          <w:rtl w:val="true"/>
          <w:lang w:bidi="fa-IR"/>
        </w:rPr>
        <w:t>، لما</w:t>
      </w:r>
    </w:p>
    <w:p>
      <w:pPr>
        <w:pStyle w:val="BookText"/>
        <w:rPr/>
      </w:pPr>
      <w:r>
        <w:rPr>
          <w:rFonts w:ascii="IRNazanin" w:hAnsi="IRNazanin" w:eastAsia="IRNazanin"/>
          <w:color w:val="111111"/>
          <w:sz w:val="28"/>
          <w:sz w:val="28"/>
          <w:szCs w:val="28"/>
          <w:rtl w:val="true"/>
          <w:lang w:bidi="fa-IR"/>
        </w:rPr>
        <w:t>سیأتی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حقیقة الحجة عبارة عن الوسط</w:t>
      </w:r>
      <w:r>
        <w:rPr>
          <w:rStyle w:val="FootnoteAnchor"/>
          <w:rtl w:val="true"/>
        </w:rPr>
        <w:footnoteReference w:id="8"/>
      </w:r>
      <w:r>
        <w:rPr>
          <w:rFonts w:ascii="IRNazanin" w:hAnsi="IRNazanin" w:eastAsia="IRNazanin"/>
          <w:color w:val="111111"/>
          <w:sz w:val="28"/>
          <w:sz w:val="28"/>
          <w:szCs w:val="28"/>
          <w:rtl w:val="true"/>
          <w:lang w:bidi="fa-IR"/>
        </w:rPr>
        <w:t>، و حجیة القطع لا تحتاج إلی الوسط، و لا تقبل قیاسا و شکلا، کما لا یقبل بطلان التناقض قیاسا و شکلا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 الحقیق 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حجیة القطع ذاتا، لیست من الواضحات الغنیة عن البیان، بل سیظهر إنکارها، و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تنالها ید الجعل و التشریع إثباتا و نفیا، و یکون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کحملها علی سائر الأمارات و الأصول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مع ذلک کله، بناء علی تعریف الأصول بما هو المشهور عنهم </w:t>
      </w:r>
      <w:r>
        <w:rPr>
          <w:rStyle w:val="FootnoteAnchor"/>
          <w:rtl w:val="true"/>
        </w:rPr>
        <w:footnoteReference w:id="11"/>
      </w:r>
      <w:r>
        <w:rPr>
          <w:rFonts w:ascii="IRNazanin" w:hAnsi="IRNazanin" w:eastAsia="IRNazanin"/>
          <w:color w:val="111111"/>
          <w:sz w:val="28"/>
          <w:sz w:val="28"/>
          <w:szCs w:val="28"/>
          <w:rtl w:val="true"/>
          <w:lang w:bidi="fa-IR"/>
        </w:rPr>
        <w:t>، لا تکون المسألة المزبورة من المسائل الأصولیة، لعدم وقوع القطع و لا الظن حدا وسطا لإثبات الحکم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من التعریف المزبور، أعم من الکبری المتوسطة لإثبات الحکم، أو لتنجز التکلیف </w:t>
      </w:r>
      <w:r>
        <w:rPr>
          <w:rStyle w:val="FootnoteAnchor"/>
          <w:rtl w:val="true"/>
        </w:rPr>
        <w:footnoteReference w:id="12"/>
      </w:r>
      <w:r>
        <w:rPr>
          <w:rFonts w:ascii="IRNazanin" w:hAnsi="IRNazanin" w:eastAsia="IRNazanin"/>
          <w:color w:val="111111"/>
          <w:sz w:val="28"/>
          <w:sz w:val="28"/>
          <w:szCs w:val="28"/>
          <w:rtl w:val="true"/>
          <w:lang w:bidi="fa-IR"/>
        </w:rPr>
        <w:t>، تکون هذه المسألة من المسائل الأصولیة، مثلا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صلاة الجمعة مما تعلق به القطع، و کل ما تعلق به القطع یکون منجزا، فوجوب الصلاة منجز</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یستنبط من القطع و لا الظن حکم شرعی، بل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حجیتهما مطلقا، أو 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المتوسط لتنجیز الحکم، و لا یعدان وسطا لاستنباط الحکم و استخراجه</w:t>
      </w:r>
      <w:r>
        <w:rPr>
          <w:rFonts w:eastAsia="IRNazanin" w:cs="IRNazanin"/>
          <w:color w:val="111111"/>
          <w:sz w:val="28"/>
          <w:szCs w:val="28"/>
          <w:rtl w:val="true"/>
          <w:lang w:bidi="fa-IR"/>
        </w:rPr>
        <w:t>.</w:t>
      </w:r>
      <w:bookmarkStart w:id="21" w:name="pg13170_166152"/>
    </w:p>
    <w:p>
      <w:pPr>
        <w:pStyle w:val="BookText"/>
        <w:rPr/>
      </w:pPr>
      <w:bookmarkEnd w:id="21"/>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صورة قیاس الاستنباط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وجوب صلاة الجمعة أخبر به الثقة، و کل ما أخبر به الثقة مطابق للواقع، فالوجوب 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تندرج مسألة القطع فی الأصول علی التعریف المزبور، بناء علی عدم حجیته الذاتیّة،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موضوع الأصول هی الحجة فی الفقه </w:t>
      </w:r>
      <w:r>
        <w:rPr>
          <w:rStyle w:val="FootnoteAnchor"/>
          <w:rtl w:val="true"/>
        </w:rPr>
        <w:footnoteReference w:id="13"/>
      </w:r>
      <w:r>
        <w:rPr>
          <w:rFonts w:ascii="IRNazanin" w:hAnsi="IRNazanin" w:eastAsia="IRNazanin"/>
          <w:color w:val="111111"/>
          <w:sz w:val="28"/>
          <w:sz w:val="28"/>
          <w:szCs w:val="28"/>
          <w:rtl w:val="true"/>
          <w:lang w:bidi="fa-IR"/>
        </w:rPr>
        <w:t xml:space="preserve">و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یحتج العقلاء بعضهم علی بعض علی الوجه المحرر فی محله </w:t>
      </w:r>
      <w:r>
        <w:rPr>
          <w:rStyle w:val="FootnoteAnchor"/>
          <w:rtl w:val="true"/>
        </w:rPr>
        <w:footnoteReference w:id="14"/>
      </w:r>
      <w:r>
        <w:rPr>
          <w:rFonts w:ascii="IRNazanin" w:hAnsi="IRNazanin" w:eastAsia="IRNazanin"/>
          <w:color w:val="111111"/>
          <w:sz w:val="28"/>
          <w:sz w:val="28"/>
          <w:szCs w:val="28"/>
          <w:rtl w:val="true"/>
          <w:lang w:bidi="fa-IR"/>
        </w:rPr>
        <w:t>، و لیست هی بمعنی الوسط فی القیاس، و لا المجموع المرکب من الصغری و الکبری، ضرورة أن القطع مما یحتج به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یبتلون به فی مسائلهم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یظهر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ظنوا أن وجه عدم کونها من مباحث الأصول، أنه حجة ذاتا، و قد عرفت أنه لیس حجة ذاتا، کما یأتی تفصیله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و لو کان حجة بالإمضاء، فلا یکون وسطا للاستنباط، کالظن علی الحکومة أو الکشف</w:t>
      </w:r>
      <w:r>
        <w:rPr>
          <w:rFonts w:eastAsia="IRNazanin" w:cs="IRNazanin"/>
          <w:color w:val="111111"/>
          <w:sz w:val="28"/>
          <w:szCs w:val="28"/>
          <w:rtl w:val="true"/>
          <w:lang w:bidi="fa-IR"/>
        </w:rPr>
        <w:t>.</w:t>
      </w:r>
    </w:p>
    <w:p>
      <w:pPr>
        <w:pStyle w:val="Heading5"/>
        <w:numPr>
          <w:ilvl w:val="4"/>
          <w:numId w:val="1"/>
        </w:numPr>
        <w:rPr/>
      </w:pPr>
      <w:bookmarkStart w:id="22" w:name="__RefHeading___Toc624259_3244359995"/>
      <w:bookmarkStart w:id="23" w:name="_Toc9"/>
      <w:bookmarkEnd w:id="22"/>
      <w:r>
        <w:rPr>
          <w:rtl w:val="true"/>
        </w:rPr>
        <w:t>تذنیب</w:t>
      </w:r>
      <w:bookmarkEnd w:id="23"/>
    </w:p>
    <w:p>
      <w:pPr>
        <w:pStyle w:val="BookText"/>
        <w:rPr/>
      </w:pPr>
      <w:r>
        <w:rPr>
          <w:rFonts w:ascii="IRNazanin" w:hAnsi="IRNazanin" w:eastAsia="IRNazanin"/>
          <w:color w:val="111111"/>
          <w:sz w:val="28"/>
          <w:sz w:val="28"/>
          <w:szCs w:val="28"/>
          <w:rtl w:val="true"/>
          <w:lang w:bidi="fa-IR"/>
        </w:rPr>
        <w:t>لا شباهة بین مسألتنا هذه و مسائل علم الکلام، إلا علی وجه یشبه سائر الأمارات المورثة لاستحقاق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الکلام لا ینعقد البحث عن هذه المسألة، و هو یشهد علی أجنبیتها عنه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یشبه المسائل العقلیة و الکلامیة، لأجل کونه صفة من الکیفیات</w:t>
      </w:r>
      <w:bookmarkStart w:id="24" w:name="pg13170_166153"/>
    </w:p>
    <w:p>
      <w:pPr>
        <w:pStyle w:val="BookText"/>
        <w:rPr/>
      </w:pPr>
      <w:bookmarkEnd w:id="24"/>
      <w:r>
        <w:rPr>
          <w:rFonts w:ascii="IRNazanin" w:hAnsi="IRNazanin" w:eastAsia="IRNazanin"/>
          <w:color w:val="111111"/>
          <w:sz w:val="28"/>
          <w:sz w:val="28"/>
          <w:szCs w:val="28"/>
          <w:rtl w:val="true"/>
          <w:lang w:bidi="fa-IR"/>
        </w:rPr>
        <w:t>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الطریقیة أو الموضوعیة، فلا یبحث عنه فی غیر الأصول، و لا سیما بعض مباحثه، کقیامه مقام الأمارات و نحوه، و الأمر سهل</w:t>
      </w:r>
      <w:r>
        <w:rPr>
          <w:rFonts w:eastAsia="IRNazanin" w:cs="IRNazanin"/>
          <w:color w:val="111111"/>
          <w:sz w:val="28"/>
          <w:szCs w:val="28"/>
          <w:rtl w:val="true"/>
          <w:lang w:bidi="fa-IR"/>
        </w:rPr>
        <w:t>.</w:t>
      </w:r>
    </w:p>
    <w:p>
      <w:pPr>
        <w:pStyle w:val="Heading4"/>
        <w:numPr>
          <w:ilvl w:val="3"/>
          <w:numId w:val="1"/>
        </w:numPr>
        <w:rPr/>
      </w:pPr>
      <w:bookmarkStart w:id="25" w:name="__RefHeading___Toc624261_3244359995"/>
      <w:bookmarkStart w:id="26" w:name="_Toc10"/>
      <w:bookmarkEnd w:id="25"/>
      <w:r>
        <w:rPr>
          <w:rtl w:val="true"/>
        </w:rPr>
        <w:t>ثانیها</w:t>
      </w:r>
      <w:r>
        <w:rPr>
          <w:rtl w:val="true"/>
        </w:rPr>
        <w:t xml:space="preserve">: </w:t>
      </w:r>
      <w:r>
        <w:rPr>
          <w:rtl w:val="true"/>
        </w:rPr>
        <w:t>إشارة إلی الخلط بین مباحث القطع و مباحث الظن و الاشتغال</w:t>
      </w:r>
      <w:bookmarkEnd w:id="26"/>
    </w:p>
    <w:p>
      <w:pPr>
        <w:pStyle w:val="BookText"/>
        <w:rPr/>
      </w:pPr>
      <w:r>
        <w:rPr>
          <w:rFonts w:ascii="IRNazanin" w:hAnsi="IRNazanin" w:eastAsia="IRNazanin"/>
          <w:color w:val="111111"/>
          <w:sz w:val="28"/>
          <w:sz w:val="28"/>
          <w:szCs w:val="28"/>
          <w:rtl w:val="true"/>
          <w:lang w:bidi="fa-IR"/>
        </w:rPr>
        <w:t>لا ینبغی الخلط بین مباحث القطع، و مبحث الظن و الاشتغال، فإن ما هو المبحوث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بحوث القطع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بالتکلیف و بروح الإرادة المولویة، و أنه إذا کان الحکم معلوما بحسب الواقع و نفس الأمر، و لا یحتمل الخلاف، هل یکون العلم المزبور قابلا لسلب الحجیة عنه، أم لا؟</w:t>
      </w:r>
    </w:p>
    <w:p>
      <w:pPr>
        <w:pStyle w:val="BookText"/>
        <w:rPr/>
      </w:pPr>
      <w:r>
        <w:rPr>
          <w:rFonts w:ascii="IRNazanin" w:hAnsi="IRNazanin" w:eastAsia="IRNazanin"/>
          <w:color w:val="111111"/>
          <w:sz w:val="28"/>
          <w:sz w:val="28"/>
          <w:szCs w:val="28"/>
          <w:rtl w:val="true"/>
          <w:lang w:bidi="fa-IR"/>
        </w:rPr>
        <w:t>أو إذا تخلف فی صورة العصیان، هل یستتبع العقوبة أم لا؟ کما هو البحث فی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إذا حصل العلم المزبور إجمالا، هل هو کالتفصیلی، أم لا؟</w:t>
      </w:r>
    </w:p>
    <w:p>
      <w:pPr>
        <w:pStyle w:val="BookText"/>
        <w:rPr/>
      </w:pPr>
      <w:r>
        <w:rPr>
          <w:rFonts w:ascii="IRNazanin" w:hAnsi="IRNazanin" w:eastAsia="IRNazanin"/>
          <w:color w:val="111111"/>
          <w:sz w:val="28"/>
          <w:sz w:val="28"/>
          <w:szCs w:val="28"/>
          <w:rtl w:val="true"/>
          <w:lang w:bidi="fa-IR"/>
        </w:rPr>
        <w:t>و فی مباحث الظن ربما یتعلق العلم بالحکم الظاهری، بمعنی قیام الحجة علی الحکم، و هذا العلم لا أثر له، و تشترک معه الحجة القائمة علی الحجة، کقیام الظواهر علی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العلم فی مباحث القطع، أعم من الحکم الواقعی و الظاهری </w:t>
      </w:r>
      <w:r>
        <w:rPr>
          <w:rStyle w:val="FootnoteAnchor"/>
          <w:rtl w:val="true"/>
        </w:rPr>
        <w:footnoteReference w:id="17"/>
      </w:r>
      <w:r>
        <w:rPr>
          <w:rFonts w:ascii="IRNazanin" w:hAnsi="IRNazanin" w:eastAsia="IRNazanin"/>
          <w:color w:val="111111"/>
          <w:sz w:val="28"/>
          <w:sz w:val="28"/>
          <w:szCs w:val="28"/>
          <w:rtl w:val="true"/>
          <w:lang w:bidi="fa-IR"/>
        </w:rPr>
        <w:t>، یکون منشؤه الخلط بین المبحثین، ضرورة أنه فی بحث الظن، لا یکون النّظر إلی تعیین الصغری لبحث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الإجمالی بالحجة، فالبحث عنه موکول إلی مباحث الاشتغال، و یختلف هذا العلم عن ذاک، لإمکان الترخیص علی خلافه هناک، و لا یمکن هنا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ینبغی الخلط بین ما هو المبحوث عنه هنا، و ما هو المبحوث عنه فی</w:t>
      </w:r>
      <w:bookmarkStart w:id="27" w:name="pg13170_166154"/>
    </w:p>
    <w:p>
      <w:pPr>
        <w:pStyle w:val="BookText"/>
        <w:rPr/>
      </w:pPr>
      <w:bookmarkEnd w:id="27"/>
      <w:r>
        <w:rPr>
          <w:rFonts w:ascii="IRNazanin" w:hAnsi="IRNazanin" w:eastAsia="IRNazanin"/>
          <w:color w:val="111111"/>
          <w:sz w:val="28"/>
          <w:sz w:val="28"/>
          <w:szCs w:val="28"/>
          <w:rtl w:val="true"/>
          <w:lang w:bidi="fa-IR"/>
        </w:rPr>
        <w:t xml:space="preserve">مقدمات الانسداد، فإن البحث هنا فی حجیة العلم الإجمالی بالحمل الأولی، من غیر لزوم کون الباحث عالما بشی‌ء أو جاهلا، و فیما یأتی یکون فی الحمل الشائع منه، فلا تخلط، کما یستشم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یتوهم أنه یلحق بهذا العلم و القطع، العلم العادی و الاطمئنان بحسب الأحکام فی الجملة</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قلة القطع بالحکم الواقعی غیر مسموعة، فإن الأحکام الضروریة کثیرة جدا</w:t>
      </w:r>
      <w:r>
        <w:rPr>
          <w:rFonts w:eastAsia="IRNazanin" w:cs="IRNazanin"/>
          <w:color w:val="111111"/>
          <w:sz w:val="28"/>
          <w:szCs w:val="28"/>
          <w:rtl w:val="true"/>
          <w:lang w:bidi="fa-IR"/>
        </w:rPr>
        <w:t>.</w:t>
      </w:r>
    </w:p>
    <w:p>
      <w:pPr>
        <w:pStyle w:val="Heading4"/>
        <w:numPr>
          <w:ilvl w:val="3"/>
          <w:numId w:val="1"/>
        </w:numPr>
        <w:rPr/>
      </w:pPr>
      <w:bookmarkStart w:id="28" w:name="__RefHeading___Toc624263_3244359995"/>
      <w:bookmarkStart w:id="29" w:name="_Toc11"/>
      <w:bookmarkEnd w:id="28"/>
      <w:r>
        <w:rPr>
          <w:rtl w:val="true"/>
        </w:rPr>
        <w:t>ثالثها</w:t>
      </w:r>
      <w:r>
        <w:rPr>
          <w:rtl w:val="true"/>
        </w:rPr>
        <w:t xml:space="preserve">: </w:t>
      </w:r>
      <w:r>
        <w:rPr>
          <w:rtl w:val="true"/>
        </w:rPr>
        <w:t>فی أنه لا وجه لاعتبار قید التکلیف</w:t>
      </w:r>
      <w:bookmarkEnd w:id="29"/>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المسائل الأصولیة، عبارة عن الصناعة الخاصة التی ینالها العقل و العقلاء، و یستعملونها فی مسائلهم العرفیة، و فی القوانین العقلائیة التی تکون لنظام الملک و الأمة فی شتی الجهات، و مختلف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الشریعة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ألفوا تلک المباحث فی محل خاص، و دخلوا فی مباحثها لتنقیحها مستقلة، لکثرة الابتلاء بها، و لدورانها فی شتی الفروع</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معنی لکونها مخصوصة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کذا و کذا، بل لکل أحد التدخل فی هذه البحوث، و بعد ما خرج منها إما یحصل شیئا أم لا، فما تری فی کلمات القوم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المکلف إذا التفت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وضع علیه قلم التکلیف، إذا توجه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کله ناشئ عن الغفلة، فإن لغیر البالغ أیضا الدخول فیها، و ربما کان بعض علمائنا ینظرون فیها قبل بلوغهم، کما یمکن أن یتدخل فیها الکفار</w:t>
      </w:r>
      <w:bookmarkStart w:id="30" w:name="pg13170_166155"/>
    </w:p>
    <w:p>
      <w:pPr>
        <w:pStyle w:val="BookText"/>
        <w:rPr/>
      </w:pPr>
      <w:bookmarkEnd w:id="30"/>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کونهم مکلفین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الأصول ما ینتفع منه جمیع علماء الحقوق، سواء کانوا من علماء الفقه الإسلامی، أو کانوا من علماء الفقه غیر الإسلامی، أو کانوا من علماء فقه العرف و القوانین المشرعة فی مجالس 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کان بعض تلامیذ الأصول، یدرسون عندنا، و یقضون فی المحاکم الظالم أهلها، خذلهم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شابهه بلا وجه، و سیمر علیک زیادة تحقیق فی الأمر الرابع إن شاء اللَّه تعالی</w:t>
      </w:r>
      <w:r>
        <w:rPr>
          <w:rFonts w:eastAsia="IRNazanin" w:cs="IRNazanin"/>
          <w:color w:val="111111"/>
          <w:sz w:val="28"/>
          <w:szCs w:val="28"/>
          <w:rtl w:val="true"/>
          <w:lang w:bidi="fa-IR"/>
        </w:rPr>
        <w:t>.</w:t>
      </w:r>
    </w:p>
    <w:p>
      <w:pPr>
        <w:pStyle w:val="Heading4"/>
        <w:numPr>
          <w:ilvl w:val="3"/>
          <w:numId w:val="1"/>
        </w:numPr>
        <w:rPr/>
      </w:pPr>
      <w:bookmarkStart w:id="31" w:name="__RefHeading___Toc624265_3244359995"/>
      <w:bookmarkStart w:id="32" w:name="_Toc12"/>
      <w:bookmarkEnd w:id="31"/>
      <w:r>
        <w:rPr>
          <w:rtl w:val="true"/>
        </w:rPr>
        <w:t>رابعها</w:t>
      </w:r>
      <w:r>
        <w:rPr>
          <w:rtl w:val="true"/>
        </w:rPr>
        <w:t xml:space="preserve">: </w:t>
      </w:r>
      <w:r>
        <w:rPr>
          <w:rtl w:val="true"/>
        </w:rPr>
        <w:t>فی أن التقسیم إلی القطع و الظن و الشک مجرد عنوان</w:t>
      </w:r>
      <w:bookmarkEnd w:id="32"/>
    </w:p>
    <w:p>
      <w:pPr>
        <w:pStyle w:val="BookText"/>
        <w:rPr/>
      </w:pPr>
      <w:r>
        <w:rPr>
          <w:rFonts w:ascii="IRNazanin" w:hAnsi="IRNazanin" w:eastAsia="IRNazanin"/>
          <w:color w:val="111111"/>
          <w:sz w:val="28"/>
          <w:sz w:val="28"/>
          <w:szCs w:val="28"/>
          <w:rtl w:val="true"/>
          <w:lang w:bidi="fa-IR"/>
        </w:rPr>
        <w:t xml:space="preserve">إن من الأمور المتعارفة بین العقلاء فی ابتداء مقالاتهم و رسائلهم، ذکر عنوان المقالة و الرسالة، و یعبر عنه فی ألسنتهم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ذلک إلی نقل ذهن القارئ إلی ما هو موضوع البحث فیها، من غیر کونه فی مقام إفادة أن الرسالة متضمنة لجمیع أحکامه، بل هو من هذه الجهة ساکت، و له إبهام و إهمال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أمر دارج بین السلف و الخلف، و منهم علماء الفرقة الحقة، فإن النّظر فی ذکر القطع و الظن و الشک بأقسامه، إلی أن هذه الرسائل المختلفة تبحث حول هذه الأمور، و علی هذا لا یجوز ذکر الخصوصیات، فضلا عما هو مورد الاختلاف بینهم فی أحکام هذه الأمور، و لیس هذا من المهم فی البحث، حتی یعتبر الشیخ الأنصاری أمرا</w:t>
      </w:r>
      <w:r>
        <w:rPr>
          <w:rStyle w:val="FootnoteAnchor"/>
          <w:rtl w:val="true"/>
        </w:rPr>
        <w:footnoteReference w:id="22"/>
      </w:r>
      <w:r>
        <w:rPr>
          <w:rFonts w:ascii="IRNazanin" w:hAnsi="IRNazanin" w:eastAsia="IRNazanin"/>
          <w:color w:val="111111"/>
          <w:sz w:val="28"/>
          <w:sz w:val="28"/>
          <w:szCs w:val="28"/>
          <w:rtl w:val="true"/>
          <w:lang w:bidi="fa-IR"/>
        </w:rPr>
        <w:t xml:space="preserve">، و یناقشه من تأخر عنه </w:t>
      </w:r>
      <w:r>
        <w:rPr>
          <w:rStyle w:val="FootnoteAnchor"/>
          <w:rtl w:val="true"/>
        </w:rPr>
        <w:footnoteReference w:id="23"/>
      </w:r>
      <w:r>
        <w:rPr>
          <w:rFonts w:ascii="IRNazanin" w:hAnsi="IRNazanin" w:eastAsia="IRNazanin"/>
          <w:color w:val="111111"/>
          <w:sz w:val="28"/>
          <w:sz w:val="28"/>
          <w:szCs w:val="28"/>
          <w:rtl w:val="true"/>
          <w:lang w:bidi="fa-IR"/>
        </w:rPr>
        <w:t xml:space="preserve">، ثم یدافع عنه الآخرون </w:t>
      </w:r>
      <w:r>
        <w:rPr>
          <w:rStyle w:val="FootnoteAnchor"/>
          <w:rtl w:val="true"/>
        </w:rPr>
        <w:footnoteReference w:id="24"/>
      </w:r>
      <w:r>
        <w:rPr>
          <w:rFonts w:ascii="IRNazanin" w:hAnsi="IRNazanin" w:eastAsia="IRNazanin"/>
          <w:color w:val="111111"/>
          <w:sz w:val="28"/>
          <w:sz w:val="28"/>
          <w:szCs w:val="28"/>
          <w:rtl w:val="true"/>
          <w:lang w:bidi="fa-IR"/>
        </w:rPr>
        <w:t>إلی ما</w:t>
      </w:r>
    </w:p>
    <w:p>
      <w:pPr>
        <w:pStyle w:val="BookText"/>
        <w:rPr/>
      </w:pPr>
      <w:r>
        <w:rPr>
          <w:rFonts w:ascii="IRNazanin" w:hAnsi="IRNazanin" w:eastAsia="IRNazanin"/>
          <w:color w:val="111111"/>
          <w:sz w:val="28"/>
          <w:sz w:val="28"/>
          <w:szCs w:val="28"/>
          <w:rtl w:val="true"/>
          <w:lang w:bidi="fa-IR"/>
        </w:rPr>
        <w:t>لا یمکن أن یرضی الطائفة، لأن هذا الخلاف ناشئ من الخلاف فی أحکام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یتبین سقوط هذا البحث رأسا، و یظهر حسن الإشارة إلی عنوان الرسالة و البحث و المقصد، لیکون الطلبة علی خبرویة إجمالیة بما یطلبونه فیها، و من هنا انتقلوا إلی دراسة الفهارس، فإنها کثیرة النّفع جدا للطالب، و ربما کانت بعض الکتب بدونها غیر قابلة الانتفاع، لأن نیل غرض المؤلف یصعب، بخلاف ما إذا أشیر إلیه بجملة قصیرة،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ثلاثیة التقسیم، و ثنائیة الأقسام، أو وحدانیتها، کلها خروج من المنظور الأصلی فی بیان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لیس عنوانا لمسألة الأمارات العقلائیة</w:t>
      </w:r>
      <w:r>
        <w:rPr>
          <w:rStyle w:val="FootnoteAnchor"/>
          <w:rtl w:val="true"/>
        </w:rPr>
        <w:footnoteReference w:id="25"/>
      </w:r>
      <w:r>
        <w:rPr>
          <w:rFonts w:ascii="IRNazanin" w:hAnsi="IRNazanin" w:eastAsia="IRNazanin"/>
          <w:color w:val="111111"/>
          <w:sz w:val="28"/>
          <w:sz w:val="28"/>
          <w:szCs w:val="28"/>
          <w:rtl w:val="true"/>
          <w:lang w:bidi="fa-IR"/>
        </w:rPr>
        <w:t>، فی غیر محله، لأن الظن النوعیّ و النظامی هو المعبر عن تلک الأمارات، فأخذ الظن إیماء إلی تلک الظنون الخاصة، و رمز لها، و أی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هو رمز للظنون الخاصة النوعیة، رمز للظن الشخصی فی مسألة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لیس ثلاثیا، بل هو أکثر، لأن الشک علی تقدیر عنوان رسالة، و علی آخر عنوان أخری، و تختلف تلک الرسائل حسب الموضوع المزبور، لأجل اختلاف القیود المأخوذة فی الشک،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بحسب حالاتهم و إن تختلف وظائفهم، إلا أن الباحث الأصولی ربما لا یکون موصوفا بتلک الحالات، أو لا ینفعه، و مع ذلک، فیصح بحثه و فحصه، و تحصل له تلک الحالات و المقررات علی التقدیر، کما لا یخفی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الاستصحاب من الأمارات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کذلک البراءة الشرعیة، و لیست من الحجج العرفیة، إلا أن هذا أیضا من الخلط بین ما هو مرام الباحث فی البحث، و بین ما هی الجهة المبحوث عنها، فإن من القوم من یقول بحجیته لأجل البناء العقلائی </w:t>
      </w:r>
      <w:r>
        <w:rPr>
          <w:rStyle w:val="FootnoteAnchor"/>
          <w:rtl w:val="true"/>
        </w:rPr>
        <w:footnoteReference w:id="26"/>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منتهی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لأجل إمضاء الشک و تتمیمه لکشفه الناقص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دلیله عند المتأخرین منحصرا فی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یضر بما هو المرام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التمسک بدلیل شرعی للبراءة، فتأمل،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المجتهد</w:t>
      </w:r>
      <w:r>
        <w:rPr>
          <w:rStyle w:val="FootnoteAnchor"/>
          <w:rtl w:val="true"/>
        </w:rPr>
        <w:footnoteReference w:id="27"/>
      </w:r>
      <w:r>
        <w:rPr>
          <w:rFonts w:ascii="IRNazanin" w:hAnsi="IRNazanin" w:eastAsia="IRNazanin"/>
          <w:color w:val="111111"/>
          <w:sz w:val="28"/>
          <w:sz w:val="28"/>
          <w:szCs w:val="28"/>
          <w:rtl w:val="true"/>
          <w:lang w:bidi="fa-IR"/>
        </w:rPr>
        <w:t>، لیس کما ینبغی، لأنه لیس للاجتهاد خصوصیة، و إن کان الباحث عن تلک المسائل لا بد و أن یکون عارفا بها، و لکنه یمکن أحیانا أن لا یکون مجتهدا حسب الاصطلاح، لعدم اطلاعه علی الفقه کلا، أو لکونه غیر واجد لسائر ما یعتبر فی الاجتهاد اصطلاحا، فلا تخلط</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Style w:val="FootnoteAnchor"/>
          <w:rtl w:val="true"/>
        </w:rPr>
        <w:footnoteReference w:id="28"/>
      </w:r>
      <w:r>
        <w:rPr>
          <w:rFonts w:ascii="IRNazanin" w:hAnsi="IRNazanin" w:eastAsia="IRNazanin"/>
          <w:color w:val="111111"/>
          <w:sz w:val="28"/>
          <w:sz w:val="28"/>
          <w:szCs w:val="28"/>
          <w:rtl w:val="true"/>
          <w:lang w:bidi="fa-IR"/>
        </w:rPr>
        <w:t>، ناشئ عن الغفلة عن أنه لیس بخطاب شخصی، و لا بإیجاب نفسی، بل هو حکم علی عنوان کلی ربما لا یکون خطاب فیه، مثل 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علی یقین فشک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فإن موضوعه أعم، إلا أن إحراز الموضوعیة ربما یکون منوطا ببعض الشرائط، کما لا یخفی</w:t>
      </w:r>
      <w:r>
        <w:rPr>
          <w:rFonts w:eastAsia="IRNazanin" w:cs="IRNazanin"/>
          <w:color w:val="111111"/>
          <w:sz w:val="28"/>
          <w:szCs w:val="28"/>
          <w:rtl w:val="true"/>
          <w:lang w:bidi="fa-IR"/>
        </w:rPr>
        <w:t>.</w:t>
      </w:r>
      <w:bookmarkStart w:id="33" w:name="pg13170_166158"/>
    </w:p>
    <w:p>
      <w:pPr>
        <w:pStyle w:val="Heading4"/>
        <w:numPr>
          <w:ilvl w:val="3"/>
          <w:numId w:val="1"/>
        </w:numPr>
        <w:rPr/>
      </w:pPr>
      <w:bookmarkStart w:id="34" w:name="__RefHeading___Toc624267_3244359995"/>
      <w:bookmarkStart w:id="35" w:name="_Toc13"/>
      <w:bookmarkEnd w:id="33"/>
      <w:bookmarkEnd w:id="34"/>
      <w:r>
        <w:rPr>
          <w:rtl w:val="true"/>
        </w:rPr>
        <w:t>خامسها</w:t>
      </w:r>
      <w:r>
        <w:rPr>
          <w:rtl w:val="true"/>
        </w:rPr>
        <w:t xml:space="preserve">: </w:t>
      </w:r>
      <w:r>
        <w:rPr>
          <w:rtl w:val="true"/>
        </w:rPr>
        <w:t>فی المختار فی تقسیم حالات العاقل</w:t>
      </w:r>
      <w:bookmarkEnd w:id="35"/>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العاقل فی قبال الوظائف الإلهیة و المقررات الشرعیة،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المنفصلة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بین یدیه الطریق القطعی إلیها عرفا و عقلا، أو عرفا محضا، کالعلم العادی و الاطمئنان الّذی یراه العرف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تکون بین یدیه الأمارات العرفیة العقلائیة، أو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جاهلا بالواقع جهلا عن التفات، 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غافلا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أن الغافل و لو کانت غفلته عن قصور، لا یکون خارجا عن عناوین الوظائف العامة الإلهیة، و المقررات الشرعیة، ضرورة أن التکالیف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فیها الوضعیات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العناوین، و لا یختلف فی ذلک حتی المقررات العرفیة و العقلائیة، فجمیع الأصناف بالعناوین الخاصة مورد التکالیف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لا وجه 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لأن الغافل و غیر الملتفت، إذا کان فارغا عن الحجج العقلیة و العقلائیة و الشرعیة، و لم تکن الاحتجاجات موجبة لتنجز التکالیف، یلزم کونه خارجا عن التکلیف، و هذا ضروری البطلان، و لا سیما الغفلة عن تقصیر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فی هذا التقسیم، إلی أن الإنسان إما یکون بین یدیه المنجز العقلی و المؤمن القطعی، أو المنجز و المؤمن العرفی العقلائی، أو الشرعی، و لا خصوصیة للالتفات فی هذا الأمر، بل یلزم کون غیر الملتفت خارجا، و هو غیر صحیح، فعلی هذا لا بد و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الشک التفصیلیّ،</w:t>
      </w:r>
    </w:p>
    <w:p>
      <w:pPr>
        <w:pStyle w:val="BookText"/>
        <w:rPr/>
      </w:pPr>
      <w:r>
        <w:rPr>
          <w:rFonts w:ascii="Amiri" w:hAnsi="Amiri" w:eastAsia="Amiri" w:cs="Amiri"/>
          <w:color w:val="111111"/>
          <w:sz w:val="28"/>
          <w:sz w:val="28"/>
          <w:szCs w:val="28"/>
          <w:rtl w:val="true"/>
          <w:lang w:bidi="ar-SA"/>
        </w:rPr>
        <w:t>و الجهل عن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بالبحث هنا هذه الطوائف الثلاث، و لا یلزم أن یکون الغافل فی محط البحث هنا و لو کان مشمولا للأدلة و العناوین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فی هذا التقسیم مع قید الالتفات، إلی استیعاب الأفراد و العناوین، فعلیه یتوجه الإشکال، ضرورة أن غیر الملتفت و الغافل، لا بد و أن یندرج فی الثلاثة تقدیرا، أو یکون قسما رابعا، و علی کل تقدیر لا بد و أن یکون العنوان المأخوذ فارغا عن قید الالتفات و التوجه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فی قبال المقررات الإلهیة و الوظائف الشرعیة، إما یکون قاطعا بها، أو ما یشبه القطع، کالاطمئنان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بین یدیه القطع و الطریق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فی قبالها بین یدیه الطریق العرفی و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شاکا، أو یکون غافلا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الأصول العملیة موضوعه الشک، و لا بد من عقد بحث آخر للغافلین المستضعفین، أو المقصرین، و حالهم إما ملحقة بحال القاطع، أو الحالة الثانیة، أو الثالثة، فلیتدبر جیدا</w:t>
      </w:r>
      <w:r>
        <w:rPr>
          <w:rFonts w:eastAsia="IRNazanin" w:cs="IRNazanin"/>
          <w:color w:val="111111"/>
          <w:sz w:val="28"/>
          <w:szCs w:val="28"/>
          <w:rtl w:val="true"/>
          <w:lang w:bidi="fa-IR"/>
        </w:rPr>
        <w:t>.</w:t>
      </w:r>
      <w:bookmarkStart w:id="36" w:name="pg13170_166160"/>
    </w:p>
    <w:p>
      <w:pPr>
        <w:pStyle w:val="Heading3"/>
        <w:numPr>
          <w:ilvl w:val="2"/>
          <w:numId w:val="1"/>
        </w:numPr>
        <w:rPr/>
      </w:pPr>
      <w:bookmarkStart w:id="37" w:name="__RefHeading___Toc624269_3244359995"/>
      <w:bookmarkStart w:id="38" w:name="_Toc14"/>
      <w:bookmarkEnd w:id="36"/>
      <w:bookmarkEnd w:id="37"/>
      <w:r>
        <w:rPr>
          <w:rtl w:val="true"/>
        </w:rPr>
        <w:t>المبحث الأول فیما یتعلق بالقطع جعلا و ردعا</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624271_3244359995"/>
      <w:bookmarkStart w:id="40" w:name="_Toc15"/>
      <w:bookmarkEnd w:id="39"/>
      <w:r>
        <w:rPr>
          <w:rtl w:val="true"/>
        </w:rPr>
        <w:t>اشارة</w:t>
      </w:r>
      <w:bookmarkStart w:id="41" w:name="pg13170_166162"/>
      <w:bookmarkEnd w:id="40"/>
    </w:p>
    <w:p>
      <w:pPr>
        <w:pStyle w:val="Heading4"/>
        <w:numPr>
          <w:ilvl w:val="3"/>
          <w:numId w:val="1"/>
        </w:numPr>
        <w:rPr/>
      </w:pPr>
      <w:bookmarkStart w:id="42" w:name="__RefHeading___Toc624273_3244359995"/>
      <w:bookmarkStart w:id="43" w:name="_Toc16"/>
      <w:bookmarkEnd w:id="41"/>
      <w:bookmarkEnd w:id="42"/>
      <w:r>
        <w:rPr>
          <w:rtl w:val="true"/>
        </w:rPr>
        <w:t>تمهید</w:t>
      </w:r>
      <w:bookmarkEnd w:id="43"/>
    </w:p>
    <w:p>
      <w:pPr>
        <w:pStyle w:val="BookText"/>
        <w:rPr/>
      </w:pPr>
      <w:r>
        <w:rPr>
          <w:rFonts w:ascii="IRNazanin" w:hAnsi="IRNazanin" w:eastAsia="IRNazanin"/>
          <w:color w:val="111111"/>
          <w:sz w:val="28"/>
          <w:sz w:val="28"/>
          <w:szCs w:val="28"/>
          <w:rtl w:val="true"/>
          <w:lang w:bidi="fa-IR"/>
        </w:rPr>
        <w:t>لا شبهة فی أن القطع و العلم من الممکنات ذات الماهیة، و له الوجود المجعول تکوینا، کسائر الماهیات حسب المعروف المشهور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المحرر عندنا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الماهیات و المعلومات الذاتیّة و الأولیة، قائمة بالنفس قیام صدور، لا حلول، و هی نفس الماهیة، و العلم إضافة إشراقیة، نحو الوجود المنبسط علی رءوس الأعیان الممکنة، و لیس داخلا فی المقولات بهذه 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نظرنا إلی نفس الماهیة، فهو عین النّظر إلی الماهیة الموجودة فی الأعیان، المرکبة من شی‌ء هو حده، و شی‌ء آخر هو وجوده،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تضر و لا تنفع هذه المسألة فیما یهمنا من البحث فی هذه المسائل، فلا تخلط</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المقصود و الغرض الإشارة إلی ما اشتهر بین أبناء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العلم له وجود و ماهیة، و القطع مرکب و زوج ترکیبی</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فإنه قد اشتهر بین</w:t>
      </w:r>
      <w:bookmarkStart w:id="44" w:name="pg13170_166163"/>
    </w:p>
    <w:p>
      <w:pPr>
        <w:pStyle w:val="BookText"/>
        <w:rPr/>
      </w:pPr>
      <w:bookmarkEnd w:id="44"/>
      <w:r>
        <w:rPr>
          <w:rFonts w:ascii="IRNazanin" w:hAnsi="IRNazanin" w:eastAsia="IRNazanin"/>
          <w:color w:val="111111"/>
          <w:sz w:val="28"/>
          <w:sz w:val="28"/>
          <w:szCs w:val="28"/>
          <w:rtl w:val="true"/>
          <w:lang w:bidi="fa-IR"/>
        </w:rPr>
        <w:t xml:space="preserve">الآخرین </w:t>
      </w:r>
      <w:r>
        <w:rPr>
          <w:rStyle w:val="FootnoteAnchor"/>
          <w:rtl w:val="true"/>
        </w:rPr>
        <w:footnoteReference w:id="35"/>
      </w:r>
      <w:r>
        <w:rPr>
          <w:rFonts w:ascii="IRNazanin" w:hAnsi="IRNazanin" w:eastAsia="IRNazanin"/>
          <w:color w:val="111111"/>
          <w:sz w:val="28"/>
          <w:sz w:val="28"/>
          <w:szCs w:val="28"/>
          <w:rtl w:val="true"/>
          <w:lang w:bidi="fa-IR"/>
        </w:rPr>
        <w:t>، إلا أنه یصح فی لحاظ، و لا یصح فی لحاظ آخر خارج عن أفقهم، و اللَّه 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هذا الأمر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یوصف فی الظاهر بأوصاف الطریقیة، و الکاشفیة، و المنجزیة، و المعذریة، و الحجیة، و حیث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کاشفیته ذاتیة</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منجزیته و حجیته أیضا ذاتیة</w:t>
      </w:r>
      <w:r>
        <w:rPr>
          <w:rStyle w:val="FootnoteAnchor"/>
          <w:rtl w:val="true"/>
        </w:rPr>
        <w:footnoteReference w:id="37"/>
      </w:r>
      <w:r>
        <w:rPr>
          <w:rFonts w:ascii="IRNazanin" w:hAnsi="IRNazanin" w:eastAsia="IRNazanin"/>
          <w:color w:val="111111"/>
          <w:sz w:val="28"/>
          <w:sz w:val="28"/>
          <w:szCs w:val="28"/>
          <w:rtl w:val="true"/>
          <w:lang w:bidi="fa-IR"/>
        </w:rPr>
        <w:t>، لا تنالها ید الجعل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اشتهر</w:t>
      </w:r>
      <w:r>
        <w:rPr>
          <w:rStyle w:val="FootnoteAnchor"/>
          <w:rtl w:val="true"/>
        </w:rPr>
        <w:footnoteReference w:id="39"/>
      </w:r>
      <w:r>
        <w:rPr>
          <w:rFonts w:ascii="IRNazanin" w:hAnsi="IRNazanin" w:eastAsia="IRNazanin"/>
          <w:color w:val="111111"/>
          <w:sz w:val="28"/>
          <w:sz w:val="28"/>
          <w:szCs w:val="28"/>
          <w:rtl w:val="true"/>
          <w:lang w:bidi="fa-IR"/>
        </w:rPr>
        <w:t>، فلا بد من النّظر إلی هذه الأوصاف، حتی یتبین الذاتی من غیر الذاتی فی ضمن جهات</w:t>
      </w:r>
      <w:r>
        <w:rPr>
          <w:rFonts w:eastAsia="IRNazanin" w:cs="IRNazanin"/>
          <w:color w:val="111111"/>
          <w:sz w:val="28"/>
          <w:szCs w:val="28"/>
          <w:rtl w:val="true"/>
          <w:lang w:bidi="fa-IR"/>
        </w:rPr>
        <w:t>:</w:t>
      </w:r>
    </w:p>
    <w:p>
      <w:pPr>
        <w:pStyle w:val="Heading4"/>
        <w:numPr>
          <w:ilvl w:val="3"/>
          <w:numId w:val="1"/>
        </w:numPr>
        <w:rPr/>
      </w:pPr>
      <w:bookmarkStart w:id="45" w:name="__RefHeading___Toc624275_3244359995"/>
      <w:bookmarkStart w:id="46" w:name="_Toc17"/>
      <w:bookmarkEnd w:id="45"/>
      <w:r>
        <w:rPr>
          <w:rtl w:val="true"/>
        </w:rPr>
        <w:t>الجهة الأولی</w:t>
      </w:r>
      <w:r>
        <w:rPr>
          <w:rtl w:val="true"/>
        </w:rPr>
        <w:t xml:space="preserve">: </w:t>
      </w:r>
      <w:r>
        <w:rPr>
          <w:rtl w:val="true"/>
        </w:rPr>
        <w:t>فی عدم ذاتیة الطریقیة و الکاشفیة</w:t>
      </w:r>
      <w:bookmarkEnd w:id="46"/>
    </w:p>
    <w:p>
      <w:pPr>
        <w:pStyle w:val="BookText"/>
        <w:rPr/>
      </w:pPr>
      <w:r>
        <w:rPr>
          <w:rFonts w:ascii="IRNazanin" w:hAnsi="IRNazanin" w:eastAsia="IRNazanin"/>
          <w:color w:val="111111"/>
          <w:sz w:val="28"/>
          <w:sz w:val="28"/>
          <w:szCs w:val="28"/>
          <w:rtl w:val="true"/>
          <w:lang w:bidi="fa-IR"/>
        </w:rPr>
        <w:t>المشهور أن وصف الطریقیة و الکاشفیة، من الأوصاف الذاتیّة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عین القطع، و لیس معنی یوصف به القطع</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القطع هی ماهیته، و هل یعقل أن تکون الماهیة بلا</w:t>
      </w:r>
    </w:p>
    <w:p>
      <w:pPr>
        <w:pStyle w:val="BookText"/>
        <w:rPr/>
      </w:pPr>
      <w:r>
        <w:rPr>
          <w:rFonts w:ascii="IRNazanin" w:hAnsi="IRNazanin" w:eastAsia="IRNazanin"/>
          <w:color w:val="111111"/>
          <w:sz w:val="28"/>
          <w:sz w:val="28"/>
          <w:szCs w:val="28"/>
          <w:rtl w:val="true"/>
          <w:lang w:bidi="fa-IR"/>
        </w:rPr>
        <w:t>عروض الوجود عین النورانیة و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فالکاشفیة تعرضه لأجل عروض الوجود، و إلا فالقطع کیف نفسانی، و من الأعراض، و البسائط الخارجیة جنسها مضمن فی فصلها و بالعکس، و إذا وجد و تحقق فی النّفس یستضاء به، و یترتب علیه أثره، و هو رؤیة المقطوع بالعرض إن کان له مقطوع بالعرض و 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توصیف القطع و العلم بالکاشفیة، إن أرید منه الکشف عن الواقع فهو باطل، لتخلف العلم عنه فی موارد الجهل المرکب، فکیف یکون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منه أن من هو قاطع یری المعلوم بالعرض، و هذا دائمی الحصول، فهو أیضا باطل، لأن من المعلوم ما لا معلوم بالعرض له، و یمتنع أن یکون له، کالقطع بامتناع اجتماع النقیضین، و ارتفاعهما، و هکذا، فلا یکون المعلوم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القطع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موصوفا بالکاشفیة عن شی‌ء، إذ لا شی‌ء وراء القطع المزبور الّذی هو عین 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 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القول بکون القطع تکون الکاشفیة ذاتیة له فی نظر القاطع، غیر تام، لأن الذاتی لا یختلف باختلاف الأنظار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غیر جید، فإن الکاشفیة الدائمیة هی أن یری القاطع المعلوم بالعرض، و هذا دائمی الوجود، إلا أنه ربما تختلف حکایته عن الواقع،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الطریقیة و الکاشفیة لیستا من الأوصاف الدائمیة للقطع و العلم، حتی تکونا ذاتیتین علی الوجه المتراءی منهم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الذاتیّة عنهما، لا یستلزم کونهما من الأمور القابلة لتعلق الجعل التشریعی بهما، کما لا یخفی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الکاشفیة بالمعنی المزبور، و إن لم تکن مثل العلم</w:t>
      </w:r>
      <w:bookmarkStart w:id="47" w:name="pg13170_166165"/>
    </w:p>
    <w:p>
      <w:pPr>
        <w:pStyle w:val="BookText"/>
        <w:rPr/>
      </w:pPr>
      <w:bookmarkEnd w:id="47"/>
      <w:r>
        <w:rPr>
          <w:rFonts w:ascii="IRNazanin" w:hAnsi="IRNazanin" w:eastAsia="IRNazanin"/>
          <w:color w:val="111111"/>
          <w:sz w:val="28"/>
          <w:sz w:val="28"/>
          <w:szCs w:val="28"/>
          <w:rtl w:val="true"/>
          <w:lang w:bidi="fa-IR"/>
        </w:rPr>
        <w:t>الحضوری، کعلم العلة بذاتها و بمعلولاتها، مما لا یتوسط الصورة العلمیة بین العالم و المعلوم بالعرض، و لکنها بمعنی أن کل شی‌ء إذا کان هو نفس العلم، یصح أن ینتزع منه العالمیة و المعلومیة، و الکاشفیة و المکشوفیة عنه، فتکون من الذاتی فی باب البرهان، فلا تنالها ید الجعل تکوینا و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الکاشفیة و الطریقیة، أمرین مجعولین بالجعل التألیفی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حضوریا کان، أم حصولیا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لا تکوینا، و لا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التقدیر الأول یکونان من المنتزعین المجعولین بمجعولیة المنشأ، کالفوقیة و التحتیة، و علی الثانی یکونان من المحمولات الخارجة عن الذات و الذاتی فی باب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الکاشفیة المنتزعة عن الماهیة المعلومة بالذات، لیست من عوارض الماهیة بما هی هی، و التی تنتزع من العلة العالمة بذاتها و بمعلولاتها، تکون منتزعة عن حاق الذات، و عن أصل الوجود بما هو هو، و کل ذلک علی أصالة الوجود</w:t>
      </w:r>
      <w:r>
        <w:rPr>
          <w:rFonts w:eastAsia="IRNazanin" w:cs="IRNazanin"/>
          <w:color w:val="111111"/>
          <w:sz w:val="28"/>
          <w:szCs w:val="28"/>
          <w:rtl w:val="true"/>
          <w:lang w:bidi="fa-IR"/>
        </w:rPr>
        <w:t>.</w:t>
      </w:r>
    </w:p>
    <w:p>
      <w:pPr>
        <w:pStyle w:val="Heading4"/>
        <w:numPr>
          <w:ilvl w:val="3"/>
          <w:numId w:val="1"/>
        </w:numPr>
        <w:rPr/>
      </w:pPr>
      <w:bookmarkStart w:id="48" w:name="__RefHeading___Toc624277_3244359995"/>
      <w:bookmarkStart w:id="49" w:name="_Toc18"/>
      <w:bookmarkEnd w:id="48"/>
      <w:r>
        <w:rPr>
          <w:rtl w:val="true"/>
        </w:rPr>
        <w:t>الجهة الثانیة</w:t>
      </w:r>
      <w:r>
        <w:rPr>
          <w:rtl w:val="true"/>
        </w:rPr>
        <w:t xml:space="preserve">: </w:t>
      </w:r>
      <w:r>
        <w:rPr>
          <w:rtl w:val="true"/>
        </w:rPr>
        <w:t>فی أن الحجیة أمر انتزاعی</w:t>
      </w:r>
      <w:bookmarkEnd w:id="49"/>
    </w:p>
    <w:p>
      <w:pPr>
        <w:pStyle w:val="BookText"/>
        <w:rPr/>
      </w:pPr>
      <w:r>
        <w:rPr>
          <w:rFonts w:ascii="IRNazanin" w:hAnsi="IRNazanin" w:eastAsia="IRNazanin"/>
          <w:color w:val="111111"/>
          <w:sz w:val="28"/>
          <w:sz w:val="28"/>
          <w:szCs w:val="28"/>
          <w:rtl w:val="true"/>
          <w:lang w:bidi="fa-IR"/>
        </w:rPr>
        <w:t>توصیف القطع بالمنجزیة و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الحجیة التی هی إجمال المعذریة و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لمکان کاشفیته عن الواقع ینجز و یعذر، فإنه إذا کان العقل یدرک لزوم التبعیة للواقعیات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باب إطاعة المولی و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انکشف لدیه الواقع، یکون القطع منجزا و معذرا و حجة، لتلک الکاشفیة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الحجیة منتزعة عنه علی نعت خارج المحمول، و لذلک یوصف بها</w:t>
      </w:r>
    </w:p>
    <w:p>
      <w:pPr>
        <w:pStyle w:val="BookText"/>
        <w:rPr/>
      </w:pPr>
      <w:r>
        <w:rPr>
          <w:rFonts w:ascii="IRNazanin" w:hAnsi="IRNazanin" w:eastAsia="IRNazanin"/>
          <w:color w:val="111111"/>
          <w:sz w:val="28"/>
          <w:sz w:val="28"/>
          <w:szCs w:val="28"/>
          <w:rtl w:val="true"/>
          <w:lang w:bidi="fa-IR"/>
        </w:rPr>
        <w:t xml:space="preserve">سائر الأمارات العقلائیة فی الخارج من محیط الشرع، من غیر الحاجة إلی الشرع فی الإمضاء بالضرورة، فإن العقلاء لا یختلف عندهم القطع و غیره فی هذه الجهة بالضرورة، و لیس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علی سائر الأمارات، من باب التنزیل و الادعاء، کما قد یتخیل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هذه الأوصاف الانتزاعیة مشترکة فیها جمیع الطرق العقلیة و العرفیة، و یکون من المحرر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انتزاع العنوان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کالحجیة و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المختلفة غیر ممکن، إلا لأجل اشتراکها فی جهة جامعة هی منشأ الانتزاع واقعا</w:t>
      </w:r>
      <w:r>
        <w:rPr>
          <w:rStyle w:val="FootnoteAnchor"/>
          <w:rtl w:val="true"/>
        </w:rPr>
        <w:footnoteReference w:id="45"/>
      </w:r>
      <w:r>
        <w:rPr>
          <w:rFonts w:ascii="IRNazanin" w:hAnsi="IRNazanin" w:eastAsia="IRNazanin"/>
          <w:color w:val="111111"/>
          <w:sz w:val="28"/>
          <w:sz w:val="28"/>
          <w:szCs w:val="28"/>
          <w:rtl w:val="true"/>
          <w:lang w:bidi="fa-IR"/>
        </w:rPr>
        <w:t>، فکما أن الزوجیة لا تنتزع عن الأربعة بما هی هی، بل هی منتزعة عن القابل للقسمة إلی المتساویین فی الکم المنفصل، ضرورة انتزاعها من الستة و العشرة، کذلک الحجیة لا تنتزع عن القطع بنا هو هو، بل هی منتزعة عما هو المشترک بینه و بین سائر الأمارات، و هی المرآتیة عن الواقع نوعا، أو کلا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الانتزاعیة لیست مندرجة فی المقولات، لانتزاع العناوین الکثیرة عن الذات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تکون الانتزاعیات من الخارج المحمول، لانتزاع الخالقیة و الرازقیة من ذاته تعالی باعتبار قیام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فالحجیة لیست من الذاتیات فی باب الإیساغوجی بالضرورة، و لا فی باب البرهان بالنسبة إلی القطع و سائر الأمارات، حتی لا یکون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أن یکون له العلة المفیضة للوجود خارجا، لأنه أمر ذهنی لا خارجیة له، نظیر انتزاع الخالقیة و المنعمیة و الرازقیة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کون شی‌ء ذاتیا حسب مصطلحات القوم، و بین</w:t>
      </w:r>
    </w:p>
    <w:p>
      <w:pPr>
        <w:pStyle w:val="BookText"/>
        <w:rPr/>
      </w:pPr>
      <w:r>
        <w:rPr>
          <w:rFonts w:ascii="IRNazanin" w:hAnsi="IRNazanin" w:eastAsia="IRNazanin"/>
          <w:color w:val="111111"/>
          <w:sz w:val="28"/>
          <w:sz w:val="28"/>
          <w:szCs w:val="28"/>
          <w:rtl w:val="true"/>
          <w:lang w:bidi="fa-IR"/>
        </w:rPr>
        <w:t>کون شی‌ء غیر محتاج إلی الجعل الخارجی، لکونه دون الجعل، ضرورة أن الحجیة و المعذریة لیست داخلة فی المقولات، و لا تکون من دار الوجود، بل هی من خلاقیة النّفس عند قیاس شی‌ء إلی شی‌ء، أو عند إدراک أمر، کلزوم الإطاعة، و إدراک انکشاف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کالزوجیة، فکما أنها تدرک عقیب إدراک القسمة إلی المتساویین، و لا تکون من لوازم ذات الأربعة بما هی أربعة، کذلک الحجیة، و کما أنها لا تنالها ید الجعل تکوینا زائدا علی أصل جعل الأربعة، کذلک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قدمناه فی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التوطئة للبحث الآتی، و تمکین الباحثین من إمکان التدخل فی نفی الحجیة و سلبها عن القطع، کما یمکن سلبها عن سائر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تمتاز عن الزوجیة و الإمکان بالنسبة إلی ماهیة الإنسان، و غیر ذلک من اللوازم الإدراکیة وراء الماهیات، فافهم و 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أنها لیست من الذاتی فی کلا البابین حتی یمتنع سلبها، فلو لا المحاذیر الاخر الآتیة، لا یکون هذا الأمر محذورا فی سلبها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الحجیة للقطع و سائر الطرق لیست ذاتی باب الإیساغوجی، إلا أنها ذاتی باب البرهان </w:t>
      </w:r>
      <w:r>
        <w:rPr>
          <w:rStyle w:val="FootnoteAnchor"/>
          <w:rtl w:val="true"/>
        </w:rPr>
        <w:footnoteReference w:id="46"/>
      </w:r>
      <w:r>
        <w:rPr>
          <w:rFonts w:ascii="IRNazanin" w:hAnsi="IRNazanin" w:eastAsia="IRNazanin"/>
          <w:color w:val="111111"/>
          <w:sz w:val="28"/>
          <w:sz w:val="28"/>
          <w:szCs w:val="28"/>
          <w:rtl w:val="true"/>
          <w:lang w:bidi="fa-IR"/>
        </w:rPr>
        <w:t xml:space="preserve">،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البرهان، ما ینتزع عن صراح الذات، أو عن الذات بلحاظ الأمر الآخر، بشرط أن لا یکون من الضمائم الزائدة علی الذات، فإنه عندئذ یکون محمولا بالضمیمة، و الحجیة و إن کانت هی مشترکة بین الأمارات کلا فی محیط العقلاء، إلا أنها تنتزع بلحاظ لیس زائدا علی ذات القطع، و لا سائر الأمارات، فلا یمکن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عدم إمکان السلب بالنسبة إلی سائر الأمارات، و هذا مما لا یلتزم به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الجهة المشترکة لانتزاع الحجیة، هی أصل الکشف المشترک بین</w:t>
      </w:r>
      <w:bookmarkStart w:id="50" w:name="pg13170_166168"/>
    </w:p>
    <w:p>
      <w:pPr>
        <w:pStyle w:val="BookText"/>
        <w:rPr/>
      </w:pPr>
      <w:bookmarkEnd w:id="50"/>
      <w:r>
        <w:rPr>
          <w:rFonts w:ascii="IRNazanin" w:hAnsi="IRNazanin" w:eastAsia="IRNazanin"/>
          <w:color w:val="111111"/>
          <w:sz w:val="28"/>
          <w:sz w:val="28"/>
          <w:szCs w:val="28"/>
          <w:rtl w:val="true"/>
          <w:lang w:bidi="fa-IR"/>
        </w:rPr>
        <w:t>الکل، و أما الرتبة الشدیدة أو الأشد، فلا تکون دخیلة فی اتصاف الحجیة بکونها ذاتیة الحجیة عن کونها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أن المنجزیة و المعذریة و الحجیة من الأمور الانتزاعیة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تنتزع عن مطلق العلم بالواقعیات، مثلا العلم بأن الجسم مرکب من المادة و الهیولی، لیس ینتزع منه هذه الأمور، فیکون انتزاعها من مقایسة انکشاف الواقع فی المسائل المخصوصة إلی درک لزوم الإطاعة، و درک قبح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انتزاعیتها عنه بعد المقایسة المزبورة قهری، و لا تنالها ید الجعل التکوینی التألیفی إلا باعتبار تعلق الجعل البسیط بمناشئها، فتکون هی مخلوقة النّفس عند حصول تلک المواد و الإدراکات الخاصة، فافهم و اغتنم</w:t>
      </w:r>
      <w:r>
        <w:rPr>
          <w:rFonts w:eastAsia="IRNazanin" w:cs="IRNazanin"/>
          <w:color w:val="111111"/>
          <w:sz w:val="28"/>
          <w:szCs w:val="28"/>
          <w:rtl w:val="true"/>
          <w:lang w:bidi="fa-IR"/>
        </w:rPr>
        <w:t>.</w:t>
      </w:r>
    </w:p>
    <w:p>
      <w:pPr>
        <w:pStyle w:val="Heading4"/>
        <w:numPr>
          <w:ilvl w:val="3"/>
          <w:numId w:val="1"/>
        </w:numPr>
        <w:rPr/>
      </w:pPr>
      <w:bookmarkStart w:id="51" w:name="__RefHeading___Toc624279_3244359995"/>
      <w:bookmarkStart w:id="52" w:name="_Toc19"/>
      <w:bookmarkEnd w:id="51"/>
      <w:r>
        <w:rPr>
          <w:rtl w:val="true"/>
        </w:rPr>
        <w:t>الجهة الثالثة</w:t>
      </w:r>
      <w:r>
        <w:rPr>
          <w:rtl w:val="true"/>
        </w:rPr>
        <w:t xml:space="preserve">: </w:t>
      </w:r>
      <w:r>
        <w:rPr>
          <w:rtl w:val="true"/>
        </w:rPr>
        <w:t>فی اتصاف الاحتمال أحیانا بالحجیة</w:t>
      </w:r>
      <w:bookmarkEnd w:id="52"/>
    </w:p>
    <w:p>
      <w:pPr>
        <w:pStyle w:val="Heading5"/>
        <w:numPr>
          <w:ilvl w:val="4"/>
          <w:numId w:val="1"/>
        </w:numPr>
        <w:rPr/>
      </w:pPr>
      <w:bookmarkStart w:id="53" w:name="__RefHeading___Toc624281_3244359995"/>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المنجزیة و الحجیة کما تکون من أوصاف الکواشف العقلیة و العقلائیة، یوصف بها الاحتمال، کما فی الشبهات قبل الفحص، و المهتم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تدخل الشرع فی تلک الشبهات بالترخیص و الارتکاب، لا یوصف الاحتمال بها، و لو لم یرخص الشرع بارتکاب فعل خاص مثلا یکون الاحتمال منجزا، فسعة مصادیق هذه العناوین و ضیقها، دائرة مدار حدود مداخلة الشرع نفیا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الحجیة و أخواتها لیست إلا معنی إثباتیا، و تنالها ید الجعل استقلالا</w:t>
      </w:r>
      <w:r>
        <w:rPr>
          <w:rFonts w:eastAsia="IRNazanin" w:cs="IRNazanin"/>
          <w:color w:val="111111"/>
          <w:sz w:val="28"/>
          <w:szCs w:val="28"/>
          <w:rtl w:val="true"/>
          <w:lang w:bidi="fa-IR"/>
        </w:rPr>
        <w:t>.</w:t>
      </w:r>
    </w:p>
    <w:p>
      <w:pPr>
        <w:pStyle w:val="Heading5"/>
        <w:numPr>
          <w:ilvl w:val="4"/>
          <w:numId w:val="1"/>
        </w:numPr>
        <w:rPr/>
      </w:pPr>
      <w:bookmarkStart w:id="55" w:name="__RefHeading___Toc624283_3244359995"/>
      <w:bookmarkStart w:id="56" w:name="_Toc21"/>
      <w:bookmarkEnd w:id="55"/>
      <w:r>
        <w:rPr>
          <w:rtl w:val="true"/>
        </w:rPr>
        <w:t>إمکان سلب حجیة القطع و إمکان الردع عن العمل به</w:t>
      </w:r>
      <w:bookmarkEnd w:id="5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یقع البحث فی تجویز سلب الحجیة عن القطع، و الردع عنه، و تحریم العمل علی طبقه، أو عدم إیجاب العمل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ذلک هو المنع</w:t>
      </w:r>
    </w:p>
    <w:p>
      <w:pPr>
        <w:pStyle w:val="BookText"/>
        <w:rPr/>
      </w:pPr>
      <w:r>
        <w:rPr>
          <w:rFonts w:ascii="IRNazanin" w:hAnsi="IRNazanin" w:eastAsia="IRNazanin"/>
          <w:color w:val="111111"/>
          <w:sz w:val="28"/>
          <w:sz w:val="28"/>
          <w:szCs w:val="28"/>
          <w:rtl w:val="true"/>
          <w:lang w:bidi="fa-IR"/>
        </w:rPr>
        <w:t xml:space="preserve">عن لزوم اتباعه، بمعنی عدم کونه عذرا و لا منجزا، فقد اشتهر بینهم امتناع ذلک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یقع مورد البحث 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المعذریة و الحجیة، هل یمکن سلبها عن القطع و لو فی الجملة، أم لا؟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الردع عن تبعیة المقطوع به یمکن أم لا؟</w:t>
      </w:r>
    </w:p>
    <w:p>
      <w:pPr>
        <w:pStyle w:val="BookText"/>
        <w:rPr/>
      </w:pPr>
      <w:r>
        <w:rPr>
          <w:rFonts w:ascii="IRNazanin" w:hAnsi="IRNazanin" w:eastAsia="IRNazanin"/>
          <w:color w:val="111111"/>
          <w:sz w:val="28"/>
          <w:sz w:val="28"/>
          <w:szCs w:val="28"/>
          <w:rtl w:val="true"/>
          <w:lang w:bidi="fa-IR"/>
        </w:rPr>
        <w:t>و لا ینبغی الخلط بین المسألتین، کما یظهر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إمکان سلب الحجیة و لو فی الجملة عن القطع، و سلب المعذریة عنه، و ذلک لأن معذریة القطع تشبه معذریة السهو و النسیان و الغفلة، بل و الاضطرار و الإکراه و الإجبار فی بعض الموضوعات، فکما یمکن أن یعلن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السهو الکذائی و الغفلة الکذائیة الحاصلة بالمبادئ العمدیة، لیست عذرا عندی، و أن الاضطرار و الإکراه الحاصلین بالمبادئ العمدیة و القصدیة، لیسا عذرا و حجة، فإذا ابتلی المکلف بهذه الأمور، و إن لم یتمکن المولی من توجیه الخطاب إلیهم فرضا، کما هو کذلک بناء علی الخطابات الشخصیة، و لکنها لا تعد عذرا، و یکون العبد مستحق العقوبة، و لا یورث سقوط الهیئة الناشئ من سوء السریرة صحة الاعتذار بها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للمولی أن یعلن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الحاصل من خبر الثقة، أو الحاصل من الأسباب الکذائیة، أو الحاصل من الارتیاضات النفسانیّة بالنسبة إلی الأحکام الإلهیة، لیس عذرا، فإذا کان العبد عارفا بهذا القانون، و عالما بلزوم تبعیة المولی فی الأحکام الواقعیة إطاعة، و یدرک قبح العصیان و مخالفته، فلا بد أن یدرک ممنوعیة تطرق سبیل ینتهی إلی حصول القطع بها، حذرا من ذلک، فإن القاطع قبل أن یحصل</w:t>
      </w:r>
    </w:p>
    <w:p>
      <w:pPr>
        <w:pStyle w:val="BookText"/>
        <w:rPr/>
      </w:pPr>
      <w:r>
        <w:rPr>
          <w:rFonts w:ascii="IRNazanin" w:hAnsi="IRNazanin" w:eastAsia="IRNazanin"/>
          <w:color w:val="111111"/>
          <w:sz w:val="28"/>
          <w:sz w:val="28"/>
          <w:szCs w:val="28"/>
          <w:rtl w:val="true"/>
          <w:lang w:bidi="fa-IR"/>
        </w:rPr>
        <w:t>القطع، یجد تخلف کثیر من الأقطاع و العلوم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اتفق له القطع بذلک الحکم، فلا یتمکن المولی من منعه بعد حصول قطعه، کما سیأتی تحریره فی المسألة الآتیة، و لا هو نفسه، لما یری الواقع فی خصوص قطعه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بحسب الواقع، لا یکون معذورا إذا تخلف عن الواقع، فهو حین القطع یجب علیه تبعیة المقطوع به، کما أن المضطر إلی الجیفة بعد الاضطرار، یجب علیه أکل الجیفة، و مع ذلک یعاقب علی واجبه العقلی، و المکره علی شرب الخمر إذا تعمد فی حصول الإکراه، فحین الإکراه لا یمکن ردعه، أی منعه عن المکره علیه بالضرورة، لأن حفظ النّفس واجب، و لکن یستحق العقوبة، لأنه بالاختیار امتنع الأمر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القطع، یمکن منع المعذریة عنه فی هذا الفرض، فإن مجرد الکاشفیة عن الواقع لا یلازم ذلک، ضرورة إمکان توصل المولی إلی منع معذریته بمنع السبیل المنتهی إلی القطع بالحکم، و نتیجة ذلک جواز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تجویز التجری فی حد تجویز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حواشی العلامة الأصفهانی قدس سره </w:t>
      </w:r>
      <w:r>
        <w:rPr>
          <w:rStyle w:val="FootnoteAnchor"/>
          <w:rtl w:val="true"/>
        </w:rPr>
        <w:footnoteReference w:id="48"/>
      </w:r>
      <w:r>
        <w:rPr>
          <w:rFonts w:ascii="IRNazanin" w:hAnsi="IRNazanin" w:eastAsia="IRNazanin"/>
          <w:color w:val="111111"/>
          <w:sz w:val="28"/>
          <w:sz w:val="28"/>
          <w:szCs w:val="28"/>
          <w:rtl w:val="true"/>
          <w:lang w:bidi="fa-IR"/>
        </w:rPr>
        <w:t>ففی غیر محله، لما سیأتی من إمکان ذلک لعروض العناوین الاخر، و عند المقتضیات الاخر</w:t>
      </w:r>
      <w:r>
        <w:rPr>
          <w:rStyle w:val="FootnoteAnchor"/>
          <w:rtl w:val="true"/>
        </w:rPr>
        <w:footnoteReference w:id="49"/>
      </w:r>
      <w:r>
        <w:rPr>
          <w:rFonts w:ascii="IRNazanin" w:hAnsi="IRNazanin" w:eastAsia="IRNazanin"/>
          <w:color w:val="111111"/>
          <w:sz w:val="28"/>
          <w:sz w:val="28"/>
          <w:szCs w:val="28"/>
          <w:rtl w:val="true"/>
          <w:lang w:bidi="fa-IR"/>
        </w:rPr>
        <w:t>، بخلاف العصیان، فإنه یلزم من تجویزه انتفاء موضوعه، و هو خلف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إمکان منع حجیة القطع و معذریته فی الجملة، من غیر رجوعه إلی تقیید موضوع الحکم بقید، حتی یلزم الخلف، ضرورة أنه جائز واضح، کما سنشیر إلیه فی ابتداء المسألة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ذکرناه فی هذه المسألة مما یشیر إلیه بعضهم، کالشیخ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أوائل مسألة القطع </w:t>
      </w:r>
      <w:r>
        <w:rPr>
          <w:rStyle w:val="FootnoteAnchor"/>
          <w:rtl w:val="true"/>
        </w:rPr>
        <w:footnoteReference w:id="51"/>
      </w:r>
      <w:r>
        <w:rPr>
          <w:rFonts w:ascii="IRNazanin" w:hAnsi="IRNazanin" w:eastAsia="IRNazanin"/>
          <w:color w:val="111111"/>
          <w:sz w:val="28"/>
          <w:sz w:val="28"/>
          <w:szCs w:val="28"/>
          <w:rtl w:val="true"/>
          <w:lang w:bidi="fa-IR"/>
        </w:rPr>
        <w:t>، و الّذی کان یهمنا هو التفکیک بین مسألة ردع القطع عن المعذریة، و بین المسألة الآتیة إن شاء اللَّه تعالی، و قد ابتلی بعض منهم بالخلط</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یترتب جواز نفی عذریة قطع الوسواس و القطاع و غیرهما،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المعروف بین الأخباریین و الأصولیین </w:t>
      </w:r>
      <w:r>
        <w:rPr>
          <w:rStyle w:val="FootnoteAnchor"/>
          <w:rtl w:val="true"/>
        </w:rPr>
        <w:footnoteReference w:id="54"/>
      </w:r>
      <w:r>
        <w:rPr>
          <w:rFonts w:ascii="IRNazanin" w:hAnsi="IRNazanin" w:eastAsia="IRNazanin"/>
          <w:color w:val="111111"/>
          <w:sz w:val="28"/>
          <w:sz w:val="28"/>
          <w:szCs w:val="28"/>
          <w:rtl w:val="true"/>
          <w:lang w:bidi="fa-IR"/>
        </w:rPr>
        <w:t>قابل للطرح، لأن من المحتمل أن یکون مرادهم من نفی حجیة القطع الحاصل من غیر الکتاب و السنة، نفی معذریته فی صورة الخطأ، و لعل مقتضی إطلاق کلام الأصولیین کلا، أیضا عدم معذریة الجهل المرکب التقصیری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ظهر یتبین أیضا فساد قول العلامة النائینی رحمه اللَّه من المناقشة فی هذه المسألة</w:t>
      </w:r>
      <w:r>
        <w:rPr>
          <w:rStyle w:val="FootnoteAnchor"/>
          <w:rtl w:val="true"/>
        </w:rPr>
        <w:footnoteReference w:id="5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حول إمکان ردع الشرع عن اتباع المقطوع به حین القطع، فالمشهور المقطوع به فی کلماتهم امتناعه </w:t>
      </w:r>
      <w:r>
        <w:rPr>
          <w:rStyle w:val="FootnoteAnchor"/>
          <w:rtl w:val="true"/>
        </w:rPr>
        <w:footnoteReference w:id="56"/>
      </w:r>
      <w:r>
        <w:rPr>
          <w:rFonts w:ascii="IRNazanin" w:hAnsi="IRNazanin" w:eastAsia="IRNazanin"/>
          <w:color w:val="111111"/>
          <w:sz w:val="28"/>
          <w:sz w:val="28"/>
          <w:szCs w:val="28"/>
          <w:rtl w:val="true"/>
          <w:lang w:bidi="fa-IR"/>
        </w:rPr>
        <w:t>، معللین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بلزوم اجتماع الضدین اعتقادا مطلقا، و حقیقة فی صورة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محله من أن التضاد الاصطلاحی، ممنوع بین الأحکام کلا، بل لا یلزم اجتماع الحکمین فی محل واحد، لأن التحریم متعلق بالخمر، و التحلیل</w:t>
      </w:r>
    </w:p>
    <w:p>
      <w:pPr>
        <w:pStyle w:val="BookText"/>
        <w:rPr/>
      </w:pPr>
      <w:r>
        <w:rPr>
          <w:rFonts w:ascii="IRNazanin" w:hAnsi="IRNazanin" w:eastAsia="IRNazanin"/>
          <w:color w:val="111111"/>
          <w:sz w:val="28"/>
          <w:sz w:val="28"/>
          <w:szCs w:val="28"/>
          <w:rtl w:val="true"/>
          <w:lang w:bidi="fa-IR"/>
        </w:rPr>
        <w:t xml:space="preserve">ینتهی إلی تجویز فعل الشرب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یلزم المناقضة فی الإرادة، ضرورة أن مفروض الکلام هو ما إذا کان دلیل حرمة الخمر له الإطلاق، و یکون موضوع الحرام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تقیید بشی‌ء، ضرورة أنه إذا کان الخمر المقطوع بها حلالا یلزم الخلف، و هو أمر غیر سائغ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محط البحث صورة کون موضوع الحکم ذات الخمر، و کان لدلیل حرمتها الإطلاق، فإنه من ضم الصغری الوجدانیة إلی الکبری الشرعیة المقطوع بها، یحصل العلم بحرمة الخمر الموجودة بین یدیک، فلو رخص الشرع فی شربها، فإما یکون ترخیصا إنشائیا فهو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ترخیصا جدیا فلا بد من التصرف فی الکبری، أو الصغری، و أما مع انحفاظهما علی حالیهما فیلزم اجتماع الإرادتین المتنافیتین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الزجر، و إرادة الترخیص، مع وحدة الموضوع، فالشارع بشارعیته لا یتمکن من أن یکون مجدا فی التحریم و التحلیل بالضرورة، سواء تعلق التحلیل بالخمر، أو تعلق بترک العمل بالقطع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اشتهر من لزوم التناقض </w:t>
      </w:r>
      <w:r>
        <w:rPr>
          <w:rStyle w:val="FootnoteAnchor"/>
          <w:rtl w:val="true"/>
        </w:rPr>
        <w:footnoteReference w:id="59"/>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تحلیل المخالفة فی صورة الإصابة، یلزم انتفاء تحریم الخمر، مع أن المفروض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الاستحالة مستندة إلی الأمر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امتناع اجتماع إرادة التحلیل مع التحریم، فتدبر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تعلق الردع بالصغری، أی بالمناقشة فیها، فإنه و إن یمکن زوال القطع بها، إلا أنه أیضا خروج من حریم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فی مسألة القطع، زاویة من الإشکالات فی بحث الظن حول مشکلة ابن قبة</w:t>
      </w:r>
      <w:r>
        <w:rPr>
          <w:rStyle w:val="FootnoteAnchor"/>
          <w:rtl w:val="true"/>
        </w:rPr>
        <w:footnoteReference w:id="60"/>
      </w:r>
      <w:r>
        <w:rPr>
          <w:rFonts w:ascii="IRNazanin" w:hAnsi="IRNazanin" w:eastAsia="IRNazanin"/>
          <w:color w:val="111111"/>
          <w:sz w:val="28"/>
          <w:sz w:val="28"/>
          <w:szCs w:val="28"/>
          <w:rtl w:val="true"/>
          <w:lang w:bidi="fa-IR"/>
        </w:rPr>
        <w:t>، فإن ترخیص الطریق المؤدی إلی خلاف الواقع، یستلزم المشاکل، و المنع عن الطریق الواصل فیما نحن فیه، أیضا ینتهی إلی المعضلات فی ناحیة الحب و البغض، و المصلحة و المفسدة، و البعث، و الإرادة، و غیر ذلک مما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توهم انتقاض ما نحن فیه، بردع الشرع عن الظن القیاسی علی الحکومة فی باب الانسداد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تقریب الشبهة یتم إذا کان الطریق منحصرا بالظن القیاسی، و إلا فمع إمکان الظنون الخاصة لا یلزم إشکال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مورد القطع فلا یعقل الردع ذاتا،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فی ذاته یقبل الردع، بخلاف القطع، و فی باب الانسداد یکون المردوع حصة من الظن، لا المطلق منه، فمن ثم علی تقدیر تمامیة مقدمات الانسداد لا یمکن الردع عن الظن، لحکم العقل بلزوم اتباعه،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المعذریة فی البحث السابق، لا یستلزم الإشکال جدا، و قد صرح بإمکانه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اطلعت علیه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العراقی قدس سره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نفی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بتجویز مخالفة القطع فی فرض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فیستلزم امتناع حصول الإرادة الجدیدة لتحلیل ما هو مورد التحریم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فرض عدم الإصابة، لا یمکن أن یصل المولی إلی مقصوده من الأمر بمخالفة القطع، لأن القاطع دائم الخلاف بالنسبة إلی الأمر المزبور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ترخیص المخالفة لا یتوقف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من</w:t>
      </w:r>
    </w:p>
    <w:p>
      <w:pPr>
        <w:pStyle w:val="BookText"/>
        <w:rPr/>
      </w:pPr>
      <w:r>
        <w:rPr>
          <w:rFonts w:ascii="IRNazanin" w:hAnsi="IRNazanin" w:eastAsia="IRNazanin"/>
          <w:color w:val="111111"/>
          <w:sz w:val="28"/>
          <w:sz w:val="28"/>
          <w:szCs w:val="28"/>
          <w:rtl w:val="true"/>
          <w:lang w:bidi="fa-IR"/>
        </w:rPr>
        <w:t xml:space="preserve">الممکن أن یخالف القاطع قطعه تجریا، فیکون المولی واصلا إلی مقصوده بعد ما لم یکن عبادیا، و سیأتی ما هو الحجر الأساس فی محله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الترخیص یلازم تجویز التجری، و هو فی حد تجویز العصیان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محله، کما مر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وقوع التناقض فی نفس القاطع </w:t>
      </w:r>
      <w:r>
        <w:rPr>
          <w:rStyle w:val="FootnoteAnchor"/>
          <w:rtl w:val="true"/>
        </w:rPr>
        <w:footnoteReference w:id="65"/>
      </w:r>
      <w:r>
        <w:rPr>
          <w:rFonts w:ascii="IRNazanin" w:hAnsi="IRNazanin" w:eastAsia="IRNazanin"/>
          <w:color w:val="111111"/>
          <w:sz w:val="28"/>
          <w:sz w:val="28"/>
          <w:szCs w:val="28"/>
          <w:rtl w:val="true"/>
          <w:lang w:bidi="fa-IR"/>
        </w:rPr>
        <w:t>لا یضر بشی‌ء من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أن یکون القاطع قاطعا بحکم الخمر، و خمریة ما عنده، و قائمة عنده الأمارة الظنیة علی جواز مخالفة القطع، فإنه حینئذ لا یلزم تناقض فی نفسه،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خروج عن محط الکلام </w:t>
      </w:r>
      <w:r>
        <w:rPr>
          <w:rStyle w:val="FootnoteAnchor"/>
          <w:rtl w:val="true"/>
        </w:rPr>
        <w:footnoteReference w:id="66"/>
      </w:r>
      <w:r>
        <w:rPr>
          <w:rFonts w:ascii="IRNazanin" w:hAnsi="IRNazanin" w:eastAsia="IRNazanin"/>
          <w:color w:val="111111"/>
          <w:sz w:val="28"/>
          <w:sz w:val="28"/>
          <w:szCs w:val="28"/>
          <w:rtl w:val="true"/>
          <w:lang w:bidi="fa-IR"/>
        </w:rPr>
        <w:t>غیر جائز، لأن البحث حول إمکان سلب منجزیة العلم و القطع بعد وجوده، إذا کان تعلق بالحکم الشرعی و موضوعه، لا بجمیع ما یرتبط بالمسألة،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ترخیص الشرع فی مخالفة القطع المتعلق بوجوب صلاة الجمعة، لا یخلو إما أن یکون فی مورد الإصابة، أو فی مورد الإخطاء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الأولی تلزم المناقضة، و عدم إمکان الجمع بین الإرادة المتعلقة بوجوب صلاة الجمعة المستلزمة للعقاب عند التخلف، و بین الإرادة المتعلقة بالترخیص المستتبع لعدم العقاب علی ترکها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الصورة الثانیة لا یلزم إشکال عقلی، بعد کون المولی عارفا بأن القطع الحاصل لزید خلاف الواقع، و یکون جهلا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کلماتهم من امتناع الردع فی الصورتین </w:t>
      </w:r>
      <w:r>
        <w:rPr>
          <w:rStyle w:val="FootnoteAnchor"/>
          <w:rtl w:val="true"/>
        </w:rPr>
        <w:footnoteReference w:id="67"/>
      </w:r>
      <w:r>
        <w:rPr>
          <w:rFonts w:ascii="IRNazanin" w:hAnsi="IRNazanin" w:eastAsia="IRNazanin"/>
          <w:color w:val="111111"/>
          <w:sz w:val="28"/>
          <w:sz w:val="28"/>
          <w:szCs w:val="28"/>
          <w:rtl w:val="true"/>
          <w:lang w:bidi="fa-IR"/>
        </w:rPr>
        <w:t>، غیر موافق للتحقیق</w:t>
      </w:r>
      <w:r>
        <w:rPr>
          <w:rFonts w:eastAsia="IRNazanin" w:cs="IRNazanin"/>
          <w:color w:val="111111"/>
          <w:sz w:val="28"/>
          <w:szCs w:val="28"/>
          <w:rtl w:val="true"/>
          <w:lang w:bidi="fa-IR"/>
        </w:rPr>
        <w:t>.</w:t>
      </w:r>
      <w:bookmarkStart w:id="57" w:name="pg13170_166175"/>
    </w:p>
    <w:p>
      <w:pPr>
        <w:pStyle w:val="Heading5"/>
        <w:numPr>
          <w:ilvl w:val="4"/>
          <w:numId w:val="1"/>
        </w:numPr>
        <w:rPr/>
      </w:pPr>
      <w:bookmarkStart w:id="58" w:name="__RefHeading___Toc624285_3244359995"/>
      <w:bookmarkStart w:id="59" w:name="_Toc22"/>
      <w:bookmarkEnd w:id="57"/>
      <w:bookmarkEnd w:id="58"/>
      <w:r>
        <w:rPr>
          <w:rtl w:val="true"/>
        </w:rPr>
        <w:t>تنبیه</w:t>
      </w:r>
      <w:bookmarkEnd w:id="59"/>
    </w:p>
    <w:p>
      <w:pPr>
        <w:pStyle w:val="BookText"/>
        <w:rPr/>
      </w:pPr>
      <w:r>
        <w:rPr>
          <w:rFonts w:ascii="IRNazanin" w:hAnsi="IRNazanin" w:eastAsia="IRNazanin"/>
          <w:color w:val="111111"/>
          <w:sz w:val="28"/>
          <w:sz w:val="28"/>
          <w:szCs w:val="28"/>
          <w:rtl w:val="true"/>
          <w:lang w:bidi="fa-IR"/>
        </w:rPr>
        <w:t>القطع الّذی لا یجوز عقلا تجویز مخالفته و إنکار منجزیته، أعم من القطع المعذر و غیر المعذر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الترخیص الممنوع أعم من أن یکون بنحو التجویز و التحلیل، و بشکل الأمر الترخیصی، أو کان بنحو إیجاب المخالفة، فإنه لو صح تجویز المخالفة صح إیجابها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حول مسألة إمکان الردع عن العمل بالمقطوع به، و إمکان المنع عن منجزیة القطع، و قد عرفت أن تمام الجهة المانعة، امتناع ترشح الإرادة الجدیدة فی عرض الإرادة الجدیدة المتعلقة بحرمة الخمر</w:t>
      </w:r>
      <w:r>
        <w:rPr>
          <w:rFonts w:eastAsia="IRNazanin" w:cs="IRNazanin"/>
          <w:color w:val="111111"/>
          <w:sz w:val="28"/>
          <w:szCs w:val="28"/>
          <w:rtl w:val="true"/>
          <w:lang w:bidi="fa-IR"/>
        </w:rPr>
        <w:t>.</w:t>
      </w:r>
    </w:p>
    <w:p>
      <w:pPr>
        <w:pStyle w:val="Heading5"/>
        <w:numPr>
          <w:ilvl w:val="4"/>
          <w:numId w:val="1"/>
        </w:numPr>
        <w:rPr/>
      </w:pPr>
      <w:bookmarkStart w:id="60" w:name="__RefHeading___Toc624287_3244359995"/>
      <w:bookmarkStart w:id="61" w:name="_Toc23"/>
      <w:bookmarkEnd w:id="60"/>
      <w:r>
        <w:rPr>
          <w:rtl w:val="true"/>
        </w:rPr>
        <w:t>طریقتنا فی کیفیة ردع الشارع عن القطع جعلا و امتثالا</w:t>
      </w:r>
      <w:bookmarkEnd w:id="61"/>
    </w:p>
    <w:p>
      <w:pPr>
        <w:pStyle w:val="BookText"/>
        <w:rPr/>
      </w:pPr>
      <w:r>
        <w:rPr>
          <w:rFonts w:ascii="IRNazanin" w:hAnsi="IRNazanin" w:eastAsia="IRNazanin"/>
          <w:color w:val="111111"/>
          <w:sz w:val="28"/>
          <w:sz w:val="28"/>
          <w:szCs w:val="28"/>
          <w:rtl w:val="true"/>
          <w:lang w:bidi="fa-IR"/>
        </w:rPr>
        <w:t>و عندی فی المسألة طریق، ربما ینتهی إلی إمکان أن یتوسل المولی إلی ترشیح تلک الإرادة فی عرض الإرادة الأولی، و البحث یتم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الجعل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الامتثال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مقام الجعل، فقد تقرر منا فی مباحث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کون الأحکام فعلیة بالنسبة إلی العاجزین، و الغافلین، و الساهین، و الناسین، و الجاهلین، کما هی فعلیة بالقیاس إلی مقابلیهم، و ذلک فیما یکون الحکم کلیا قانونیا عاما، و تفصیله یطلب من تلک المباحث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الأصل الأصیل، إذا جعل المولی و أراد تحریم الخمر، یکون الخمر محرمة سواء تعلق به القطع، أم تعلق به خبر الثقة، أو لم یتعلق به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إیجاب مخالفة القطع بنحو کلی، لا القطع الخاصّ المتعلق بحکمه، بل هو فی مقام الإیجاب لا یلاحظ إلا عنوان مخالفة القطع، و إذا کان تحت هذا العنوان غرض و مصلحة سیاسیة أو غیرها، یصح له أن یوجب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الموجب للامتناع هو إیجاب القطع الخاصّ، أی الحاصل المتعلق بحرمة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أوجب مخالفة القطع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متعلقا بالأحکام، أو الموضوعات الشرعیة، أو تعلق بالمسائل العرفیة، و علی فرض تعلقه بالحکم الشرعی سواء فیه الإصابة، و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النسبة بین الإیجاب المزبور و تحریم الخمر مثلا، عموما من وجه، و یکون الحکم علی العنوان المذکور فعلیا، کما یکون حکم الحج بالنسبة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فعلیا، سواء کان ذاکرا، أم غافلا، عاجزا، أم قادرا، مع أنه لا یعقل فعلیة الحکم بالنسبة إلی خصوص الغافل، و لا یترشح الجد، و لکنه یتمکن من الإیجاب العام، فإیجاب مخالفة القطع لا ینحل إلی الإیجابات الکثیرة فی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 إذا کان مستندا إلی عدم تمکن المولی من الإیجاب الجدی فی مقام الجعل، فهو قابل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وجه الامتناع مستندا إلی المقام الثانی و هو مقام الامتثال،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القاطع بحرمة الخمر، لا یمکن أن یکون قاطعا بإیجاب الشرع مخالفة القطع، علی إطلاقه الشامل لقطعه المتعلق بالحکم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للشرع إیجاب مخالفة القطع المتعلق بأن شرب ماء الورد یفید، أو شرب الفقاع یفید، فإنه یمکن إیجاب مخالفة هذا القطع، فیکون إطلاق الدلیل المزبور عنده</w:t>
      </w:r>
    </w:p>
    <w:p>
      <w:pPr>
        <w:pStyle w:val="BookText"/>
        <w:rPr/>
      </w:pPr>
      <w:r>
        <w:rPr>
          <w:rFonts w:ascii="IRNazanin" w:hAnsi="IRNazanin" w:eastAsia="IRNazanin"/>
          <w:color w:val="111111"/>
          <w:sz w:val="28"/>
          <w:sz w:val="28"/>
          <w:szCs w:val="28"/>
          <w:rtl w:val="true"/>
          <w:lang w:bidi="fa-IR"/>
        </w:rPr>
        <w:t>غیر تام، و لکن المولی لیس غرضه من الإیجاب المزبور، التوصل إلی أن یکون الأمر باعثه، کما لا یمکن ذلک فی سائر القوانین بالنسبة إلی الغافل و غیره، و لکن یمکن أن یکون النّظر فی هذا التقنین العام فی مورد الغافل علی الدوام، أن لا یکون الغافل علی حجة بالنسبة إلیه، بل یکون محجوجا بعد ما لم تکن الغفلة المطلقة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فالعبد القاطع بحرمة الخمر إما یمتثل نهیه، أو لا یمتثل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امتثل نهیه فله أجر و ثواب ترک المنهی، و له أن یعتذر فی مخالفة الإیجاب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امتثل و خالف قطعه الواقع فیمکن أن لا یکون قطعه عذرا، لحصوله من السبب الخاصّ، فیکون الإیجاب المزبور حجة علیه، و یستحق العقوبة، و هذا المقدار کاف لأن تترشح الإرادة الجدیة فی مرحلة الجعل علی نحو التقنین، کما عرفت فی الغافل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خالف قطعه و شرب الخمر مثلا، استحق المثوبة علی الواجب التوصلی، فإن کان قطعه عند المخالفة مطابقا للواقع، فلا یکون معذورا، لأن مخالفته للقطع کانت مستندة إلی میله، لا إلی حجة، و لو کان مخالفا للواقع یکون متجریا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ربما تکون فعلیة بالنسبة إلی أشخاص، مع عدم کونهم مطلعین علیها طول العمر، کما فی الجاهل المرکب المقصر، و الغافل، و الساهی، و العاجز، و لا یتوسل المولی إلی بعثهم إلی مأموله، و لکنها مع ذلک فعلیات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الأمر المتعلق بإیجاب مخالفة القطع، فإنه بالنسبة إلی المجموع من المکلفین مؤثر، لما أن کثیرا من القطع و العلوم متعلقة بالمسائل العرفیة التی لا محذور فی مخالفة القطع فیها، فإن العقلاء یخالفون قطعهم بمنافع کثیرة 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الإیجاب الکلی لیس لغوا، فإطلاقه بالنسبة إلی القطع المتعلق</w:t>
      </w:r>
      <w:bookmarkStart w:id="62" w:name="pg13170_166178"/>
    </w:p>
    <w:p>
      <w:pPr>
        <w:pStyle w:val="BookText"/>
        <w:rPr/>
      </w:pPr>
      <w:bookmarkEnd w:id="62"/>
      <w:r>
        <w:rPr>
          <w:rFonts w:ascii="IRNazanin" w:hAnsi="IRNazanin" w:eastAsia="IRNazanin"/>
          <w:color w:val="111111"/>
          <w:sz w:val="28"/>
          <w:sz w:val="28"/>
          <w:szCs w:val="28"/>
          <w:rtl w:val="true"/>
          <w:lang w:bidi="fa-IR"/>
        </w:rPr>
        <w:t>بالحکم فی صورة الإصابة، لیس مؤثرا من جهة الباعثیة، و لکن یترتب علیه بالواسطة تبعاته، کما أشیر إلیه آنفا،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العلامة العراقی قدس سره احتمل إمکان نفی المنجزیة، إذا کانت حجیة القطع معلقة، کما تکون حجیة الطرق معلقة علی عدم ردع الشرع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التعلیق ممتنع إلا بالمعنی المعروف فی محله </w:t>
      </w:r>
      <w:r>
        <w:rPr>
          <w:rStyle w:val="FootnoteAnchor"/>
          <w:rtl w:val="true"/>
        </w:rPr>
        <w:footnoteReference w:id="70"/>
      </w:r>
      <w:r>
        <w:rPr>
          <w:rFonts w:ascii="IRNazanin" w:hAnsi="IRNazanin" w:eastAsia="IRNazanin"/>
          <w:color w:val="111111"/>
          <w:sz w:val="28"/>
          <w:sz w:val="28"/>
          <w:szCs w:val="28"/>
          <w:rtl w:val="true"/>
          <w:lang w:bidi="fa-IR"/>
        </w:rPr>
        <w:t>، فإنه یجوز القضیة الشرطیة فی القضایا الممتنعة، أی 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التناقض فی الخارج کان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 یرجع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حجیة القطع فی الجملة ممکن، کما مر، و أما نفی حجیة جمیع مصادیقه حتی القطع المتعلق بنفی حجیته فی الشرع، فهو بعد حجیة الظن ممکن، لانقطاع التسلسل بکفایة الظن بحجیة الظن، کما هو کذلک، و نعتذر من الإخوان من جهة الإطالة</w:t>
      </w:r>
      <w:r>
        <w:rPr>
          <w:rFonts w:eastAsia="IRNazanin" w:cs="IRNazanin"/>
          <w:color w:val="111111"/>
          <w:sz w:val="28"/>
          <w:szCs w:val="28"/>
          <w:rtl w:val="true"/>
          <w:lang w:bidi="fa-IR"/>
        </w:rPr>
        <w:t>.</w:t>
      </w:r>
    </w:p>
    <w:p>
      <w:pPr>
        <w:pStyle w:val="Heading5"/>
        <w:numPr>
          <w:ilvl w:val="4"/>
          <w:numId w:val="1"/>
        </w:numPr>
        <w:rPr/>
      </w:pPr>
      <w:bookmarkStart w:id="63" w:name="__RefHeading___Toc624289_3244359995"/>
      <w:bookmarkStart w:id="64" w:name="_Toc24"/>
      <w:bookmarkEnd w:id="63"/>
      <w:r>
        <w:rPr>
          <w:rtl w:val="true"/>
        </w:rPr>
        <w:t>تذنیب</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ما تحرر کان لما ذهب إلیه أصحابنا الأخباریون </w:t>
      </w:r>
      <w:r>
        <w:rPr>
          <w:rStyle w:val="FootnoteAnchor"/>
          <w:rtl w:val="true"/>
        </w:rPr>
        <w:footnoteReference w:id="71"/>
      </w:r>
      <w:r>
        <w:rPr>
          <w:rFonts w:ascii="IRNazanin" w:hAnsi="IRNazanin" w:eastAsia="IRNazanin"/>
          <w:color w:val="111111"/>
          <w:sz w:val="28"/>
          <w:sz w:val="28"/>
          <w:szCs w:val="28"/>
          <w:rtl w:val="true"/>
          <w:lang w:bidi="fa-IR"/>
        </w:rPr>
        <w:t xml:space="preserve">وجه، إلا أنه فی مرحلة الإثبات غیر وجیه، لقصور الأدلة الموجودة عن إفادة مقصودهم، و المسألة فی مرحلة الإثبات تحتاج إلی فحص خاص خارج عن عهدة الأصولیین، و قد أفاد الشیخ بعض ما استدلوا به مع جوابه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تکون المسألة محولة إلی محل آخر</w:t>
      </w:r>
      <w:r>
        <w:rPr>
          <w:rFonts w:eastAsia="IRNazanin" w:cs="IRNazanin"/>
          <w:color w:val="111111"/>
          <w:sz w:val="28"/>
          <w:szCs w:val="28"/>
          <w:rtl w:val="true"/>
          <w:lang w:bidi="fa-IR"/>
        </w:rPr>
        <w:t>.</w:t>
      </w:r>
      <w:bookmarkStart w:id="65" w:name="pg13170_166179"/>
    </w:p>
    <w:p>
      <w:pPr>
        <w:pStyle w:val="Heading4"/>
        <w:numPr>
          <w:ilvl w:val="3"/>
          <w:numId w:val="1"/>
        </w:numPr>
        <w:rPr/>
      </w:pPr>
      <w:bookmarkStart w:id="66" w:name="__RefHeading___Toc624291_3244359995"/>
      <w:bookmarkStart w:id="67" w:name="_Toc25"/>
      <w:bookmarkEnd w:id="65"/>
      <w:bookmarkEnd w:id="66"/>
      <w:r>
        <w:rPr>
          <w:rtl w:val="true"/>
        </w:rPr>
        <w:t>الجهة الرابعة</w:t>
      </w:r>
      <w:r>
        <w:rPr>
          <w:rtl w:val="true"/>
        </w:rPr>
        <w:t xml:space="preserve">: </w:t>
      </w:r>
      <w:r>
        <w:rPr>
          <w:rtl w:val="true"/>
        </w:rPr>
        <w:t>حول جعل الحجیة للقطع و وجوب موافقته</w:t>
      </w:r>
      <w:bookmarkEnd w:id="67"/>
    </w:p>
    <w:p>
      <w:pPr>
        <w:pStyle w:val="BookText"/>
        <w:rPr/>
      </w:pPr>
      <w:r>
        <w:rPr>
          <w:rFonts w:ascii="IRNazanin" w:hAnsi="IRNazanin" w:eastAsia="IRNazanin"/>
          <w:color w:val="111111"/>
          <w:sz w:val="28"/>
          <w:sz w:val="28"/>
          <w:szCs w:val="28"/>
          <w:rtl w:val="true"/>
          <w:lang w:bidi="fa-IR"/>
        </w:rPr>
        <w:t xml:space="preserve">قد تعرض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القطع هل یقبل أن یتعلق به أمر المولی، أم لا؟</w:t>
      </w:r>
      <w:r>
        <w:rPr>
          <w:rStyle w:val="FootnoteAnchor"/>
          <w:rtl w:val="true"/>
        </w:rPr>
        <w:footnoteReference w:id="73"/>
      </w:r>
      <w:r>
        <w:rPr>
          <w:rFonts w:ascii="IRNazanin" w:hAnsi="IRNazanin" w:eastAsia="IRNazanin"/>
          <w:color w:val="111111"/>
          <w:sz w:val="28"/>
          <w:sz w:val="28"/>
          <w:szCs w:val="28"/>
          <w:rtl w:val="true"/>
          <w:lang w:bidi="fa-IR"/>
        </w:rPr>
        <w:t>و نحن نشیر إلی محتملات المسألة، مع رعایة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المجعول حکما وضعیا، و هی الحجیة المتعلقة بذات القطع، و هذا ربما یکون باطلا، لأجل لزوم اللغویة، أو یکون باطلا لأجل اجتماع المثلین، بعد الفراغ من إمکان جعل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المعذریة، فقد عرفت إمکان جعلها، لما تحرر من إمکان الردع عن المعذریة، فلا لغویة، و لا اجتماع المثلین </w:t>
      </w:r>
      <w:r>
        <w:rPr>
          <w:rStyle w:val="FootnoteAnchor"/>
          <w:rtl w:val="true"/>
        </w:rPr>
        <w:footnoteReference w:id="74"/>
      </w:r>
      <w:r>
        <w:rPr>
          <w:rFonts w:ascii="IRNazanin" w:hAnsi="IRNazanin" w:eastAsia="IRNazanin"/>
          <w:color w:val="111111"/>
          <w:sz w:val="28"/>
          <w:sz w:val="28"/>
          <w:szCs w:val="28"/>
          <w:rtl w:val="true"/>
          <w:lang w:bidi="fa-IR"/>
        </w:rPr>
        <w:t>، و هکذا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الردع عن العمل بإیجاب مخالفة القطع، یلازم نفی حجیته و منجزیته، إلا أنه ممنوع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لزوم اللغویة ممنوع مطلقا، لأجل أن الفرار عن اللغویة فی جعل الحجیة، لا ینحصر بترتب الأثر علی المجعول بالذات، بل یکفی لو ترتب علیه الأثر لأجل أمر آخر، فإن الأخباریین القائلین بعدم حجیة القطع، یرتدعون عن مقالتهم لأجل ما یدل علی حجیة القطع مطلقا، و هذا المقدار کاف کما لا یخفی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یشیر إلی بعض ما ذکرناه، قوله علیه السلام فی أخبار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لو کان ذلک ممتنعا لکان الأمر بذلک غیر جائز، و خلاف ظاهر،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اجتماع المثلین، فهو کلزوم اجتماع الضدین، و قد تحرر فی محله، أن هذه الأمور لا تسری إلی الأحکام التی لا خارجیة لها إلا بالاعتبار، کالحجیة، و الوجوب، و الحرمة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حجیة القطع، فهی لیست ذاتیة اصطلاحیة، بل هی کلازم الماهیة لا ینفک عنها، مع عدم انتزاعها من صراح ذاتها، فلا تکون خارجیة، کالإمکان و الوجوب من المواد الثلاث، فجعل الحجیة له لا یستلزم اجتماع المثلین، الممنوع عقلا فی مثل اجتماع المصداقین للبیاض فی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لو کان المجعول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یکون مصبها القطع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المجعول حکما تکلیفیا، کما إذا أوجب موافقة القطع، فإنه أیضا لا یستلزم محذورا و لو کان مورد التکلیف القطع المتعلق بالحکم الوجوبیّ، فضلا عن القطع المتعلق بالأعم منه و الاستحبابی، فإنه فی الفرض الأول یلزم من إطاعة أمر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مقطوعا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الأمرین، کما لو نذر فعل الصلاة الواجبة، و من مخالفة أمر الصلاة مخالفة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الفرض الثانی یلزم فی صورة المخالفة عصیان الأمر الواحد،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مصب الإیجاب المزبور إطاعة الأمر المقطوع به،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من اللغو، لأن المکلف إما ینبعث من أمر الصلاة، أو لا ینبعث، فإن انبعث فلا حاجة إلی الأمر الثانی، و إن لم ینبعث فلا داعویة له أیضا، فیکون الأمر الثانی لغوا علی کل تقدیر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إشکال لا یختص بالقطع، لاشتراک سائر الطرق معه</w:t>
      </w:r>
    </w:p>
    <w:p>
      <w:pPr>
        <w:pStyle w:val="BookText"/>
        <w:rPr/>
      </w:pPr>
      <w:r>
        <w:rPr>
          <w:rFonts w:ascii="IRNazanin" w:hAnsi="IRNazanin" w:eastAsia="IRNazanin"/>
          <w:color w:val="111111"/>
          <w:sz w:val="28"/>
          <w:sz w:val="28"/>
          <w:szCs w:val="28"/>
          <w:rtl w:val="true"/>
          <w:lang w:bidi="fa-IR"/>
        </w:rPr>
        <w:t>فی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المکلف لا ینبعث من الأمر الأول، یلزم لغویته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لیس إلا فی حکم الإعداد أحیانا للبعث، و لأجل استتباعه للتوابع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کالعقاب 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محرکا بالعرض و المجاز، فإذا کان المکلف ملتفتا إلی تبعات الأمرین فربما ینبعث، مع أنه لا ینبعث عند الالتفات إلی توابع الأمر الواحد،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الإیجاب المزبور إذا کان متعلقا بإطاعة الأمر الأعم من الإیجابی و الندبی، فلا یکون لغوا فی الفرض الثانی، و یکون کأوامر العناوین الثانویة المتعلقة بالمندوبات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فیما تعلق بالواجبات یلزم بعض ما فیه مع ما فیه، و لا سیما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الأوامر الحاصلة من العناوین الثانویة، متعلقة بما تعلقت به الأوامر الأولیة،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 ثان علی إیجاب إطاعة أمر المولی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التسلسل و الأوامر غیر المتناهیة</w:t>
      </w:r>
      <w:r>
        <w:rPr>
          <w:rStyle w:val="FootnoteAnchor"/>
          <w:rtl w:val="true"/>
        </w:rPr>
        <w:footnoteReference w:id="78"/>
      </w:r>
      <w:r>
        <w:rPr>
          <w:rFonts w:ascii="IRNazanin" w:hAnsi="IRNazanin" w:eastAsia="IRNazanin"/>
          <w:color w:val="111111"/>
          <w:sz w:val="28"/>
          <w:sz w:val="28"/>
          <w:szCs w:val="28"/>
          <w:rtl w:val="true"/>
          <w:lang w:bidi="fa-IR"/>
        </w:rPr>
        <w:t xml:space="preserve">، ضرورة أن الأمر المتعلق بالصلاة یدعو نحوها، و الأمر المتعلق بالإطاعة یدعو نحو الإتیان بها بعنوان الإطاعة، و حیث إن الأمر بالإطاعة ینحل إلی الکثیر، یکون للأمر المتعلق بالإطاعة أیضا إطاعة، و هی متعلقة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تجویز ذلک </w:t>
      </w:r>
      <w:r>
        <w:rPr>
          <w:rStyle w:val="FootnoteAnchor"/>
          <w:rtl w:val="true"/>
        </w:rPr>
        <w:footnoteReference w:id="79"/>
      </w:r>
      <w:r>
        <w:rPr>
          <w:rFonts w:ascii="IRNazanin" w:hAnsi="IRNazanin" w:eastAsia="IRNazanin"/>
          <w:color w:val="111111"/>
          <w:sz w:val="28"/>
          <w:sz w:val="28"/>
          <w:szCs w:val="28"/>
          <w:rtl w:val="true"/>
          <w:lang w:bidi="fa-IR"/>
        </w:rPr>
        <w:t>، ناشئ من عدم التوجه إلی ما هو الإشکال، ضرورة أن هذا الکثیر من الأوامر لا بد و أن تکون تأسیسا مستقلا، مع أن الکل یسقط بامتثال المأمور به بالأمر الأول، و هذا محال، لامتناع ترشح الإرادة بالنسبة إلی تلک الأوامر إلا تأکیدا،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إیجاب الإطاعة، للزوم العقوبات غیر المتناهیة</w:t>
      </w:r>
      <w:r>
        <w:rPr>
          <w:rStyle w:val="FootnoteAnchor"/>
          <w:rtl w:val="true"/>
        </w:rPr>
        <w:footnoteReference w:id="80"/>
      </w:r>
      <w:r>
        <w:rPr>
          <w:rFonts w:ascii="IRNazanin" w:hAnsi="IRNazanin" w:eastAsia="IRNazanin"/>
          <w:color w:val="111111"/>
          <w:sz w:val="28"/>
          <w:sz w:val="28"/>
          <w:szCs w:val="28"/>
          <w:rtl w:val="true"/>
          <w:lang w:bidi="fa-IR"/>
        </w:rPr>
        <w:t>، و هذا مما لا یمکن الالتزام به، ضرورة أن العقل یأبی عن کون عصیان الأمر الواحد، مستلزما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یساعده الإنصاف عدم وجوب الإطاعة شرعا، و الّذی یتناوله العقل إمکان ذلک عقلا، لما یمکن من الأغراض الشتی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امتناع ترشح الإرادة التأسیسیة، فهو فی مورد کانت النسبة بین الأمر المتعلق بالصلاة و بالإطاعة متساویة، أو عموما و خصوصا مطلقا، و أما فیما إذا کانت من وجه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الامتناع العقلی و الاستبعاد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الشبهة یشترک فیها القطع و غیره من الطرق فی صورة الإصابة، و یختص القطع غیر المصیب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الآخر و هو رابع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إیجاب الإطاعة غیر معقول، لأن حقیقة الإطاعة و مقتضی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الإتیان بالفعل بداعی أمره، فلا یعقل أن یکون الأمر بها داعیا إلیها، و إلا للزم عدم تحقق موضوع الإطاعة، و یمتنع أن یکون الأمر المتعلق بعنوان داعیا إلی إیجاد غیر ذلک العنوان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بعد کونها واجبة إتیان الصلاة بداعی أمرها، و أیضا تقضی أن یأتی بالإطاعة المحققة بفعل الصلاة بداعی الأمر بالإطاعة، فلا ینبغی الخلط بین مقتضی الهیئة و المادة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w:t>
      </w:r>
      <w:r>
        <w:rPr>
          <w:rStyle w:val="FootnoteAnchor"/>
          <w:rtl w:val="true"/>
        </w:rPr>
        <w:footnoteReference w:id="82"/>
      </w:r>
      <w:r>
        <w:rPr>
          <w:rFonts w:ascii="IRNazanin" w:hAnsi="IRNazanin" w:eastAsia="IRNazanin"/>
          <w:color w:val="111111"/>
          <w:sz w:val="28"/>
          <w:sz w:val="28"/>
          <w:szCs w:val="28"/>
          <w:rtl w:val="true"/>
          <w:lang w:bidi="fa-IR"/>
        </w:rPr>
        <w:t>غیر تام، کما أنه فی تقریر الشبهة غیر واف، فإن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عجز المکلف عن الامتثال، لما لا یتمکن من قصد الأوامر غیر</w:t>
      </w:r>
    </w:p>
    <w:p>
      <w:pPr>
        <w:pStyle w:val="BookText"/>
        <w:rPr/>
      </w:pPr>
      <w:r>
        <w:rPr>
          <w:rFonts w:ascii="IRNazanin" w:hAnsi="IRNazanin" w:eastAsia="IRNazanin"/>
          <w:color w:val="111111"/>
          <w:sz w:val="28"/>
          <w:sz w:val="28"/>
          <w:szCs w:val="28"/>
          <w:rtl w:val="true"/>
          <w:lang w:bidi="fa-IR"/>
        </w:rPr>
        <w:t>المتناهیة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الأمر الإیجابی المتعلق بالطاعة توصلی، و لا یعتبر أن تکون الإطاعة بداعی أمرها، فلو صلی العبد جاهلا بأمر الإطاعة، یسقط أمرها، و یؤجر علیه، علی ما تحرر من إمکان استحقاق الثواب علی التوصلیات </w:t>
      </w:r>
      <w:r>
        <w:rPr>
          <w:rStyle w:val="FootnoteAnchor"/>
          <w:rtl w:val="true"/>
        </w:rPr>
        <w:footnoteReference w:id="83"/>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تدخل الشرع بإیجاب الإطاعة، و الإتیان بالمقطوع به تحت عنوان الإطاعة، مما لا محذور فیه عقلا أیضا، و الأمر سهل، و نعوذ باللّه تعالی من أن نکون من المسرفین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ما یناله العقل، و ما یدرکه العقلاء، فإن الأول هو إمکان إیجاب الإطاعة شرعا، و الثانی هو عدم وجوبها و لو اقتضت الهیئات ذلک، لأن الموقف لیس لائقا بالإیجاب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الإطاعة و متعلق الأوامر هی المساواة، و لا یعقل ترشح الإرادتین التأسیسیتین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 الواجبة شرعا، أعم من إطاعة الأمر و النهی، و من إطاعة ما یستقل به العقل، و فی موارد سقوط الأمر بالمزاحمة علی القول به، و علی هذا یمکن أن یتخیل کون النسبة بین متعلق الإیجاب فی باب الإطاعة، و متعلق الوجوب فی باب الصلاة مثلا، عموما من وجه، فاغتنم و تأمل تعرف</w:t>
      </w:r>
      <w:r>
        <w:rPr>
          <w:rFonts w:eastAsia="IRNazanin" w:cs="IRNazanin"/>
          <w:color w:val="111111"/>
          <w:sz w:val="28"/>
          <w:szCs w:val="28"/>
          <w:rtl w:val="true"/>
          <w:lang w:bidi="fa-IR"/>
        </w:rPr>
        <w:t>.</w:t>
      </w:r>
      <w:bookmarkStart w:id="68" w:name="pg13170_166184"/>
    </w:p>
    <w:p>
      <w:pPr>
        <w:pStyle w:val="Heading3"/>
        <w:numPr>
          <w:ilvl w:val="2"/>
          <w:numId w:val="1"/>
        </w:numPr>
        <w:rPr/>
      </w:pPr>
      <w:bookmarkStart w:id="69" w:name="__RefHeading___Toc624293_3244359995"/>
      <w:bookmarkStart w:id="70" w:name="_Toc26"/>
      <w:bookmarkEnd w:id="68"/>
      <w:bookmarkEnd w:id="69"/>
      <w:r>
        <w:rPr>
          <w:rtl w:val="true"/>
        </w:rPr>
        <w:t>المبحث الثانی فی التجری</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624295_3244359995"/>
      <w:bookmarkStart w:id="72" w:name="_Toc27"/>
      <w:bookmarkEnd w:id="71"/>
      <w:r>
        <w:rPr>
          <w:rtl w:val="true"/>
        </w:rPr>
        <w:t>اشارة</w:t>
      </w:r>
      <w:bookmarkStart w:id="73" w:name="pg13170_166186"/>
      <w:bookmarkEnd w:id="72"/>
    </w:p>
    <w:p>
      <w:pPr>
        <w:pStyle w:val="BookText"/>
        <w:rPr/>
      </w:pPr>
      <w:bookmarkEnd w:id="73"/>
      <w:r>
        <w:rPr>
          <w:rFonts w:ascii="IRNazanin" w:hAnsi="IRNazanin" w:eastAsia="IRNazanin"/>
          <w:color w:val="111111"/>
          <w:sz w:val="28"/>
          <w:sz w:val="28"/>
          <w:szCs w:val="28"/>
          <w:rtl w:val="true"/>
          <w:lang w:bidi="fa-IR"/>
        </w:rPr>
        <w:t>و قبل تحری بحثه لا بأس بالإشارة إلی بعض جهات، لتوضیح نکات</w:t>
      </w:r>
      <w:r>
        <w:rPr>
          <w:rFonts w:eastAsia="IRNazanin" w:cs="IRNazanin"/>
          <w:color w:val="111111"/>
          <w:sz w:val="28"/>
          <w:szCs w:val="28"/>
          <w:rtl w:val="true"/>
          <w:lang w:bidi="fa-IR"/>
        </w:rPr>
        <w:t>:</w:t>
      </w:r>
    </w:p>
    <w:p>
      <w:pPr>
        <w:pStyle w:val="Heading4"/>
        <w:numPr>
          <w:ilvl w:val="3"/>
          <w:numId w:val="1"/>
        </w:numPr>
        <w:rPr/>
      </w:pPr>
      <w:bookmarkStart w:id="74" w:name="__RefHeading___Toc624297_3244359995"/>
      <w:bookmarkStart w:id="75" w:name="_Toc28"/>
      <w:bookmarkEnd w:id="74"/>
      <w:r>
        <w:rPr>
          <w:rtl w:val="true"/>
        </w:rPr>
        <w:t>الجهة الأولی فی المراد من التجری لغة و اصطلاحا</w:t>
      </w:r>
      <w:bookmarkEnd w:id="75"/>
    </w:p>
    <w:p>
      <w:pPr>
        <w:pStyle w:val="Heading5"/>
        <w:numPr>
          <w:ilvl w:val="4"/>
          <w:numId w:val="1"/>
        </w:numPr>
        <w:rPr/>
      </w:pPr>
      <w:bookmarkStart w:id="76" w:name="__RefHeading___Toc624299_3244359995"/>
      <w:bookmarkStart w:id="77" w:name="_Toc29"/>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الجرأة علی المولی لغة، و یشترک فیه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یخالف الحکم المقطوع به الإلزامیّ، تحریما کان، أو إیجابا، مع کون القطع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ذو مراتب، و المرتبة العلیا منه مخالفة الحکم المقطوع به، کما إذا شرب الماء المقطوعة خمریته، و المقطوعة حرمته، ثم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ماء، أو أن الخمر لیس بحرام مثلا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المرتبة الدنیا مخالفة العلم العادی المتعلق بحلیة شرب التبغ، مع کونه موافقا للواقع، فإن من کان محتاطا فی هذه المرحلة، لا یکون متجریا علی المولی بالضرورة، بلحاظ الاحتمال الموجود فی البین، و من لا یحتاط، و کان یحتمل احتمالا موهوما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مأمورا فی الشرع بطرحه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یعد متجریا عند العقل</w:t>
      </w:r>
      <w:bookmarkStart w:id="78" w:name="pg13170_166187"/>
    </w:p>
    <w:p>
      <w:pPr>
        <w:pStyle w:val="BookText"/>
        <w:rPr/>
      </w:pPr>
      <w:bookmarkEnd w:id="78"/>
      <w:r>
        <w:rPr>
          <w:rFonts w:ascii="IRNazanin" w:hAnsi="IRNazanin" w:eastAsia="IRNazanin"/>
          <w:color w:val="111111"/>
          <w:sz w:val="28"/>
          <w:sz w:val="28"/>
          <w:szCs w:val="28"/>
          <w:rtl w:val="true"/>
          <w:lang w:bidi="fa-IR"/>
        </w:rPr>
        <w:t>علی مولاه، و ما بینهما المتوسطات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لا یعد من التجری، لأن فی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القطع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التجری الّذی هو مورد الخلاف أخص منه، و یکون مخصوصا بما إذا تعلق القطع أو ما بحکمه بتحریم شی‌ء أو إیجابه، و قد تخلف المکلف عنه، لأجل عدم المبالاة بالعصیان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المراتب النازلة فلا یلتزم أحد بممنوعیته، کمن یشرب الماء المقطوع بمائیته، تشبها بالخمر فی الکیفیة و الحالة،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محط النزاع هی المرتبة الأولی، و ما یدنو منها، کمخالفة الحجة، و منها الاحتمال المنجز، کما فی الشبهات المهتم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التجری ما إذا قطع بحرمة الخمر و ارتکبها، و کانت الخمر محرمة، و لکن قطعه غیر حاصل من الطرق المرضیة، بناء علی ما مر من إمکان توسل المولی إلی ذلک قبل حصول القطع </w:t>
      </w:r>
      <w:r>
        <w:rPr>
          <w:rStyle w:val="FootnoteAnchor"/>
          <w:rtl w:val="true"/>
        </w:rPr>
        <w:footnoteReference w:id="84"/>
      </w:r>
      <w:r>
        <w:rPr>
          <w:rFonts w:ascii="IRNazanin" w:hAnsi="IRNazanin" w:eastAsia="IRNazanin"/>
          <w:color w:val="111111"/>
          <w:sz w:val="28"/>
          <w:sz w:val="28"/>
          <w:szCs w:val="28"/>
          <w:rtl w:val="true"/>
          <w:lang w:bidi="fa-IR"/>
        </w:rPr>
        <w:t>، و امتناع الردع بعد حصوله لا یوجب امتناع الردع قبله، فلیتدبر</w:t>
      </w:r>
      <w:r>
        <w:rPr>
          <w:rFonts w:eastAsia="IRNazanin" w:cs="IRNazanin"/>
          <w:color w:val="111111"/>
          <w:sz w:val="28"/>
          <w:szCs w:val="28"/>
          <w:rtl w:val="true"/>
          <w:lang w:bidi="fa-IR"/>
        </w:rPr>
        <w:t>.</w:t>
      </w:r>
    </w:p>
    <w:p>
      <w:pPr>
        <w:pStyle w:val="Heading5"/>
        <w:numPr>
          <w:ilvl w:val="4"/>
          <w:numId w:val="1"/>
        </w:numPr>
        <w:rPr/>
      </w:pPr>
      <w:bookmarkStart w:id="79" w:name="__RefHeading___Toc624301_3244359995"/>
      <w:bookmarkStart w:id="80" w:name="_Toc30"/>
      <w:bookmarkEnd w:id="79"/>
      <w:r>
        <w:rPr>
          <w:rtl w:val="true"/>
        </w:rPr>
        <w:t>وهم و دفع</w:t>
      </w:r>
      <w:bookmarkEnd w:id="8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فی موارد الطرق و الأمارات لا یکون تجر، لأن العبد ربما یرتکب لأجل احتمال عدم الإصابة، و یرتکز فی نفسه ذلک إلی حد یبادر إلی مخالفتها برجاء عدم اصابتها، و خلافها المشاهد فی کثیر من الموارد، فالتجری مخصوص بمورد یشترک فیه العاصی و المتجری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کلمات جل منهم و إن کانت مخصوصة بالقطع </w:t>
      </w:r>
      <w:r>
        <w:rPr>
          <w:rStyle w:val="FootnoteAnchor"/>
          <w:rtl w:val="true"/>
        </w:rPr>
        <w:footnoteReference w:id="86"/>
      </w:r>
      <w:r>
        <w:rPr>
          <w:rFonts w:ascii="IRNazanin" w:hAnsi="IRNazanin" w:eastAsia="IRNazanin"/>
          <w:color w:val="111111"/>
          <w:sz w:val="28"/>
          <w:sz w:val="28"/>
          <w:szCs w:val="28"/>
          <w:rtl w:val="true"/>
          <w:lang w:bidi="fa-IR"/>
        </w:rPr>
        <w:t>، و لکن الأظهر عدم الفرق، و ذلک لأن اختلاف مراتب التجری، لا یورث خروج المفروض عن البحث، بعد اقتضاء بعض أدلة تحریمه حرمة الفعل المتجری به الأعم، ضرورة أن القبح إذا کان سببا للتحریم أو لاستحقاق العقوبة، فهو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مورد القطع یکون القبح موجودا، بخلاف غیره من الأمارات، لأنه قبح تقدیری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التقدیری هو القبح الفعلی، و أما القبح الفاعلی فهو موجود بالفعل بالوجدان، فلو کان یکفی القبح الفاعلی لاستحقاق العقوبة أو التحریم، فهو حاصل فی موارد التخلف عن سائر الطرق و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بالتصویب لا یتصور التجری، لما لا یکشف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ما تخیله القائلون بالتصویب، لزوم کون القطع مستتبعا للحکم عند الخطأ أیضا، ضرورة أن صفة القطع من الممکنات المستندة إلی الشارع تکوینا، فلو کان الترخیص التشریعی فی باب الطرق و الأمارات، مستتبعا للحکم المماثل، یکون الأمر کذلک فی إیجاد الطریق الخاطئ أیضا، فاغتنم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یتصور التجری فیما کان القطع تمام الموضوع، لما لا تخلف له عن الواقع</w:t>
      </w:r>
      <w:r>
        <w:rPr>
          <w:rFonts w:eastAsia="IRNazanin" w:cs="IRNazanin"/>
          <w:color w:val="111111"/>
          <w:sz w:val="28"/>
          <w:szCs w:val="28"/>
          <w:rtl w:val="true"/>
          <w:lang w:bidi="fa-IR"/>
        </w:rPr>
        <w:t>.</w:t>
      </w:r>
      <w:bookmarkStart w:id="81" w:name="pg13170_166189"/>
    </w:p>
    <w:p>
      <w:pPr>
        <w:pStyle w:val="Heading4"/>
        <w:numPr>
          <w:ilvl w:val="3"/>
          <w:numId w:val="1"/>
        </w:numPr>
        <w:rPr/>
      </w:pPr>
      <w:bookmarkStart w:id="82" w:name="__RefHeading___Toc624303_3244359995"/>
      <w:bookmarkStart w:id="83" w:name="_Toc31"/>
      <w:bookmarkEnd w:id="81"/>
      <w:bookmarkEnd w:id="82"/>
      <w:r>
        <w:rPr>
          <w:rtl w:val="true"/>
        </w:rPr>
        <w:t>الجهة الثانیة فی أن مسألة التجری فقهیة</w:t>
      </w:r>
      <w:bookmarkEnd w:id="83"/>
    </w:p>
    <w:p>
      <w:pPr>
        <w:pStyle w:val="Heading5"/>
        <w:numPr>
          <w:ilvl w:val="4"/>
          <w:numId w:val="1"/>
        </w:numPr>
        <w:rPr/>
      </w:pPr>
      <w:bookmarkStart w:id="84" w:name="__RefHeading___Toc624305_3244359995"/>
      <w:bookmarkStart w:id="85" w:name="_Toc32"/>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إن مسألة التجری من المسائل الفقهیة، لأن البحث حول حرمته، و عدم حرمته، أو حول کون العبد مستحقا للعقوبة عقلا و عدمه، حتی یترتب علیه فسقه، و عدم قبول شهادته، فیکون بحثا صغرویا محتاجا إلی الإثبات، إما بدعوی شمول الأدلة الشرعیة و القوانین الکلیة له، أو بدعوی کشف العقل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الشرعیة، أو لأجل أنه قبیح، و یکون من مصادیق القاعدة 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کل قبیح عقلی یستحق العبد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کونها أصولیة أو کلامیة</w:t>
      </w:r>
      <w:r>
        <w:rPr>
          <w:rStyle w:val="FootnoteAnchor"/>
          <w:rtl w:val="true"/>
        </w:rPr>
        <w:footnoteReference w:id="88"/>
      </w:r>
      <w:r>
        <w:rPr>
          <w:rFonts w:ascii="IRNazanin" w:hAnsi="IRNazanin" w:eastAsia="IRNazanin"/>
          <w:color w:val="111111"/>
          <w:sz w:val="28"/>
          <w:sz w:val="28"/>
          <w:szCs w:val="28"/>
          <w:rtl w:val="true"/>
          <w:lang w:bidi="fa-IR"/>
        </w:rPr>
        <w:t>، خال من التحصیل جدا، ضرورة أن الخلط بین المسألة الفقهیة و بین دلیلها، غیر جائز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یتفحص الأصولی فی هذه المسألة عن إمکان شمول الإطلاقات للتجری و عدمه، لا عن الدلیل و حجیتها، کما هو الظاهر، و هکذا یتفحص عن إمکان إدراج التجری فی قاعدة استحقاق العقاب علی القبیح و عدمه، و لذلک لیس قبح العصیان أیضا من المسائل الکلامیة، فإنها بحث کلی حول عنوان القبیح، و استحقاق العقوبة علیه، من غیر تعرض لخصوص مصداقه، عصیانا کان، أو تجریا،</w:t>
      </w:r>
      <w:bookmarkStart w:id="86" w:name="pg13170_166190"/>
    </w:p>
    <w:p>
      <w:pPr>
        <w:pStyle w:val="BookText"/>
        <w:rPr/>
      </w:pPr>
      <w:bookmarkEnd w:id="86"/>
      <w:r>
        <w:rPr>
          <w:rFonts w:ascii="IRNazanin" w:hAnsi="IRNazanin" w:eastAsia="IRNazanin"/>
          <w:color w:val="111111"/>
          <w:sz w:val="28"/>
          <w:sz w:val="28"/>
          <w:szCs w:val="28"/>
          <w:rtl w:val="true"/>
          <w:lang w:bidi="fa-IR"/>
        </w:rPr>
        <w:t xml:space="preserve">و مما ذکرنا یظهر مواقف النّظر فی کلمات جمع منهم </w:t>
      </w:r>
      <w:r>
        <w:rPr>
          <w:rStyle w:val="FootnoteAnchor"/>
          <w:rtl w:val="true"/>
        </w:rPr>
        <w:footnoteReference w:id="89"/>
      </w:r>
      <w:r>
        <w:rPr>
          <w:rFonts w:ascii="IRNazanin" w:hAnsi="IRNazanin" w:eastAsia="IRNazanin"/>
          <w:color w:val="111111"/>
          <w:sz w:val="28"/>
          <w:sz w:val="28"/>
          <w:szCs w:val="28"/>
          <w:rtl w:val="true"/>
          <w:lang w:bidi="fa-IR"/>
        </w:rPr>
        <w:t>،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حرمة التجری شرعا أو عقلا، لذاته، أو لعنوان عرضه، فیستنتج منه الصغریات الجزئیة، فتکون المسألة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کاف لکون المسألة أصولیة، ضرورة أنه إذا ثبت وجوب إکرام العلماء، یستنتج منه الصغریات الجزئیة، و یتشکل الشکل الأول، و لکنها قاعدة فقهیة کلیة، و مسألتنا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قیام الدلیل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أن التجری مثلا حرام، و هذا قانون فقهی کلی،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یمکن أن یبحث هنا فی أصل قاعدة الملازمة، و لکنه أجنبی عن مبحث التجری،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به تنحل معضلة التجری حکما، و هذا لا یورث کونه من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 یرجع إما إلی حرمة التجری بذاته، أو لأجل الأمر العارضی، أو حرمة المتجری به لذاته، أو لأمر عارضی، و إما إلی استحقاق العقوبة الملازم للتحریم الشرعی، أو مطلقا، و علی کل تکون فقهیة، لإمکان هذه المباحث حول الکذب، و الظلم، و شرب المسکر، و غیر ذلک من المقبحات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بعض التقادیر تعد من المبادئ التصوریة</w:t>
      </w:r>
      <w:r>
        <w:rPr>
          <w:rFonts w:eastAsia="IRNazanin" w:cs="IRNazanin"/>
          <w:color w:val="111111"/>
          <w:sz w:val="28"/>
          <w:szCs w:val="28"/>
          <w:rtl w:val="true"/>
          <w:lang w:bidi="fa-IR"/>
        </w:rPr>
        <w:t>.</w:t>
      </w:r>
    </w:p>
    <w:p>
      <w:pPr>
        <w:pStyle w:val="Heading5"/>
        <w:numPr>
          <w:ilvl w:val="4"/>
          <w:numId w:val="1"/>
        </w:numPr>
        <w:rPr/>
      </w:pPr>
      <w:bookmarkStart w:id="87" w:name="__RefHeading___Toc624307_3244359995"/>
      <w:bookmarkStart w:id="88" w:name="_Toc33"/>
      <w:bookmarkEnd w:id="87"/>
      <w:r>
        <w:rPr>
          <w:rtl w:val="true"/>
        </w:rPr>
        <w:t>إشکال و دفع</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لیست فقهیة، للزوم کون العبد</w:t>
      </w:r>
    </w:p>
    <w:p>
      <w:pPr>
        <w:pStyle w:val="BookText"/>
        <w:rPr/>
      </w:pPr>
      <w:r>
        <w:rPr>
          <w:rFonts w:ascii="IRNazanin" w:hAnsi="IRNazanin" w:eastAsia="IRNazanin"/>
          <w:color w:val="111111"/>
          <w:sz w:val="28"/>
          <w:sz w:val="28"/>
          <w:szCs w:val="28"/>
          <w:rtl w:val="true"/>
          <w:lang w:bidi="fa-IR"/>
        </w:rPr>
        <w:t>مستحقا للعقوبات غیر المتناهیة</w:t>
      </w:r>
      <w:r>
        <w:rPr>
          <w:rStyle w:val="FootnoteAnchor"/>
          <w:rtl w:val="true"/>
        </w:rPr>
        <w:footnoteReference w:id="90"/>
      </w:r>
      <w:r>
        <w:rPr>
          <w:rFonts w:ascii="IRNazanin" w:hAnsi="IRNazanin" w:eastAsia="IRNazanin"/>
          <w:color w:val="111111"/>
          <w:sz w:val="28"/>
          <w:sz w:val="28"/>
          <w:szCs w:val="28"/>
          <w:rtl w:val="true"/>
          <w:lang w:bidi="fa-IR"/>
        </w:rPr>
        <w:t xml:space="preserve">، کما عرفت فی البحث السابق تقریبه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فإن کون المسألة فقهیة، لا ینافی عدم تمامیة حکمها، لأجل الامتناع المحرر فی باب العصیان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التجری إذا ثبتت حرمته الشرعیة، یکون بعنوان التجری حراما، لا بعنوان أنه أمر واقعی یکون عصیانا، و هذا مما یکون فی مبدأ السلسلة، و لا یتجاوز إلی الحرمة المتعلقة بالتجری، فإنها حرمة واقعیة، لا تجری بالقیاس إلیها، فیقطع التسلسل، فما هو مورد البحث هو التجری المصطلح علیه المضاف إلی القطع المخالف للواقع، فلا تخلط، و کن علی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إما یکون بحسب المحمول، حول الحرمة المستفادة من إطلاقات العناوین الأولیة، أو المستفادة من القاعدة العقلیة، أو یکون حول قبح التجری، أو حول أنه یستحق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فکون المسألة فقهیة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الثالث، فهو بحث غلط، لأن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 الاستحقاق، بل یورثه لأجل کونه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فلا بأس بعده من المبادئ التصوریة لمسألة فقهیة، أو لمسألة کلامیة، و الأمر سهل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کونه قبیحا من المسألة الأصولیة</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قبح التجری إذا انضمت إلیه الکبری الکلامیة، یورث النتیجة المطلوبة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جعل قبح التجری کبری کلیة</w:t>
      </w:r>
      <w:r>
        <w:rPr>
          <w:rStyle w:val="FootnoteAnchor"/>
          <w:rtl w:val="true"/>
        </w:rPr>
        <w:footnoteReference w:id="93"/>
      </w:r>
      <w:r>
        <w:rPr>
          <w:rFonts w:ascii="IRNazanin" w:hAnsi="IRNazanin" w:eastAsia="IRNazanin"/>
          <w:color w:val="111111"/>
          <w:sz w:val="28"/>
          <w:sz w:val="28"/>
          <w:szCs w:val="28"/>
          <w:rtl w:val="true"/>
          <w:lang w:bidi="fa-IR"/>
        </w:rPr>
        <w:t>، فهو بلا أثر، مثلا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العمل الکذائی تجر، و التجری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العمل المزبور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ینفع الأصولی فی الفقه إلا بعد ما إذا تشکل القیاس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التجری قبیح، و کل قبیح یستلزم العقوبة، فالتجری یستلزم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w:t>
      </w:r>
      <w:r>
        <w:rPr>
          <w:rFonts w:eastAsia="IRNazanin" w:cs="IRNazanin"/>
          <w:color w:val="111111"/>
          <w:sz w:val="28"/>
          <w:szCs w:val="28"/>
          <w:rtl w:val="true"/>
          <w:lang w:bidi="fa-IR"/>
        </w:rPr>
        <w:t>.</w:t>
      </w:r>
      <w:bookmarkStart w:id="89" w:name="pg13170_166193"/>
    </w:p>
    <w:p>
      <w:pPr>
        <w:pStyle w:val="Heading4"/>
        <w:numPr>
          <w:ilvl w:val="3"/>
          <w:numId w:val="1"/>
        </w:numPr>
        <w:rPr/>
      </w:pPr>
      <w:bookmarkStart w:id="90" w:name="__RefHeading___Toc624309_3244359995"/>
      <w:bookmarkStart w:id="91" w:name="_Toc34"/>
      <w:bookmarkEnd w:id="89"/>
      <w:bookmarkEnd w:id="90"/>
      <w:r>
        <w:rPr>
          <w:rtl w:val="true"/>
        </w:rPr>
        <w:t>الجهة الثالثة فی عرض الأقوال فی التجری</w:t>
      </w:r>
      <w:bookmarkEnd w:id="91"/>
    </w:p>
    <w:p>
      <w:pPr>
        <w:pStyle w:val="BookText"/>
        <w:rPr/>
      </w:pPr>
      <w:r>
        <w:rPr>
          <w:rFonts w:ascii="IRNazanin" w:hAnsi="IRNazanin" w:eastAsia="IRNazanin"/>
          <w:color w:val="111111"/>
          <w:sz w:val="28"/>
          <w:sz w:val="28"/>
          <w:szCs w:val="28"/>
          <w:rtl w:val="true"/>
          <w:lang w:bidi="fa-IR"/>
        </w:rPr>
        <w:t>الأقوال و الوجوه فی مسألة التجری کثیرة، لا بأس بالإشارة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فی موارد التجری لا تکون حرمة شرعیة، و یکون العمل المتجری به باقیا علی حکمه الأولی و حسنه و محبوبیته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یستکشف سوء سریرته، و هو لا یقتضی إلا اللوم، کما فی مورد البخل و الحسد، و نحوهما من الأوصاف المذمومة التی لا یترتب علیها استحقاق العقاب ما لم تبرز فی الخارج مثلا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غیره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اقتضاء التجری القبح الفاعلی، دون الفعلی، و یکفی لاستحقاق العقوبة انطباق العنوان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غیر أن یکون عنوانا محرما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الصادر له جنبتان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ذاته، و جنبة وجوده و صدوره، فمن حیث الذات لا قبح، و من حیث الصدور قبیح و لا یستحق العقوبة، لأن مناط الاستحقاق هو القبح الفاعلی المتولد من قبح الفعل، لا من سوء السریرة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المتجری یستحق العقوبة لمجرد العزم علی العصیان محضا، من</w:t>
      </w:r>
    </w:p>
    <w:p>
      <w:pPr>
        <w:pStyle w:val="BookText"/>
        <w:rPr/>
      </w:pPr>
      <w:r>
        <w:rPr>
          <w:rFonts w:ascii="IRNazanin" w:hAnsi="IRNazanin" w:eastAsia="IRNazanin"/>
          <w:color w:val="111111"/>
          <w:sz w:val="28"/>
          <w:sz w:val="28"/>
          <w:szCs w:val="28"/>
          <w:rtl w:val="true"/>
          <w:lang w:bidi="fa-IR"/>
        </w:rPr>
        <w:t>غیر ارتباط بینه و بین الفعل المتجری به، نظرا إلی أن التجری من الأمور الجوانحیة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الاستحقاق و الحرمة الشرعیة، لأجل العنوان الطارئ علیه، و لکن ذلک فی صورة مغلوبیة الملاکات الواقعیة بالنسبة إلی ملاک التجری، فربما یکون بالعکس، فیکون الفعل باقیا علی حاله الأولیة، و ذلک کما إذا اعتقد خمریة ماء، ثم تبین مائیته المباحة، فإن الغلبة مع ملاک العنوان الطارئ، و لو تبین أنه کان یجب شربه فربما یبقی الفعل علی حاله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الشرعیة مطلقا، نظرا إلی أن ملاک التجری أقوی دائما بالقیاس إلی تلک الملاکات، و ذلک لأن قبحه ذاتی لا یختلف بالوجوه و الاعتبارات، کقبح الظلم و حرمته، فیکون المتجری به حراما و لو کان بحسب الواقع واجبا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حرام حسب الأدلة الأولیة، لا الاستکشاف العقلی، فلا یهمنا أن یکون قبیحا، أم لا، أو یسری قبحه إلی الفعل وجودا، أو لا یسری، و علی السرایة یسری إلی ذات الفعل، أم لا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الموارد التی لها الإضافة إلی الخارج، و یکون هناک الفعل المتجری به، کما فی التکالیف التی لها متعلق المتعلق، نظیر شرب الخمر، و إکرام العالم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الفعل المتجری به، کما إذا اعتقد وجوب صلاة الجمعة،</w:t>
      </w:r>
    </w:p>
    <w:p>
      <w:pPr>
        <w:pStyle w:val="BookText"/>
        <w:rPr/>
      </w:pPr>
      <w:r>
        <w:rPr>
          <w:rFonts w:ascii="IRNazanin" w:hAnsi="IRNazanin" w:eastAsia="IRNazanin"/>
          <w:color w:val="111111"/>
          <w:sz w:val="28"/>
          <w:sz w:val="28"/>
          <w:szCs w:val="28"/>
          <w:rtl w:val="true"/>
          <w:lang w:bidi="fa-IR"/>
        </w:rPr>
        <w:t>ثم ترکها تجریا فی الوقت المضروب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الأولی یمکن أن یقال بحرمة الفعل، دون الثانیة، فلا بد عندئذ من التفصیل، ففیما کان من قبیل الأولی یکون الفعل مورد القبح و الاستحقاق و الحرمة، و فی غیره یکون نفس عنوان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القبیح أو الحرام، هو ذات عنوان التجری دون فعله، لامتناع التفکیک مثلا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 بالنسبة إلی متعلق التکلیف أیضا، ربما یکون له المتجری به، کما إذا اعتقد حرمة صلاة الجمعة فارتکبها، ثم تبین وجوبها، أو اعتقد حرمة ذبح الشاة فی الحج مثلا، ثم تبین وجوبه، فما یظهر من القوم فی مسألة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تخیل الملازمة بین التجری و المتجری به، غیر صحیح</w:t>
      </w:r>
      <w:r>
        <w:rPr>
          <w:rFonts w:eastAsia="IRNazanin" w:cs="IRNazanin"/>
          <w:color w:val="111111"/>
          <w:sz w:val="28"/>
          <w:szCs w:val="28"/>
          <w:rtl w:val="true"/>
          <w:lang w:bidi="fa-IR"/>
        </w:rPr>
        <w:t>.</w:t>
      </w:r>
      <w:bookmarkStart w:id="92" w:name="pg13170_166196"/>
    </w:p>
    <w:p>
      <w:pPr>
        <w:pStyle w:val="Heading4"/>
        <w:numPr>
          <w:ilvl w:val="3"/>
          <w:numId w:val="1"/>
        </w:numPr>
        <w:rPr/>
      </w:pPr>
      <w:bookmarkStart w:id="93" w:name="__RefHeading___Toc624311_3244359995"/>
      <w:bookmarkStart w:id="94" w:name="_Toc35"/>
      <w:bookmarkEnd w:id="92"/>
      <w:bookmarkEnd w:id="93"/>
      <w:r>
        <w:rPr>
          <w:rtl w:val="true"/>
        </w:rPr>
        <w:t>الجهة الرابعة فی المختار من حکم التجری</w:t>
      </w:r>
      <w:bookmarkEnd w:id="94"/>
    </w:p>
    <w:p>
      <w:pPr>
        <w:pStyle w:val="BookText"/>
        <w:rPr/>
      </w:pPr>
      <w:r>
        <w:rPr>
          <w:rFonts w:ascii="IRNazanin" w:hAnsi="IRNazanin" w:eastAsia="IRNazanin"/>
          <w:color w:val="111111"/>
          <w:sz w:val="28"/>
          <w:sz w:val="28"/>
          <w:szCs w:val="28"/>
          <w:rtl w:val="true"/>
          <w:lang w:bidi="fa-IR"/>
        </w:rPr>
        <w:t>من الأقوال و الوجوه التی ذکرناها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یقع فی مسائل لا یجمعها بحث واحد، و ذلک لأن البحث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أن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حراما شرعا، أو قبیحا عقلا، و یستحق العقوبة علیه، أم لا؟ من غیر النّظر إلی الفعل المتجری به،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التجری ما لا یکون له الفعل المتجری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أن الفعل المتجری به، هل یمکن أن یکون محرما شرعا، و هکذا إلی آخره؟</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الفعل المتجری به إذا کان بحسب الواقع واجبا، هل یسقط أمره و لو کان عبادیا، أم لا، أو یفصل بین فرضی التوصلیة و العبادیة؟</w:t>
      </w:r>
    </w:p>
    <w:p>
      <w:pPr>
        <w:pStyle w:val="BookText"/>
        <w:rPr/>
      </w:pPr>
      <w:r>
        <w:rPr>
          <w:rFonts w:ascii="IRNazanin" w:hAnsi="IRNazanin" w:eastAsia="IRNazanin"/>
          <w:color w:val="111111"/>
          <w:sz w:val="28"/>
          <w:sz w:val="28"/>
          <w:szCs w:val="28"/>
          <w:rtl w:val="true"/>
          <w:lang w:bidi="fa-IR"/>
        </w:rPr>
        <w:t>فهناک ثلاث مسائل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الجهات، فیتمحض البحث فی تلک المسائل، و لا بأس بالإشارة إلی کل واحدة منها، مع ما یمکن أن یکون دلیلا علیها</w:t>
      </w:r>
      <w:r>
        <w:rPr>
          <w:rFonts w:eastAsia="IRNazanin" w:cs="IRNazanin"/>
          <w:color w:val="111111"/>
          <w:sz w:val="28"/>
          <w:szCs w:val="28"/>
          <w:rtl w:val="true"/>
          <w:lang w:bidi="fa-IR"/>
        </w:rPr>
        <w:t>.</w:t>
      </w:r>
      <w:bookmarkStart w:id="95" w:name="pg13170_166197"/>
    </w:p>
    <w:p>
      <w:pPr>
        <w:pStyle w:val="Heading4"/>
        <w:numPr>
          <w:ilvl w:val="3"/>
          <w:numId w:val="1"/>
        </w:numPr>
        <w:rPr/>
      </w:pPr>
      <w:bookmarkStart w:id="96" w:name="__RefHeading___Toc624313_3244359995"/>
      <w:bookmarkStart w:id="97" w:name="_Toc36"/>
      <w:bookmarkEnd w:id="95"/>
      <w:bookmarkEnd w:id="96"/>
      <w:r>
        <w:rPr>
          <w:rtl w:val="true"/>
        </w:rPr>
        <w:t>المسألة الأولی هل التجری</w:t>
      </w:r>
      <w:r>
        <w:rPr>
          <w:rtl w:val="true"/>
        </w:rPr>
        <w:t xml:space="preserve">- </w:t>
      </w:r>
      <w:r>
        <w:rPr>
          <w:rtl w:val="true"/>
        </w:rPr>
        <w:t>بما هو تجر</w:t>
      </w:r>
      <w:r>
        <w:rPr>
          <w:rtl w:val="true"/>
        </w:rPr>
        <w:t xml:space="preserve">- </w:t>
      </w:r>
      <w:r>
        <w:rPr>
          <w:rtl w:val="true"/>
        </w:rPr>
        <w:t>حرام شرعا، أم لا؟</w:t>
      </w:r>
      <w:bookmarkEnd w:id="97"/>
    </w:p>
    <w:p>
      <w:pPr>
        <w:pStyle w:val="Heading5"/>
        <w:numPr>
          <w:ilvl w:val="4"/>
          <w:numId w:val="1"/>
        </w:numPr>
        <w:rPr/>
      </w:pPr>
      <w:bookmarkStart w:id="98" w:name="__RefHeading___Toc624315_3244359995"/>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و هذا یرجع إلی أن هذا العنوان الّذی لا تخلف له عن الواقع، یکون محرما فی الشریعة، کسائر العناوین المحرمة،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 من الانتزاعیات، فلا یقبل التحریم، فهو فاسد، لأن القدرة علی المنشأ و مبادئه، تکفی لتحریمه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کتحریم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یستلزم العقوبات غیر المتناهیة، و یستتبع الخلود</w:t>
      </w:r>
      <w:r>
        <w:rPr>
          <w:rStyle w:val="FootnoteAnchor"/>
          <w:rtl w:val="true"/>
        </w:rPr>
        <w:footnoteReference w:id="102"/>
      </w:r>
      <w:r>
        <w:rPr>
          <w:rFonts w:ascii="IRNazanin" w:hAnsi="IRNazanin" w:eastAsia="IRNazanin"/>
          <w:color w:val="111111"/>
          <w:sz w:val="28"/>
          <w:sz w:val="28"/>
          <w:szCs w:val="28"/>
          <w:rtl w:val="true"/>
          <w:lang w:bidi="fa-IR"/>
        </w:rPr>
        <w:t xml:space="preserve">، فهو فی محله حسب المذاق العقلائی، و أما حسب الإدراک العقلی، فقد فرغنا من إمکانه فی وجه خاص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یمکن أن یکون المحرم التجری الاصطلاحی، دون التجری المشترک بینه و بین العصیان، و النهی المتعلق بالتجری یکون مخالفته عصیانا، لا تجریا حسب الاصطلاح، فلا ینبغی الخلط بین التجری و العصیان، کما یستشم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التصریح بحرمة العصیان الأول، لا عصیان النهی المتعلق بالعصیان علی نعت الانحلال، و هکذا فی باب التجری، فلا تخلط، فإمکان تحریم التجری مما لا مناقشة فیه، و إنما المناقشة فی دلیله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تحریم التجری بما هو هو، لما لا یتمکن المولی من زجر العبد عنه، ضرورة أن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نفسه عاصیا، فلا یبقی مورد لأن ینزجر عن النهی المزبور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لأجل هذه الشبهة و بعض ما مر التزم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بامتناع قبول عنوان التجری للتحریم الشرعی، سواء فیه التحریم حسب الدلیل النقلی، أو العقلی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فیما مر عمومیة محل النزاع فی مسألة التجری، و أن مخالفة سائر الطرق و الأمارات تکون من التجری </w:t>
      </w:r>
      <w:r>
        <w:rPr>
          <w:rStyle w:val="FootnoteAnchor"/>
          <w:rtl w:val="true"/>
        </w:rPr>
        <w:footnoteReference w:id="107"/>
      </w:r>
      <w:r>
        <w:rPr>
          <w:rFonts w:ascii="IRNazanin" w:hAnsi="IRNazanin" w:eastAsia="IRNazanin"/>
          <w:color w:val="111111"/>
          <w:sz w:val="28"/>
          <w:sz w:val="28"/>
          <w:szCs w:val="28"/>
          <w:rtl w:val="true"/>
          <w:lang w:bidi="fa-IR"/>
        </w:rPr>
        <w:t>، و لا شبهة فی أن المتخلف عنها یحتمل تجریه و عصیانه معا، فتحریمه ممکن بالنسبة إلیها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إمکان ترشح الإرادة القانونیة بالنسبة إلی التجری فی موارد الطرق و الأمارات، یمکن أن تکون الحرمة فعلیة فی موارد القطع أیضا، لما تحرر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فعلیة الحکم بالنسبة إلی الغافل فی مجموع عمره، و هکذا العاجز و غیرهما</w:t>
      </w:r>
      <w:r>
        <w:rPr>
          <w:rStyle w:val="FootnoteAnchor"/>
          <w:rtl w:val="true"/>
        </w:rPr>
        <w:footnoteReference w:id="108"/>
      </w:r>
      <w:r>
        <w:rPr>
          <w:rFonts w:ascii="IRNazanin" w:hAnsi="IRNazanin" w:eastAsia="IRNazanin"/>
          <w:color w:val="111111"/>
          <w:sz w:val="28"/>
          <w:sz w:val="28"/>
          <w:szCs w:val="28"/>
          <w:rtl w:val="true"/>
          <w:lang w:bidi="fa-IR"/>
        </w:rPr>
        <w:t>، و یکون التجری فی موارد القطع محرما شرعا أیضا، و تصح العقوبة علی التخلف عن الواقع، و هو حرمة التجری بلا عذر عند العقلاء،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إمکان أن یکون المولی مصرحا بحرمة العصیان الأعم من الواقعی و التخیلی، فمن کان عارفا بهذا الحکم، یری أنه فی صورة قطعه بحکم کذا 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علی الواقع، و عقوبة إما علی العصیان، أو التجری، فلو تخلف بعد ما حصل له القطع لا یعد معذورا، و لا یمتنع علی المولی أن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القانون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العصیان الأعم، لأنه فی صورة القطع یمکن الانزجار عن نهیه فی الجملة، و هو کاف فی الخطابات القانونیة، حسب ما تحرر تفصیله فی بحوث الترتب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مرحلة الثبوت و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مرحلة الإثبات، فما یمکن أن یکون دلیلا علی التحریم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Style w:val="FootnoteAnchor"/>
          <w:rtl w:val="true"/>
        </w:rPr>
        <w:footnoteReference w:id="110"/>
      </w:r>
      <w:r>
        <w:rPr>
          <w:rFonts w:ascii="IRNazanin" w:hAnsi="IRNazanin" w:eastAsia="IRNazanin"/>
          <w:color w:val="111111"/>
          <w:sz w:val="28"/>
          <w:sz w:val="28"/>
          <w:szCs w:val="28"/>
          <w:rtl w:val="true"/>
          <w:lang w:bidi="fa-IR"/>
        </w:rPr>
        <w:t xml:space="preserve">، و قد قامت الشهرة و الاتفاق فی مسألة ظن ضیق الوقت و التأخیر علی العصیان، و استحقاق العقاب إذا تبین خلافه </w:t>
      </w:r>
      <w:r>
        <w:rPr>
          <w:rStyle w:val="FootnoteAnchor"/>
          <w:rtl w:val="true"/>
        </w:rPr>
        <w:footnoteReference w:id="111"/>
      </w:r>
      <w:r>
        <w:rPr>
          <w:rFonts w:ascii="IRNazanin" w:hAnsi="IRNazanin" w:eastAsia="IRNazanin"/>
          <w:color w:val="111111"/>
          <w:sz w:val="28"/>
          <w:sz w:val="28"/>
          <w:szCs w:val="28"/>
          <w:rtl w:val="true"/>
          <w:lang w:bidi="fa-IR"/>
        </w:rPr>
        <w:t>، و فی مسألة سلوک الطریق المظنون الضرر، بأن السفر حرام یتم فیه، و إن لم یکن ضرر واقعا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أخصیته من المدعی، و هو حرمة التجری مطلقا، لا فی خصوص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إجماع منقول یمکن الفتوی علی خلافه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الّذی تحرر منا سابقا خروج القطع الموضوعی الّذی یکون تمام</w:t>
      </w:r>
    </w:p>
    <w:p>
      <w:pPr>
        <w:pStyle w:val="BookText"/>
        <w:rPr/>
      </w:pPr>
      <w:r>
        <w:rPr>
          <w:rFonts w:ascii="IRNazanin" w:hAnsi="IRNazanin" w:eastAsia="IRNazanin"/>
          <w:color w:val="111111"/>
          <w:sz w:val="28"/>
          <w:sz w:val="28"/>
          <w:szCs w:val="28"/>
          <w:rtl w:val="true"/>
          <w:lang w:bidi="fa-IR"/>
        </w:rPr>
        <w:t>الموضوع للحکم عن هذه المسألة</w:t>
      </w:r>
      <w:r>
        <w:rPr>
          <w:rStyle w:val="FootnoteAnchor"/>
          <w:rtl w:val="true"/>
        </w:rPr>
        <w:footnoteReference w:id="113"/>
      </w:r>
      <w:r>
        <w:rPr>
          <w:rFonts w:ascii="IRNazanin" w:hAnsi="IRNazanin" w:eastAsia="IRNazanin"/>
          <w:color w:val="111111"/>
          <w:sz w:val="28"/>
          <w:sz w:val="28"/>
          <w:szCs w:val="28"/>
          <w:rtl w:val="true"/>
          <w:lang w:bidi="fa-IR"/>
        </w:rPr>
        <w:t>، لما لا تخلف له، و لعل الحکم فیما نحن فیه کذلک، و لذلک یشترک فیه الظن الموضوعی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کون الضرر تمام الموضوع أیضا، فیکون الحرام ذا عنوانین،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طائفة من الأخبار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معهم فیه</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تُصِیبَنَّ الَّذِینَ ظَلَمُوا مِنْکُمْ خَاصَّةً</w:t>
      </w:r>
      <w:r>
        <w:rPr>
          <w:rStyle w:val="FootnoteAnchor"/>
          <w:rtl w:val="true"/>
        </w:rPr>
        <w:footnoteReference w:id="115"/>
      </w:r>
      <w:r>
        <w:rPr>
          <w:rFonts w:ascii="IRNazanin" w:hAnsi="IRNazanin" w:eastAsia="IRNazanin"/>
          <w:color w:val="111111"/>
          <w:sz w:val="28"/>
          <w:sz w:val="28"/>
          <w:szCs w:val="28"/>
          <w:rtl w:val="true"/>
          <w:lang w:bidi="fa-IR"/>
        </w:rPr>
        <w:t xml:space="preserve">ناظر إلی هذه الطائفة من الذین لیسوا بظالمین، و لکنهم رضوا بفعالهم، و هکذا قصة قوم شعیب </w:t>
      </w:r>
      <w:r>
        <w:rPr>
          <w:rStyle w:val="FootnoteAnchor"/>
          <w:rtl w:val="true"/>
        </w:rPr>
        <w:footnoteReference w:id="116"/>
      </w:r>
      <w:r>
        <w:rPr>
          <w:rFonts w:ascii="IRNazanin" w:hAnsi="IRNazanin" w:eastAsia="IRNazanin"/>
          <w:color w:val="111111"/>
          <w:sz w:val="28"/>
          <w:sz w:val="28"/>
          <w:szCs w:val="28"/>
          <w:rtl w:val="true"/>
          <w:lang w:bidi="fa-IR"/>
        </w:rPr>
        <w:t>، و علی هذا یکون المتجری راضیا بالعصیان و الظلم، فیکون من العاصین، و هذا لا یکون إلا لأجل ممنوعیة التجری و حرمته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بفعل قوم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الراضی بمخالفة المولی مخالف و عاص، و المتجری راض بمخالفة المولی و إن لم تتفق المخالفة، و قضیة الطائفة الأخری أن القصد إلی المعصیة من المعصیة</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کتاب الطهارة، أبواب مقدمة العبادات،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خلد أهل النار فی النار، لأن نیاتهم کانت فی الدنیا أن لو خلدوا فیها أن یعصوا اللَّه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کتاب الطهارة، أبواب مقدمة العبادات،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المتجری یقصد المعصیة، فیکون التجری بعنوانه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و الآیات فی الطائفة الأولی، ربما کانت فی موقف ترک الأمر بالمعروف و النهی عن المنکر، ضرورة أن الراضی بفعل قوم یکون تارکا لما هو الواجب علیه، و هکذا کانت قصة قوم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تفید حرمة التجری إلا بالقیاس، ضرورة أن المفروض فیها قصد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أنها معارضة بخلافها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لیهم بالسیئة أن یعملها فلا تکتب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کتاب الطهارة، أبواب مقدمة العبادات،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بسیئة فلم یعملها لم تکتب علیه حتی یعملها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کتاب الطهارة، أبواب مقدمة العبادات،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النیات من أهل الفسق یؤخذ بها أهلها إذا لأخذ کل من نوی الزنا بالزنی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یؤخذ أهل الفسق حتی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کتاب الطهارة، أبواب مقدمة العبادات،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مع أن لازم ذلک أن یکون فی مورد المعصیة عقابان، و من شاء تفصیله فعلیه بالرجوع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أنها لا تخلو من مناقشات، إلا أنه من مراجعتها یظهر أن إمکان استفادة حرمة التجری علی الوجه المدعی فی المقام، مسدود جدا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 قبیح، و کل قبیح یستحق علیه العقوبة عقلا، فالتجری یستحق علیه العقوبة، ثم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العقوبة علی القبیح مما یحکم به العقل، و کل ما یحکم به العقل یحکم به الشرع، فالعقوبة علی القبیح مما یحکم به الشرع، فیکون التجری مما یعاقب علیه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الممنوعیة الشرعیة، و استحقاق العقوبة شرعا علی فعل شی‌ء</w:t>
      </w:r>
      <w:r>
        <w:rPr>
          <w:rFonts w:eastAsia="IRNazanin" w:cs="IRNazanin"/>
          <w:color w:val="111111"/>
          <w:sz w:val="28"/>
          <w:szCs w:val="28"/>
          <w:rtl w:val="true"/>
          <w:lang w:bidi="fa-IR"/>
        </w:rPr>
        <w:t>.</w:t>
      </w:r>
      <w:bookmarkStart w:id="100" w:name="pg13170_166202"/>
    </w:p>
    <w:p>
      <w:pPr>
        <w:pStyle w:val="BookText"/>
        <w:rPr/>
      </w:pPr>
      <w:bookmarkEnd w:id="100"/>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ارتکاب القبیح مما یحکم العقل بممنوعیته، فیکون التجری ممنوعا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بحوث لا بد من الإشارة إلیها علی إجمالها، حتی تتم بها مسألة التجری، و مشکلة الفعل المتجری به أیضا</w:t>
      </w:r>
      <w:r>
        <w:rPr>
          <w:rFonts w:eastAsia="IRNazanin" w:cs="IRNazanin"/>
          <w:color w:val="111111"/>
          <w:sz w:val="28"/>
          <w:szCs w:val="28"/>
          <w:rtl w:val="true"/>
          <w:lang w:bidi="fa-IR"/>
        </w:rPr>
        <w:t>:</w:t>
      </w:r>
    </w:p>
    <w:p>
      <w:pPr>
        <w:pStyle w:val="Heading5"/>
        <w:numPr>
          <w:ilvl w:val="4"/>
          <w:numId w:val="1"/>
        </w:numPr>
        <w:rPr/>
      </w:pPr>
      <w:bookmarkStart w:id="101" w:name="__RefHeading___Toc624317_3244359995"/>
      <w:bookmarkStart w:id="102" w:name="_Toc38"/>
      <w:bookmarkEnd w:id="101"/>
      <w:r>
        <w:rPr>
          <w:rtl w:val="true"/>
        </w:rPr>
        <w:t>البحث الأول</w:t>
      </w:r>
      <w:r>
        <w:rPr>
          <w:rtl w:val="true"/>
        </w:rPr>
        <w:t xml:space="preserve">: </w:t>
      </w:r>
      <w:r>
        <w:rPr>
          <w:rtl w:val="true"/>
        </w:rPr>
        <w:t>فی نفی القبح الذاتی للتجری</w:t>
      </w:r>
      <w:bookmarkEnd w:id="102"/>
    </w:p>
    <w:p>
      <w:pPr>
        <w:pStyle w:val="Heading6"/>
        <w:numPr>
          <w:ilvl w:val="5"/>
          <w:numId w:val="1"/>
        </w:numPr>
        <w:rPr/>
      </w:pPr>
      <w:bookmarkStart w:id="103" w:name="__RefHeading___Toc624319_3244359995"/>
      <w:bookmarkStart w:id="104" w:name="_Toc39"/>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قد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التجری قبیح، و أن قبحه ذاتی، لا یختلف بالوجوه و الاعتبارات الطارئة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القبح مما یؤخذ من عناوین المعصیة، و الظلم، و ترجیح المرجوح علی الراجح، بل و الترجیح بلا مرجح، و أمثال ذلک، و ما هو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التجزئة و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الجهة المشترکة، لامتناع انتزاع العنوان الواحد عن الکثیر بما هو کثیر، و إذا راجعنا تلک العناوین الکثیرة، یمکن أن نصل إلی أن کلا من التجری و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قبیحة لأجل قبح الظلم، لأن ما هو القبیح ذاتا و یکون القبح منتزعا عن صراح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هو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الظلم، فیکون قبح التجری و هکذا قبح المعصیة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ظلم إما لأنفسهم، أو للباری عز اسمه و المنعم الحقیقی، علی الوجه الخاصّ، فتأمل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قبح التجری ذاتیا اصطلاحا، فما هو القبیح هو الظلم، لا التجری، و علی هذا لو کان القبیح فی الشرع محکوما بحکم فرضا، فلا یمکن أن یکون التجری بعنوانه مورد ذلک الحکم، ضرورة أن الحیثیات التعلیلیة فی الأحکام العقلیة، ترجع إلی الحیثیات التقییدیة، و تکون عناوین موضوعاتها</w:t>
      </w:r>
      <w:r>
        <w:rPr>
          <w:rFonts w:eastAsia="IRNazanin" w:cs="IRNazanin"/>
          <w:color w:val="111111"/>
          <w:sz w:val="28"/>
          <w:szCs w:val="28"/>
          <w:rtl w:val="true"/>
          <w:lang w:bidi="fa-IR"/>
        </w:rPr>
        <w:t>.</w:t>
      </w:r>
      <w:bookmarkStart w:id="105" w:name="pg13170_166203"/>
    </w:p>
    <w:p>
      <w:pPr>
        <w:pStyle w:val="BookText"/>
        <w:rPr/>
      </w:pPr>
      <w:bookmarkEnd w:id="105"/>
      <w:r>
        <w:rPr>
          <w:rFonts w:ascii="IRNazanin" w:hAnsi="IRNazanin" w:eastAsia="IRNazanin"/>
          <w:color w:val="111111"/>
          <w:sz w:val="28"/>
          <w:sz w:val="28"/>
          <w:szCs w:val="28"/>
          <w:rtl w:val="true"/>
          <w:lang w:bidi="fa-IR"/>
        </w:rPr>
        <w:t>نعم، للشرع أن یحکم بحرمة التجری، لأجل أمر من الأمور، دون العقل، فلا تخلط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بناء علی هذا ینقلب القیاس المزبور من ناحیة صغراه، و یصیر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التجری ظلم، و الظلم قبیح، فالتجری قبیح، و کل قبیح یستحق العقوبة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فیتقوم حصول النتیجة بثلاثة قیاسات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نلقی احتماله، و علیک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قبح الظلم من الفطریات و الأحکام العقلیة، و مما یناله العقل الفطری العام الفارغ من کل غش، و من کل ظلمة، و أنه من المدرکات العقلیة عند کل ذی عقل؟</w:t>
      </w:r>
    </w:p>
    <w:p>
      <w:pPr>
        <w:pStyle w:val="BookText"/>
        <w:rPr/>
      </w:pPr>
      <w:r>
        <w:rPr>
          <w:rFonts w:ascii="IRNazanin" w:hAnsi="IRNazanin" w:eastAsia="IRNazanin"/>
          <w:color w:val="111111"/>
          <w:sz w:val="28"/>
          <w:sz w:val="28"/>
          <w:szCs w:val="28"/>
          <w:rtl w:val="true"/>
          <w:lang w:bidi="fa-IR"/>
        </w:rPr>
        <w:t>أو هو من الأمور الحاصلة فی المحیطات الخاصة، و فی الآفاق المعینة، و لأجل الإلقاءات و البناءات و التعالیم و الأقاویل؟</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علی الفرد لبقاء النوع، و التعدی علی الأفراد حفاظا علی النظام النوعیّ، لیس من الظلم علی الفرد وجدانا، أم هو ظلم و تعد بالقیاس إلی الفرد، و لکنه مما یدرک العقل حسنه بالقیاس إلی النوع و الأمر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الفعل ظلما من دون أن یکون الفاعل مقبحا، لما أنه ناظر إلی الخیر الأکثر، و أما بالقیاس إلی حال زید بن عمرو الشخصی، فإنه مظلوم، و فداء للأکثر، و تفاد للمجتمع، فلا یوصف الظلم فی کل حال بالقبح، و هکذا ربما لا یکون تجاوز الناس قبیحا، لما أن العادة و المسجل علی ذلک، فلا یدرکون القبح من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المخالفة من بعض الأمور الخارجة عن حد القارئین، لأشرت إلی ما هو الواقع فی الکون، مع ما هو جوابه المتین، و کفاک هذا رمزا</w:t>
      </w:r>
      <w:r>
        <w:rPr>
          <w:rFonts w:eastAsia="IRNazanin" w:cs="IRNazanin"/>
          <w:color w:val="111111"/>
          <w:sz w:val="28"/>
          <w:szCs w:val="28"/>
          <w:rtl w:val="true"/>
          <w:lang w:bidi="fa-IR"/>
        </w:rPr>
        <w:t>.</w:t>
      </w:r>
    </w:p>
    <w:p>
      <w:pPr>
        <w:pStyle w:val="Heading6"/>
        <w:numPr>
          <w:ilvl w:val="5"/>
          <w:numId w:val="1"/>
        </w:numPr>
        <w:rPr/>
      </w:pPr>
      <w:bookmarkStart w:id="106" w:name="__RefHeading___Toc624321_3244359995"/>
      <w:bookmarkStart w:id="107" w:name="_Toc40"/>
      <w:bookmarkEnd w:id="106"/>
      <w:r>
        <w:rPr>
          <w:rtl w:val="true"/>
        </w:rPr>
        <w:t>تنبیه</w:t>
      </w:r>
      <w:r>
        <w:rPr>
          <w:rtl w:val="true"/>
        </w:rPr>
        <w:t xml:space="preserve">: </w:t>
      </w:r>
      <w:r>
        <w:rPr>
          <w:rtl w:val="true"/>
        </w:rPr>
        <w:t>فی أن قبح الظلم لیس ذاتیا</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أن القبح، لیس ذاتیا للظلم حسب مصطلح باب الإیساغوجی،</w:t>
      </w:r>
      <w:bookmarkStart w:id="108" w:name="pg13170_166204"/>
    </w:p>
    <w:p>
      <w:pPr>
        <w:pStyle w:val="BookText"/>
        <w:rPr/>
      </w:pPr>
      <w:bookmarkEnd w:id="108"/>
      <w:r>
        <w:rPr>
          <w:rFonts w:ascii="IRNazanin" w:hAnsi="IRNazanin" w:eastAsia="IRNazanin"/>
          <w:color w:val="111111"/>
          <w:sz w:val="28"/>
          <w:sz w:val="28"/>
          <w:szCs w:val="28"/>
          <w:rtl w:val="true"/>
          <w:lang w:bidi="fa-IR"/>
        </w:rPr>
        <w:t>و الکلیات الخمس، فیکون جزء ذاته أو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ذاتی باب البرهان، فیکون من خارج المحمول، فهو أیضا مندفع بما أشیر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تنهدم کبری القیاس المتشکل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التجری ظلم، و کل ظلم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کتب الأصولیین و المتکلمین، بل و أحیانا فی بعض أساطیر أهل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القبح ذاتی الظلم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فی غیر محله، فضلا عن أن یکون ذاتی التجری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إدراک عقیب إدراک الظلم فی محیط خاص، و بالقیاس إلی جهة خاصة، ضرورة أن تضحیة الفرد و فداءه بداعی الأمر الأهم، ظلم بالقیاس إلی الفرد، و خیر بالقیاس إلی کلیة النظام، فلا یکون قبیحا فی الفرض الأول، و یعد حسنا بالقیاس إلی عموم العائلة النظامیة، فاغتنم</w:t>
      </w:r>
      <w:r>
        <w:rPr>
          <w:rFonts w:eastAsia="IRNazanin" w:cs="IRNazanin"/>
          <w:color w:val="111111"/>
          <w:sz w:val="28"/>
          <w:szCs w:val="28"/>
          <w:rtl w:val="true"/>
          <w:lang w:bidi="fa-IR"/>
        </w:rPr>
        <w:t>.</w:t>
      </w:r>
    </w:p>
    <w:p>
      <w:pPr>
        <w:pStyle w:val="Heading5"/>
        <w:numPr>
          <w:ilvl w:val="4"/>
          <w:numId w:val="1"/>
        </w:numPr>
        <w:rPr/>
      </w:pPr>
      <w:bookmarkStart w:id="109" w:name="__RefHeading___Toc624323_3244359995"/>
      <w:bookmarkStart w:id="110" w:name="_Toc41"/>
      <w:bookmarkEnd w:id="109"/>
      <w:r>
        <w:rPr>
          <w:rtl w:val="true"/>
        </w:rPr>
        <w:t>البحث الثانی</w:t>
      </w:r>
      <w:r>
        <w:rPr>
          <w:rtl w:val="true"/>
        </w:rPr>
        <w:t xml:space="preserve">: </w:t>
      </w:r>
      <w:r>
        <w:rPr>
          <w:rtl w:val="true"/>
        </w:rPr>
        <w:t>هل الظلم یستتبع العقوبة أم لا؟</w:t>
      </w:r>
      <w:bookmarkEnd w:id="110"/>
    </w:p>
    <w:p>
      <w:pPr>
        <w:pStyle w:val="Heading6"/>
        <w:numPr>
          <w:ilvl w:val="5"/>
          <w:numId w:val="1"/>
        </w:numPr>
        <w:rPr/>
      </w:pPr>
      <w:bookmarkStart w:id="111" w:name="__RefHeading___Toc624325_3244359995"/>
      <w:bookmarkStart w:id="112" w:name="_Toc42"/>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قد اشتهر بینهم و بین أهل التکلم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قبیح یستحق العقوبة علیه عقلا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نهایة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نهایة الأفکار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المقبحات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ترجیح المرجوح علی الراجح، و أمثال ذلک، کالإقدام علی ما لا یؤمن معه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تستتبع</w:t>
      </w:r>
    </w:p>
    <w:p>
      <w:pPr>
        <w:pStyle w:val="BookText"/>
        <w:rPr/>
      </w:pPr>
      <w:r>
        <w:rPr>
          <w:rFonts w:ascii="IRNazanin" w:hAnsi="IRNazanin" w:eastAsia="IRNazanin"/>
          <w:color w:val="111111"/>
          <w:sz w:val="28"/>
          <w:sz w:val="28"/>
          <w:szCs w:val="28"/>
          <w:rtl w:val="true"/>
          <w:lang w:bidi="fa-IR"/>
        </w:rPr>
        <w:t>صحة المؤاخذة بالضرورة، لإمکان تدخل الشرع فی ذلک بتجویزه، مع عدم مساعدة العقل و لا العقلاء علی المؤاخذة علی کل قبیح بالضرورة،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القبح لهما إطلاقان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منهما الحسن و القبح العقلیان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القبح العقلائیان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مقصود القائلین بأن القبح یستتبع صحة المؤاخذة، هو العقلی، لا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أنکر الأشعری الحسن و القبح العقلیین </w:t>
      </w:r>
      <w:r>
        <w:rPr>
          <w:rStyle w:val="FootnoteAnchor"/>
          <w:rtl w:val="true"/>
        </w:rPr>
        <w:footnoteReference w:id="122"/>
      </w:r>
      <w:r>
        <w:rPr>
          <w:rFonts w:ascii="IRNazanin" w:hAnsi="IRNazanin" w:eastAsia="IRNazanin"/>
          <w:color w:val="111111"/>
          <w:sz w:val="28"/>
          <w:sz w:val="28"/>
          <w:szCs w:val="28"/>
          <w:rtl w:val="true"/>
          <w:lang w:bidi="fa-IR"/>
        </w:rPr>
        <w:t>، لإنکاره الاختیار، دون العقلائیین، مع أن الذین هجموا علیهم خلطوا بینهما</w:t>
      </w:r>
      <w:r>
        <w:rPr>
          <w:rStyle w:val="FootnoteAnchor"/>
          <w:rtl w:val="true"/>
        </w:rPr>
        <w:footnoteReference w:id="123"/>
      </w:r>
      <w:r>
        <w:rPr>
          <w:rFonts w:ascii="IRNazanin" w:hAnsi="IRNazanin" w:eastAsia="IRNazanin"/>
          <w:color w:val="111111"/>
          <w:sz w:val="28"/>
          <w:sz w:val="28"/>
          <w:szCs w:val="28"/>
          <w:rtl w:val="true"/>
          <w:lang w:bidi="fa-IR"/>
        </w:rPr>
        <w:t>، فإنه بناء علی صحة مرامهم فی باب العلل و المعالیل، یتم مسلکهم هنا، و إنما الشأن فساد مشربهم فی مسألة الاختیار و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ما هو القبیح عقلا یستتبع صحة العقاب، و لیس هو إلا الظلم، و سائر العناوین کلها ترجع إلیه، کعنوان المعصیة، و التجری، و المخالفة، و الهتک، و الإهانة، لما مر من أن هذه الکثیر ترجع إلی واحد فی المدارک العقلیة، و ذلک الواحد هو الظلم، و علی هذا یکون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مستتبعا لجواز العقاب، و لیس للعناوین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مدخلیة، للزوم الخلط بین المقبحات العرفیة و العقلائیة، و العقلیة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فهل الظلم بما هو ظلم یستتبع العقوبة، أم لا؟ حتی یکون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مستتبعا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هو الحق فی هذا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العقاب و الثواب إما یکونان مجعولین، أو یکونان ملازمین للأفعال السیئة التی کشف عنها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فی هذه المسألة بالجعل، فلا معنی لاستحقاق العقوبة علی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جعل الشرع عقابا علیه، و حیث إنه لیس فی الشریعة لعنوان الظلم عقاب مجعول، بل العقاب مجعول علی العناوین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الغصب، و القتل، و ضرب الیتیم، و أکل مال الغیر، و قطع الطریق،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لاستحقاق العقوبة علی الظلم بما هو ظلم، بل العبد إذا ارتکب إحدی المحرمات الشرعیة، یستحق العقوبة علیها بالضرورة،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 من التحذیر من الظلم فی الآیات،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التحذیر مما هو المحرم شرعا، و المجعول علیه العقاب، ضرورة أنه لو کان للغصب عقاب، و لشرب المسکر عقاب، و للظلم عقاب، یلزم تعدد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جعل العقاب علی الظلم، لا یمکن إلا باعتبار تحریم الظلم شرعا، و تحریمه ممتنع، ضرورة أنه یلزم اجتماع الإرادتین التأسیسیین المستقلتین فی مثل الغصب و غیره، لأنه باعتبار الغصب منهی، و باعتبار الظلم منهی بنهی آخر، و هذا لا یعقل إلا بین العناوین التی بینها العموم من وجه، و بین الظلم و الغصب و سائر العناوین المحرمة، عموم و خصوص مطلق، و قد مر منا توضیح امتناعه بما لا مزید علیه مرارا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العقاب من المجعولات الشرعیة</w:t>
      </w:r>
      <w:r>
        <w:rPr>
          <w:rStyle w:val="FootnoteAnchor"/>
          <w:rtl w:val="true"/>
        </w:rPr>
        <w:footnoteReference w:id="125"/>
      </w:r>
      <w:r>
        <w:rPr>
          <w:rFonts w:ascii="IRNazanin" w:hAnsi="IRNazanin" w:eastAsia="IRNazanin"/>
          <w:color w:val="111111"/>
          <w:sz w:val="28"/>
          <w:sz w:val="28"/>
          <w:szCs w:val="28"/>
          <w:rtl w:val="true"/>
          <w:lang w:bidi="fa-IR"/>
        </w:rPr>
        <w:t>، فاستحقاق العقوبة علی الظلم تابع جعل المولی، و هذا غیر ممکن بالنسبة إلی عنوان الظلم، إلا بأن یرجع جمیع المحرمات إلی حرمة الظلم، و هذا مما لا یلتزم به أحد، فحرمة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ممتنعة، و استحقاق العقوبة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هذا المبنی فی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أیضا،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تشکیل القیاس علی الوجه الّذی مر توضیحه،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ینبغی أن یتشکل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التجری ظلم، و الظلم یستتبع العقوبة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الّذی یدرک قبحه یستتبع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القبح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الظلم فقط، لا 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یستتبع العقوبة، فالتجری یصح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ممنوعیة الکبری لو کان استتباع العقاب، بمعنی أن الظلم و القبح العقلیین، یستتبعان العقاب المجعول علیهما، و قد تبین أنه لا عقاب مجعول علی عنوان الظلم، و لا المقبح العقلی فی الشریعة، و لا یمکن 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استتباع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یری صحة العقوبة علیه و إن لم یکن مجعولا فی الشریعة، و لم یخبر به الرسول صلی الله علیه و آله </w:t>
      </w:r>
      <w:r>
        <w:rPr>
          <w:rStyle w:val="FootnoteAnchor"/>
          <w:rtl w:val="true"/>
        </w:rPr>
        <w:footnoteReference w:id="126"/>
      </w:r>
      <w:r>
        <w:rPr>
          <w:rFonts w:ascii="IRNazanin" w:hAnsi="IRNazanin" w:eastAsia="IRNazanin"/>
          <w:color w:val="111111"/>
          <w:sz w:val="28"/>
          <w:sz w:val="28"/>
          <w:szCs w:val="28"/>
          <w:rtl w:val="true"/>
          <w:lang w:bidi="fa-IR"/>
        </w:rPr>
        <w:t>فإنه أیضا من العقاب الجعلی، إلا أنه جعلی غیر مجعول فی الشریعة، فی قبال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العقاب من تبعات الأعمال و الأخلاق، و من تجسم الأفعال و الأفکار</w:t>
      </w:r>
      <w:r>
        <w:rPr>
          <w:rStyle w:val="FootnoteAnchor"/>
          <w:rtl w:val="true"/>
        </w:rPr>
        <w:footnoteReference w:id="127"/>
      </w:r>
      <w:r>
        <w:rPr>
          <w:rFonts w:ascii="IRNazanin" w:hAnsi="IRNazanin" w:eastAsia="IRNazanin"/>
          <w:color w:val="111111"/>
          <w:sz w:val="28"/>
          <w:sz w:val="28"/>
          <w:szCs w:val="28"/>
          <w:rtl w:val="true"/>
          <w:lang w:bidi="fa-IR"/>
        </w:rPr>
        <w:t>، فالحق أیضا أنه غیر تام، و ذلک لأنه فی الشریعة تکون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مجعولة علی المحرمات مثلا، و العبد یستحقها عند التخلف، سواء أدرک قبح الظلم، أم لم یدرک، و سواء أدرک صحة العقوبة علی القبیح، أم لم یدرک، فإنه إذا أدرک لزوم اتباع النواهی و المحرمات الإلهیة مثلا، فإن تخلف و عصی یستحق المجعول عند کافة العقول، إلا الأشعری، فإنه یمنع ذلک، لإنکاره الاختیار عقلا، و یری ذلک عرفا و عقلا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ارتکاب المقبح العقلی و الظلم مستلزما لجواز العقاب، یلزم تعدد الاستحقاق فیما إذا عصی سیده، ضرورة أن ارتکاب المحرم الشرعی، یوجب عقوبة مجعولة فی الشریعة، و ارتکاب الممنوع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عقابا آخر، و هذا مما لا یمکن الالتزام به، فدعوی أن درک القبح العقلی یلازم درک جواز العقاب،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المحرم الشرعی هو القبیح العقلائی، و لیس شی‌ء آخر قبیحا</w:t>
      </w:r>
      <w:r>
        <w:rPr>
          <w:rStyle w:val="FootnoteAnchor"/>
          <w:rtl w:val="true"/>
        </w:rPr>
        <w:footnoteReference w:id="129"/>
      </w:r>
      <w:r>
        <w:rPr>
          <w:rFonts w:ascii="IRNazanin" w:hAnsi="IRNazanin" w:eastAsia="IRNazanin"/>
          <w:color w:val="111111"/>
          <w:sz w:val="28"/>
          <w:sz w:val="28"/>
          <w:szCs w:val="28"/>
          <w:rtl w:val="true"/>
          <w:lang w:bidi="fa-IR"/>
        </w:rPr>
        <w:t>، فهو واضح الفساد، و لا ینفع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استحقاق العقوبة علی العصیان، لا یستتبع إلا العقاب المجعول </w:t>
      </w:r>
      <w:r>
        <w:rPr>
          <w:rStyle w:val="FootnoteAnchor"/>
          <w:rtl w:val="true"/>
        </w:rPr>
        <w:footnoteReference w:id="130"/>
      </w:r>
      <w:r>
        <w:rPr>
          <w:rFonts w:ascii="IRNazanin" w:hAnsi="IRNazanin" w:eastAsia="IRNazanin"/>
          <w:color w:val="111111"/>
          <w:sz w:val="28"/>
          <w:sz w:val="28"/>
          <w:szCs w:val="28"/>
          <w:rtl w:val="true"/>
          <w:lang w:bidi="fa-IR"/>
        </w:rPr>
        <w:t>، لأنه من تخصیص القاعدة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بعضهم </w:t>
      </w:r>
      <w:r>
        <w:rPr>
          <w:rStyle w:val="FootnoteAnchor"/>
          <w:rtl w:val="true"/>
        </w:rPr>
        <w:footnoteReference w:id="131"/>
      </w:r>
      <w:r>
        <w:rPr>
          <w:rFonts w:ascii="IRNazanin" w:hAnsi="IRNazanin" w:eastAsia="IRNazanin"/>
          <w:color w:val="111111"/>
          <w:sz w:val="28"/>
          <w:sz w:val="28"/>
          <w:szCs w:val="28"/>
          <w:rtl w:val="true"/>
          <w:lang w:bidi="fa-IR"/>
        </w:rPr>
        <w:t xml:space="preserve">، و لو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التهاتر القهری فهو واضح المنع، لأن العقاب الجعلی لا یعقل تداخله القهری، بعد اختلاف العناوین، و موجبات الاستحقاق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استحقاق العقوبة علی المقبح العقلی الّذی هو الظلم المدرک قبحه، و لا شی‌ء آخر قبیحا إلا لأجل کونه ظلما، فیکون لأجل الظلم مستتبع العقوبة، فی غایة الامتناع، ضرورة أنه فی الشریعة ربما یکون مثل الغصب و القتل، محرما شرعا و ظلما، فلو کان القول المعروف صحیحا، للزم أن یستحق العبد العقوبة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علی الغصب، و مرة علی الظلم الّذی هو الغصب و القتل، و مرة علی العصیان، بل و مرة رابعة علی عصیان الرسول الباطنی، و هو العقل حیث منعه عن الغصب بما أنه ظلم، 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هتک المولی، بخرق حجابه، و الدخول</w:t>
      </w:r>
      <w:bookmarkStart w:id="113" w:name="pg13170_166209"/>
    </w:p>
    <w:p>
      <w:pPr>
        <w:pStyle w:val="BookText"/>
        <w:rPr/>
      </w:pPr>
      <w:bookmarkEnd w:id="113"/>
      <w:r>
        <w:rPr>
          <w:rFonts w:ascii="IRNazanin" w:hAnsi="IRNazanin" w:eastAsia="IRNazanin"/>
          <w:color w:val="111111"/>
          <w:sz w:val="28"/>
          <w:sz w:val="28"/>
          <w:szCs w:val="28"/>
          <w:rtl w:val="true"/>
          <w:lang w:bidi="fa-IR"/>
        </w:rPr>
        <w:t>فی سلطانه و هکذا، و لا ینبغی أن یشک أحد بعد ذلک إلا بأن المقبح العقلی، لا یترتب علیه شی‌ء، بناء علی مقالة الجعالة فی العقاب</w:t>
      </w:r>
      <w:r>
        <w:rPr>
          <w:rFonts w:eastAsia="IRNazanin" w:cs="IRNazanin"/>
          <w:color w:val="111111"/>
          <w:sz w:val="28"/>
          <w:szCs w:val="28"/>
          <w:rtl w:val="true"/>
          <w:lang w:bidi="fa-IR"/>
        </w:rPr>
        <w:t>.</w:t>
      </w:r>
    </w:p>
    <w:p>
      <w:pPr>
        <w:pStyle w:val="Heading6"/>
        <w:numPr>
          <w:ilvl w:val="5"/>
          <w:numId w:val="1"/>
        </w:numPr>
        <w:rPr/>
      </w:pPr>
      <w:bookmarkStart w:id="114" w:name="__RefHeading___Toc624327_3244359995"/>
      <w:bookmarkStart w:id="115" w:name="_Toc43"/>
      <w:bookmarkEnd w:id="114"/>
      <w:r>
        <w:rPr>
          <w:rtl w:val="true"/>
        </w:rPr>
        <w:t>وهم و دفع</w:t>
      </w:r>
      <w:r>
        <w:rPr>
          <w:rtl w:val="true"/>
        </w:rPr>
        <w:t xml:space="preserve">: </w:t>
      </w:r>
      <w:r>
        <w:rPr>
          <w:rtl w:val="true"/>
        </w:rPr>
        <w:t>حول مصادفة العاصی للواقع دون المتجری</w:t>
      </w:r>
      <w:bookmarkEnd w:id="115"/>
    </w:p>
    <w:p>
      <w:p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التجری و العصیان، مشترکان فیما یوجب الاستحقاق، و مختلفان فیما لا یوجب الاستحقاق، و هو الإصابة، و عدم الإصابة، و هما غیر اختیاریین </w:t>
      </w:r>
      <w:r>
        <w:rPr>
          <w:rStyle w:val="FootnoteAnchor"/>
          <w:rtl w:val="true"/>
        </w:rPr>
        <w:footnoteReference w:id="132"/>
      </w:r>
      <w:r>
        <w:rPr>
          <w:rFonts w:ascii="IRNazanin" w:hAnsi="IRNazanin" w:eastAsia="IRNazanin"/>
          <w:color w:val="111111"/>
          <w:sz w:val="28"/>
          <w:sz w:val="28"/>
          <w:szCs w:val="28"/>
          <w:rtl w:val="true"/>
          <w:lang w:bidi="fa-IR"/>
        </w:rPr>
        <w:t>، و علی هذا لا یستحق العبد العقاب المجعول، و یستحق العقاب غیر المجعول الحاکم به العقل، و هو ارتکاب المقبح العقلی و هو الظلم، و هذا هو اشتراک بین التجری و العصیان، و لا یتعدد العقاب بالقیاس إلی الأمور الخارجیة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و الواقعیات طرف القضیة المنتهیة إلی استحقاق العبد العقوبة، فإنه بدونهما لا یحصل الامتحان، و إن جمیع الأوامر و النواهی امتحانیة، فیکون العقاب علی أمر یشترک فیه المتجری و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کونها امتحانیة، فلما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الواقعیات غیر اختیاریة، فلا معنی لکون الأمر و النهی واقعیین، فتکون امتحانیة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اطلع العبد علی المصلحة الملزمة للمولی، أو علی المفسدة الملزمة، و تخلف عما أدرکه یستحق العقوبة، مع أنه لا أمر و لا نهی، و لا عصیان و لا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جریئا علی مولاه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قضیة المصلحة و المفسدة الملزمتین، فإن اللَّه تبارک و تعالی و الشرع الأقدس، أعز شأنا من أن یحتاج إلی شی‌ء من المصالح و المفاسد المأمور بها، و المنهی عنها، 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أضر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 الأمر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أعجزه عن</w:t>
      </w:r>
    </w:p>
    <w:p>
      <w:pPr>
        <w:pStyle w:val="BookText"/>
        <w:rPr/>
      </w:pP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أوقعه فی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فی البین إلا الامتحان الّذی لم ینجح العاصی و المتجری فیه علی حد سواء، و تبین أنهما جریئان علی مولاهما و سیدهما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المشار إلیها التی لا أمر فیها و لا نهی، و لا إفساد علیه و لا تفویت، یکون شی‌ء واحد یشترک فیه الصنفان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العاصی، و المتجری، و ما اشتهر فی هذا الباب </w:t>
      </w:r>
      <w:r>
        <w:rPr>
          <w:rStyle w:val="FootnoteAnchor"/>
          <w:rtl w:val="true"/>
        </w:rPr>
        <w:footnoteReference w:id="133"/>
      </w:r>
      <w:r>
        <w:rPr>
          <w:rFonts w:ascii="IRNazanin" w:hAnsi="IRNazanin" w:eastAsia="IRNazanin"/>
          <w:color w:val="111111"/>
          <w:sz w:val="28"/>
          <w:sz w:val="28"/>
          <w:szCs w:val="28"/>
          <w:rtl w:val="true"/>
          <w:lang w:bidi="fa-IR"/>
        </w:rPr>
        <w:t>ناشئ من قیاس المولی الحقیقی بالموالی العرفیین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هذه الشبهة علی التقریب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الإصابة و اللاإصابة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الانطباق و 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قهریان، و لکن الضرورة قاضیة بأنه إذا بنی العبد علی أن یشرب المسکر، و یقتل النّفس المحترمة، و کان بصدد تطبیق ما أدرکه علی الخارج، و صادف الواقع، یکون ما 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الشرب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اختیاریین بالقطع، فلا ینبغی الخلط بین مفهوم الانطباق، و ما هو مقصود العاصی و هو التطبیق، لأنه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إلی مرامه و مقصوده، و غایة فعله، و الغرض من حرکته نحو الشرب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المحرم واقعا هو الشرب و القتل، و علیهما الاستحقاق، للمخالفة و بحکم العقل الضروری، و یکون المحرم المزبور خارجیا، و یصیر فی الخارج بإیجاده و إرادته و قصده و تطبیقه، 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الإصابة لیست اختیاریة</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من الغلط الواضح، لأن مبادئها اختیاریة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الأوامر و النواهی، و العقوبة علی التخلف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بتوهم لا اختیاریة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bookmarkStart w:id="116" w:name="pg13170_166211"/>
    </w:p>
    <w:p>
      <w:pPr>
        <w:pStyle w:val="BookText"/>
        <w:rPr/>
      </w:pPr>
      <w:bookmarkEnd w:id="116"/>
      <w:r>
        <w:rPr>
          <w:rFonts w:ascii="IRNazanin" w:hAnsi="IRNazanin" w:eastAsia="IRNazanin"/>
          <w:color w:val="111111"/>
          <w:sz w:val="28"/>
          <w:sz w:val="28"/>
          <w:szCs w:val="28"/>
          <w:rtl w:val="true"/>
          <w:lang w:bidi="fa-IR"/>
        </w:rPr>
        <w:t>و أما أجنبیة المولی عن المصالح و المفاسد بمعنی التباعد عنها، فهی واضحة قطعیة، و لکن ذلک لا یستلزم کون الأوامر امتحانیة، لأنه تعالی عن امتحان العباد أیضا، غنی و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یمکن أن یکون مقصودا بالعرض فی هذه الأوامر و النواهی التی تکون تابعة للمصالح و المفاسد، هو التحفظ علی ما یبتلی به المکلفون، و ما یحتاجون إلیه فی النشئات مطلقا، فیأمر و ینهی عن تلک الواقعیات مما یصل المنافع و المضار فیها إلی نفس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معنی أن للمولی غرضا إلزامیا فی ناحیة الواجب، أو الحرام، فتدبر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سیمر علیک أن العقاب إذا کان من تبعات هذه الأمور، یکون التحریم و الواقعیة أوضح، و یحصل هناک الفرق بین المتجری و العاصی بوجه أحسن و أبین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الموجب لاستحقاق العاصی، هو العصیان و التخلف عن النهی الواصل إلیه عن الرسول صلی اللَّه علیه و آله و الواجب علیه اتباعه، بعد درک ذلک بالرسول الباطنی، لا الأمر المشترک بینه و بین المتجری، و هو ظهور سوء سریرتهم، و خبث باطنهم، بإرادتهم الاختیاریة الموجبة لاتصافهم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بحصول التجری و العصیان، فیکون ما فی الحقیقة سبب الاستحقاق أمرا واحدا، و هو الظلم المنتزع من التجری و العصیان، لا عنوانهما، و لا الواقعیات، و لا سوء السریرة و خبث الباطن قبل ظهورها بإرادة اختیاریة، فإن ذلک غیر مطابق للتحقیق، بعد إمکان کون الخارج و الواقعیات اختیاریة بحسب التطبیق</w:t>
      </w:r>
      <w:r>
        <w:rPr>
          <w:rFonts w:eastAsia="IRNazanin" w:cs="IRNazanin"/>
          <w:color w:val="111111"/>
          <w:sz w:val="28"/>
          <w:szCs w:val="28"/>
          <w:rtl w:val="true"/>
          <w:lang w:bidi="fa-IR"/>
        </w:rPr>
        <w:t>.</w:t>
      </w:r>
    </w:p>
    <w:p>
      <w:pPr>
        <w:pStyle w:val="Heading6"/>
        <w:numPr>
          <w:ilvl w:val="5"/>
          <w:numId w:val="1"/>
        </w:numPr>
        <w:rPr/>
      </w:pPr>
      <w:bookmarkStart w:id="117" w:name="__RefHeading___Toc624329_3244359995"/>
      <w:bookmarkStart w:id="118" w:name="_Toc44"/>
      <w:bookmarkEnd w:id="117"/>
      <w:r>
        <w:rPr>
          <w:rtl w:val="true"/>
        </w:rPr>
        <w:t>إعضال عدم اختیاریة الإرادة و انحلاله</w:t>
      </w:r>
      <w:bookmarkEnd w:id="1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النفسانیّة بین ما هی اختیاریة کالإرادة، و ما لیست اختیاریة، کالتصور، و الشوق، و أمثال ذلک أحیانا، و ما هو الاختیاری منها یوصف</w:t>
      </w:r>
    </w:p>
    <w:p>
      <w:pPr>
        <w:pStyle w:val="BookText"/>
        <w:rPr/>
      </w:pPr>
      <w:r>
        <w:rPr>
          <w:rFonts w:ascii="IRNazanin" w:hAnsi="IRNazanin" w:eastAsia="IRNazanin"/>
          <w:color w:val="111111"/>
          <w:sz w:val="28"/>
          <w:sz w:val="28"/>
          <w:szCs w:val="28"/>
          <w:rtl w:val="true"/>
          <w:lang w:bidi="fa-IR"/>
        </w:rPr>
        <w:t xml:space="preserve">بالقبح، بخلاف غیره </w:t>
      </w:r>
      <w:r>
        <w:rPr>
          <w:rStyle w:val="FootnoteAnchor"/>
          <w:rtl w:val="true"/>
        </w:rPr>
        <w:footnoteReference w:id="135"/>
      </w:r>
      <w:r>
        <w:rPr>
          <w:rFonts w:ascii="IRNazanin" w:hAnsi="IRNazanin" w:eastAsia="IRNazanin"/>
          <w:color w:val="111111"/>
          <w:sz w:val="28"/>
          <w:sz w:val="28"/>
          <w:szCs w:val="28"/>
          <w:rtl w:val="true"/>
          <w:lang w:bidi="fa-IR"/>
        </w:rPr>
        <w:t xml:space="preserve">، و عندئذ تأتی الشبهة المعروفة، و هی أن اختیاریة الإرادة لا بد و أن تستند إلی إرادة، فیلزم التسلسل </w:t>
      </w:r>
      <w:r>
        <w:rPr>
          <w:rStyle w:val="FootnoteAnchor"/>
          <w:rtl w:val="true"/>
        </w:rPr>
        <w:footnoteReference w:id="136"/>
      </w:r>
    </w:p>
    <w:p>
      <w:pPr>
        <w:pStyle w:val="BookText"/>
        <w:rPr/>
      </w:pP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نهایة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المحرمة و الأحداث الممنوعة شرعا، لا یکون تطبیقها علی الخارج و إیجادها فی أفق الأعیان إلا بالإرادة، فتکون اختیاریتها باختیاریة الإرادة، و اختیاریة الإرادة متقومة بإرادة اختیاریة أخری، و هکذا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یترتب علی هذه المقالة، أن العقاب مخصوص بما هو بالاختیار، و هو العزم علی الطغیان، و قصد العصیان، لا علی الفعل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المعنی المشترک بین المتجری و العاصی،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الشبهة المذکورة علی الوجهین المزبورین، لیس إلا التسلسل فی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عدم اختیاریة الأفعال الخارجیة علی الوجه المزبور، إلا أنها فاسدة، و مبین بطلانها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هذا الإعضال و الإشکال، قد مضی فی بحوث الأوامر و مباحث الإرادة بما لا مزید علیه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اختیارا ذاتیا و إرادة ذاتیة، بها ینقطع دور التسلسل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الأجوبة الاخر أنظار فصلنا حدودها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فإن للمسألة</w:t>
      </w:r>
      <w:bookmarkStart w:id="119" w:name="pg13170_166213"/>
    </w:p>
    <w:p>
      <w:pPr>
        <w:pStyle w:val="BookText"/>
        <w:rPr/>
      </w:pPr>
      <w:bookmarkEnd w:id="119"/>
      <w:r>
        <w:rPr>
          <w:rFonts w:ascii="IRNazanin" w:hAnsi="IRNazanin" w:eastAsia="IRNazanin"/>
          <w:color w:val="111111"/>
          <w:sz w:val="28"/>
          <w:sz w:val="28"/>
          <w:szCs w:val="28"/>
          <w:rtl w:val="true"/>
          <w:lang w:bidi="fa-IR"/>
        </w:rPr>
        <w:t>أهلا لا بد من مراعاتهم، و مراجعة کتبهم، و اللَّه هو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 هناک </w:t>
      </w:r>
      <w:r>
        <w:rPr>
          <w:rStyle w:val="FootnoteAnchor"/>
          <w:rtl w:val="true"/>
        </w:rPr>
        <w:footnoteReference w:id="140"/>
      </w:r>
      <w:r>
        <w:rPr>
          <w:rFonts w:ascii="IRNazanin" w:hAnsi="IRNazanin" w:eastAsia="IRNazanin"/>
          <w:color w:val="111111"/>
          <w:sz w:val="28"/>
          <w:sz w:val="28"/>
          <w:szCs w:val="28"/>
          <w:rtl w:val="true"/>
          <w:lang w:bidi="fa-IR"/>
        </w:rPr>
        <w:t>، لا یخلو من تأسفات شدیدة، ضرورة أن من له أدنی إلمام بالمسائل العقلیة، لا ینبغی أن یخلط بین الذاتی الّذی لا یعلل، و بین الشقاوة و السعادة التی هی من تبعات الوجود، و من خصائص المواد و الطبائع، حسب الانحراف عن جادة الاعتدال بالاختیار، فإن الطبیعة مخمورة، و تصیر محجوبة حسب الاختیارات المنتهیة إلی الآباء، أو الأمهات، أو أنفس الأولاد، فلا تکن من الغافلین، و الحمد لله</w:t>
      </w:r>
      <w:r>
        <w:rPr>
          <w:rFonts w:eastAsia="IRNazanin" w:cs="IRNazanin"/>
          <w:color w:val="111111"/>
          <w:sz w:val="28"/>
          <w:szCs w:val="28"/>
          <w:rtl w:val="true"/>
          <w:lang w:bidi="fa-IR"/>
        </w:rPr>
        <w:t>.</w:t>
      </w:r>
    </w:p>
    <w:p>
      <w:pPr>
        <w:pStyle w:val="Heading6"/>
        <w:numPr>
          <w:ilvl w:val="5"/>
          <w:numId w:val="1"/>
        </w:numPr>
        <w:rPr/>
      </w:pPr>
      <w:bookmarkStart w:id="120" w:name="__RefHeading___Toc624331_3244359995"/>
      <w:bookmarkStart w:id="121" w:name="_Toc45"/>
      <w:bookmarkEnd w:id="120"/>
      <w:r>
        <w:rPr>
          <w:rtl w:val="true"/>
        </w:rPr>
        <w:t>هل یستتبع الظلم العقاب بناء علی استلزام القبیح للعقوبة؟</w:t>
      </w:r>
      <w:bookmarkEnd w:id="121"/>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استحقاق العقاب، هو استحقاق العقوبة جعالة، فإنه مما لا یتم، فلا تتم کبری القیاس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أن القبیح العقلی یستتبع 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یلازم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بانحصار العقوبة بلوازم الأفعال و الأعمال، فالتجری مما لا یکون فی ذاته عملا، و أما الفعل المتجری به فسیأتی فی المسألة الآتیة توضیح حاله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العقوبة تکون من لوازم کل قبیح و لو لم یکن فعلا خارجیا، کالإرادة فإنها فیما تعلقت بالمتجری به تکون قبیحة، ضرورة أن الإرادة اختیاریة حسب ما تحرر، و تکون الإرادة المتعلقة بالحسن حسنة، و بالقبح قبیحة، و أن العبد فی صورة التجری قد أوجد القبیح عقلا، و هی الإرادة، و تستتبع هذه الإرادة استحقاق العقاب و العقوبة</w:t>
      </w:r>
      <w:r>
        <w:rPr>
          <w:rFonts w:eastAsia="IRNazanin" w:cs="IRNazanin"/>
          <w:color w:val="111111"/>
          <w:sz w:val="28"/>
          <w:szCs w:val="28"/>
          <w:rtl w:val="true"/>
          <w:lang w:bidi="fa-IR"/>
        </w:rPr>
        <w:t>.</w:t>
      </w:r>
      <w:bookmarkStart w:id="122" w:name="pg13170_166214"/>
    </w:p>
    <w:p>
      <w:pPr>
        <w:pStyle w:val="BookText"/>
        <w:rPr/>
      </w:pPr>
      <w:bookmarkEnd w:id="12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و لو کانت کلیة عقلیة و مبرهنة فی محالها</w:t>
      </w:r>
      <w:r>
        <w:rPr>
          <w:rStyle w:val="FootnoteAnchor"/>
          <w:rtl w:val="true"/>
        </w:rPr>
        <w:footnoteReference w:id="141"/>
      </w:r>
      <w:r>
        <w:rPr>
          <w:rFonts w:ascii="IRNazanin" w:hAnsi="IRNazanin" w:eastAsia="IRNazanin"/>
          <w:color w:val="111111"/>
          <w:sz w:val="28"/>
          <w:sz w:val="28"/>
          <w:szCs w:val="28"/>
          <w:rtl w:val="true"/>
          <w:lang w:bidi="fa-IR"/>
        </w:rPr>
        <w:t>، إلا أن مصادیقها مما لا ینالها العقل، لعدم اطلاعه علی خصوصیات تبعات الأخلاقیات، لإمکان وجود بعض الأمور المانعة منها، أو لعدم تمامیة المقتضیات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لو تم هذا الکلام، للزم عدم جواز إجراء البراءة العقلیة أو الشرعیة فی موارد الشبهات، و حیث هی واضحة عند کافة العقول، و مؤیدة بالشرع المقبول، یستبان منه أن مجرد إدراک القبح غیر کاف، ضرورة أنه فی صورة العصیان، یحشر المرء مع صورة مؤذیة من سنخ ما شر به، نعوذ باللّه تعالی، و أما فی صورة التجری، فکون ذات الإرادة مستتبعة لأمر، و لصورة مؤذیة و لعقاب، فهو غیر معلوم، لعدم منع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یکفی مجرد القبح للزم ذلک، کما مر فی مثل العصیان و الظلم، و کثیر من المحرمات، فلیتأمل جدا</w:t>
      </w:r>
      <w:r>
        <w:rPr>
          <w:rFonts w:eastAsia="IRNazanin" w:cs="IRNazanin"/>
          <w:color w:val="111111"/>
          <w:sz w:val="28"/>
          <w:szCs w:val="28"/>
          <w:rtl w:val="true"/>
          <w:lang w:bidi="fa-IR"/>
        </w:rPr>
        <w:t>.</w:t>
      </w:r>
    </w:p>
    <w:p>
      <w:pPr>
        <w:pStyle w:val="Heading6"/>
        <w:numPr>
          <w:ilvl w:val="5"/>
          <w:numId w:val="1"/>
        </w:numPr>
        <w:rPr/>
      </w:pPr>
      <w:bookmarkStart w:id="123" w:name="__RefHeading___Toc624333_3244359995"/>
      <w:bookmarkStart w:id="124" w:name="_Toc46"/>
      <w:bookmarkEnd w:id="123"/>
      <w:r>
        <w:rPr>
          <w:rtl w:val="true"/>
        </w:rPr>
        <w:t>وهم و دفع</w:t>
      </w:r>
      <w:bookmarkEnd w:id="124"/>
    </w:p>
    <w:p>
      <w:pPr>
        <w:pStyle w:val="BookText"/>
        <w:rPr/>
      </w:pPr>
      <w:r>
        <w:rPr>
          <w:rFonts w:ascii="IRNazanin" w:hAnsi="IRNazanin" w:eastAsia="IRNazanin"/>
          <w:color w:val="111111"/>
          <w:sz w:val="28"/>
          <w:sz w:val="28"/>
          <w:szCs w:val="28"/>
          <w:rtl w:val="true"/>
          <w:lang w:bidi="fa-IR"/>
        </w:rPr>
        <w:t>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فی صورة التجری لیست قبیحة، لأنها لیست منبعثة عن المحرم، ضرورة أن المتجری فی صورة القطع بالمحرم، لا ینبعث نحو المحرم بإرادة التجری، و فی صورة قیام الأمارات الاخر علی الحرام، أیضا لا یرید أن یتجرأ علی مولاه، بل یرید شرب المسکر، فإن صادف هذه الإرادة الواقع فقد أتی بالإرادة القبیحة، و إلا فلا تکون الإرادة قبیحة، و بذلک ینحل الإشکال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هذا التقریب عدم قبح إرادة من یرید التبرید بشرب الخمر، و أنه لا یستحق العقوبة، لأن العقوبة مترتبة علی إرادة منبعثة عن عنوان محرم، و فی المثال المزبور لیست الإرادة هکذا، فلا قبح، و لا استحقاق، و حیث إنه</w:t>
      </w:r>
      <w:bookmarkStart w:id="125" w:name="pg13170_166215"/>
    </w:p>
    <w:p>
      <w:pPr>
        <w:pStyle w:val="BookText"/>
        <w:rPr/>
      </w:pPr>
      <w:bookmarkEnd w:id="125"/>
      <w:r>
        <w:rPr>
          <w:rFonts w:ascii="IRNazanin" w:hAnsi="IRNazanin" w:eastAsia="IRNazanin"/>
          <w:color w:val="111111"/>
          <w:sz w:val="28"/>
          <w:sz w:val="28"/>
          <w:szCs w:val="28"/>
          <w:rtl w:val="true"/>
          <w:lang w:bidi="fa-IR"/>
        </w:rPr>
        <w:t>لا یمکن الالتزام بذلک، یتبین أن قبح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کونها اختیاریة، و اندفاع التسلسل فی صورة إرادة العصیان، أو صورة إرادة التبرید، و فی صورة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 حاصل علی نعت واحد، إلا أنه ربما یکون فی الضعف و الشدة مختلفا، ضرورة أن فی صورة التجری أقوی من المثال المزبور</w:t>
      </w:r>
      <w:r>
        <w:rPr>
          <w:rFonts w:eastAsia="IRNazanin" w:cs="IRNazanin"/>
          <w:color w:val="111111"/>
          <w:sz w:val="28"/>
          <w:szCs w:val="28"/>
          <w:rtl w:val="true"/>
          <w:lang w:bidi="fa-IR"/>
        </w:rPr>
        <w:t>.</w:t>
      </w:r>
    </w:p>
    <w:p>
      <w:pPr>
        <w:pStyle w:val="Heading6"/>
        <w:numPr>
          <w:ilvl w:val="5"/>
          <w:numId w:val="1"/>
        </w:numPr>
        <w:rPr/>
      </w:pPr>
      <w:bookmarkStart w:id="126" w:name="__RefHeading___Toc624335_3244359995"/>
      <w:bookmarkStart w:id="127" w:name="_Toc47"/>
      <w:bookmarkEnd w:id="126"/>
      <w:r>
        <w:rPr>
          <w:rtl w:val="true"/>
        </w:rPr>
        <w:t>فذلکة الکلام</w:t>
      </w:r>
      <w:bookmarkEnd w:id="127"/>
    </w:p>
    <w:p>
      <w:pPr>
        <w:pStyle w:val="BookText"/>
        <w:rPr/>
      </w:pPr>
      <w:r>
        <w:rPr>
          <w:rFonts w:ascii="IRNazanin" w:hAnsi="IRNazanin" w:eastAsia="IRNazanin"/>
          <w:color w:val="111111"/>
          <w:sz w:val="28"/>
          <w:sz w:val="28"/>
          <w:szCs w:val="28"/>
          <w:rtl w:val="true"/>
          <w:lang w:bidi="fa-IR"/>
        </w:rPr>
        <w:t>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استحقاق العقاب، هو استتباع الأفعال القبیحة أو الأعمال النفسانیّة القبیحة، أو الصفات القبیحة للعقوبة، و الصور المؤذیة</w:t>
      </w:r>
      <w:r>
        <w:rPr>
          <w:rStyle w:val="FootnoteAnchor"/>
          <w:rtl w:val="true"/>
        </w:rPr>
        <w:footnoteReference w:id="142"/>
      </w:r>
      <w:r>
        <w:rPr>
          <w:rFonts w:ascii="IRNazanin" w:hAnsi="IRNazanin" w:eastAsia="IRNazanin"/>
          <w:color w:val="111111"/>
          <w:sz w:val="28"/>
          <w:sz w:val="28"/>
          <w:szCs w:val="28"/>
          <w:rtl w:val="true"/>
          <w:lang w:bidi="fa-IR"/>
        </w:rPr>
        <w:t>، فکون الفعل المتجری به قبیحا یأتی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الإرادة، فهی لو سلم قبحها لکونها اختیاریة، فهی لأجل کونها ظلما،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القبیح مستتبعا للعقوبة مما لا یمکن تصدیقه، لأن علیة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فعلا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الصورة غیر الملائمة، غیر معلومة، بل الظاهر من الشرع عدمه، فلزوم تعدده ممنوع فی مثل العصیان مع کون مورده ظلما و قبیحا عقلیا، کالقتل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استتباع الإرادة لا یلازم عموم المدعی، و هو استحقاق المتجری للعقاب، لما مر أن من التجری ترک مقطوع الوجوب </w:t>
      </w:r>
      <w:r>
        <w:rPr>
          <w:rStyle w:val="FootnoteAnchor"/>
          <w:rtl w:val="true"/>
        </w:rPr>
        <w:footnoteReference w:id="143"/>
      </w:r>
      <w:r>
        <w:rPr>
          <w:rFonts w:ascii="IRNazanin" w:hAnsi="IRNazanin" w:eastAsia="IRNazanin"/>
          <w:color w:val="111111"/>
          <w:sz w:val="28"/>
          <w:sz w:val="28"/>
          <w:szCs w:val="28"/>
          <w:rtl w:val="true"/>
          <w:lang w:bidi="fa-IR"/>
        </w:rPr>
        <w:t>، و فی هذا المورد لا إرادة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القبح الناشئ من سوء السریرة لا یستتبع العقاب، دون الناشئ من قبح الفعل </w:t>
      </w:r>
      <w:r>
        <w:rPr>
          <w:rStyle w:val="FootnoteAnchor"/>
          <w:rtl w:val="true"/>
        </w:rPr>
        <w:footnoteReference w:id="144"/>
      </w:r>
      <w:r>
        <w:rPr>
          <w:rFonts w:ascii="IRNazanin" w:hAnsi="IRNazanin" w:eastAsia="IRNazanin"/>
          <w:color w:val="111111"/>
          <w:sz w:val="28"/>
          <w:sz w:val="28"/>
          <w:szCs w:val="28"/>
          <w:rtl w:val="true"/>
          <w:lang w:bidi="fa-IR"/>
        </w:rPr>
        <w:t>، فهو أفحش فسادا، للزوم تکرار التبعات فی العصیان دون التجری فیما إذا کان المتجری یرید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إرادة فی البین،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تبعات العقاب أعم من الأفعال و الصفات، کما یظهر من طائفة من الأخبار</w:t>
      </w:r>
      <w:r>
        <w:rPr>
          <w:rStyle w:val="FootnoteAnchor"/>
          <w:rtl w:val="true"/>
        </w:rPr>
        <w:footnoteReference w:id="145"/>
      </w:r>
      <w:r>
        <w:rPr>
          <w:rFonts w:ascii="IRNazanin" w:hAnsi="IRNazanin" w:eastAsia="IRNazanin"/>
          <w:color w:val="111111"/>
          <w:sz w:val="28"/>
          <w:sz w:val="28"/>
          <w:szCs w:val="28"/>
          <w:rtl w:val="true"/>
          <w:lang w:bidi="fa-IR"/>
        </w:rPr>
        <w:t>، فیثبت به عموم المدعی، لأن المتجری و العاصی مشترکان فی سوء السریرة و خبث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الأمور لیست اختیاریة، فلو کانت مستتبعة یلزم العقاب علی أمر غیر اختیاری </w:t>
      </w:r>
      <w:r>
        <w:rPr>
          <w:rStyle w:val="FootnoteAnchor"/>
          <w:rtl w:val="true"/>
        </w:rPr>
        <w:footnoteReference w:id="146"/>
      </w:r>
      <w:r>
        <w:rPr>
          <w:rFonts w:ascii="IRNazanin" w:hAnsi="IRNazanin" w:eastAsia="IRNazanin"/>
          <w:color w:val="111111"/>
          <w:sz w:val="28"/>
          <w:sz w:val="28"/>
          <w:szCs w:val="28"/>
          <w:rtl w:val="true"/>
          <w:lang w:bidi="fa-IR"/>
        </w:rPr>
        <w:t>، فی غیر محله، لما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کلها قابلة للزوال، إلا أن زوالها یحتاج إلی الجد و الاجتهاد، و العزم و التصمیم، و الاستعانة باللّه العزیز، و مرافقة الأبرار و الأخیار، و علی هذا یجوز للشرع تحریمها، و إیجاب 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أن علیة هذه الأمور للتبعات ممنوعة، بل هی معدات ربما تمنع من تأثیرها الأفعال الاخر الخیرة، کالصوم، و الصلاة، و أمثالها، فلا وجه لما اشتهر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القبیح یستلزم العقوبة، و یستتبع الصور المؤذیة و غیر الملائمة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إلا علی وجه الإعداد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احتمال الاستتباع، یکفی لدرک العقل لزوم القیام بهدم بنیان سوء السریرة، و خبث الباطن، المنتهی إلی العصیان و الطغیان، و التجری و الکفران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سکوت الشرع الأقدس، بل و من رفع الحسد فی حدیث الرفع </w:t>
      </w:r>
      <w:r>
        <w:rPr>
          <w:rStyle w:val="FootnoteAnchor"/>
          <w:rtl w:val="true"/>
        </w:rPr>
        <w:footnoteReference w:id="149"/>
      </w:r>
      <w:r>
        <w:rPr>
          <w:rFonts w:ascii="IRNazanin" w:hAnsi="IRNazanin" w:eastAsia="IRNazanin"/>
          <w:color w:val="111111"/>
          <w:sz w:val="28"/>
          <w:sz w:val="28"/>
          <w:szCs w:val="28"/>
          <w:rtl w:val="true"/>
          <w:lang w:bidi="fa-IR"/>
        </w:rPr>
        <w:t>، یستکشف أن هذه الصفات المذمومة و القبیحة، لا تستتبع شیئا إذا لم تنجر</w:t>
      </w:r>
      <w:bookmarkStart w:id="128" w:name="pg13170_166217"/>
    </w:p>
    <w:p>
      <w:pPr>
        <w:pStyle w:val="BookText"/>
        <w:rPr/>
      </w:pPr>
      <w:bookmarkEnd w:id="128"/>
      <w:r>
        <w:rPr>
          <w:rFonts w:ascii="Amiri" w:hAnsi="Amiri" w:eastAsia="Amiri" w:cs="Amiri"/>
          <w:color w:val="111111"/>
          <w:sz w:val="28"/>
          <w:sz w:val="28"/>
          <w:szCs w:val="28"/>
          <w:rtl w:val="true"/>
          <w:lang w:bidi="ar-SA"/>
        </w:rPr>
        <w:t>إلی المخالفة الخارجیة، فإن الحسنات یذهبن السیئات،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طَرَفَیِ النَّهارِ وَ زُلَفاً مِنَ اللَّیْلِ إِنَّ الْحَسَناتِ یُذْهِبْنَ السَّیِّئاتِ </w:t>
      </w:r>
      <w:r>
        <w:rPr>
          <w:rStyle w:val="FootnoteAnchor"/>
          <w:rtl w:val="true"/>
        </w:rPr>
        <w:footnoteReference w:id="150"/>
      </w:r>
      <w:r>
        <w:rPr>
          <w:rFonts w:ascii="IRNazanin" w:hAnsi="IRNazanin" w:eastAsia="IRNazanin"/>
          <w:color w:val="111111"/>
          <w:sz w:val="28"/>
          <w:sz w:val="28"/>
          <w:szCs w:val="28"/>
          <w:rtl w:val="true"/>
          <w:lang w:bidi="fa-IR"/>
        </w:rPr>
        <w:t>فافهم و اغتنم، و کن علی بصیرة من أمرک، فإن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إلی هنا یتبین مواضع الضعف فی کلمات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 لا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 من یحذو حذوه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تبین هنا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القبیح المستتبع للعقوبة، أعم من القبیح الفعلی و النعتیّ، و أن النعتیّ و إن لم یکن حصوله بالإرادة أحیانا، إلا أن إمکان إزالته بها یکفی لصحة العقاب علیها، و لکن اللَّه رءوف بعباده، و هو المستعان</w:t>
      </w:r>
      <w:r>
        <w:rPr>
          <w:rFonts w:eastAsia="IRNazanin" w:cs="IRNazanin"/>
          <w:color w:val="111111"/>
          <w:sz w:val="28"/>
          <w:szCs w:val="28"/>
          <w:rtl w:val="true"/>
          <w:lang w:bidi="fa-IR"/>
        </w:rPr>
        <w:t>.</w:t>
      </w:r>
    </w:p>
    <w:p>
      <w:pPr>
        <w:pStyle w:val="Heading5"/>
        <w:numPr>
          <w:ilvl w:val="4"/>
          <w:numId w:val="1"/>
        </w:numPr>
        <w:rPr/>
      </w:pPr>
      <w:bookmarkStart w:id="129" w:name="__RefHeading___Toc624337_3244359995"/>
      <w:bookmarkStart w:id="130" w:name="_Toc48"/>
      <w:bookmarkEnd w:id="129"/>
      <w:r>
        <w:rPr>
          <w:rtl w:val="true"/>
        </w:rPr>
        <w:t>البحث الثالث</w:t>
      </w:r>
      <w:r>
        <w:rPr>
          <w:rtl w:val="true"/>
        </w:rPr>
        <w:t xml:space="preserve">: </w:t>
      </w:r>
      <w:r>
        <w:rPr>
          <w:rtl w:val="true"/>
        </w:rPr>
        <w:t>حول قاعدة الملازمة بین حکم العقل و الشرع</w:t>
      </w:r>
      <w:bookmarkEnd w:id="130"/>
    </w:p>
    <w:p>
      <w:pPr>
        <w:pStyle w:val="BookText"/>
        <w:rPr/>
      </w:pPr>
      <w:r>
        <w:rPr>
          <w:rFonts w:ascii="IRNazanin" w:hAnsi="IRNazanin" w:eastAsia="IRNazanin"/>
          <w:color w:val="111111"/>
          <w:sz w:val="28"/>
          <w:sz w:val="28"/>
          <w:szCs w:val="28"/>
          <w:rtl w:val="true"/>
          <w:lang w:bidi="fa-IR"/>
        </w:rPr>
        <w:t>قد عرفت فیما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التجری إما بالأدلة النقلیّة، أو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عدم تمامیتها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موقوفة علی القیاسات الثلاثة المترتبة، بمعنی أن نتیجة کل قیاس متقدم صغری للقیاس المتأخر، فإنه قد تحرر الشکل الأول هکذا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ظلم، و الظلم قبیح، فالتجری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قبیح یستتبع العقوبة، فالتجری یستتبع العقوبة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 فالتجری ممنوع بحکم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عرفت ما یتعلق بالقیاسین الأولین، فلا بأس</w:t>
      </w:r>
    </w:p>
    <w:p>
      <w:pPr>
        <w:pStyle w:val="BookText"/>
        <w:rPr/>
      </w:pPr>
      <w:r>
        <w:rPr>
          <w:rFonts w:ascii="IRNazanin" w:hAnsi="IRNazanin" w:eastAsia="IRNazanin"/>
          <w:color w:val="111111"/>
          <w:sz w:val="28"/>
          <w:sz w:val="28"/>
          <w:szCs w:val="28"/>
          <w:rtl w:val="true"/>
          <w:lang w:bidi="fa-IR"/>
        </w:rPr>
        <w:t>بالإشارة إلی القیاس الأخیر و کبراه المعروف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الأباطیل المشهورة هذه القاعدة، التی ربما تعارفت فی الکتب الأصولیة</w:t>
      </w:r>
      <w:r>
        <w:rPr>
          <w:rStyle w:val="FootnoteAnchor"/>
          <w:rtl w:val="true"/>
        </w:rPr>
        <w:footnoteReference w:id="155"/>
      </w:r>
      <w:r>
        <w:rPr>
          <w:rFonts w:ascii="IRNazanin" w:hAnsi="IRNazanin" w:eastAsia="IRNazanin"/>
          <w:color w:val="111111"/>
          <w:sz w:val="28"/>
          <w:sz w:val="28"/>
          <w:szCs w:val="28"/>
          <w:rtl w:val="true"/>
          <w:lang w:bidi="fa-IR"/>
        </w:rPr>
        <w:t>، آخذین عن بعض الکتب الکلامیة</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الغریب تخصیصهم هذه القاعدة بما یحکم به العقل فی سلسلة العلل و المصالح و المفاسد للأحکام، دون سلسلة المعالیل، لامتناع کون العصیان محرما، للزوم التسلسل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العقلیة لا تقبل التخصیص، لأن العقل بملاک واحد یحکم، و هو مشترک بین السلسلتین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التسلسل المزبور یرجع إلی أن العبد یستحق العقوبة أبدا، و هذا لیس من التسلسل المحال، و قد عرفت أن التسلسل ینقطع إلی حد یکون تحریم العصیان، قابلا للزاجریة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لیس إلا یدرک الشی‌ء، فهو لا یضر بالمقصود، لأنه حینئذ ترجع القاعدة إلی أن کل ما أدرک العقل ممنوعیته، أدرک ثانیا ممنوعیته شرعا، فیکون التجری ممنوعا شرعا، فعلیه لا تکون القاعدة باطلة من هذه الجهة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هی باطلة لما مر منا فی أوائل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مما یدرکه العقل ممنوعیة الظلم بالضرورة، و مما یدرکه العقل أیضا هو لزوم الفرار من القبیح العقلی الّذی هو الظلم بالذات، و أما غیر الظلم فیکون قبیحا لأجله، علی الوجه المحرر</w:t>
      </w:r>
    </w:p>
    <w:p>
      <w:pPr>
        <w:pStyle w:val="BookText"/>
        <w:rPr/>
      </w:pPr>
      <w:r>
        <w:rPr>
          <w:rFonts w:ascii="IRNazanin" w:hAnsi="IRNazanin" w:eastAsia="IRNazanin"/>
          <w:color w:val="111111"/>
          <w:sz w:val="28"/>
          <w:sz w:val="28"/>
          <w:szCs w:val="28"/>
          <w:rtl w:val="true"/>
          <w:lang w:bidi="fa-IR"/>
        </w:rPr>
        <w:t xml:space="preserve">سابقا، مع ما عرفت حوله </w:t>
      </w:r>
      <w:r>
        <w:rPr>
          <w:rStyle w:val="FootnoteAnchor"/>
          <w:rtl w:val="true"/>
        </w:rPr>
        <w:footnoteReference w:id="159"/>
      </w:r>
      <w:r>
        <w:rPr>
          <w:rFonts w:ascii="IRNazanin" w:hAnsi="IRNazanin" w:eastAsia="IRNazanin"/>
          <w:color w:val="111111"/>
          <w:sz w:val="28"/>
          <w:sz w:val="28"/>
          <w:szCs w:val="28"/>
          <w:rtl w:val="true"/>
          <w:lang w:bidi="fa-IR"/>
        </w:rPr>
        <w:t>، فلو کان الظلم ممنوعا شرعا، للزم ممنوعیة المحرمات الکثیرة فی الشرع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لعناوینها الذاتیّة، و مرة لعنوان الظلم، فیکون القتل بغیر حق و ضرب الیتیم، ممنوعین بعناوینهما الذاتیّة، و ممنوعین لأجل الظلم المنطبق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أن النسبة بین الظلم و ذلک المحرم، عموم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تحریمه تأسیسا، کما عرفت فی محله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الالتزام بتعدد العقاب </w:t>
      </w:r>
      <w:r>
        <w:rPr>
          <w:rStyle w:val="FootnoteAnchor"/>
          <w:rtl w:val="true"/>
        </w:rPr>
        <w:footnoteReference w:id="161"/>
      </w:r>
      <w:r>
        <w:rPr>
          <w:rFonts w:ascii="IRNazanin" w:hAnsi="IRNazanin" w:eastAsia="IRNazanin"/>
          <w:color w:val="111111"/>
          <w:sz w:val="28"/>
          <w:sz w:val="28"/>
          <w:szCs w:val="28"/>
          <w:rtl w:val="true"/>
          <w:lang w:bidi="fa-IR"/>
        </w:rPr>
        <w:t>مما لا سبیل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التداخل </w:t>
      </w:r>
      <w:r>
        <w:rPr>
          <w:rStyle w:val="FootnoteAnchor"/>
          <w:rtl w:val="true"/>
        </w:rPr>
        <w:footnoteReference w:id="162"/>
      </w:r>
      <w:r>
        <w:rPr>
          <w:rFonts w:ascii="IRNazanin" w:hAnsi="IRNazanin" w:eastAsia="IRNazanin"/>
          <w:color w:val="111111"/>
          <w:sz w:val="28"/>
          <w:sz w:val="28"/>
          <w:szCs w:val="28"/>
          <w:rtl w:val="true"/>
          <w:lang w:bidi="fa-IR"/>
        </w:rPr>
        <w:t>فهو غیر معقول، لا فی الشرعیات، أی علی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العقاب شرعی و جعلی، لأن التداخل من الأمور 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العقاب قهری و طبعی، لأن دار الآخرة دار التجزئة و التحلیل بین الحیثیات، فیکون الغصب بما أنه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کشف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مستتبعا لصورة مؤذیة، و بما أنه ظلم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نعلم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یترتب علی هذه المحرمات الشرعیة، لیس إلا آثارها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النسبة بین الظلم و بین المحرمات الشرعیة، عموم من وجه لا مطلق، و ما مر سابقا غیر تام، لأن من المحرمات الشرعیة ما لیس بظلم عقلا، و ما قاله الأشعری </w:t>
      </w:r>
      <w:r>
        <w:rPr>
          <w:rStyle w:val="FootnoteAnchor"/>
          <w:rtl w:val="true"/>
        </w:rPr>
        <w:footnoteReference w:id="163"/>
      </w:r>
      <w:r>
        <w:rPr>
          <w:rFonts w:ascii="IRNazanin" w:hAnsi="IRNazanin" w:eastAsia="IRNazanin"/>
          <w:color w:val="111111"/>
          <w:sz w:val="28"/>
          <w:sz w:val="28"/>
          <w:szCs w:val="28"/>
          <w:rtl w:val="true"/>
          <w:lang w:bidi="fa-IR"/>
        </w:rPr>
        <w:t>غیر تام، و من المحرم الشرعی المستکشف بحکم العقل، ما لیس بمحرم شرعی ثابت بالأدلة النقلیّة، فإن ظلم النّفس بتحصیل الصفات المذمومة، لیس مورد التحریم الشرعی ظاهرا، و علی هذا لا منع من تأسیس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سابقا کان بیانا لتوضیح أن النسبة بین الظلم و المحرمات، عموم و خصوص مطلق، و أن الظلم کان أخص، لأنه فی کل مورد یکون ظلم یکون محرما بعناوین خاصة، و لا عکس، و یقتضی هذا البیان أن یکون الظلم أعم، و لا یجوز ملاحظة المحرمات الشرعیة بعناوینها الکلیة مع الظلم، بل یلاحظ النسبة بین الظلم و الغصب مثلا، فیکون الغصب أخص، و یلزم عدم حرمته إما رأسا، أو حرمته ثانیا، و کلاهما غیر ممکن الالتزام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تحریم التجری بما هو تجر، مسدود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القول باستحقاق العقوبة علی جمیع تقادیر الاستحقاق، ممنوع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 لو کان قبیحا، فهو لأجل الحیثیة الأخری، و هی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قبح الظلم ذاتا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کثیرا ما یدرک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إدراک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فاغتنم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الملازمة لا أساس لها، لا علی الوجه المحرر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بالوجوه الستة المنتهیة إلی التفصیل بین الملازمة الواقعیة فأنکرها، و الظاهریة فأثبتها</w:t>
      </w:r>
      <w:r>
        <w:rPr>
          <w:rStyle w:val="FootnoteAnchor"/>
          <w:rtl w:val="true"/>
        </w:rPr>
        <w:footnoteReference w:id="165"/>
      </w:r>
      <w:r>
        <w:rPr>
          <w:rFonts w:ascii="IRNazanin" w:hAnsi="IRNazanin" w:eastAsia="IRNazanin"/>
          <w:color w:val="111111"/>
          <w:sz w:val="28"/>
          <w:sz w:val="28"/>
          <w:szCs w:val="28"/>
          <w:rtl w:val="true"/>
          <w:lang w:bidi="fa-IR"/>
        </w:rPr>
        <w:t xml:space="preserve">، و لا علی ما اعتقده بعض الأصولیین، خلطا بین عنوان القبیح بالذات و هو الظلم، و بین ما هو القبیح بالعرض، کالکذب المضر و غیره </w:t>
      </w:r>
      <w:r>
        <w:rPr>
          <w:rStyle w:val="FootnoteAnchor"/>
          <w:rtl w:val="true"/>
        </w:rPr>
        <w:footnoteReference w:id="166"/>
      </w:r>
      <w:r>
        <w:rPr>
          <w:rFonts w:ascii="IRNazanin" w:hAnsi="IRNazanin" w:eastAsia="IRNazanin"/>
          <w:color w:val="111111"/>
          <w:sz w:val="28"/>
          <w:sz w:val="28"/>
          <w:szCs w:val="28"/>
          <w:rtl w:val="true"/>
          <w:lang w:bidi="fa-IR"/>
        </w:rPr>
        <w:t>، فلاحظ و تدبر فیما أوضحناه، حتی یتبین لک مصب القاعدة أولا، و عدم تمامیتها ثانیا</w:t>
      </w:r>
      <w:r>
        <w:rPr>
          <w:rFonts w:eastAsia="IRNazanin" w:cs="IRNazanin"/>
          <w:color w:val="111111"/>
          <w:sz w:val="28"/>
          <w:szCs w:val="28"/>
          <w:rtl w:val="true"/>
          <w:lang w:bidi="fa-IR"/>
        </w:rPr>
        <w:t>.</w:t>
      </w:r>
      <w:bookmarkStart w:id="131" w:name="pg13170_166221"/>
    </w:p>
    <w:p>
      <w:pPr>
        <w:pStyle w:val="Heading4"/>
        <w:numPr>
          <w:ilvl w:val="3"/>
          <w:numId w:val="1"/>
        </w:numPr>
        <w:rPr/>
      </w:pPr>
      <w:bookmarkStart w:id="132" w:name="__RefHeading___Toc624339_3244359995"/>
      <w:bookmarkStart w:id="133" w:name="_Toc49"/>
      <w:bookmarkEnd w:id="131"/>
      <w:bookmarkEnd w:id="132"/>
      <w:r>
        <w:rPr>
          <w:rtl w:val="true"/>
        </w:rPr>
        <w:t>المسألة الثانیة فی حرمة المتجری به</w:t>
      </w:r>
      <w:bookmarkEnd w:id="133"/>
    </w:p>
    <w:p>
      <w:pPr>
        <w:pStyle w:val="Heading5"/>
        <w:numPr>
          <w:ilvl w:val="4"/>
          <w:numId w:val="1"/>
        </w:numPr>
        <w:rPr/>
      </w:pPr>
      <w:bookmarkStart w:id="134" w:name="__RefHeading___Toc624341_3244359995"/>
      <w:bookmarkStart w:id="135" w:name="_Toc50"/>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و أما استحقاق العقوبة علیه، فبعد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استحقاق العقوبة علی ذات التجری بلا شاهد، بل ممنوع </w:t>
      </w:r>
      <w:r>
        <w:rPr>
          <w:rStyle w:val="FootnoteAnchor"/>
          <w:rtl w:val="true"/>
        </w:rPr>
        <w:footnoteReference w:id="167"/>
      </w:r>
      <w:r>
        <w:rPr>
          <w:rFonts w:ascii="IRNazanin" w:hAnsi="IRNazanin" w:eastAsia="IRNazanin"/>
          <w:color w:val="111111"/>
          <w:sz w:val="28"/>
          <w:sz w:val="28"/>
          <w:szCs w:val="28"/>
          <w:rtl w:val="true"/>
          <w:lang w:bidi="fa-IR"/>
        </w:rPr>
        <w:t>، فاستحقاقه علی المتجری به أولی بالممنوعیة، فلا سبیل إلی تحریمه شرعا بمقدمات عقلیة، لما مضی من أنها غیر منتجة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إمکان تحریم الفعل المتجری به من ناحیة الخطابات الأولیة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حررناه حول ذات التجری تمام الکلام فی مسألة التجری، و حیث لا تکون هی ممنوعة شرعا، و لا مستوجبة للعقاب عقلا، فالفعل لو کان مورثا فهو لأجل طریان عنوان التجری، فلا یمکن تحریمه بتلک المقدمات العقلیة الممنوعة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الآخر، فیحتاج قبل أن یحرر إلی ذکر مقدمة تحتوی علی ما قیل</w:t>
      </w:r>
    </w:p>
    <w:p>
      <w:pPr>
        <w:pStyle w:val="BookText"/>
        <w:rPr/>
      </w:pPr>
      <w:r>
        <w:rPr>
          <w:rFonts w:ascii="IRNazanin" w:hAnsi="IRNazanin" w:eastAsia="IRNazanin"/>
          <w:color w:val="111111"/>
          <w:sz w:val="28"/>
          <w:sz w:val="28"/>
          <w:szCs w:val="28"/>
          <w:rtl w:val="true"/>
          <w:lang w:bidi="fa-IR"/>
        </w:rPr>
        <w:t>لامتناع تحریمه، و أن الفعل المتجری به یمتنع تحریمه، و هذا البحث و إن کان قلیل الجدوی، إلا أنه لا بأس بالإشارة إلی شبهاته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الفعل المتجری به أو المنقاد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مقطوع الحرمة أو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اختیاریا، فإن القاطع لا یقصده إلا بما قطع أنه علیه من عنوانه الواقعی الاستقلالی، لا بعنوانه الطارئ 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یکون غالبا بهذا العنوان مما یلتفت إلیه، فکیف یکون من جهات الحسن أو القبح عقلا، و من مناطات الوجوب أو الحرمة شرعا؟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انتهی ما أردنا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بأن لازم ذلک إما أن یکون شرب الماء فعلا غیر اختیاری، فیکون صادرا بلا اختیار، و لا إرادة، أو لا یکون صادرا، لا سبیل إلی الثانی، فإنه قد تحقق، فتعین الأول، و هو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حله بأن الشی‌ء ما لم یجب لم یوجد، و ما دام لم ینسد جمیع الأعدام الممکنة لا یتحقق، و إذا کان الأمر کذلک فلا بد و أن یصیر قبل أن یوجد واجبا، و إذا کان واجبا فلا بد و أن یکون متشخصا، فإن الشی‌ء ما لم یتشخص لم یوجد، و التشخص یساوی الجزئیة و الوجود و یخالفه بالاعتبار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ما هو متعلق القدرة و الإرادة و الحرکة، لیس إلا ما هو فی الخارج، و أما العناوین الکلیة فهی ربما تکون بعد التطبیق واقعیة، و ربما تکون خطأ و غیر واقعیة، و لیس فی جمیع الحرکات الإرادیة تلک العناوین، مورد الإرادة و القدرة بالحمل الشائع، بل ما هو متعلق الإرادة و القدرة و الاختیار، هو الّذی ینسد باب أعدامه، و هو الّذی یصیر خارجیا، و هی الحرکة التی انتهت إلی شرب الماء، و أما الأغراض و الغایات و ما لأجله الحرکات، فکلها خارجة عن هذه المرحلة، کما لا یخفی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اختیاریة الفعل منوطة بالتصور، و التصدیق، و المیل، و الإرادة، و لکن تلک الأمور قد تحصل بصورة مفصلة ملتفت إلیها، و قد تحصل بالارتکاز و الإجمال، نظیر الإرادات الحاصلة بالنسبة إلی المقدمات المنتهیة إلی وجود ذی المقدمة، مع أن تلک المقدمات مورد التصور و التصدیق و الإرادة ارتکازا،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لاختیاریة هذا الفعل جواز العقوبة علیه، إذا کان شرب الماء ممنوعا لأمر النذر و غیره، و کان قطعه من سوء اختیاره، فإنه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القطع ما لا یکون معذرا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ما ذکره قدس سره لا یورث عدم إمکان الفعل المتجری به بالتحریم أو المنقاد به بالوجوب إلا فی القطع، دون سائر الطرق و الأمارات، و قد عرفت أن النزاع فی التجری أعم </w:t>
      </w:r>
      <w:r>
        <w:rPr>
          <w:rStyle w:val="FootnoteAnchor"/>
          <w:rtl w:val="true"/>
        </w:rPr>
        <w:footnoteReference w:id="171"/>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اتصاف الفعل المتجری به بالقبح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أنه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لا یوصف بالقبح و لا التجری إلا لأجل الظلم، و الظلم فی التجری لو سلم کونه قابلا للتطبیق، و لکنه فی الفعل المتجری به غیر قابل للتطبیق،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المناقشة فی کون التجری ظلما، فضلا عن الفعل المتجری به، و ذلک لأن معنی الظلم هنا یرجع إلی أنه تجاوز إما علی الحرام الشرعی، أو تجاوز علی النّفس، لاستتباعه العقوبة، و کل واحد منهما غیر ثابت بعد، فیلزم الدور، لأن ظلمیة التجری موقوفة علی استتباعه الهتک أو العقوبة، و الهتک موقوف علی کونه محرما، و العقوبة منوطة بأن یکون التجری ظلما، کما لا یخفی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فإنکار القبح بإنکار الظلم بالقیاس إلی الفعل المتجری به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بالقیاس</w:t>
      </w:r>
    </w:p>
    <w:p>
      <w:pPr>
        <w:pStyle w:val="BookText"/>
        <w:rPr/>
      </w:pPr>
      <w:r>
        <w:rPr>
          <w:rFonts w:ascii="IRNazanin" w:hAnsi="IRNazanin" w:eastAsia="IRNazanin"/>
          <w:color w:val="111111"/>
          <w:sz w:val="28"/>
          <w:sz w:val="28"/>
          <w:szCs w:val="28"/>
          <w:rtl w:val="true"/>
          <w:lang w:bidi="fa-IR"/>
        </w:rPr>
        <w:t>إلی نفس التجری أیضا لازم،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حکم سائر العناوین المترائیة فی کلماتهم، من الطغیان، و التعدی، و العصیان، و التجری، کما عرفت بما لا مزید علیه، فإن جمیع هذه العناوین تستجمعها الجهة الواحدة التی بها تعد قبیحة، و هو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تطبیق الظلم علی الخارج، فهو لیس من وظائف العقل، و لا یمکن أن ینال ذلک إلا فی الفرض المزبور، و هو فی مثل التجری غیر ممکن، لأن کونه ظلما بعد کونه دخولا فی حریم حرمة المولی، أو تعدیا علی النّفس لاستتباعه العقوبة، و کلامها أول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ضرب الیتیم و الغصب، یکون ظلما للیتیم و المالک و للشرع و للنفس، لأن الحرمة و العقاب مفروغ منهما، فلا تخلط، و کن علی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المتجری به إن صار محرما، فإما تبقی الجهة الموجودة فیه من المحبوبیة، أو لا، فإن بقیت یلزم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المحبوبیة، و المبغوضیة، و إن لم تبق فیلزم انقلاب الواقع، لعروض هذه الصفة الطارئة، و هو أسوأ حالا من اجتماع الضدین، فحرمة الفعل المتجری به غیر ممکنة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بأن من الأفعال المتجری بها، ما لا یکون فیها جهة المبغوضیة، و أما الإباحة فربما نشأت من اللااقتضاء، فلا یتم عموم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امتناع تحریم الفعل المتجری به مطلقا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لیس العنوان الذاتی، و هو شرب الدواء فی فرض کونه واجبا واقعا، و شرب الماء فی فرض کونه مباحا ناشئا عن الاقتضاء، بل المحرم هو العنوان العرضی، کما فی باب مقدمة الواجب، فإن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توجب وجوب ذات المقدمة بعنوانها الأولی، بل توجب علی الفرض عنوان الموقوف علیه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فیما نحن فیه، فإن المحرم لیس إلا عنوان المتجری به، لأن الحرمة إذا ثبتت بالعقل، تکون الجهة التعلیلیة نفس العنوان الموضوع للحکم، فعلیه لا یلزم اجتماع المتخالفین رأسا، و لا الانقلاب کما فی باب الاجتماع و الامتناع، و النسبة بین العنوانین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مصب التحریم العنوان الذاتی بعلیة التجری، فلا یعقل حل المشکلة، و لکنه فرض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تقدیر شبهة فی المسألة، و قد مضت، و فی تقدیر إشکال علی الجواب الّذی ذکرناه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مصب التحریم إما ذات الفعل المتجری به، 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ذات الفعل بعنوانه الأولی، فیلزم 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العنوان فلا یعقل تحریمه، لأنه من العناوین المغفول عنها، کعنوان النسیان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حلها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النزاع فی التجری أعم من التجری فی باب القطع و سائر الطرق و الأمارات، و إذا کان الأمر کذلک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التحریم، علی ما هو التحقیق فی باب الخطابات الکلیة، و أنها خطابات قانونیة یمکن التوسل بها إلی تحریم الشی‌ء مطلقا، و لو کان المکلف ذاهلا و غافلا و عاجزا طول عمره، و تفصیله فی محله </w:t>
      </w:r>
      <w:r>
        <w:rPr>
          <w:rStyle w:val="FootnoteAnchor"/>
          <w:rtl w:val="true"/>
        </w:rPr>
        <w:footnoteReference w:id="175"/>
      </w:r>
      <w:r>
        <w:rPr>
          <w:rFonts w:ascii="IRNazanin" w:hAnsi="IRNazanin" w:eastAsia="IRNazanin"/>
          <w:color w:val="111111"/>
          <w:sz w:val="28"/>
          <w:sz w:val="28"/>
          <w:szCs w:val="28"/>
          <w:rtl w:val="true"/>
          <w:lang w:bidi="fa-IR"/>
        </w:rPr>
        <w:t xml:space="preserve">،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التحریم القانونی حتی فی</w:t>
      </w:r>
      <w:bookmarkStart w:id="136" w:name="pg13170_166226"/>
    </w:p>
    <w:p>
      <w:pPr>
        <w:pStyle w:val="BookText"/>
        <w:rPr/>
      </w:pPr>
      <w:bookmarkEnd w:id="136"/>
      <w:r>
        <w:rPr>
          <w:rFonts w:ascii="IRNazanin" w:hAnsi="IRNazanin" w:eastAsia="IRNazanin"/>
          <w:color w:val="111111"/>
          <w:sz w:val="28"/>
          <w:sz w:val="28"/>
          <w:szCs w:val="28"/>
          <w:rtl w:val="true"/>
          <w:lang w:bidi="fa-IR"/>
        </w:rPr>
        <w:t>صورة القطع مع کونه مغفولا عنه،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مواضع الخلط</w:t>
      </w:r>
      <w:r>
        <w:rPr>
          <w:rStyle w:val="FootnoteAnchor"/>
          <w:rtl w:val="true"/>
        </w:rPr>
        <w:footnoteReference w:id="176"/>
      </w:r>
      <w:r>
        <w:rPr>
          <w:rFonts w:ascii="IRNazanin" w:hAnsi="IRNazanin" w:eastAsia="IRNazanin"/>
          <w:color w:val="111111"/>
          <w:sz w:val="28"/>
          <w:sz w:val="28"/>
          <w:szCs w:val="28"/>
          <w:rtl w:val="true"/>
          <w:lang w:bidi="fa-IR"/>
        </w:rPr>
        <w:t xml:space="preserve">، و ما فی کلام العلامة العراقی قدس سره و أن الشبهة لا تختص بلزوم اجتماع المحبوبیة و المبغوضیة، بل یلزم اجتماع الحرمة و الوجوب </w:t>
      </w:r>
      <w:r>
        <w:rPr>
          <w:rStyle w:val="FootnoteAnchor"/>
          <w:rtl w:val="true"/>
        </w:rPr>
        <w:footnoteReference w:id="177"/>
      </w:r>
      <w:r>
        <w:rPr>
          <w:rFonts w:ascii="IRNazanin" w:hAnsi="IRNazanin" w:eastAsia="IRNazanin"/>
          <w:color w:val="111111"/>
          <w:sz w:val="28"/>
          <w:sz w:val="28"/>
          <w:szCs w:val="28"/>
          <w:rtl w:val="true"/>
          <w:lang w:bidi="fa-IR"/>
        </w:rPr>
        <w:t>، و یمکن دفع ذلک من غیر حاجة إلی ما فی کلامه مما لا یرجع إلی معنی تام، و کلام قابل للتصدیق، و لو لا مخافة التطویل لکشفنا النقاب عنه،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العقلی من تحریم الشرع قابل للدفع و إنما الکلام فیما یکون دلیلا علیه إثباتا</w:t>
      </w:r>
      <w:r>
        <w:rPr>
          <w:rFonts w:eastAsia="IRNazanin" w:cs="IRNazanin"/>
          <w:color w:val="111111"/>
          <w:sz w:val="28"/>
          <w:szCs w:val="28"/>
          <w:rtl w:val="true"/>
          <w:lang w:bidi="fa-IR"/>
        </w:rPr>
        <w:t>:</w:t>
      </w:r>
    </w:p>
    <w:p>
      <w:pPr>
        <w:pStyle w:val="Heading5"/>
        <w:numPr>
          <w:ilvl w:val="4"/>
          <w:numId w:val="1"/>
        </w:numPr>
        <w:rPr/>
      </w:pPr>
      <w:bookmarkStart w:id="137" w:name="__RefHeading___Toc624343_3244359995"/>
      <w:bookmarkStart w:id="138" w:name="_Toc51"/>
      <w:bookmarkEnd w:id="137"/>
      <w:r>
        <w:rPr>
          <w:rtl w:val="true"/>
        </w:rPr>
        <w:t>الأدلة الإثباتیة علی حرمة الفعل المتجری به</w:t>
      </w:r>
      <w:bookmarkEnd w:id="138"/>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الأدلة الأولیة و الخطابات الإلهیة المتوجهة إلی الأمة الإسلامیة، هو أن الخمر المعلوم محرم، و هذا إما لأجل دعوی فهم العقلاء و العرف و 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المقدمة العقلیة، و هی أن طبیعة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هی و طبیعتها ملحوظة فی حال القدرة و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قابلة للتحریم بالضرورة، فیکون المحرم هی الحصة المقدورة، و هی الحصة المعلومة، ضرورة أن الحصة المجهولة لیست مقدورة، لامتناع فرض القدرة بالقیاس إلی المجهول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یکون المتجری عاصیا،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ارتکب ما هو المحرم، و هو الخمر المعلومة خمریته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139" w:name="pg13170_166227"/>
    </w:p>
    <w:p>
      <w:pPr>
        <w:pStyle w:val="BookText"/>
        <w:rPr/>
      </w:pPr>
      <w:bookmarkEnd w:id="139"/>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العلم المأخوذ المدعی جزء الموضوع، فالمتجری لم یعص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تمام الموضوع یلزم کونه خارجا عن محل النزاع، لأن المتجری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النزاع، و هو لا یتصور فی هذه الصورة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النزاع لیس مقصورا حول حصار الاصطلاح، بل النّظر هنا إلی إثبات أن من اعتقد بأن ما فی الإناء خمر فشربه، فقد عصی سیده و إن لم یکن خمرا، فلا ینبغی الخلط، و لیتدبر جیدا</w:t>
      </w:r>
      <w:r>
        <w:rPr>
          <w:rFonts w:eastAsia="IRNazanin" w:cs="IRNazanin"/>
          <w:color w:val="111111"/>
          <w:sz w:val="28"/>
          <w:szCs w:val="28"/>
          <w:rtl w:val="true"/>
          <w:lang w:bidi="fa-IR"/>
        </w:rPr>
        <w:t>.</w:t>
      </w:r>
    </w:p>
    <w:p>
      <w:pPr>
        <w:pStyle w:val="Heading5"/>
        <w:numPr>
          <w:ilvl w:val="4"/>
          <w:numId w:val="1"/>
        </w:numPr>
        <w:rPr/>
      </w:pPr>
      <w:bookmarkStart w:id="140" w:name="__RefHeading___Toc624345_3244359995"/>
      <w:bookmarkStart w:id="141" w:name="_Toc52"/>
      <w:bookmarkEnd w:id="140"/>
      <w:r>
        <w:rPr>
          <w:rtl w:val="true"/>
        </w:rPr>
        <w:t>وهم و دفع</w:t>
      </w:r>
      <w:bookmarkEnd w:id="141"/>
    </w:p>
    <w:p>
      <w:pPr>
        <w:pStyle w:val="BookText"/>
        <w:rPr/>
      </w:pPr>
      <w:r>
        <w:rPr>
          <w:rFonts w:ascii="IRNazanin" w:hAnsi="IRNazanin" w:eastAsia="IRNazanin"/>
          <w:color w:val="111111"/>
          <w:sz w:val="28"/>
          <w:sz w:val="28"/>
          <w:szCs w:val="28"/>
          <w:rtl w:val="true"/>
          <w:lang w:bidi="fa-IR"/>
        </w:rPr>
        <w:t>العلم المأخوذ إن کان جزء الموضوع، فلا یترتب علیه الأثر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کونه تمام الموضوع فهو بلا وجه، لأن غایة ما تقتضیه الأدلة هو کونه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تمام الموضوع، خلاف الضرورة القاضیة بأن الأحکام تابعة المصالح و المفاسد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فلازم الأخذ بالأدلة مجموعا، هو کون العلم جزء الموضوع، فلا یتم عصیان المتجری بالقیاس إلی الفعل المتجری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فی صورة المصادفة جزء الموضوع، و فی صورة التخلف تمام الموضوع، و به یجمع بین الأدلة، و یحصل به المقصود، و هو عصیان المتجری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امتناع ذلک، مدفوع بأن قضیة الإطلاق هو ذاک، مثلا إذا ورد النهی عن الخمر المعلومة خمریته، یکون العلم المصادف و غیره مورد انطباق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یکون تحریم الخمر فی صورة الخطأ، لأجل مصلحة فی المتعلق،</w:t>
      </w:r>
    </w:p>
    <w:p>
      <w:pPr>
        <w:pStyle w:val="BookText"/>
        <w:rPr/>
      </w:pPr>
      <w:r>
        <w:rPr>
          <w:rFonts w:ascii="IRNazanin" w:hAnsi="IRNazanin" w:eastAsia="IRNazanin"/>
          <w:color w:val="111111"/>
          <w:sz w:val="28"/>
          <w:sz w:val="28"/>
          <w:szCs w:val="28"/>
          <w:rtl w:val="true"/>
          <w:lang w:bidi="fa-IR"/>
        </w:rPr>
        <w:t>و هی الخمریة، بل هو لمصلحة أخری سیاسیة، نظیر النهی العام الکلی الصادر فی العرف فی ساعات حظر التجول، فإن النّظر فی هذا القانون العام إلی منع تجول السراق و أرباب الشغب و الإخلال، و لکن مع ذلک یصح المنع الکلی بالقیاس إلی کافة الناس، حتی خواص السلطان، بل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العام الکذائی مترشح من مفسدة الخمر، و بحکم العقل مخصوص بالحصة المقدورة، و لأجل المصالح الاخر یؤخذ بإطلاقه لصورة تخلف العلم عن الواقع، و الجمع بین ذلک، أی کون العلم جزء الموضوع فی دلیل واحد،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العلم تمام الموضوع فی نفس ذاک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بعلم، بل هو جهل مرکب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موضوع الحکم هو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کونه علما و کاشفا و مطابقا، أو لم یکن کذلک،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اللغوی أعم من الجهل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مجازا، و لکنه من المجاز المشهور الّذی یصح للمتکلم الاتکال علیه فی نشر قانونه و بسط حکمه، بالقیاس إلی الجاهل المرکب، و لذلک یکون فی صورة کونه تمام الموضوع تکلیفه منجزا، و لو تخلف یعد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الضرورة أن فی الفقه ما یکون موضوعه العلم علی نعت التمامیة، مع أنه لیس بعلم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المأخوذ فی الدلیل فی صورة الإصابة، یعتبر طریقا، و فی صورة عدم الإصابة یکون مأخوذا علی وجه الصفتیة، فیکون هو علما علی الصفتیة واقعا، لا مجازا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امتناع کون العلم فی الدلیل الواحد، مأخوذا طریقا و صفة، ناشئ من الخلط بین العلم العنوانی، و بین العلم بالحمل الشائع، فإن العلم المأخوذ فی القانون</w:t>
      </w:r>
    </w:p>
    <w:p>
      <w:pPr>
        <w:pStyle w:val="BookText"/>
        <w:rPr/>
      </w:pPr>
      <w:r>
        <w:rPr>
          <w:rFonts w:ascii="IRNazanin" w:hAnsi="IRNazanin" w:eastAsia="IRNazanin"/>
          <w:color w:val="111111"/>
          <w:sz w:val="28"/>
          <w:sz w:val="28"/>
          <w:szCs w:val="28"/>
          <w:rtl w:val="true"/>
          <w:lang w:bidi="fa-IR"/>
        </w:rPr>
        <w:t>لیس طریقا و صفة، بل هو عنوان العلم و مفهومه، و ما هو الطریق و الصفة هو العلم الموجود فی أنفس المکلفین، فإن أصاب الواقع یکون جزء الموضوع، إما علی الطریقیة، أو الصفتیة، و فی صورة الخطأ یکون تمام الموضوع علی وجه الصفتیة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ذلک لخصوصیة المورد، دون القانون، فإنه العام الخالی من هذه الخصوصیات، و تلحق هذه الأمور باعتبار المصادیق حسب الفهم العرفی، و سیظهر توضیحه و تحقیق هذه الجهة فی المباحث الآتیة إن شاء اللَّه تعالی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الأدلة الأولیة لتحریم المتجری به، أو إیجابه، مما لا بأس به ثبوتا 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التحریر المزبور فی کلامنا، تظهر مواضع الضعف فی کلمات العلامة النائینی و غیره فی المقام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شی‌ء یتوجه إلی التقریب المزبور مضافا إلی ما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الأدلة الأولیة تشمل إیجاب الطبیعة و تحریمها علی إطلاقها، من غیر أن تحصص بحصتها المقدورة المعلومة، لعدم شرطیة القدرة فی إیجابها و تحریمها المطلقین، و یمکن أن یکون الحکم فعلیا عاما بالقیاس إلی کافة حالات المکلفین، من النسیان، و الغفلة، و السهو، و الجهل، و العجز، و غیرها، فلا یتم ما 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 أیضا دعوی الانصراف، لأن منشأه ربما کان الوجه العقلی، و لکنه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لدعوی الانصراف وجه، لما کان لحدیث الرفع محل تأسیسی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الأدلة الواقعیة قطعی، و لو فرضنا صحة اختصاص الحصة المقدورة بالتکلیف، و لکنه لا یلازم کون الأدلة معنونة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یستنبط منه و یستظهر منه معانیها الخاصة، و حدود دلالتها و انصرافها، فإن کل ذلک خروج من الطریقة الصحیحة فی استنباط الأحکام الإلهیة،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التقریب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المأخوذ فی موضوع تلک الأدلة، لا یستلزم المحذور الّذی لا یمکن حله کما عرفت، و أما العلم المأخوذ فی متعلق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الصلاة المعلوم وجوبها واجبة، و شرب الخمر المعلوم حرمته محرما، و الصوم المعلوم حرمته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هذه الصورة و الفرض، یلزم إشکال لا یندفع بما اندفع به فی الفرض الأول، و ذلک أن العلم المأخوذ یستلزم الدور، کما یأتی، و یمکن دفعه بما سیمر علیک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یلزم منه أن یکون الحکم الواقعی و الجدی تابع العلم، و هذه الصفة العرضیة، و هذا خلاف المفروغ منه عند الإمامیة، و خلاف الظاهر مما نسب إلیه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شی‌ء یقربکم إلی الجنة إلا و قد أمرتکم به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أخذ العلم فی المتعلق محذور عقلی، لإمکان کون العلم بالحکم الإنشائیّ، موضوع الحکم الجدی و الفعلی، فإن کان جزء الموضوع، فیکون الجزء الآخر هو الحکم الإنشائیّ، و یصح أخذه حینئذ طریقا أو صفة، علی الوجه الّذی عرفته آنفا، و لا ینبغی الخلط</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تمام الموضوع، یکون الحکم الإنشائیّ متعلقا، و العلم موضوعا للحکم الجدی الفعلی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الأسف، إن هذا لا یتم فی التجری، لما لا یکون هناک حکم إنشائی تعلق به علم المتجری، فإن المتجری یعلم بالصوم و حرمته، و لا یکون الصوم المعلومة حرمته مشروعا فی الشریعة، لا فعلیا، و لا إنشائیا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المتجری به فی الفرض الأخیر، هی صلاة الجمعة إذا اعتقد حرمتها، ثم ارتکبها، أو صوم عاشوراء إذا اعتقد حرمته، ثم أتی به مثلا، فإنه یعد من الفعل المتجری به لو کان الصوم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الفعل المتجری به لا یمکن تحریمه بالإطلاقات، لما لا یکون هناک إطلاق یشمل الواقع و التخیل، بخلاف الفعل المتجری به فی الفرض الأول، فإن إطلاق أدلة الواقع یمکن أن یشمل الخمر الواقعی و التخیلی، فلا یتم التقریب المزبور فی أمثال هذه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الفرض الأخیر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 علی ما تقدم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الفعل المتجری به قبیح، أو ذو مفسدة ملزمة، و کل قبیح یستلزم العقوبة،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کل ذی مفسدة ملزمة ممنوع عقلا، و بحکم الملازمة ممنوع شرعا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فساد جمیع هذه المقدمات بما لا مزید علیه، حتی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المتجری به قبیح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بهذه الحیثیة، لأن قبحه یرجع إلی کونه ظلما، و لا معنی لکونه ظلما، کما عرفت توضیحه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42" w:name="pg13170_166232"/>
    </w:p>
    <w:p>
      <w:pPr>
        <w:pStyle w:val="Heading4"/>
        <w:numPr>
          <w:ilvl w:val="3"/>
          <w:numId w:val="1"/>
        </w:numPr>
        <w:rPr/>
      </w:pPr>
      <w:bookmarkStart w:id="143" w:name="__RefHeading___Toc624347_3244359995"/>
      <w:bookmarkStart w:id="144" w:name="_Toc53"/>
      <w:bookmarkEnd w:id="142"/>
      <w:bookmarkEnd w:id="143"/>
      <w:r>
        <w:rPr>
          <w:rtl w:val="true"/>
        </w:rPr>
        <w:t>المسألة الثالثة حول تحقق الامتثال بالفعل المتجری به بناء علی حرمته</w:t>
      </w:r>
      <w:bookmarkEnd w:id="144"/>
    </w:p>
    <w:p>
      <w:pPr>
        <w:pStyle w:val="BookText"/>
        <w:rPr/>
      </w:pPr>
      <w:r>
        <w:rPr>
          <w:rFonts w:ascii="IRNazanin" w:hAnsi="IRNazanin" w:eastAsia="IRNazanin"/>
          <w:color w:val="111111"/>
          <w:sz w:val="28"/>
          <w:sz w:val="28"/>
          <w:szCs w:val="28"/>
          <w:rtl w:val="true"/>
          <w:lang w:bidi="fa-IR"/>
        </w:rPr>
        <w:t>بناء علی القول بحرمة الفعل المتجری به، فإن کان العنوان المنطبق علیه ذاتا من العناوین العبادیة، فصحة العبادة ممنوعة، لأجل لزوم الإخلال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اعتقد حرمة صلاة الجمعة، ثم أتی بها، فتبین أنها واجبة أو مستحبة، فسقوط الأمر المتعلق بها محل منع کما تری،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العنوان المنطبق علیه ذاتا توصلیا، کما إذا اعتقد حرمة إکرام الفاسق، ثم أکرمه، فهل یسقط الأمر إذا تبین وجوب إکرامه مثلا، أم لا؟</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موارد تحریم الفعل المتجری به، أن ذات الفعل تصیر محرمة، فلا بد من الالتزام بعدم بقاء الأمر فی ذلک المورد، لامتناع اجتماعهما، و ذلک للزوم الانقلاب فی الواقع بقلب الحسن قبیحا، و المصلحة الملزمة مفسدة ملزمة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المحرم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النسبة بین الواجب</w:t>
      </w:r>
    </w:p>
    <w:p>
      <w:pPr>
        <w:pStyle w:val="BookText"/>
        <w:rPr/>
      </w:pPr>
      <w:r>
        <w:rPr>
          <w:rFonts w:ascii="IRNazanin" w:hAnsi="IRNazanin" w:eastAsia="IRNazanin"/>
          <w:color w:val="111111"/>
          <w:sz w:val="28"/>
          <w:sz w:val="28"/>
          <w:szCs w:val="28"/>
          <w:rtl w:val="true"/>
          <w:lang w:bidi="fa-IR"/>
        </w:rPr>
        <w:t>بحسب الواقع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تخیل المتجری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من وجه، کما مر، فلا یکون الأمر ساقطا، و الواقع منقلبا، لإمکان اجتماعهما، کما تحرر فی مبحث الامتناع و الاجتماع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إن دلیل تحریم المتجری به مختلف، تصیر النتیجة مختلفة، فإن کان مستند التحریم حکم العقل و المقدمات العقلیة، فما هو المحرم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 فیکون الفعل المتجری به مصداق الواجب و الفرد الممتثل به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المستند دعوی شمول الأدلة الواقعیة، فالنسبة أیضا عموم من وجه، ضرورة أن بین شرب الدواء الواجب و بین معلوم الخمر،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المستند الإجماع و الأخبار فی موارد خاصة، یستکشف بها أن المحرم هو الواقع، لا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رأی الأکثر، بتوهم امتناع تحریم المتجری به بعنوانه، کما مر تفصیله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قلنا بمقالة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مصالح الواقع و مفاسد المتجری به تتزاحم، فیکون الأمر المتعلق بالشرب و النهی المتعلق به، تابعین فی الواقع للمصلحة و المفسدة الغالبة</w:t>
      </w:r>
      <w:r>
        <w:rPr>
          <w:rStyle w:val="FootnoteAnchor"/>
          <w:rtl w:val="true"/>
        </w:rPr>
        <w:footnoteReference w:id="188"/>
      </w:r>
      <w:r>
        <w:rPr>
          <w:rFonts w:ascii="IRNazanin" w:hAnsi="IRNazanin" w:eastAsia="IRNazanin"/>
          <w:color w:val="111111"/>
          <w:sz w:val="28"/>
          <w:sz w:val="28"/>
          <w:szCs w:val="28"/>
          <w:rtl w:val="true"/>
          <w:lang w:bidi="fa-IR"/>
        </w:rPr>
        <w:t>، فیلزم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بمقالة من یقول بغالبیة المفسدة الطارئة علی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بتوهم قبح التجری ذاتا، لا بالوجوه و الاعتبار، فلا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الأمر غیر ساقط، إذا کان متعلقا بصرف الوجود، و ساقطا إذا کان متعلقا بالوجود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السقوط مستند إلی عدم المقتضی، لا الامتثال، کما لا یخفی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الشأن أن کل هذه التصورات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ممنوعیة حرمة</w:t>
      </w:r>
    </w:p>
    <w:p>
      <w:pPr>
        <w:pStyle w:val="BookText"/>
        <w:rPr/>
      </w:pPr>
      <w:r>
        <w:rPr>
          <w:rFonts w:ascii="IRNazanin" w:hAnsi="IRNazanin" w:eastAsia="IRNazanin"/>
          <w:color w:val="111111"/>
          <w:sz w:val="28"/>
          <w:sz w:val="28"/>
          <w:szCs w:val="28"/>
          <w:rtl w:val="true"/>
          <w:lang w:bidi="fa-IR"/>
        </w:rPr>
        <w:t>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البناء الباطل، و اللَّه یعصمنا من النار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المعلوم هنا مسألة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المتجری به إذا کان من المعاملات، و مورد الأحکام الوضعیّة، فهل هی تفسد، أم لا؟ وجهان، و قد عرفت مصیر الوجهین فی المسألة السابقة، و أن الصحة هی الأقوی، فتأمل</w:t>
      </w:r>
      <w:r>
        <w:rPr>
          <w:rFonts w:eastAsia="IRNazanin" w:cs="IRNazanin"/>
          <w:color w:val="111111"/>
          <w:sz w:val="28"/>
          <w:szCs w:val="28"/>
          <w:rtl w:val="true"/>
          <w:lang w:bidi="fa-IR"/>
        </w:rPr>
        <w:t>.</w:t>
      </w:r>
      <w:bookmarkStart w:id="145" w:name="pg13170_166236"/>
    </w:p>
    <w:p>
      <w:pPr>
        <w:pStyle w:val="Heading3"/>
        <w:numPr>
          <w:ilvl w:val="2"/>
          <w:numId w:val="1"/>
        </w:numPr>
        <w:rPr/>
      </w:pPr>
      <w:bookmarkStart w:id="146" w:name="__RefHeading___Toc624349_3244359995"/>
      <w:bookmarkStart w:id="147" w:name="_Toc54"/>
      <w:bookmarkEnd w:id="145"/>
      <w:bookmarkEnd w:id="146"/>
      <w:r>
        <w:rPr>
          <w:rtl w:val="true"/>
        </w:rPr>
        <w:t>المبحث الثالث فی أقسام القطع</w:t>
      </w:r>
      <w:bookmarkEnd w:id="1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624351_3244359995"/>
      <w:bookmarkStart w:id="149" w:name="_Toc55"/>
      <w:bookmarkEnd w:id="148"/>
      <w:r>
        <w:rPr>
          <w:rtl w:val="true"/>
        </w:rPr>
        <w:t>اشارة</w:t>
      </w:r>
      <w:bookmarkStart w:id="150" w:name="pg13170_166238"/>
      <w:bookmarkEnd w:id="149"/>
    </w:p>
    <w:p>
      <w:pPr>
        <w:pStyle w:val="BookText"/>
        <w:rPr/>
      </w:pPr>
      <w:bookmarkEnd w:id="150"/>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القوانین التی بین أیدینا فی الکتاب و السنة، لا تخلو من إحدی الصور الآتیة</w:t>
      </w:r>
      <w:r>
        <w:rPr>
          <w:rFonts w:eastAsia="IRNazanin" w:cs="IRNazanin"/>
          <w:color w:val="111111"/>
          <w:sz w:val="28"/>
          <w:szCs w:val="28"/>
          <w:rtl w:val="true"/>
          <w:lang w:bidi="fa-IR"/>
        </w:rPr>
        <w:t>:</w:t>
      </w:r>
    </w:p>
    <w:p>
      <w:pPr>
        <w:pStyle w:val="Heading4"/>
        <w:numPr>
          <w:ilvl w:val="3"/>
          <w:numId w:val="1"/>
        </w:numPr>
        <w:rPr/>
      </w:pPr>
      <w:bookmarkStart w:id="151" w:name="__RefHeading___Toc624353_3244359995"/>
      <w:bookmarkStart w:id="152" w:name="_Toc56"/>
      <w:bookmarkEnd w:id="151"/>
      <w:r>
        <w:rPr>
          <w:rtl w:val="true"/>
        </w:rPr>
        <w:t>الصورة الأولی</w:t>
      </w:r>
      <w:r>
        <w:rPr>
          <w:rtl w:val="true"/>
        </w:rPr>
        <w:t xml:space="preserve">: </w:t>
      </w:r>
      <w:r>
        <w:rPr>
          <w:rtl w:val="true"/>
        </w:rPr>
        <w:t>تعلق الحکم بعنوان بما هو هو</w:t>
      </w:r>
      <w:bookmarkEnd w:id="152"/>
    </w:p>
    <w:p>
      <w:pPr>
        <w:pStyle w:val="Heading5"/>
        <w:numPr>
          <w:ilvl w:val="4"/>
          <w:numId w:val="1"/>
        </w:numPr>
        <w:rPr/>
      </w:pPr>
      <w:bookmarkStart w:id="153" w:name="__RefHeading___Toc624355_3244359995"/>
      <w:bookmarkStart w:id="154" w:name="_Toc57"/>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أی ما یکون غیر مشتمل علی عنوان القطع و ما یساوقه، و یکون خالیا منه، و هو الأکثر القریب من الاتفاق، فیکون الحکم فیها متعلقا بالعنوان المأخوذ فیها، سواء کان من العناوین الکلیة، أو من قبیل العناوین الشخصیة،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و عرفات، و منی، و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لا یکون للقطع دخل فی هذه الصورة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القطع علی القول بمنجزیته و معذریته، حجة عقلیة و عرفیة، و کاشفا طبعا عن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تأتی هنا الأقسام الکثیرة المتصورة له، فإنها مخصوصة بالقطع المأخوذ فی تلک القوانین الموجودة فیما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حسن طریقنا فی کیفیة الورود فی هذه المسألة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المزبور غیر جید، فهو فی محله، إلا أنه توطئة للبحث عن مسألة قیام الطرق و الأمارات مقام القطع، فإنه من أقسامه تظهر موارد القیام و عدمه، و وجه القیام و عدمه، کما لا یخفی</w:t>
      </w:r>
      <w:r>
        <w:rPr>
          <w:rFonts w:eastAsia="IRNazanin" w:cs="IRNazanin"/>
          <w:color w:val="111111"/>
          <w:sz w:val="28"/>
          <w:szCs w:val="28"/>
          <w:rtl w:val="true"/>
          <w:lang w:bidi="fa-IR"/>
        </w:rPr>
        <w:t>.</w:t>
      </w:r>
      <w:bookmarkStart w:id="155" w:name="pg13170_166239"/>
    </w:p>
    <w:p>
      <w:pPr>
        <w:pStyle w:val="Heading5"/>
        <w:numPr>
          <w:ilvl w:val="4"/>
          <w:numId w:val="1"/>
        </w:numPr>
        <w:rPr/>
      </w:pPr>
      <w:bookmarkStart w:id="156" w:name="__RefHeading___Toc624357_3244359995"/>
      <w:bookmarkStart w:id="157" w:name="_Toc58"/>
      <w:bookmarkEnd w:id="155"/>
      <w:bookmarkEnd w:id="156"/>
      <w:r>
        <w:rPr>
          <w:rtl w:val="true"/>
        </w:rPr>
        <w:t>وهم</w:t>
      </w:r>
      <w:bookmarkEnd w:id="157"/>
    </w:p>
    <w:p>
      <w:pPr>
        <w:pStyle w:val="BookText"/>
        <w:rPr/>
      </w:pPr>
      <w:r>
        <w:rPr>
          <w:rFonts w:ascii="IRNazanin" w:hAnsi="IRNazanin" w:eastAsia="IRNazanin"/>
          <w:color w:val="111111"/>
          <w:sz w:val="28"/>
          <w:sz w:val="28"/>
          <w:szCs w:val="28"/>
          <w:rtl w:val="true"/>
          <w:lang w:bidi="fa-IR"/>
        </w:rPr>
        <w:t>یتوجه إلی القائلین بانحلال الخطاب إلی الخطابات الشخصیة الجزئیة</w:t>
      </w:r>
      <w:r>
        <w:rPr>
          <w:rStyle w:val="FootnoteAnchor"/>
          <w:rtl w:val="true"/>
        </w:rPr>
        <w:footnoteReference w:id="189"/>
      </w:r>
      <w:r>
        <w:rPr>
          <w:rFonts w:ascii="IRNazanin" w:hAnsi="IRNazanin" w:eastAsia="IRNazanin"/>
          <w:color w:val="111111"/>
          <w:sz w:val="28"/>
          <w:sz w:val="28"/>
          <w:szCs w:val="28"/>
          <w:rtl w:val="true"/>
          <w:lang w:bidi="fa-IR"/>
        </w:rPr>
        <w:t>، امتناع کون القانون محفوظ الإطلاق بالنسبة إلی صورة القطع و عدمه، ضرورة أن الجاهل کیف یشترک مع العالم فی الحکم، مع أن توجیه الخطاب إلی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توجیهه إلی العاجز و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ممتنع فی ذات الأدلة، و إذا امتنع الإطلاق امتنع التقیید، فیلزم مشکلة غیر قابلة للحل، لأن الحکم و إن لم یکن بحسب المصالح و المفاسد متقیدا، و لکن لمکان امتناع توجیه الخطاب إلی الجاهل، یعجز المولی عن إیصال مرامه، و هو تکلیف الجاهل، و توجیه الخطاب الجدی إلیه، و عندئذ إذا امتنع إطلاق القانون بالنسبة إلی الجاهل، امتنع التقیید بالقیاس إلی العالم، لما سیأتی تفصیله فی الصورة الثالثة من الصور، و هو أن التقیید یستلزم الدور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تخیله المتأخرون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هذه الصورة لا یکون إشکال، لأن القطع یعد کاشفا و طریقا، و یکون الحکم متعلقا بموضوعه علی إطلاقه، لعدم أخذ العلم قیدا لا للحکم، و لا فی الموضوع، إنما هو فی غیر محله، لأن عدم أخذ المولی قیدا،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سعة محبوبیة المادة، و اشتراک العالم و الجاهل، و لکن تدخل العقل فی المسألة لشبهة، یوجب أن تکون جمیع القوانین مبتلیة بمشکلة ذات شعبتین، و تصیر النتیجة عدم إمکان وصول المولی إلی مرامه، لا إلی تکلیف الجاهل، و لا إلی تکلیف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الشبهة ذکرناها فی مباحث الترتب </w:t>
      </w:r>
      <w:r>
        <w:rPr>
          <w:rStyle w:val="FootnoteAnchor"/>
          <w:rtl w:val="true"/>
        </w:rPr>
        <w:footnoteReference w:id="191"/>
      </w:r>
      <w:r>
        <w:rPr>
          <w:rFonts w:ascii="IRNazanin" w:hAnsi="IRNazanin" w:eastAsia="IRNazanin"/>
          <w:color w:val="111111"/>
          <w:sz w:val="28"/>
          <w:sz w:val="28"/>
          <w:szCs w:val="28"/>
          <w:rtl w:val="true"/>
          <w:lang w:bidi="fa-IR"/>
        </w:rPr>
        <w:t>، و هی أقوی من شبهة اختصاص الخطابات بالقادرین، ضرورة أنه من إطلاق الخطاب بالنسبة إلی العاجز، یلزم محذور توجیه العاجز و تکلیفه، و هو محال، بخلاف التقیید، فإنه لیس بمحال، إذ لا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 الخطابات بالقادرین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تصدی القوم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کیف یمکن للمولی اختصاص حکمه بالعالم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للجواب </w:t>
      </w:r>
      <w:r>
        <w:rPr>
          <w:rStyle w:val="FootnoteAnchor"/>
          <w:rtl w:val="true"/>
        </w:rPr>
        <w:footnoteReference w:id="192"/>
      </w:r>
      <w:r>
        <w:rPr>
          <w:rFonts w:ascii="IRNazanin" w:hAnsi="IRNazanin" w:eastAsia="IRNazanin"/>
          <w:color w:val="111111"/>
          <w:sz w:val="28"/>
          <w:sz w:val="28"/>
          <w:szCs w:val="28"/>
          <w:rtl w:val="true"/>
          <w:lang w:bidi="fa-IR"/>
        </w:rPr>
        <w:t>، و لکن تلک الأجوبة لا تنفع للمقام، و هو اشتراک الجاهل 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کلام العلامة النائینی قدس سره التمسک هناک بمتمم الجعل و نتیجة الإطلاق لسرایة الحکم إلی الجاهل </w:t>
      </w:r>
      <w:r>
        <w:rPr>
          <w:rStyle w:val="FootnoteAnchor"/>
          <w:rtl w:val="true"/>
        </w:rPr>
        <w:footnoteReference w:id="193"/>
      </w:r>
      <w:r>
        <w:rPr>
          <w:rFonts w:ascii="IRNazanin" w:hAnsi="IRNazanin" w:eastAsia="IRNazanin"/>
          <w:color w:val="111111"/>
          <w:sz w:val="28"/>
          <w:sz w:val="28"/>
          <w:szCs w:val="28"/>
          <w:rtl w:val="true"/>
          <w:lang w:bidi="fa-IR"/>
        </w:rPr>
        <w:t>، مع أن البحث فی ذلک المقام، مخصوص بصورة اختصاص الحکم بالعالم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ینبغی أن یلتفتوا إلی هذه المشکلة فی هذه الصورة، حتی تنحل به معضلة الاختصاص من ناحیة أن مرام المولی أعم، لا من ناحیة أن إفادة الاختصاص تستلزم المحذور العقلی، و هو الدور، فلا ینبغی الخلط فیما هو المهم بالمقصود فی هذه المسألة، کما خلطوا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المولی مرامه إفادة الاشتراک، یستلزم ذلک توجیه الجاهل بالخطاب الخاصّ به، و هو محال، و هذا هو مشکلة هذه الصورة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مشکلة الصورة الثالثة، و هی أن مرام المولی إذا کان إفادة اختصاص الحکم بالعالم به، فیلزم منه الدور، فلا بد من حلها هناک، کما لا بد من حل المشکلة</w:t>
      </w:r>
      <w:bookmarkStart w:id="158" w:name="pg13170_166241"/>
    </w:p>
    <w:p>
      <w:pPr>
        <w:pStyle w:val="BookText"/>
        <w:rPr/>
      </w:pPr>
      <w:bookmarkEnd w:id="158"/>
      <w:r>
        <w:rPr>
          <w:rFonts w:ascii="IRNazanin" w:hAnsi="IRNazanin" w:eastAsia="IRNazanin"/>
          <w:color w:val="111111"/>
          <w:sz w:val="28"/>
          <w:sz w:val="28"/>
          <w:szCs w:val="28"/>
          <w:rtl w:val="true"/>
          <w:lang w:bidi="fa-IR"/>
        </w:rPr>
        <w:t>الأولی هنا،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فرغنا من حلها فی تلک المسألة بما لا مزید علیه، و ذکرنا هناک هذه المشکلة أیضا، فلا وجه لإعادته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القانونیة، متصدیة لإفادة الأحکام الفعلیة بالنسبة إلی کافة الأنام علی حد سواء، من غیر لزوم إشکال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الدلیل علی اشتراک العالم و الجاهل فی الحکم، لا یستلزم رفع المحذور، لأن المحذور من ناحیة کیفیة إمکان جعل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استفادة مطلوبیة المادة و مبغوضیتها فی الواجبات و المحرمات بدلیل، و لکنه یمکن المناقشة فی الدلیل، و دعوی الضرورة</w:t>
      </w:r>
      <w:r>
        <w:rPr>
          <w:rStyle w:val="FootnoteAnchor"/>
          <w:rtl w:val="true"/>
        </w:rPr>
        <w:footnoteReference w:id="194"/>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ناشئة من إطلاق الأدلة، و لو استقرت الشبهة العقلیة تنتفی الضرورة</w:t>
      </w:r>
      <w:r>
        <w:rPr>
          <w:rFonts w:eastAsia="IRNazanin" w:cs="IRNazanin"/>
          <w:color w:val="111111"/>
          <w:sz w:val="28"/>
          <w:szCs w:val="28"/>
          <w:rtl w:val="true"/>
          <w:lang w:bidi="fa-IR"/>
        </w:rPr>
        <w:t>.</w:t>
      </w:r>
    </w:p>
    <w:p>
      <w:pPr>
        <w:pStyle w:val="Heading4"/>
        <w:numPr>
          <w:ilvl w:val="3"/>
          <w:numId w:val="1"/>
        </w:numPr>
        <w:rPr/>
      </w:pPr>
      <w:bookmarkStart w:id="159" w:name="__RefHeading___Toc624359_3244359995"/>
      <w:bookmarkStart w:id="160" w:name="_Toc59"/>
      <w:bookmarkEnd w:id="159"/>
      <w:r>
        <w:rPr>
          <w:rtl w:val="true"/>
        </w:rPr>
        <w:t>الصورة الثانیة</w:t>
      </w:r>
      <w:r>
        <w:rPr>
          <w:rtl w:val="true"/>
        </w:rPr>
        <w:t xml:space="preserve">: </w:t>
      </w:r>
      <w:r>
        <w:rPr>
          <w:rtl w:val="true"/>
        </w:rPr>
        <w:t>تعلق الحکم بالعنوان بما هو مقطوع</w:t>
      </w:r>
      <w:bookmarkEnd w:id="160"/>
    </w:p>
    <w:p>
      <w:pPr>
        <w:pStyle w:val="Heading5"/>
        <w:numPr>
          <w:ilvl w:val="4"/>
          <w:numId w:val="1"/>
        </w:numPr>
        <w:rPr/>
      </w:pPr>
      <w:bookmarkStart w:id="161" w:name="__RefHeading___Toc624361_3244359995"/>
      <w:bookmarkStart w:id="162" w:name="_Toc60"/>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ربما یوجد فیما بین أیدینا من القوانین و الأدلة، ما یکون العنوان المأخوذ فیه معنونا بالقطع، و مقیدا به، و یکون الموضوع مخصوصا، من غیر تقیید فی ناحیة الحکم، سواء فیه الحکم التکلیفی و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هذا الارتماس المحرم فی الماء فی شهر رمضان، فإن الماء المعلوم یحرم الارتماس فیه، و یبطل الصوم به، لا مطلق الماء، فإنه فی صورة الجهل لا یبطل، و لا یکون محرما، فتأمل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فربما یقال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هو موضوع النجاسة الشرعیة هی القذارة المعلومة، و ما هو</w:t>
      </w:r>
    </w:p>
    <w:p>
      <w:pPr>
        <w:pStyle w:val="BookText"/>
        <w:rPr/>
      </w:pPr>
      <w:r>
        <w:rPr>
          <w:rFonts w:ascii="IRNazanin" w:hAnsi="IRNazanin" w:eastAsia="IRNazanin"/>
          <w:color w:val="111111"/>
          <w:sz w:val="28"/>
          <w:sz w:val="28"/>
          <w:szCs w:val="28"/>
          <w:rtl w:val="true"/>
          <w:lang w:bidi="fa-IR"/>
        </w:rPr>
        <w:t>موضوع الحرمة أیضا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هو الظاهر من الحدیث، و من أخبار المسألة إجمالا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یمکن اطلاع الفقیه علی دلیل، یکون موضوعه مقیدا بالقطع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المأخوذ فی العنوان، لا یخلو من وجوه و احتمالات، و هذه الوجوه و المحتملات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الصور الرئیسة التی منها هذه الصورة، التی تنقسم باعتبار الحکم التکلیفی و الوضعی إلی الصورتین، و هکذا الصور الاخر الآتیة، فإنه من ضرب محتملات الصور بمحتملات الناحیة الثانیة، یحصل الأقسام الکثیرة بمراتب أکثر مما فی کتب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المتصورة لنفس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توضیحها، لا بد من الإشارة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النّظر فی هذه الأقسام و فی هذا التقسیم، إلی ما هو الدخیل فی موضوعیة الحکم، و یحتمل کونه مأخوذا فی القانون، لا مطلق العناوین المنطبقة علی القطع، کما یظهر من العلامة المحشی الأصفهانی قدس سره </w:t>
      </w:r>
      <w:r>
        <w:rPr>
          <w:rStyle w:val="FootnoteAnchor"/>
          <w:rtl w:val="true"/>
        </w:rPr>
        <w:footnoteReference w:id="197"/>
      </w:r>
      <w:r>
        <w:rPr>
          <w:rFonts w:ascii="IRNazanin" w:hAnsi="IRNazanin" w:eastAsia="IRNazanin"/>
          <w:color w:val="111111"/>
          <w:sz w:val="28"/>
          <w:sz w:val="28"/>
          <w:szCs w:val="28"/>
          <w:rtl w:val="true"/>
          <w:lang w:bidi="fa-IR"/>
        </w:rPr>
        <w:t>ضرورة أن القطع کما یکون شیئا من الأشیاء، و یکون ماهیة و موجودا، یکون کیفا، و کیفا نفسانیا، أو من سائر المقولات، و لکن کل هذه الاعتبارات و العناوین الکاشفة عن خصوصیة فی القطع علی نعت المحمول بالضمیمة، أجنبیة عما هو المقصود فی المقام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اعتبارات اخر ترد علیه، من غیر أن تنافی بساطة القطع و الأعراض، کما لا یخفی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القطع کما یکون کاشفا تاما، یکون مشترکا مع سائر</w:t>
      </w:r>
    </w:p>
    <w:p>
      <w:pPr>
        <w:pStyle w:val="BookText"/>
        <w:rPr/>
      </w:pPr>
      <w:r>
        <w:rPr>
          <w:rFonts w:ascii="IRNazanin" w:hAnsi="IRNazanin" w:eastAsia="IRNazanin"/>
          <w:color w:val="111111"/>
          <w:sz w:val="28"/>
          <w:sz w:val="28"/>
          <w:szCs w:val="28"/>
          <w:rtl w:val="true"/>
          <w:lang w:bidi="fa-IR"/>
        </w:rPr>
        <w:t>الطرق فی الکشف، و فی أصل الکاشفیة و الطریقیة، و کما یکون صفة من الأوصاف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الصفات الصادرة أو القائمة، کالإرادة، و البخل، و الحسد، علی خلاف فی هذه المسألة أیضا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یکون له الصفة الاعتباریة، و هی المنجزیة المشترکة فیها سائر الطرق و الأمارات العقلائیة الممضاة، و الاحتمال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القطع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القطع المأخوذ فی الدلیل، فیمکن أن یکون النّظر فیه إلی القطع علی وجه من الوجوه المشار إلیها، أو أکثر، فیکون مأخوذا علی وجه الکاشفیة، أو الصفتیة، أو المنجزیة، فیکون الخمر المنجز محرما، لا الخمر المقطوع بخصوصیة القطع، بل المحرم موضوعه معنون بهذه الخصوصیة من خصوصیات القطع المشترک فیها الأمارات، و طائفة من الأصول، و الاحتمال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الدلیل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الموضوع، و تمامه، باختلاف موارد الإصابة و الخطأ، کما مر فیما سبق تصویره و إمکانه </w:t>
      </w:r>
      <w:r>
        <w:rPr>
          <w:rStyle w:val="FootnoteAnchor"/>
          <w:rtl w:val="true"/>
        </w:rPr>
        <w:footnoteReference w:id="198"/>
      </w:r>
      <w:r>
        <w:rPr>
          <w:rFonts w:ascii="IRNazanin" w:hAnsi="IRNazanin" w:eastAsia="IRNazanin"/>
          <w:color w:val="111111"/>
          <w:sz w:val="28"/>
          <w:sz w:val="28"/>
          <w:szCs w:val="28"/>
          <w:rtl w:val="true"/>
          <w:lang w:bidi="fa-IR"/>
        </w:rPr>
        <w:t>، فتأمل، فلا یلزم أن یکون جزء الموضوع فی دلیل، و تمام الموضوع فی مورد آخر، بل الخمر المعلومة تکون معلومیتها فی صورة الخطأ تمام الموضوع، و فی صورة الإصابة جزء الموضوع</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فی الدلیل الواحد، مأخوذا علی نحو الکاشفیة، و الصفتیة، ففیما یکون جزء الموضوع یؤخذ علی الکاشفیة، و فیما یکون تمام الموضوع یکون مأخوذا علی الصفتیة، و هذه جملة من الصور و الوجوه المتصورة فی المقام بدوا</w:t>
      </w:r>
      <w:r>
        <w:rPr>
          <w:rFonts w:eastAsia="IRNazanin" w:cs="IRNazanin"/>
          <w:color w:val="111111"/>
          <w:sz w:val="28"/>
          <w:szCs w:val="28"/>
          <w:rtl w:val="true"/>
          <w:lang w:bidi="fa-IR"/>
        </w:rPr>
        <w:t>.</w:t>
      </w:r>
      <w:bookmarkStart w:id="163" w:name="pg13170_166244"/>
    </w:p>
    <w:p>
      <w:pPr>
        <w:pStyle w:val="BookText"/>
        <w:rPr/>
      </w:pPr>
      <w:bookmarkEnd w:id="163"/>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حصر الشیخ به فی الطریقیة و الموضوعیة</w:t>
      </w:r>
      <w:r>
        <w:rPr>
          <w:rStyle w:val="FootnoteAnchor"/>
          <w:rtl w:val="true"/>
        </w:rPr>
        <w:footnoteReference w:id="1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الأربعة بإضافة الجزء و الکل </w:t>
      </w:r>
      <w:r>
        <w:rPr>
          <w:rStyle w:val="FootnoteAnchor"/>
          <w:rtl w:val="true"/>
        </w:rPr>
        <w:footnoteReference w:id="2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الفرض الخامس إلیه </w:t>
      </w:r>
      <w:r>
        <w:rPr>
          <w:rStyle w:val="FootnoteAnchor"/>
          <w:rtl w:val="true"/>
        </w:rPr>
        <w:footnoteReference w:id="201"/>
      </w:r>
      <w:r>
        <w:rPr>
          <w:rFonts w:ascii="IRNazanin" w:hAnsi="IRNazanin" w:eastAsia="IRNazanin"/>
          <w:color w:val="111111"/>
          <w:sz w:val="28"/>
          <w:sz w:val="28"/>
          <w:szCs w:val="28"/>
          <w:rtl w:val="true"/>
          <w:lang w:bidi="fa-IR"/>
        </w:rPr>
        <w:t>، فی غیر محله، لأن الأقسام تزداد علیها حسب ما عرفت منا</w:t>
      </w:r>
      <w:r>
        <w:rPr>
          <w:rFonts w:eastAsia="IRNazanin" w:cs="IRNazanin"/>
          <w:color w:val="111111"/>
          <w:sz w:val="28"/>
          <w:szCs w:val="28"/>
          <w:rtl w:val="true"/>
          <w:lang w:bidi="fa-IR"/>
        </w:rPr>
        <w:t>.</w:t>
      </w:r>
    </w:p>
    <w:p>
      <w:pPr>
        <w:pStyle w:val="Heading5"/>
        <w:numPr>
          <w:ilvl w:val="4"/>
          <w:numId w:val="1"/>
        </w:numPr>
        <w:rPr/>
      </w:pPr>
      <w:bookmarkStart w:id="164" w:name="__RefHeading___Toc624363_3244359995"/>
      <w:bookmarkStart w:id="165" w:name="_Toc61"/>
      <w:bookmarkEnd w:id="164"/>
      <w:r>
        <w:rPr>
          <w:rtl w:val="true"/>
        </w:rPr>
        <w:t>إعضالات و انحلالات</w:t>
      </w:r>
      <w:bookmarkEnd w:id="16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العلم تمام الموضوع سواء صادف الواقع أو لم یصادف، غیر صحیح، لأنه من الجهل المرکب، و لا یمکن احتمال کون الجهل علما، ضرورة أن مادة العلم تأبی عن الصدق فی صورة الجهل المرکب </w:t>
      </w:r>
      <w:r>
        <w:rPr>
          <w:rStyle w:val="FootnoteAnchor"/>
          <w:rtl w:val="true"/>
        </w:rPr>
        <w:footnoteReference w:id="202"/>
      </w:r>
      <w:r>
        <w:rPr>
          <w:rFonts w:ascii="IRNazanin" w:hAnsi="IRNazanin" w:eastAsia="IRNazanin"/>
          <w:color w:val="111111"/>
          <w:sz w:val="28"/>
          <w:sz w:val="28"/>
          <w:szCs w:val="28"/>
          <w:rtl w:val="true"/>
          <w:lang w:bidi="fa-IR"/>
        </w:rPr>
        <w:t xml:space="preserve">، کما مر نظیر هذه الشبهة فی مسألة التجری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عنوان فی موضوع دلیل مقیدا بالعلم، فلا بد من أن یکون العلم جزء الموضوع، إما علی الصفتیة، أو الکاشفیة، أو المنجزیة، أو یکون القید محمولا علی الغالب، فلا یکون جزء الموضوع رأسا، علی خلاف المفروض فی المقام، لأنه فی هذه الصورة یکون ملتحقا بالصورة الأولی،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المعضلة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کون العلم تمام الموضوع، أن لا تکون موضوعیته فی صورة الخطأ، بل یمکن أن یکون فی صورة الإصابة تمام الموضوع، بأن لا یکون للواقع دخل فی الموضوعیة، فیکون قید الواقع داخلا تقیدا، لا جزء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لأجل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أن یکون مطابقا للواقع، و لکن للشارع عدم</w:t>
      </w:r>
    </w:p>
    <w:p>
      <w:pPr>
        <w:pStyle w:val="BookText"/>
        <w:rPr/>
      </w:pPr>
      <w:r>
        <w:rPr>
          <w:rFonts w:ascii="IRNazanin" w:hAnsi="IRNazanin" w:eastAsia="IRNazanin"/>
          <w:color w:val="111111"/>
          <w:sz w:val="28"/>
          <w:sz w:val="28"/>
          <w:szCs w:val="28"/>
          <w:rtl w:val="true"/>
          <w:lang w:bidi="fa-IR"/>
        </w:rPr>
        <w:t>لحاظ الواقع جزء موضوع، فإن لوازم الموضوعات و لو کانت دائمیة، لیست واردة فی محیط الحکم علی وجه الدخالة فی الموضوعیة للحکم، کما تحرر مرارا، فما یظهر من القوم من تفسیر تمامیة العلم للموضوع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موضوع سواء صادف، أم لم یصادف</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غیر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فیما إذا کان تمام الموضوع، یکون مأخوذا علی وجه الصفتیة، و لا شبهة فی أن الجاهل المرکب له صفة کسائر الصفات، و بها یختلف عن الجاهل البسیط و غیر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بجواب یعتمد علیه، لأن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للصورة المطابقة، و ما فی نفس الجاهل المرکب و إن کان شیئا لا یوجد فی نفس البسیط و غیر الملتفت، و لکنه لیس علما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المجاز المشهور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الصورة، و لا منع من حمل القید المزبور فی القانون علیه و علی الحقیقة،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الصورة مجاز أو غلط، لأن العلم نور، دون القطع، فإنه اعتبار من جزم النّفس فی قبال التردد، بخلاف العلم، فإنه من اعتبارات تحصل بین الصورة و ذی الصورة، و لذلک لا یوصف اللَّه تعالی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تنحل المشکلة، إلا أنه یلزم حمل العلم فی القانون علی القطع، و هو أیضا غلط، أو یلزم التفصیل بین ما إذا أخذ العلم، و ما إذا أخذ القطع، فتدبر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أخذ العلم تمام الموضوع علی الطریقیة ممنوع، و ذلک من جهة أن أخذه تمام الموضوع، یستدعی عدم لحاظ الواقع، و أخذه علی وجه الطریقیة، یستدعی لحاظ ذی الطریق و ذی الصورة، فیلزم الجمع بین اللحاظ و عدم</w:t>
      </w:r>
    </w:p>
    <w:p>
      <w:pPr>
        <w:pStyle w:val="BookText"/>
        <w:rPr/>
      </w:pPr>
      <w:r>
        <w:rPr>
          <w:rFonts w:ascii="IRNazanin" w:hAnsi="IRNazanin" w:eastAsia="IRNazanin"/>
          <w:color w:val="111111"/>
          <w:sz w:val="28"/>
          <w:sz w:val="28"/>
          <w:szCs w:val="28"/>
          <w:rtl w:val="true"/>
          <w:lang w:bidi="fa-IR"/>
        </w:rPr>
        <w:t xml:space="preserve">اللحاظ، و هو غیر ممکن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أن یکون العلم جزء الموضوع علی وجه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اجتماع اللحاظ و اللالحاظ</w:t>
      </w:r>
      <w:r>
        <w:rPr>
          <w:rStyle w:val="FootnoteAnchor"/>
          <w:rtl w:val="true"/>
        </w:rPr>
        <w:footnoteReference w:id="206"/>
      </w:r>
      <w:r>
        <w:rPr>
          <w:rFonts w:ascii="IRNazanin" w:hAnsi="IRNazanin" w:eastAsia="IRNazanin"/>
          <w:color w:val="111111"/>
          <w:sz w:val="28"/>
          <w:sz w:val="28"/>
          <w:szCs w:val="28"/>
          <w:rtl w:val="true"/>
          <w:lang w:bidi="fa-IR"/>
        </w:rPr>
        <w:t>،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یکون الدلیل الواحد متکفلا لموضوع مقید بالعلم، علی وجه یکون العلم فی ذلک الموضوع جزء، و تماما، و علی وجه یکون طریقا و صفة، مع أن الدلیل الواحد یتضمن إما لحاظ الجزئیة، أو الکلیة، أو لحاظ الطریقیة، أو الصفتیة، لتنافیها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العلم فی موضوع جزء، و فی موضوع آخر کلا،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الشبهة فی الحقیقة تنحل إلی إعضالین،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منا فی أواخر بحوث التجری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المأخوذ فی القانون مقیدا بالعلم، لیس فی مرحلة الاستعمال طریقا، و لا صفة، فإنهما من تبعات العلم بالحمل الشائع، فما هو المأخوذ فی القانون لیس إلا العنوان و المفهوم، فإذا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 نجس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المشکوک طاهر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العلم المأخوذ هنا صفة، و لا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تحقق هذا العنوان فی الخارج، و کان عند العالم الخمر المعلوم، فإن کان العلم المزبور مطابقا للواقع یکون جزء، و عندئذ یمکن أن یکون طریقا، و یمکن أن یکون وصفا، کما یمکن أن یکون جزء، و یمکن أن یکون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الإصابة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الخطأ فیکون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فالصفتیة و الطریقیة و الجزئیة و الکلیة،</w:t>
      </w:r>
    </w:p>
    <w:p>
      <w:pPr>
        <w:pStyle w:val="BookText"/>
        <w:rPr/>
      </w:pPr>
      <w:r>
        <w:rPr>
          <w:rFonts w:ascii="IRNazanin" w:hAnsi="IRNazanin" w:eastAsia="IRNazanin"/>
          <w:color w:val="111111"/>
          <w:sz w:val="28"/>
          <w:sz w:val="28"/>
          <w:szCs w:val="28"/>
          <w:rtl w:val="true"/>
          <w:lang w:bidi="fa-IR"/>
        </w:rPr>
        <w:t>کلها من تبعات العلم بالحمل الشائع، و یقتضی إطلاق القانون کل هذه الأمور،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الشبهتان الأولیان نشأتا من الخلط بین لحاظ المقنن الملتفت إلیه و غیر المغفول عنه، و بین لحاظ القاطع المغفول عنه، و الجمع بین اللحاظین المزبورین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اللاحظین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واقع، فیکون القطع المأخوذ فی الدلیل ما ینظر إلیه دائما، و لکنه إذا تحقق فی الخارج ینظر به إلی ذی الصورة، و هو أمر خارج من محیط تقنین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مما لا إشکال فیه جدا، إذا کان الدلیل المتکفل لما هو المأخوذ طریقا، غیر الدلیل المأخوذ فیه القطع علی وجه الصفتیة، و إنما الإشکال فی إمکان تکفل الدلیل الواحد لهذا الأمر، ضرورة أن الطریقیة و الموضوعیة و الجزئیة و الکلیة، من الأمور المتقابلة، و لا جامع لها حتی یتکفل الدلیل الواحد لهذه الاعتبارات، فکون العلم جزء بلحاظ الجاعل، و هکذا کونه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للجاعل الاتکاء فی استفادة القوم هذه الخصوصیات، علی فهم العقلاء و العرف تلک المتقابلات، باعتبار اختلاف الموارد، فإنه عندئذ یمکن أن یتکفل الدلیل الواحد مثلها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المتقابلة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للجاعل اعتبار المعنی المشترک بینهما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 علی شی‌ء منه فهو له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لکن اختلاف موارد الید عند العقلاء، یقتضی أن تکون الید ممضاة عند الشرع بمثل هذا الدلیل، فیما کان بناء العقلاء علی الکاشفیة، و أما فیما کانت الید خائنة و مشهورة بالسرقة، فلا کاشفیة لها عندهم، و لکنها محکومة، لإطلاق الدلیل</w:t>
      </w:r>
    </w:p>
    <w:p>
      <w:pPr>
        <w:pStyle w:val="BookText"/>
        <w:rPr/>
      </w:pPr>
      <w:r>
        <w:rPr>
          <w:rFonts w:ascii="IRNazanin" w:hAnsi="IRNazanin" w:eastAsia="IRNazanin"/>
          <w:color w:val="111111"/>
          <w:sz w:val="28"/>
          <w:sz w:val="28"/>
          <w:szCs w:val="28"/>
          <w:rtl w:val="true"/>
          <w:lang w:bidi="fa-IR"/>
        </w:rPr>
        <w:t>المزبور للکاشفیة تعبدا، فیکون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المعلوم حرام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الموضوع لیس إلا عنوانا وحدانیا، و هو المعنی المقید، و لا یکون هنا إلا أمر وحدانی فی الاعتبار هو تمام الموضوع، قابل للصدق علی موارد مختلفة، کسائر الموضوعات الصادقة علی موارد و أفراد مختلفة فی الخصوصیات، إلا أنه إذا کان فی مورد الخطأ، فلا بد و أن یکون العلم تمام الموضوع علی وجه الصفتیة، لما لا یعقل غیر ذلک، فإنه من إطلاق الدلیل و صدق الموضوع، یستکشف أن العلم فی هذه الصورة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الإصابة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الفهم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و مأخوذا جزء، لأن هذا هو دأب العلم و خاصته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الجمع فی صورة الإصابة بین الطریقیة و الصفتیة و الجزئیة و الکلیة، لأن کل ذلک ممکن ثبوتا، و لا معین لأحدها إثباتا، و لا یمکن فی مورد واحد الجمع بین الجزء الموضوعی و تمامه،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المأخوذ فی الدلیل، لا بد و أن لا یکون مهملا عند المقنن بحسب الطریقیة و الصفتیة، لأن الأثر المترتب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قیام الطرق مثلا علی الطریقیة، دون الصفتیة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تبعات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المعلوم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یکون العلم المزبور مأخوذا باعتبار طریقیة مصادیقه، أو صفتیة أفراده، لاختلاف آثاره فی مرحلة الجعل، و لو لا اختلاف مرحلة الجعل، لا یعقل قیام الطرق فی فرض دون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یصح للمولی اعتبار طریقیته، و هذا مما ینظر فیه، لأنه معنی اسمی ملحوظ بالاستقلال، أی مفهوم الطریقیة یکون کذلک، و إن کان مصداقه مورد الغفلة نوعا، و إلا فیصح الالتفات إلیه، و لا سیما بالنظر الثانوی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الواحد یمکن أن یکون متکفلا للأمرین، فضلا عن</w:t>
      </w:r>
    </w:p>
    <w:p>
      <w:p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قد عرفت أن للمولی الاتکاء علی فهم العقلاء فی هذه الجهة، فیکون ملحوظا فی مرحلة الجعل،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المشکلات أخذه تمام الموضوع علی وجه الطریقیة، لأن قضیة الأولی أن المصلحة الدخیلة قائمة بالعلم، و قضیة الثانیة أن الواقع له الدخالة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فی قبال هذه الشبهة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للمولی أن یکون نظره إلی إقامة الطرق مقامه، و هذا لا یحصل إلا علی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وجه الشبهة الأخری علی أخذه منجزا و موضوعا، لأن المنجزیة ترجع إلی أن النّظر إلی الواقع، و أن له الدخالة، و الموضوعیة تضاده </w:t>
      </w:r>
      <w:r>
        <w:rPr>
          <w:rStyle w:val="FootnoteAnchor"/>
          <w:rtl w:val="true"/>
        </w:rPr>
        <w:footnoteReference w:id="210"/>
      </w:r>
      <w:r>
        <w:rPr>
          <w:rFonts w:ascii="IRNazanin" w:hAnsi="IRNazanin" w:eastAsia="IRNazanin"/>
          <w:color w:val="111111"/>
          <w:sz w:val="28"/>
          <w:sz w:val="28"/>
          <w:szCs w:val="28"/>
          <w:rtl w:val="true"/>
          <w:lang w:bidi="fa-IR"/>
        </w:rPr>
        <w:t>، و أیضا یظهر وجه الاندفاع،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علمت عدالته موضوع جواز الاقتداء، ضرورة أن الصلاة صحیحة عند التحاق جماعة عندنا، و لو کان یکفی الواقع، للزم جواز المبادرة إلی الاقتداء بالإمام المجهول الحال، فإذا صلی رجاء خلفه، فلا یجب علیه الفحص، لما لا یعید حسب القاعدة و لو تبین فسقه، و لا یلتزم به أحد، فیکون شاهدا علی أن العلم تمام الموضوع، و مع ذلک تقوم الطرق و الأمارات مقامه، و ما هذا إلا لأن غرض الشریعة متعلق بالعلم علی وجه الموضوعیة التامة، و علی وجه تقوم مقامه الأمارات و الأصول المحرزة، لما لا یعتبر صفة العلم بالضرورة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الممکن أن یکون نظر الشرع إلی المبادرة إلی عمل بعد قیام أحد الطرق العقلائیة، سواء صادف الواقع، أو خالفه، فإذا أخذ العلم فیکون</w:t>
      </w:r>
    </w:p>
    <w:p>
      <w:pPr>
        <w:pStyle w:val="BookText"/>
        <w:rPr/>
      </w:pPr>
      <w:r>
        <w:rPr>
          <w:rFonts w:ascii="IRNazanin" w:hAnsi="IRNazanin" w:eastAsia="IRNazanin"/>
          <w:color w:val="111111"/>
          <w:sz w:val="28"/>
          <w:sz w:val="28"/>
          <w:szCs w:val="28"/>
          <w:rtl w:val="true"/>
          <w:lang w:bidi="fa-IR"/>
        </w:rPr>
        <w:t>علی وجه الموضوعیة الکلیة، و مع ذلک یکون مأخوذا علی وجه الطریقیة، لإفادة أن سائر الطرق مثله فی هذه الجهة، فإن منظور الشرع هو أن یکون الاقتداء تحت نظام خاص، و إن لم یکن للواقع دخالة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أثر الطریقیة فی دخالة الواقع، بل من آثارها قیام الأمارات مقامه، فلا امتناع فی الجمع بین الطریقیة و الموضوعیة ذاتا، و لا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إمکان المناقشة من جهة فی المثال المزبور، لا یوجب سد الباب المذکور، و تقریب إمکانه الوقوعی،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 المشار إلیها فی صدر البحث عن الصورة الثانیة الرئیسة</w:t>
      </w:r>
      <w:r>
        <w:rPr>
          <w:rStyle w:val="FootnoteAnchor"/>
          <w:rtl w:val="true"/>
        </w:rPr>
        <w:footnoteReference w:id="211"/>
      </w:r>
      <w:r>
        <w:rPr>
          <w:rFonts w:ascii="IRNazanin" w:hAnsi="IRNazanin" w:eastAsia="IRNazanin"/>
          <w:color w:val="111111"/>
          <w:sz w:val="28"/>
          <w:sz w:val="28"/>
          <w:szCs w:val="28"/>
          <w:rtl w:val="true"/>
          <w:lang w:bidi="fa-IR"/>
        </w:rPr>
        <w:t>، مما لا إشکال فیها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اشتمال الدلیل الواحد علی مجموع هذه الفروض، غیر ممکن،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مما ذکرناه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الأقسام و حالات القطع أکثر من الصفتیة و الکاشفیة، فإن الکاشفیة ذات اعتبارین، و یترتب علی اعتبار الکاشفیة المشترکة قیام الطرق، دون الکاشفیة الکاملة، و لذلک لا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و غیرها مقامه فی الرکعات الأولیات، مع أن القطع هناک طریق، و لیس موضوعا تاما،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حالاته المنجزیة، فتکون أربعا، و إذا أخذ جزء تارة، و کلا أخری، تصیر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أخذه تمام الموضوع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تمام الموضوع بشرط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تمام الموضوع و لو لم یصادف</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ما یتعلق به عند تقریب الشبهة الأولی من الشبهات، و الأمر سهل</w:t>
      </w:r>
      <w:r>
        <w:rPr>
          <w:rFonts w:eastAsia="IRNazanin" w:cs="IRNazanin"/>
          <w:color w:val="111111"/>
          <w:sz w:val="28"/>
          <w:szCs w:val="28"/>
          <w:rtl w:val="true"/>
          <w:lang w:bidi="fa-IR"/>
        </w:rPr>
        <w:t>.</w:t>
      </w:r>
      <w:bookmarkStart w:id="166" w:name="pg13170_166251"/>
    </w:p>
    <w:p>
      <w:pPr>
        <w:pStyle w:val="Heading4"/>
        <w:numPr>
          <w:ilvl w:val="3"/>
          <w:numId w:val="1"/>
        </w:numPr>
        <w:rPr/>
      </w:pPr>
      <w:bookmarkStart w:id="167" w:name="__RefHeading___Toc624365_3244359995"/>
      <w:bookmarkStart w:id="168" w:name="_Toc62"/>
      <w:bookmarkEnd w:id="166"/>
      <w:bookmarkEnd w:id="167"/>
      <w:r>
        <w:rPr>
          <w:rtl w:val="true"/>
        </w:rPr>
        <w:t>الصورة الثالثة</w:t>
      </w:r>
      <w:r>
        <w:rPr>
          <w:rtl w:val="true"/>
        </w:rPr>
        <w:t xml:space="preserve">: </w:t>
      </w:r>
      <w:r>
        <w:rPr>
          <w:rtl w:val="true"/>
        </w:rPr>
        <w:t>أن یکون العلم بالحکم موضوعا</w:t>
      </w:r>
      <w:bookmarkEnd w:id="168"/>
    </w:p>
    <w:p>
      <w:pPr>
        <w:pStyle w:val="Heading5"/>
        <w:numPr>
          <w:ilvl w:val="4"/>
          <w:numId w:val="1"/>
        </w:numPr>
        <w:rPr/>
      </w:pPr>
      <w:bookmarkStart w:id="169" w:name="__RefHeading___Toc624367_3244359995"/>
      <w:bookmarkStart w:id="170" w:name="_Toc63"/>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و هذا یتصور علی فروض کلیة و جزئیة</w:t>
      </w:r>
      <w:r>
        <w:rPr>
          <w:rFonts w:eastAsia="IRNazanin" w:cs="IRNazanin"/>
          <w:color w:val="111111"/>
          <w:sz w:val="28"/>
          <w:szCs w:val="28"/>
          <w:rtl w:val="true"/>
          <w:lang w:bidi="fa-IR"/>
        </w:rPr>
        <w:t>:</w:t>
      </w:r>
    </w:p>
    <w:p>
      <w:pPr>
        <w:pStyle w:val="Heading5"/>
        <w:numPr>
          <w:ilvl w:val="4"/>
          <w:numId w:val="1"/>
        </w:numPr>
        <w:rPr/>
      </w:pPr>
      <w:bookmarkStart w:id="171" w:name="__RefHeading___Toc624369_3244359995"/>
      <w:bookmarkStart w:id="172" w:name="_Toc64"/>
      <w:bookmarkEnd w:id="171"/>
      <w:r>
        <w:rPr>
          <w:rtl w:val="true"/>
        </w:rPr>
        <w:t>الفرض الأول</w:t>
      </w:r>
      <w:r>
        <w:rPr>
          <w:rtl w:val="true"/>
        </w:rPr>
        <w:t xml:space="preserve">: </w:t>
      </w:r>
      <w:r>
        <w:rPr>
          <w:rtl w:val="true"/>
        </w:rPr>
        <w:t>أن یکون العلم بالحکم موضوعا لحکم آخر متعلق بموضوع آخر</w:t>
      </w:r>
      <w:bookmarkEnd w:id="172"/>
    </w:p>
    <w:p>
      <w:pPr>
        <w:pStyle w:val="BookText"/>
        <w:rPr/>
      </w:pPr>
      <w:r>
        <w:rPr>
          <w:rFonts w:ascii="IRNazanin" w:hAnsi="IRNazanin" w:eastAsia="IRNazanin"/>
          <w:color w:val="111111"/>
          <w:sz w:val="28"/>
          <w:sz w:val="28"/>
          <w:szCs w:val="28"/>
          <w:rtl w:val="true"/>
          <w:lang w:bidi="fa-IR"/>
        </w:rPr>
        <w:t>و هذا مما لا ریب فی إمکانه الذاتی، بل و الوقوعی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یمکن أن یکون الحکمان تکلیفیین، یمکن أن یکونا وضعیین، أو مختلفین، و کما یمکن أن یکونا شرعیین، یمکن أن یکونا مختلفین، مثلا العلم بحرمة المفطرات أو التروک، موضوع لوجوب الکفارة، و ربما یحلق به الجاهل بأقسامه، و العلم بالحکم الإلهی، موضوع لحکم العقلاء بالتنجیز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یمکن أن یکون الحکمان متسانخین کالوجوبین، یمکن تضادهما، کالوجوب و الحرمة، و أیضا من غیر فرق بین کونه جزء الموضوع، أو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فالأقسام کثیرة، ربما یوجد فی الشرع بعض أمثلتها، مثلا العلم بوجوب صلاة الجمعة، یکون موضوعا لبطلان البیع وقت النداء، و العلم بالحکم الکذائی، موضوع لحرمة التقلید، فتأمل،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جمیع الأمثلة حتی فی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الجاهل المقصر محکوم بحکم العالم، حسب الخطابات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یستحق العقوبة للتفویت، و لو أمکن تصحیحه و تتمیمه، و لکنه غیر مطابق للواقع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تکون الکفارة مخصوصة بالعالم العامد، یکون العلم بالحکم جزء</w:t>
      </w:r>
      <w:bookmarkStart w:id="173" w:name="pg13170_166252"/>
    </w:p>
    <w:p>
      <w:pPr>
        <w:pStyle w:val="BookText"/>
        <w:rPr/>
      </w:pPr>
      <w:bookmarkEnd w:id="173"/>
      <w:r>
        <w:rPr>
          <w:rFonts w:ascii="IRNazanin" w:hAnsi="IRNazanin" w:eastAsia="IRNazanin"/>
          <w:color w:val="111111"/>
          <w:sz w:val="28"/>
          <w:sz w:val="28"/>
          <w:szCs w:val="28"/>
          <w:rtl w:val="true"/>
          <w:lang w:bidi="fa-IR"/>
        </w:rPr>
        <w:t>الموضوع للحکم الآخر</w:t>
      </w:r>
      <w:r>
        <w:rPr>
          <w:rFonts w:eastAsia="IRNazanin" w:cs="IRNazanin"/>
          <w:color w:val="111111"/>
          <w:sz w:val="28"/>
          <w:szCs w:val="28"/>
          <w:rtl w:val="true"/>
          <w:lang w:bidi="fa-IR"/>
        </w:rPr>
        <w:t>.</w:t>
      </w:r>
    </w:p>
    <w:p>
      <w:pPr>
        <w:pStyle w:val="Heading5"/>
        <w:numPr>
          <w:ilvl w:val="4"/>
          <w:numId w:val="1"/>
        </w:numPr>
        <w:rPr/>
      </w:pPr>
      <w:bookmarkStart w:id="174" w:name="__RefHeading___Toc624371_3244359995"/>
      <w:bookmarkStart w:id="175" w:name="_Toc65"/>
      <w:bookmarkEnd w:id="174"/>
      <w:r>
        <w:rPr>
          <w:rtl w:val="true"/>
        </w:rPr>
        <w:t>الفرض الثانی</w:t>
      </w:r>
      <w:r>
        <w:rPr>
          <w:rtl w:val="true"/>
        </w:rPr>
        <w:t xml:space="preserve">: </w:t>
      </w:r>
      <w:r>
        <w:rPr>
          <w:rtl w:val="true"/>
        </w:rPr>
        <w:t>أن یکون العلم بالحکم موضوعا لحکم مضاد یتعلق بنفس ذلک الموضوع</w:t>
      </w:r>
      <w:bookmarkEnd w:id="175"/>
    </w:p>
    <w:p>
      <w:pPr>
        <w:pStyle w:val="BookText"/>
        <w:rPr/>
      </w:pPr>
      <w:r>
        <w:rPr>
          <w:rFonts w:ascii="IRNazanin" w:hAnsi="IRNazanin" w:eastAsia="IRNazanin"/>
          <w:color w:val="111111"/>
          <w:sz w:val="28"/>
          <w:sz w:val="28"/>
          <w:szCs w:val="28"/>
          <w:rtl w:val="true"/>
          <w:lang w:bidi="fa-IR"/>
        </w:rPr>
        <w:t xml:space="preserve">کما لو ورد وجوب التصدق علی تقدیر العلم بحرمته، فالمعروف بینهم امتناعه علی الإطلاق </w:t>
      </w:r>
      <w:r>
        <w:rPr>
          <w:rStyle w:val="FootnoteAnchor"/>
          <w:rtl w:val="true"/>
        </w:rPr>
        <w:footnoteReference w:id="212"/>
      </w:r>
      <w:r>
        <w:rPr>
          <w:rFonts w:ascii="IRNazanin" w:hAnsi="IRNazanin" w:eastAsia="IRNazanin"/>
          <w:color w:val="111111"/>
          <w:sz w:val="28"/>
          <w:sz w:val="28"/>
          <w:szCs w:val="28"/>
          <w:rtl w:val="true"/>
          <w:lang w:bidi="fa-IR"/>
        </w:rPr>
        <w:t>،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المأخوذ إن کان هو العلم القطعی غیر المجامع لاحتمال الخلاف، فالأمر کما قیل، و ذلک لأن العلم المزبور فی صورة الإصابة، یستلزم کون الواقع مجمع الحکمین غیر القابلین للجمع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اجتماع المتضادین </w:t>
      </w:r>
      <w:r>
        <w:rPr>
          <w:rStyle w:val="FootnoteAnchor"/>
          <w:rtl w:val="true"/>
        </w:rPr>
        <w:footnoteReference w:id="213"/>
      </w:r>
      <w:r>
        <w:rPr>
          <w:rFonts w:ascii="IRNazanin" w:hAnsi="IRNazanin" w:eastAsia="IRNazanin"/>
          <w:color w:val="111111"/>
          <w:sz w:val="28"/>
          <w:sz w:val="28"/>
          <w:szCs w:val="28"/>
          <w:rtl w:val="true"/>
          <w:lang w:bidi="fa-IR"/>
        </w:rPr>
        <w:t xml:space="preserve">، قد مر فساده فی مسألة الاجتماع و الامتناع بما لا مزید علیه </w:t>
      </w:r>
      <w:r>
        <w:rPr>
          <w:rStyle w:val="FootnoteAnchor"/>
          <w:rtl w:val="true"/>
        </w:rPr>
        <w:footnoteReference w:id="214"/>
      </w:r>
      <w:r>
        <w:rPr>
          <w:rFonts w:ascii="IRNazanin" w:hAnsi="IRNazanin" w:eastAsia="IRNazanin"/>
          <w:color w:val="111111"/>
          <w:sz w:val="28"/>
          <w:sz w:val="28"/>
          <w:szCs w:val="28"/>
          <w:rtl w:val="true"/>
          <w:lang w:bidi="fa-IR"/>
        </w:rPr>
        <w:t xml:space="preserve">، کما علیه المحققون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صورة الخطأ، لا یعقل أن تکون الإرادة الباعثة أو الزاجرة مترشحة، لأن العلم المأخوذ فی موضوعها، دائما یکون علی خلافها، ضرورة أنه إذا علم بوجوب صلاة الجمعة، فلا تکون حرمتها زاجرة، و لو فرض إمکان زاجریته فهو فی صورة انتفاء موضوعه، بأن لا یکون عالما، و إذا لم یکن عالما فلا زاجریة حینئذ للنهی أیضا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التضاد بین الحکمین لو کان مانعا و محذورا عقلیا فی</w:t>
      </w:r>
    </w:p>
    <w:p>
      <w:pPr>
        <w:pStyle w:val="BookText"/>
        <w:rPr/>
      </w:pPr>
      <w:r>
        <w:rPr>
          <w:rFonts w:ascii="IRNazanin" w:hAnsi="IRNazanin" w:eastAsia="IRNazanin"/>
          <w:color w:val="111111"/>
          <w:sz w:val="28"/>
          <w:sz w:val="28"/>
          <w:szCs w:val="28"/>
          <w:rtl w:val="true"/>
          <w:lang w:bidi="fa-IR"/>
        </w:rPr>
        <w:t>المسألة، لما لزم هنا اجتماعهما فی محل واحد، و ذلک لاختلاف موضوع الوجوب و الحرمة</w:t>
      </w:r>
      <w:r>
        <w:rPr>
          <w:rStyle w:val="FootnoteAnchor"/>
          <w:rtl w:val="true"/>
        </w:rPr>
        <w:footnoteReference w:id="216"/>
      </w:r>
      <w:r>
        <w:rPr>
          <w:rFonts w:ascii="IRNazanin" w:hAnsi="IRNazanin" w:eastAsia="IRNazanin"/>
          <w:color w:val="111111"/>
          <w:sz w:val="28"/>
          <w:sz w:val="28"/>
          <w:szCs w:val="28"/>
          <w:rtl w:val="true"/>
          <w:lang w:bidi="fa-IR"/>
        </w:rPr>
        <w:t>، ضرورة أن الوجوب متعلق بطبیعة التصدق، و الحرمة متعلقة بالتصدق المعلوم، فإن کان الموضوع أعم من صورة الإصابة و اللاإصابة، تکون النسبة بین الدلیلین عموم من وجه، و ذلک لأن وجوب التصدق ربما یکون معلوما، و ربما لا یکون معلوما، و علی التقدیر الأول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مطابقا للواقع، و أخری مخالفا، و إذا کان مخالفا للواقع تثبت الحرمة، دون الوجوب، و صورة الإصابة تکون مورد تصادقهما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اجتماع الإرادة و الکراهة و المصلحة و المفسدة،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سبب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کون العلم جزء الموضوع و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نظر القاطع لا یمکن، أن یکون التحریم زاجرا، فإذن یمتنع أن یصیر محرما،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کون العلم جزء الموضوع، و کونه تمام الموضوع </w:t>
      </w:r>
      <w:r>
        <w:rPr>
          <w:rStyle w:val="FootnoteAnchor"/>
          <w:rtl w:val="true"/>
        </w:rPr>
        <w:footnoteReference w:id="217"/>
      </w:r>
      <w:r>
        <w:rPr>
          <w:rFonts w:ascii="IRNazanin" w:hAnsi="IRNazanin" w:eastAsia="IRNazanin"/>
          <w:color w:val="111111"/>
          <w:sz w:val="28"/>
          <w:sz w:val="28"/>
          <w:szCs w:val="28"/>
          <w:rtl w:val="true"/>
          <w:lang w:bidi="fa-IR"/>
        </w:rPr>
        <w:t>، لا یرجع إلی مهذب فیه، لأن النسبة علی تقدیر تمامیة الموضوع و لو کانت من وجه کما عرفت، و لکن الإشکال هنا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امتناع ترشح الإرادة الجدیة الزاجرة فی المثال المزبور امتناعا بالغیر، لما یری المولی من أن هذا الحکم لا یمکن امتثاله دائما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الامتناع الناشئ من مقام الامتثال لا یضر بالجعل، کما فی المتزاحمین</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فی محله، إلا أنه هنا غیر تام، لما أشیر إلیه،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الامتناع الذاتی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 الإمکان الذاتی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غیر تامین، و القول الفصل هو الامتناع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 المزبور مستقر، و لو کان الوجوب للتصدق فی المثال المزبور وجوبا إنشائیا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فرض آخر، و هو 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العلم المأخوذ أعم من العلم القطعی و الطرق العقلائیة، کما إذا فرض أن العلم مأخوذ علی الطریقیة، فتقوم مقامه الطرق و الأمارات مثلا، فإذا قامت الأمارة العقلائیة المعتبرة علی وجوب التصدق، یکون هو المحرم، فإنه حینئذ لا یلزم المحذور العقلی المزبور، لأن الطریق القائم معتبر نوعا، و إن لم یکن معتبرا عند من علم بهذه القضیة، و بهذا الحکم المترتب علی العلم بالحکم المضاد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یتمکن المولی من ترشیح الإرادة الزاجرة، إذا کان المفروض هو العلم النظامی، و أنه فی صورة قیام الطریق العقلائی النوعیّ علی وجوب صلاة الجمعة، تحرم صلاة الجمعة، و عندئذ یکون حدیث العموم من وجه بین الحرمة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مفیدا، فلو فرضنا صدور روایة قطعیة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إذا علم بوجوب صلاة الجمعة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حملها علی الفرض المزبور، فاغتنم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الشرطیة، محمولة علی أن العلم بوجوب الصلاة حدوثا و آنا ما، علة و واسطة لثبوت الحرمة و إن لم یکن حین تعلق الحرمة علم فعلی، فإنه عندئذ أیضا لا یلزم محذور عقلی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أعم من کونه موضوعا علی نحو القضیة البتیة، بأن تکون صلاة الجمعة المعلومة الحرمة واجبة، أو علی نحو القضیة</w:t>
      </w:r>
      <w:bookmarkStart w:id="176" w:name="pg13170_166255"/>
    </w:p>
    <w:p>
      <w:pPr>
        <w:pStyle w:val="BookText"/>
        <w:rPr/>
      </w:pPr>
      <w:bookmarkEnd w:id="176"/>
      <w:r>
        <w:rPr>
          <w:rFonts w:ascii="IRNazanin" w:hAnsi="IRNazanin" w:eastAsia="IRNazanin"/>
          <w:color w:val="111111"/>
          <w:sz w:val="28"/>
          <w:sz w:val="28"/>
          <w:szCs w:val="28"/>
          <w:rtl w:val="true"/>
          <w:lang w:bidi="fa-IR"/>
        </w:rPr>
        <w:t>الشرطیة، بأن یکون العلم بوجوب صلاة الجمعة شرطا لحرمتها</w:t>
      </w:r>
      <w:r>
        <w:rPr>
          <w:rFonts w:eastAsia="IRNazanin" w:cs="IRNazanin"/>
          <w:color w:val="111111"/>
          <w:sz w:val="28"/>
          <w:szCs w:val="28"/>
          <w:rtl w:val="true"/>
          <w:lang w:bidi="fa-IR"/>
        </w:rPr>
        <w:t>.</w:t>
      </w:r>
    </w:p>
    <w:p>
      <w:pPr>
        <w:pStyle w:val="Heading5"/>
        <w:numPr>
          <w:ilvl w:val="4"/>
          <w:numId w:val="1"/>
        </w:numPr>
        <w:rPr/>
      </w:pPr>
      <w:bookmarkStart w:id="177" w:name="__RefHeading___Toc624373_3244359995"/>
      <w:bookmarkStart w:id="178" w:name="_Toc66"/>
      <w:bookmarkEnd w:id="177"/>
      <w:r>
        <w:rPr>
          <w:rtl w:val="true"/>
        </w:rPr>
        <w:t>الفرض الثالث</w:t>
      </w:r>
      <w:r>
        <w:rPr>
          <w:rtl w:val="true"/>
        </w:rPr>
        <w:t xml:space="preserve">: </w:t>
      </w:r>
      <w:r>
        <w:rPr>
          <w:rtl w:val="true"/>
        </w:rPr>
        <w:t>أن یکون العلم بالحکم، قیدا أو شرطا لمتعلق الحکم الآخر المماثل، بذلک الموضوع أو الشرط</w:t>
      </w:r>
      <w:bookmarkEnd w:id="178"/>
    </w:p>
    <w:p>
      <w:pPr>
        <w:pStyle w:val="BookText"/>
        <w:rPr/>
      </w:pPr>
      <w:r>
        <w:rPr>
          <w:rFonts w:ascii="IRNazanin" w:hAnsi="IRNazanin" w:eastAsia="IRNazanin"/>
          <w:color w:val="111111"/>
          <w:sz w:val="28"/>
          <w:sz w:val="28"/>
          <w:szCs w:val="28"/>
          <w:rtl w:val="true"/>
          <w:lang w:bidi="fa-IR"/>
        </w:rPr>
        <w:t xml:space="preserve">فتکون الصلاة المعلوم وجوبها، موضوعا لتعلق الوجوب الآخر بها، أو یکون العلم بوجوب الصلاة، شرطا لتعلق الوجوب الآخر بها، و المعروف بینهم أیضا امتناعه </w:t>
      </w:r>
      <w:r>
        <w:rPr>
          <w:rStyle w:val="FootnoteAnchor"/>
          <w:rtl w:val="true"/>
        </w:rPr>
        <w:footnoteReference w:id="221"/>
      </w:r>
      <w:r>
        <w:rPr>
          <w:rFonts w:ascii="IRNazanin" w:hAnsi="IRNazanin" w:eastAsia="IRNazanin"/>
          <w:color w:val="111111"/>
          <w:sz w:val="28"/>
          <w:sz w:val="28"/>
          <w:szCs w:val="28"/>
          <w:rtl w:val="true"/>
          <w:lang w:bidi="fa-IR"/>
        </w:rPr>
        <w:t xml:space="preserve">، إما لأجل اجتماع المثلین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لأجل لغویة الجعل الثانی </w:t>
      </w:r>
      <w:r>
        <w:rPr>
          <w:rStyle w:val="FootnoteAnchor"/>
          <w:rtl w:val="true"/>
        </w:rPr>
        <w:footnoteReference w:id="223"/>
      </w:r>
      <w:r>
        <w:rPr>
          <w:rFonts w:ascii="IRNazanin" w:hAnsi="IRNazanin" w:eastAsia="IRNazanin"/>
          <w:color w:val="111111"/>
          <w:sz w:val="28"/>
          <w:sz w:val="28"/>
          <w:szCs w:val="28"/>
          <w:rtl w:val="true"/>
          <w:lang w:bidi="fa-IR"/>
        </w:rPr>
        <w:t>، ضرورة عدم الحاجة إلیه إذا لم یؤثر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لأجل امتناع ترشح الإرادتین التأسیسیتین المتعلقتین بعنوان واحد، أو العنوانین المختلفین بالعموم و الخصوص المطلقین </w:t>
      </w:r>
      <w:r>
        <w:rPr>
          <w:rStyle w:val="FootnoteAnchor"/>
          <w:rtl w:val="true"/>
        </w:rPr>
        <w:footnoteReference w:id="224"/>
      </w:r>
      <w:r>
        <w:rPr>
          <w:rFonts w:ascii="IRNazanin" w:hAnsi="IRNazanin" w:eastAsia="IRNazanin"/>
          <w:color w:val="111111"/>
          <w:sz w:val="28"/>
          <w:sz w:val="28"/>
          <w:szCs w:val="28"/>
          <w:rtl w:val="true"/>
          <w:lang w:bidi="fa-IR"/>
        </w:rPr>
        <w:t>کما تحرر منا مرارا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هنا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بامتناعه </w:t>
      </w:r>
      <w:r>
        <w:rPr>
          <w:rStyle w:val="FootnoteAnchor"/>
          <w:rtl w:val="true"/>
        </w:rPr>
        <w:footnoteReference w:id="226"/>
      </w:r>
      <w:r>
        <w:rPr>
          <w:rFonts w:ascii="IRNazanin" w:hAnsi="IRNazanin" w:eastAsia="IRNazanin"/>
          <w:color w:val="111111"/>
          <w:sz w:val="28"/>
          <w:sz w:val="28"/>
          <w:szCs w:val="28"/>
          <w:rtl w:val="true"/>
          <w:lang w:bidi="fa-IR"/>
        </w:rPr>
        <w:t xml:space="preserve">، مع أنه یتردد فی هذه المسألة فی محله </w:t>
      </w:r>
      <w:r>
        <w:rPr>
          <w:rStyle w:val="FootnoteAnchor"/>
          <w:rtl w:val="true"/>
        </w:rPr>
        <w:footnoteReference w:id="227"/>
      </w:r>
      <w:r>
        <w:rPr>
          <w:rFonts w:ascii="IRNazanin" w:hAnsi="IRNazanin" w:eastAsia="IRNazanin"/>
          <w:color w:val="111111"/>
          <w:sz w:val="28"/>
          <w:sz w:val="28"/>
          <w:szCs w:val="28"/>
          <w:rtl w:val="true"/>
          <w:lang w:bidi="fa-IR"/>
        </w:rPr>
        <w:t>، فراجع، و الأمر سهل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المحذور الأول غیر صحیح، لما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اجتماع المثلین فی التکوین غیر جائز، و أما فی الأحکام فهی لیست بینها التضاد، و لا</w:t>
      </w:r>
    </w:p>
    <w:p>
      <w:pPr>
        <w:pStyle w:val="BookText"/>
        <w:rPr/>
      </w:pPr>
      <w:r>
        <w:rPr>
          <w:rFonts w:ascii="IRNazanin" w:hAnsi="IRNazanin" w:eastAsia="IRNazanin"/>
          <w:color w:val="111111"/>
          <w:sz w:val="28"/>
          <w:sz w:val="28"/>
          <w:szCs w:val="28"/>
          <w:rtl w:val="true"/>
          <w:lang w:bidi="fa-IR"/>
        </w:rPr>
        <w:t xml:space="preserve">التماثل المنتهی إلی امتناع اجتماعهما بالذات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تجتمع الأحکام من مکلف واحد، بالقیاس إلی مکلف واحد، فی زمان واحد، علی طبیعة واحدة، لأن الحکم متقوم بالإرادة الواقعیة، و هی غیر قابلة للترشح فی صورة سبق الإرادة الزاجرة مثلا، متعلقة بتلک الطبیعة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الثانی، فیندفع بما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الناس فی الانبعاث، فربما ینبعث بعضهم بالأمرین، فلا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الثالث، فالتحقیق هنا ما أفاده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إن کان تمام الموضوع، حتی یکون فی صورة الخطأ موضوع الحکم المماثل موجودا، و شرطه حاصلا، فلا تکون النسبة بین المتعلقین إلا عموما من وجه، ضرورة أن بین الخمر المعلومة حرمة شربها و الخمر، عموما من وجه، فتکون الحرمة المأخوذة فی الشرط، متعلقة بذات الخمر، سواء کانت معلومة حرمتها، أو غیر معلومة، و الحرمة الثانیة متعلقة بالخمر المعلومة حرمتها، سواء صادف الواقع، أم خالف، فلا محذور عقلا فی هذا الفرض إذا کان العلم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جزء الموضوع فلا یمکن، لانقلاب النسبة من العموم من وجه إلی العموم المطلق، و یمتنع حینئذ حسب ما تحرر مرارا</w:t>
      </w:r>
      <w:r>
        <w:rPr>
          <w:rStyle w:val="FootnoteAnchor"/>
          <w:rtl w:val="true"/>
        </w:rPr>
        <w:footnoteReference w:id="230"/>
      </w:r>
      <w:r>
        <w:rPr>
          <w:rFonts w:ascii="IRNazanin" w:hAnsi="IRNazanin" w:eastAsia="IRNazanin"/>
          <w:color w:val="111111"/>
          <w:sz w:val="28"/>
          <w:sz w:val="28"/>
          <w:szCs w:val="28"/>
          <w:rtl w:val="true"/>
          <w:lang w:bidi="fa-IR"/>
        </w:rPr>
        <w:t>، ضرورة أن الخمر لا تقبل التحریم التأسیسی مرتین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حمل التحریم الثانی علی التأکید</w:t>
      </w:r>
      <w:r>
        <w:rPr>
          <w:rStyle w:val="FootnoteAnchor"/>
          <w:rtl w:val="true"/>
        </w:rPr>
        <w:footnoteReference w:id="231"/>
      </w:r>
      <w:r>
        <w:rPr>
          <w:rFonts w:ascii="IRNazanin" w:hAnsi="IRNazanin" w:eastAsia="IRNazanin"/>
          <w:color w:val="111111"/>
          <w:sz w:val="28"/>
          <w:sz w:val="28"/>
          <w:szCs w:val="28"/>
          <w:rtl w:val="true"/>
          <w:lang w:bidi="fa-IR"/>
        </w:rPr>
        <w:t>، فهو خروج من البحث، ضرورة أن الکلام فیما إذا کان الحکم الثانی تأسیسا مستقلا، و مستتبعا للعقاب</w:t>
      </w:r>
    </w:p>
    <w:p>
      <w:pPr>
        <w:pStyle w:val="BookText"/>
        <w:rPr/>
      </w:pPr>
      <w:r>
        <w:rPr>
          <w:rFonts w:ascii="IRNazanin" w:hAnsi="IRNazanin" w:eastAsia="IRNazanin"/>
          <w:color w:val="111111"/>
          <w:sz w:val="28"/>
          <w:sz w:val="28"/>
          <w:szCs w:val="28"/>
          <w:rtl w:val="true"/>
          <w:lang w:bidi="fa-IR"/>
        </w:rPr>
        <w:t>و الثواب کالأول، و یکون مماثلا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الحرمة الثانیة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المعلومة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العلم لا یتعلق بالخارج، بل هو أمر نفسانی، و موضوع الحرمة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مصب الحکم الأول المأخوذ فی الشرط، أمرا خارجیا، و موضوع الحکم الثانی أمرا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 من الغرابة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هذه الغرابة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المأخوذ فی الدلیل إذا کان حکما إنشائیا، فلا یلزم محذور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خروجه من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أنه لیس من الحکم المماثل، ضرورة أن الحکم الأول یصیر المرتبة الأولی من الحکم الثانی، و سیأتی فی الفرض الآتی إن شاء اللَّه تعالی، إمکان اختصاص الحکم الفعلی بالعالم بالحکم الإنشائیّ، فرارا من بعض المحاذیر العقلیة فی مسائل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تحریر محل الکلام، أوقعهم فی هذه الأجوبة، فلو کان محط البحث أخذ الحکم المماثل بمعناه الواقعی، یلزم أن یکون جواب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غیر محله، لأنه فی مفروض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العلم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الخروج من المماثلة، لأنه مع تعدد محط الحکم لا 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کانت المماثلة بینهما، و لکن البحث فی صورة اشتراکهما فی المحل، و إلا فالضرورة قاضیة بجواز اجتماعهما فی صورة الاختلاف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تقرر، الامتناع الذاتی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 الإمکان المحرر فی کلامه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ممنوعان، فتکون المسألة ممتنعة بالغیر، فتدبر</w:t>
      </w:r>
      <w:r>
        <w:rPr>
          <w:rFonts w:eastAsia="IRNazanin" w:cs="IRNazanin"/>
          <w:color w:val="111111"/>
          <w:sz w:val="28"/>
          <w:szCs w:val="28"/>
          <w:rtl w:val="true"/>
          <w:lang w:bidi="fa-IR"/>
        </w:rPr>
        <w:t>.</w:t>
      </w:r>
      <w:bookmarkStart w:id="179" w:name="pg13170_166258"/>
    </w:p>
    <w:p>
      <w:pPr>
        <w:pStyle w:val="Heading5"/>
        <w:numPr>
          <w:ilvl w:val="4"/>
          <w:numId w:val="1"/>
        </w:numPr>
        <w:rPr/>
      </w:pPr>
      <w:bookmarkStart w:id="180" w:name="__RefHeading___Toc624375_3244359995"/>
      <w:bookmarkStart w:id="181" w:name="_Toc67"/>
      <w:bookmarkEnd w:id="179"/>
      <w:bookmarkEnd w:id="180"/>
      <w:r>
        <w:rPr>
          <w:rtl w:val="true"/>
        </w:rPr>
        <w:t>الفرض الرابع</w:t>
      </w:r>
      <w:r>
        <w:rPr>
          <w:rtl w:val="true"/>
        </w:rPr>
        <w:t xml:space="preserve">: </w:t>
      </w:r>
      <w:r>
        <w:rPr>
          <w:rtl w:val="true"/>
        </w:rPr>
        <w:t>أن یکون العلم بالحکم، مأخوذا قیدا أو شرطا فی موضوع نفس ذلک الحکم</w:t>
      </w:r>
      <w:bookmarkEnd w:id="181"/>
    </w:p>
    <w:p>
      <w:pPr>
        <w:pStyle w:val="BookText"/>
        <w:rPr/>
      </w:pPr>
      <w:r>
        <w:rPr>
          <w:rFonts w:ascii="IRNazanin" w:hAnsi="IRNazanin" w:eastAsia="IRNazanin"/>
          <w:color w:val="111111"/>
          <w:sz w:val="28"/>
          <w:sz w:val="28"/>
          <w:szCs w:val="28"/>
          <w:rtl w:val="true"/>
          <w:lang w:bidi="fa-IR"/>
        </w:rPr>
        <w:t>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بوجوب القصر فی السفر، یجب علیک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بوجوب الإخفات فی الصلاة یخافت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الأمر بالقصر و الإخفات و إیجاب القصر و الخفت، منوطا بالعلم بالحکم، و حیث إن رتبة الموضوع مقدمة علی رتبة الحکم، و یکون الموضوع مقدما علی الحکم، فلا بد أولا من حصول الموضوع بتمام أجزائه و قیوده، حتی یترتب ثانیا و فی الرتبة المتأخرة حکمه، و علی هذا کیف یعقل کون الحکم دخیلا فی موضوع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تقدم الشی‌ء علی نفسه، الّذی هو وجه بطلان الدور الصریح هنا، فإن الموضوع متوقف علی الحکم، و الحکم متوقف علی الموضوع، فیکون الموضوع متوقفا علی نفسه، أو الحکم متوقفا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هذه المشکلة العقلیة، یشکل الأمر فی موارد اختصاص الحکم بالعالم، و من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القصوری، و التقصیری، فإن الشارع العالم الواقف علی الکلیات و الجزئیات، یجد أنه فی صورة الجهل لا إعادة و لا قضاء، فإذن لا یتمکن من إیجاب الشرائط و الأجزاء علی کل تقدیر، و لازمه اختصاص الجزئیة و الشرطیة بالعالم، لأن الجاهل لا تکون صلاته محکومة بالجزئیة و الشرطیة بالقیاس إلی ما یشمله إطلاق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کثیر من أحکام الحج، مما لا یکون الجاهل شریک العالم فی الحکم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منها قوله علیه السلام فی رجل نسی أن یحرم أو جهل و قد شهد المناسک و طاف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تجریه نیته إذا کان قد نوی ذلک فقد تم حجه و إن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علیه السلام فی رجل یلبی حتی دخل المسجد الحرام و هو یلبی و علیه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علیک بدنة و لیس علیک الحج من قابل، أی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مهم الأصولی حل المشکلة العقلیة، و أما الدخول فی هذه المباحث الفقهیة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موکول إلی محلها، للحاجة إلی النّظر الخاصّ فی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التفصیل بین القصر و الإتمام، و الجهر و الإخفات أقرب،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قرئت علیه آیة التقصیر </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ظاهر فی الاختصاص،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یجهر فی موضع الإخفات و بالعکس</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ظاهر فی الاشتراک،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موارد نفی الإعادة و القضاء، لا یعقل إلا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صحة المأتی به، فیکون الشرط و الجزء مخصوصین بحال العلم، و إما صرف النّظر عن الأمر الأولی، بعدم وجوب شی‌ء علی الجاهل، فیکون الحکم التکلیفی مختصا بالعالم، لا الوضعی، أی بأن لا یجب علیه الصلاة لا قصرا، و لا إتماما، و لا فاقدا للجزء، و لا واجدا، و حیث إنه لا سبیل إلی الثانی یتعین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تخیلوه من الوجوه، فکله من الخلط بین المسائل الشرعیة الإلهیة، و بین العرفیات و الموالی العقلائیین، و هذا ربما ینتهی إلی الکفر، فضلا عن الفسق، فلا تغفل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إطلاق حدیث الرفع </w:t>
      </w:r>
      <w:r>
        <w:rPr>
          <w:rStyle w:val="FootnoteAnchor"/>
          <w:rtl w:val="true"/>
        </w:rPr>
        <w:footnoteReference w:id="237"/>
      </w:r>
      <w:r>
        <w:rPr>
          <w:rFonts w:ascii="IRNazanin" w:hAnsi="IRNazanin" w:eastAsia="IRNazanin"/>
          <w:color w:val="111111"/>
          <w:sz w:val="28"/>
          <w:sz w:val="28"/>
          <w:szCs w:val="28"/>
          <w:rtl w:val="true"/>
          <w:lang w:bidi="fa-IR"/>
        </w:rPr>
        <w:t>، اختصاص الحکم بالعلماء، فیلزم</w:t>
      </w:r>
    </w:p>
    <w:p>
      <w:pPr>
        <w:pStyle w:val="BookText"/>
        <w:rPr/>
      </w:pPr>
      <w:r>
        <w:rPr>
          <w:rFonts w:ascii="IRNazanin" w:hAnsi="IRNazanin" w:eastAsia="IRNazanin"/>
          <w:color w:val="111111"/>
          <w:sz w:val="28"/>
          <w:sz w:val="28"/>
          <w:szCs w:val="28"/>
          <w:rtl w:val="true"/>
          <w:lang w:bidi="fa-IR"/>
        </w:rPr>
        <w:t>الإشکال حینئذ، و قد تصدی القوم لحل هذه المشکلة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إنکار الاختصاص </w:t>
      </w:r>
      <w:r>
        <w:rPr>
          <w:rStyle w:val="FootnoteAnchor"/>
          <w:rtl w:val="true"/>
        </w:rPr>
        <w:footnoteReference w:id="238"/>
      </w:r>
      <w:r>
        <w:rPr>
          <w:rFonts w:ascii="IRNazanin" w:hAnsi="IRNazanin" w:eastAsia="IRNazanin"/>
          <w:color w:val="111111"/>
          <w:sz w:val="28"/>
          <w:sz w:val="28"/>
          <w:szCs w:val="28"/>
          <w:rtl w:val="true"/>
          <w:lang w:bidi="fa-IR"/>
        </w:rPr>
        <w:t>، کما أشیر إلیه،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حل المشکلة عقلا</w:t>
      </w:r>
      <w:r>
        <w:rPr>
          <w:rStyle w:val="FootnoteAnchor"/>
          <w:rtl w:val="true"/>
        </w:rPr>
        <w:footnoteReference w:id="239"/>
      </w:r>
      <w:r>
        <w:rPr>
          <w:rFonts w:ascii="IRNazanin" w:hAnsi="IRNazanin" w:eastAsia="IRNazanin"/>
          <w:color w:val="111111"/>
          <w:sz w:val="28"/>
          <w:sz w:val="28"/>
          <w:szCs w:val="28"/>
          <w:rtl w:val="true"/>
          <w:lang w:bidi="fa-IR"/>
        </w:rPr>
        <w:t>،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یقرر الإشکال علی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التقیید بالعلم هنا یستلزم الدور، و إذا امتنع التقیید امتنع الإطلاق، لأن التقابل بینهما تقابل العدم و الملکة، فلا یعقل الإطلاق، فضلا عن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بد من التوسل إلی نتیجة الإطلاق، إذا کان الحکم یشترک فیه العالم و الجاهل، و إلی نتیجة التقیید إذا کان مختصا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الإطلاق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متمم الجعل، لإباء الأدلة الأولیة عن الإطلاق و التقیید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خبیر بعد ما مر مرارا فی البحوث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تمامیته بحسب النتیجة، لأن اختصاص العالم بالحکم یستلزم الدور، و هذا لا ینحل بمتمم الجعل </w:t>
      </w:r>
      <w:r>
        <w:rPr>
          <w:rStyle w:val="FootnoteAnchor"/>
          <w:rtl w:val="true"/>
        </w:rPr>
        <w:footnoteReference w:id="241"/>
      </w:r>
      <w:r>
        <w:rPr>
          <w:rFonts w:ascii="IRNazanin" w:hAnsi="IRNazanin" w:eastAsia="IRNazanin"/>
          <w:color w:val="111111"/>
          <w:sz w:val="28"/>
          <w:sz w:val="28"/>
          <w:szCs w:val="28"/>
          <w:rtl w:val="true"/>
          <w:lang w:bidi="fa-IR"/>
        </w:rPr>
        <w:t>، ضرورة أن متمم الجعل یدل علی أن الحکم فی مسألة الجهر و الخفت، مخصوص بالعالم بالحکم، فکیف یمکن أن یترشح الجد من المولی فی ظرف جعله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إلی أن الإطلاق اللحاظی، یستتبع هذه الغائلة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التقابل المزبور، لا یلازم أن یکون امتناع التقیید یستتبع امتناع إطلاقه، بعد صراحة قوله فی إمکان التقیید بدلیل منفصل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التقیید مطلقا حتی بدلیل منفصل، فإمکان التمسک بالإطلاق مسدود، لا نفس الإطلاق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لزوم الإهمال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الإطلاق قهرا، و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بالضرورة تکون الأدلة الواردة فی الشریعة، إما متکفلة لإثبات الحکم للعالم، أو له و للجاهل، و حیث لا سبیل إلی الأول، للزوم الدور، یتعین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حیث لا سبیل إلی التقیید یمتنع الإطلاق </w:t>
      </w:r>
      <w:r>
        <w:rPr>
          <w:rStyle w:val="FootnoteAnchor"/>
          <w:rtl w:val="true"/>
        </w:rPr>
        <w:footnoteReference w:id="242"/>
      </w:r>
      <w:r>
        <w:rPr>
          <w:rFonts w:ascii="IRNazanin" w:hAnsi="IRNazanin" w:eastAsia="IRNazanin"/>
          <w:color w:val="111111"/>
          <w:sz w:val="28"/>
          <w:sz w:val="28"/>
          <w:szCs w:val="28"/>
          <w:rtl w:val="true"/>
          <w:lang w:bidi="fa-IR"/>
        </w:rPr>
        <w:t>، ضرورة أن امتناع الإطلاق، یستلزم لغویة قاطبة الأدلة، فیکون لها الإطلاق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عرفت فی الصورة الأولی من الصور الرئیسة، الإشکال العقلی علی الإطلاق، مع حله بما لا مزید علیه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تبین حدود البحث هنا، و أن الکلام حول حل مشکلة تصویر اختصاص الحکم بالعالم و لو بدلیل منفصل،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المقنن إذا کان یری أن المصلحة قائمة بصورة العلم، و یری أن ترشح الإرادة الجدیة بالنسبة إلی غیر العالم غیر ممکن، لما لا مصلحة هناک، و أیضا یری أن التقیید بالعلم بالحکم، لا یعقل إلا بعد ثبوت الحکم، فله أن یتوسل إلی جعل القانون، بأخذ الحکم الإنشائیّ فی الدلیل، ثم جعل الحکم الجدی بالحمل الشائع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عالما بحکم الخمر إنشاء یحرم علیه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علم المکلف بمفاد المقدم و الشرط، تکون حرمة الخمر حرمة واقعیة منجزة، و إذا کان جاهلا بمفاد المقدم، فلا یجب علیه الاجتناب واقعا، و لا یحرم علیه الخمر، من غیر لزوم الدور، لأن الحکم المأخوذ فی ناحیة الموضوع، هو مرتبة من الحکم، لا واقعه الجدی و الحکم الفعلی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الحکم المأخوذ فی الموضوع هو الحکم الإنشائیّ،</w:t>
      </w:r>
      <w:bookmarkStart w:id="182" w:name="pg13170_166262"/>
    </w:p>
    <w:p>
      <w:pPr>
        <w:pStyle w:val="BookText"/>
        <w:rPr/>
      </w:pPr>
      <w:bookmarkEnd w:id="182"/>
      <w:r>
        <w:rPr>
          <w:rFonts w:ascii="IRNazanin" w:hAnsi="IRNazanin" w:eastAsia="IRNazanin"/>
          <w:color w:val="111111"/>
          <w:sz w:val="28"/>
          <w:sz w:val="28"/>
          <w:szCs w:val="28"/>
          <w:rtl w:val="true"/>
          <w:lang w:bidi="fa-IR"/>
        </w:rPr>
        <w:t>فإذا علم المکلف بالحکم الإنشائیّ یصیر فعلیا منجزا فی حقه، فیختلف الموقوف و الموقوف علیه، فلا یکون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بوجوده الواقعی، لا یتوقف علی الحکم الفعلی بالضرورة، و ما هو الموقوف علیه هی الصورة الذهنیة، لأنه من الصفات ذات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ذلک کله، لا یلزم أن یکون المأخوذ فی الدلیل، هو العلم علی وجه أن یکون تمام الموضوع،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بل یمکن أن یکون جزء الموضوع، بل و طریقا صرفا، إلا أن الجزء الآخر و ذا الطریق هو الحکم الإنشائیّ، و إذا حصل الموضوع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بالحکم الشأنی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الحکم فعلیا، و ترتفع غائلة الدور، و یختص الحکم بالعالم، من غیر الحاجة إلی متمم الجعل و الدلیل الثانی غیر المفید،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إن کان أخذ العلم بالحکم الفعلی الواقعی، علما مطابقا للواقع فی موضوع ذلک الحکم، فهو محال، و لکن المنظور إلیه هنا، هو أنه فی الشریعة إذا کان الحکم مخصوصا بالعالم، فهل یعقل و یوجد وجه لتصحیحه، أم یطرح الخبر و لو کان ظاهرا فی ذلک؟ و قضیة ما ذکرنا إمکان ذاک، فلا یطرح الخبر، فلیتدبر</w:t>
      </w:r>
      <w:r>
        <w:rPr>
          <w:rFonts w:eastAsia="IRNazanin" w:cs="IRNazanin"/>
          <w:color w:val="111111"/>
          <w:sz w:val="28"/>
          <w:szCs w:val="28"/>
          <w:rtl w:val="true"/>
          <w:lang w:bidi="fa-IR"/>
        </w:rPr>
        <w:t>.</w:t>
      </w:r>
    </w:p>
    <w:p>
      <w:pPr>
        <w:pStyle w:val="Heading4"/>
        <w:numPr>
          <w:ilvl w:val="3"/>
          <w:numId w:val="1"/>
        </w:numPr>
        <w:rPr/>
      </w:pPr>
      <w:bookmarkStart w:id="183" w:name="__RefHeading___Toc624377_3244359995"/>
      <w:bookmarkStart w:id="184" w:name="_Toc68"/>
      <w:bookmarkEnd w:id="183"/>
      <w:r>
        <w:rPr>
          <w:rtl w:val="true"/>
        </w:rPr>
        <w:t>نقل مختار الوالد المحقق</w:t>
      </w:r>
      <w:r>
        <w:rPr>
          <w:rtl w:val="true"/>
        </w:rPr>
        <w:t xml:space="preserve">- </w:t>
      </w:r>
      <w:r>
        <w:rPr>
          <w:rtl w:val="true"/>
        </w:rPr>
        <w:t>مد ظله</w:t>
      </w:r>
      <w:r>
        <w:rPr>
          <w:rtl w:val="true"/>
        </w:rPr>
        <w:t xml:space="preserve">- </w:t>
      </w:r>
      <w:r>
        <w:rPr>
          <w:rtl w:val="true"/>
        </w:rPr>
        <w:t>و نقده</w:t>
      </w:r>
      <w:bookmarkEnd w:id="1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المأخوذ فی الموضوع إن کان تمام الموضوع، فلا دور، لأن ما هو الموضوع حینئذ هو العلم، سواء صادف الواقع، أم خالف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185" w:name="pg13170_166263"/>
    </w:p>
    <w:p>
      <w:pPr>
        <w:pStyle w:val="BookText"/>
        <w:rPr/>
      </w:pPr>
      <w:bookmarkEnd w:id="185"/>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مفروض الکلام لا یکون العلم المزبور إلا مطابقا للواقع، ضرورة أن وجوب القصر الثابت فی المحمول و فی التالی، حکم واقعی، و إذا کان الموضوع و المقدم مقیدا بالعلم بوجوب القصر، یکون علما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عالما بوجوب القصر، یجب علیک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القصر فی التالی حکم واقعی، و إذا کان هو عالما فی ناحیة الموضوع بوجوب القصر، یکون علمه مطابقا للواقع، و لا یتصور خطأه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الواقع لیس جزء الموضوع، بل الموضوع هو العلم حتی فی صورة الإصابة و لو کانت دائمیة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أقسام القطع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الملحوظ فی الموضوع ذات العلم، من غیر کون الواقع واردا فی محط الحکم، و مجرد الملازمة الخارجیة، لا تستدعی الدخالة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فیما نحن فیه لا یرتفع الدور حتی لو کان العلم تمام الموضوع، و ذلک لأن ما هو الموضوع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الأعم من کونه متعلقا بالقصر و غیره، بل الموضوع لوجوب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یکون التقید داخلا و لو کان القید خارجا، و لازم کون التقید داخلا وجود القید و إن لم یکن داخلا، ففی رتبة الموضوع لا بد من وجود الحکم الواقعی، لأن قید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ذلک بالضرورة، فیلزم الدور أیضا، فاغتنم</w:t>
      </w:r>
      <w:r>
        <w:rPr>
          <w:rFonts w:eastAsia="IRNazanin" w:cs="IRNazanin"/>
          <w:color w:val="111111"/>
          <w:sz w:val="28"/>
          <w:szCs w:val="28"/>
          <w:rtl w:val="true"/>
          <w:lang w:bidi="fa-IR"/>
        </w:rPr>
        <w:t>.</w:t>
      </w:r>
    </w:p>
    <w:p>
      <w:pPr>
        <w:pStyle w:val="Heading4"/>
        <w:numPr>
          <w:ilvl w:val="3"/>
          <w:numId w:val="1"/>
        </w:numPr>
        <w:rPr/>
      </w:pPr>
      <w:bookmarkStart w:id="186" w:name="__RefHeading___Toc624379_3244359995"/>
      <w:bookmarkStart w:id="187" w:name="_Toc69"/>
      <w:bookmarkEnd w:id="186"/>
      <w:r>
        <w:rPr>
          <w:rtl w:val="true"/>
        </w:rPr>
        <w:t>وهم و دفع</w:t>
      </w:r>
      <w:bookmarkEnd w:id="1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تشبث العلامة العراقی قدس سره لحل مشاکل کثیرة</w:t>
      </w:r>
      <w:r>
        <w:rPr>
          <w:rStyle w:val="FootnoteAnchor"/>
          <w:rtl w:val="true"/>
        </w:rPr>
        <w:footnoteReference w:id="246"/>
      </w:r>
      <w:r>
        <w:rPr>
          <w:rFonts w:ascii="IRNazanin" w:hAnsi="IRNazanin" w:eastAsia="IRNazanin"/>
          <w:color w:val="111111"/>
          <w:sz w:val="28"/>
          <w:sz w:val="28"/>
          <w:szCs w:val="28"/>
          <w:rtl w:val="true"/>
          <w:lang w:bidi="fa-IR"/>
        </w:rPr>
        <w:t xml:space="preserve">، بتصویر المعنی المتوسط بین الإطلاق و التقیید،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التوأمة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 علیه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لا</w:t>
      </w:r>
      <w:bookmarkStart w:id="188" w:name="pg13170_166264"/>
    </w:p>
    <w:p>
      <w:pPr>
        <w:pStyle w:val="BookText"/>
        <w:rPr/>
      </w:pPr>
      <w:bookmarkEnd w:id="188"/>
      <w:r>
        <w:rPr>
          <w:rFonts w:ascii="IRNazanin" w:hAnsi="IRNazanin" w:eastAsia="IRNazanin"/>
          <w:color w:val="111111"/>
          <w:sz w:val="28"/>
          <w:sz w:val="28"/>
          <w:szCs w:val="28"/>
          <w:rtl w:val="true"/>
          <w:lang w:bidi="fa-IR"/>
        </w:rPr>
        <w:t>مطلق حتی یشمل الجاهل، و لا مقید حتی یلزم الدور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فرغنا عما اعتقده و أخذه معیارا لحل المعضلات، بکشف ما فیه من الخطأ و الامتناع، و لا نعیده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تقریرات جدی العلامة قدس سره فی مورد آخر، ما یفی بحل مشکلة اختصاص العالم بالحکم، من غیر انحلال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المولی لا یتعین علیه فی توسله إلی إفادة الاختصاص، جعل الموضوع العالم بالحکم، بل له أن یأخذ عنوانا یلازم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یترتب علیه الحکم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من الإشکال فی ذلک العنوان، و إن یمکن به حل المشکلة</w:t>
      </w:r>
      <w:r>
        <w:rPr>
          <w:rFonts w:eastAsia="IRNazanin" w:cs="IRNazanin"/>
          <w:color w:val="111111"/>
          <w:sz w:val="28"/>
          <w:szCs w:val="28"/>
          <w:rtl w:val="true"/>
          <w:lang w:bidi="fa-IR"/>
        </w:rPr>
        <w:t>.</w:t>
      </w:r>
    </w:p>
    <w:p>
      <w:pPr>
        <w:pStyle w:val="Heading4"/>
        <w:numPr>
          <w:ilvl w:val="3"/>
          <w:numId w:val="1"/>
        </w:numPr>
        <w:rPr/>
      </w:pPr>
      <w:bookmarkStart w:id="189" w:name="__RefHeading___Toc624381_3244359995"/>
      <w:bookmarkStart w:id="190" w:name="_Toc70"/>
      <w:bookmarkEnd w:id="189"/>
      <w:r>
        <w:rPr>
          <w:rtl w:val="true"/>
        </w:rPr>
        <w:t>التحقیق فی جواب الدور</w:t>
      </w:r>
      <w:bookmarkEnd w:id="190"/>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مشکلة الدور عندهم غیر ممکن، و أما ما تعرضوا له من الوجوه، فکله راجع إلی حل مشکلة الاختصاص، فرارا من لزوم الدور، و قد عرفت أنه أیضا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ذکرناه فی صدر البحث ینحل به الدور، و یلزم منه الاختصاص، و لکنه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منه بتغییر الأمر، ضرورة أن المفروض فی المسألة، هو أخذ العلم بالحکم فی موضوع شخص ذلک الحکم، و هذا یختص بصورة کون الحکم فی الموردین فعلیا، و فی مرتبة واحدة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توضیحا و تحقیقا، و هو أن المجعول فی القضایا الحقیقیة، إن کان علی وجه یکون الحکم فعلیا بفعلیة الموضوع فی الخارج، یلزم</w:t>
      </w:r>
    </w:p>
    <w:p>
      <w:pPr>
        <w:pStyle w:val="BookText"/>
        <w:rPr/>
      </w:pPr>
      <w:r>
        <w:rPr>
          <w:rFonts w:ascii="IRNazanin" w:hAnsi="IRNazanin" w:eastAsia="IRNazanin"/>
          <w:color w:val="111111"/>
          <w:sz w:val="28"/>
          <w:sz w:val="28"/>
          <w:szCs w:val="28"/>
          <w:rtl w:val="true"/>
          <w:lang w:bidi="fa-IR"/>
        </w:rPr>
        <w:t>الدور، و أما إذا کان معنی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الحکم علی العنوان المأخوذ، فعلیا غیر متوقف علی أمر غیر حاصل فی مرتبة الجعل، لا التنجز، فلا یلزم الدور، بل یکون الدور من الدور 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بوجوب القصر یجب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من تحقق فی الخارج، و کان عالما بوجوب القصر أولا، فیکون علیه القصر، بمعنی أن التالی یترتب فی الجعل علی المقدم، و حیث یکون التالی قید المقدم، فلا بد من تحقق التالی أولا، ثم ترتبه علیه ثانیا، و هذا لا یعقل فی المعنی الشخصی و الحکم بمرتبته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معنی القضیة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مقام الجعل، یکون الحکم بالنسبة إلی الموضوع المفروض فعلیا، و أن الموضوع بید الجاعل، و لا یتوقف ما هو الموضوع علی أمر خارجی، و هو علم المکلف بالتالی أولا، فیکون المحمول و التالی أیضا بالضرورة بید الجاعل، فیجعل الجاعل، و یتصور الموضوع، و یوقع الحکم علیه، و یکون بین الموضوع و الحکم معیة فی نفس الجاعل من غیر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تحقق الموضوع فی الخارج، یکون الحکم حاصلا معه فی زمان واحد، و لا یعتبر تقدم الموضوع علی الحکم بحسب التحقق خارجا، بل هما یوجدان معا، لما لا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الموضوع و الحکم، ضرورة عدم السنخیة، بل کل واحد من مجعولات المولی و متصوراته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الموضوع علی الحکم سبقا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فی کل مقام، حتی علی مذهب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تحرر، یکون الحکم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بوجوب القصر یجب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فعلیا و إن لم یوجد فی العالم مکلف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یتنجز هذا الحکم إلا بعد وجود الموضوع فی الخارج، و فی هذه</w:t>
      </w:r>
    </w:p>
    <w:p>
      <w:pPr>
        <w:pStyle w:val="BookText"/>
        <w:rPr/>
      </w:pPr>
      <w:r>
        <w:rPr>
          <w:rFonts w:ascii="Amiri" w:hAnsi="Amiri" w:eastAsia="Amiri" w:cs="Amiri"/>
          <w:color w:val="111111"/>
          <w:sz w:val="28"/>
          <w:sz w:val="28"/>
          <w:szCs w:val="28"/>
          <w:rtl w:val="true"/>
          <w:lang w:bidi="ar-SA"/>
        </w:rPr>
        <w:t>المرتبة لا توقف، و لا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فعلیة علی عناوینها، 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فعلیة بمرتبة، و إذا تحققت العناوین فهی فعلیة بالمرتبة الأخری </w:t>
      </w:r>
      <w:r>
        <w:rPr>
          <w:rStyle w:val="FootnoteAnchor"/>
          <w:rtl w:val="true"/>
        </w:rPr>
        <w:footnoteReference w:id="250"/>
      </w:r>
      <w:r>
        <w:rPr>
          <w:rFonts w:ascii="IRNazanin" w:hAnsi="IRNazanin" w:eastAsia="IRNazanin"/>
          <w:color w:val="111111"/>
          <w:sz w:val="28"/>
          <w:sz w:val="28"/>
          <w:szCs w:val="28"/>
          <w:rtl w:val="true"/>
          <w:lang w:bidi="fa-IR"/>
        </w:rPr>
        <w:t>، فی غیر محله، کما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الموضوع و الحکم یوجدان معا بحسب الزمان، و بمجرد العلم بالحکم و بالتالی یکون الموضوع حاصلا، و تحلیل تقدم الموضوع علی الحکم تقدما بالعلیة و سبقا بالرتبة، غیر صحیح،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أخذت شرطیة وجود العلم بالحکم خارجا لترتب الحکم، فلا بد من تقدمه الزمانی، و هو یستلزم الدور، لتحقق السبق الزمانی، و إلا فلو کان نفس الوجود الخارجی موضوعا، فیکون الحکم معه فی ذلک الزمان معیة زمانیة، لا رتبیة، فإنها بین العلل و المعالیل، و المعیة الزمانیة باعتبار المولی و الجاعل، فلا دور أیضا،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بناء علیه، کون العلم فی ناحیة الموضوع فرضیا و تصوریا، أی أن من تصور وجوب القصر یجب علیه القصر، فإنه لا یستلزم الدور، و لکن لا یلزم منه اختصاص الحکم بالعالم علی الوجه المقصود، للزوم کون المتصور لوجوب القصر موضوع الحکم، مع أن الأمر لیس کذلک، ضرورة أن وجوب القصر مخصوص بالعالم التصدیقی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الموضوع فی مقام العنوانیة لیس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عالما بالعلم التصدیقی بوجوب القصر، یجب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الحکم فعلی و إن لم یکن فی الخارج موجود عالما به، و إذا وجد فیوجد بلازمه، الّذی هو فی اعتبار الجاعل قید الموضوع و نفس المحمول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تشبه فی وجه القضایا الضروریة بشرط</w:t>
      </w:r>
    </w:p>
    <w:p>
      <w:pPr>
        <w:pStyle w:val="BookText"/>
        <w:rPr/>
      </w:pPr>
      <w:r>
        <w:rPr>
          <w:rFonts w:ascii="IRNazanin" w:hAnsi="IRNazanin" w:eastAsia="IRNazanin"/>
          <w:color w:val="111111"/>
          <w:sz w:val="28"/>
          <w:sz w:val="28"/>
          <w:szCs w:val="28"/>
          <w:rtl w:val="true"/>
          <w:lang w:bidi="fa-IR"/>
        </w:rPr>
        <w:t>المحمول، مثلا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القائم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لزوم المحمول متوقفا علی القیام السابق، لسبق الموضوع، فیلزم الدور، ضرورة أن القیام فی الموضوع و المحمول شخصی، و أما الموضوع و المحمول فی الخارج فهما واحد، و لا سبق لزید المتقید علی المحمول سبقا بالعلیة، بل هو مجرد اعتبار الجاعل و المخبر بالضرورة، فلا دور، و لا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دور، لاختلاف الموقوف و الموقوف علیه باختلاف الوجود الذهنی 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أبدعناه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و المقنن العرفی إذا جعل قانونا علی هذه الکیفیة، و هی أن العالم بوجوب القصر یجب علیه القصر، یفهمه العقلاء، و یعاقبون العالمین التارکین، دون الجاهلین، من غیر أن یختلج فی أذهانهم أمر، و یصل المولی إلی مرامه و مقصوده، و هو إفادة الاختصاص، و عدم اشتراک الجاهل معه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بالحکم مع کونه علما تصدیقیا، و مع کون الحکم فعلیا، و شخص ذلک الحکم، لا یلزم منه الدور فی محیط التقنین و الفعلیة، و لا فی الخارج و فی ظرف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لیس موقوفا، بمعنی نشوئه من الموضوع، بل هو ناشئ من المولی، و متعلق به، و ملازم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الحاشیة للعلامة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الخلف </w:t>
      </w:r>
      <w:r>
        <w:rPr>
          <w:rStyle w:val="FootnoteAnchor"/>
          <w:rtl w:val="true"/>
        </w:rPr>
        <w:footnoteReference w:id="251"/>
      </w:r>
      <w:r>
        <w:rPr>
          <w:rFonts w:ascii="IRNazanin" w:hAnsi="IRNazanin" w:eastAsia="IRNazanin"/>
          <w:color w:val="111111"/>
          <w:sz w:val="28"/>
          <w:sz w:val="28"/>
          <w:szCs w:val="28"/>
          <w:rtl w:val="true"/>
          <w:lang w:bidi="fa-IR"/>
        </w:rPr>
        <w:t>، فإنه إذا کان الموضوع و الحکم حاصلین معا فی الزمان، لا یکون خلف، و إنما الخلف ناشئ من تقدم أحدهما علی الآخر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مما سلف ما فی ذیل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العلم إذا کان تمام الموضوع،</w:t>
      </w:r>
      <w:bookmarkStart w:id="191" w:name="pg13170_166268"/>
    </w:p>
    <w:p>
      <w:pPr>
        <w:pStyle w:val="BookText"/>
        <w:rPr/>
      </w:pPr>
      <w:bookmarkEnd w:id="191"/>
      <w:r>
        <w:rPr>
          <w:rFonts w:ascii="IRNazanin" w:hAnsi="IRNazanin" w:eastAsia="IRNazanin"/>
          <w:color w:val="111111"/>
          <w:sz w:val="28"/>
          <w:sz w:val="28"/>
          <w:szCs w:val="28"/>
          <w:rtl w:val="true"/>
          <w:lang w:bidi="fa-IR"/>
        </w:rPr>
        <w:t>یلزم لغویة جعل الوجوب، لأنه لا یکون باعثا بعد کون العبد عالما به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اللغویة فی جعل المماثل من غیر کونه من التأکید</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المفروض من البحث، یکون الجعل بداعی کون علمه مطابقا للواقع، و هذا یکفی للجعل الجدی، فاغتنم</w:t>
      </w:r>
      <w:r>
        <w:rPr>
          <w:rFonts w:eastAsia="IRNazanin" w:cs="IRNazanin"/>
          <w:color w:val="111111"/>
          <w:sz w:val="28"/>
          <w:szCs w:val="28"/>
          <w:rtl w:val="true"/>
          <w:lang w:bidi="fa-IR"/>
        </w:rPr>
        <w:t>.</w:t>
      </w:r>
    </w:p>
    <w:p>
      <w:pPr>
        <w:pStyle w:val="Heading4"/>
        <w:numPr>
          <w:ilvl w:val="3"/>
          <w:numId w:val="1"/>
        </w:numPr>
        <w:rPr/>
      </w:pPr>
      <w:bookmarkStart w:id="192" w:name="__RefHeading___Toc624383_3244359995"/>
      <w:bookmarkStart w:id="193" w:name="_Toc71"/>
      <w:bookmarkEnd w:id="192"/>
      <w:r>
        <w:rPr>
          <w:rtl w:val="true"/>
        </w:rPr>
        <w:t>بقی شی‌ء</w:t>
      </w:r>
      <w:r>
        <w:rPr>
          <w:rtl w:val="true"/>
        </w:rPr>
        <w:t xml:space="preserve">: </w:t>
      </w:r>
      <w:r>
        <w:rPr>
          <w:rtl w:val="true"/>
        </w:rPr>
        <w:t>حول تکفل الدلیل لقیدیة العلم فی الموضوع و الحکم</w:t>
      </w:r>
      <w:bookmarkEnd w:id="193"/>
    </w:p>
    <w:p>
      <w:pPr>
        <w:pStyle w:val="BookText"/>
        <w:rPr/>
      </w:pPr>
      <w:r>
        <w:rPr>
          <w:rFonts w:ascii="IRNazanin" w:hAnsi="IRNazanin" w:eastAsia="IRNazanin"/>
          <w:color w:val="111111"/>
          <w:sz w:val="28"/>
          <w:sz w:val="28"/>
          <w:szCs w:val="28"/>
          <w:rtl w:val="true"/>
          <w:lang w:bidi="fa-IR"/>
        </w:rPr>
        <w:t>هل یعقل أن یتکفل الدلیل الواحد لکون العلم قیدا للموضوع و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هو الأول،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المعلومة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مجملا بحسب المعلومیة، و أن المراد هل هو معلومیة الخمریة، أو معلومیة الحرمة؟ فحیث یحتمل الآمر أن یؤخذ بالقدر المتیقن، فیکون المولی واصلا إلی مرامه عندئذ، اتکالا علی الدلیل الواحد و عقل المکلفین، فتدبر</w:t>
      </w:r>
      <w:r>
        <w:rPr>
          <w:rFonts w:eastAsia="IRNazanin" w:cs="IRNazanin"/>
          <w:color w:val="111111"/>
          <w:sz w:val="28"/>
          <w:szCs w:val="28"/>
          <w:rtl w:val="true"/>
          <w:lang w:bidi="fa-IR"/>
        </w:rPr>
        <w:t>.</w:t>
      </w:r>
    </w:p>
    <w:p>
      <w:pPr>
        <w:pStyle w:val="Heading4"/>
        <w:numPr>
          <w:ilvl w:val="3"/>
          <w:numId w:val="1"/>
        </w:numPr>
        <w:rPr/>
      </w:pPr>
      <w:bookmarkStart w:id="194" w:name="__RefHeading___Toc624385_3244359995"/>
      <w:bookmarkStart w:id="195" w:name="_Toc72"/>
      <w:bookmarkEnd w:id="194"/>
      <w:r>
        <w:rPr>
          <w:rtl w:val="true"/>
        </w:rPr>
        <w:t>تذییل حول أقسام القطع و ما یختص به من الأحکام</w:t>
      </w:r>
      <w:bookmarkEnd w:id="195"/>
    </w:p>
    <w:p>
      <w:pPr>
        <w:pStyle w:val="Heading5"/>
        <w:numPr>
          <w:ilvl w:val="4"/>
          <w:numId w:val="1"/>
        </w:numPr>
        <w:rPr/>
      </w:pPr>
      <w:bookmarkStart w:id="196" w:name="__RefHeading___Toc624387_3244359995"/>
      <w:bookmarkStart w:id="197" w:name="_Toc73"/>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ما مضی من أقسام القطع، یجری فی الظن فی الجملة، و حیث إن المسألة قلیلة الجدوی جدا، یکون تکرارها من اللغو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الشخصی منه، دون النوعیّ کالأمارات، و إن کان بحث التقاسیم یشترک بین الکل، إلا أن النّظر فی هذا البحث إلی قیامها مقام القطع و الظن، فلا ینبغی جعلها مورد النّظر فی کیفیة الأخذ فی الدلیل، کما لا یخفی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فلا بأس بذکر بعض المطالب الخاصة ضمن تنبیهات</w:t>
      </w:r>
      <w:r>
        <w:rPr>
          <w:rFonts w:eastAsia="IRNazanin" w:cs="IRNazanin"/>
          <w:color w:val="111111"/>
          <w:sz w:val="28"/>
          <w:szCs w:val="28"/>
          <w:rtl w:val="true"/>
          <w:lang w:bidi="fa-IR"/>
        </w:rPr>
        <w:t>:</w:t>
      </w:r>
      <w:bookmarkStart w:id="198" w:name="pg13170_166269"/>
    </w:p>
    <w:p>
      <w:pPr>
        <w:pStyle w:val="Heading5"/>
        <w:numPr>
          <w:ilvl w:val="4"/>
          <w:numId w:val="1"/>
        </w:numPr>
        <w:rPr/>
      </w:pPr>
      <w:bookmarkStart w:id="199" w:name="__RefHeading___Toc624389_3244359995"/>
      <w:bookmarkStart w:id="200" w:name="_Toc74"/>
      <w:bookmarkEnd w:id="198"/>
      <w:bookmarkEnd w:id="199"/>
      <w:r>
        <w:rPr>
          <w:rtl w:val="true"/>
        </w:rPr>
        <w:t>التنبیه الأول</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فی الظن ما مر من التقسیم المخصوص بالقطع، و هو اعتباره فی الدلیل لأجل أصل الکشف المشترک تارة، و أخذه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کشفه التام، فإنه من خصائص القطع، نعم یجوز أخذه باعتبار کشفه الناقص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الظن علی المشهور، بأخذ الظن المعتبر تارة،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علی الإطلاق، حتی یشکل الأمر أحیانا فی مرحلة الإثبات، و أما علی ما 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سلب الاعتبار عن القطع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اختصاص له بالظن</w:t>
      </w:r>
      <w:r>
        <w:rPr>
          <w:rFonts w:eastAsia="IRNazanin" w:cs="IRNazanin"/>
          <w:color w:val="111111"/>
          <w:sz w:val="28"/>
          <w:szCs w:val="28"/>
          <w:rtl w:val="true"/>
          <w:lang w:bidi="fa-IR"/>
        </w:rPr>
        <w:t>.</w:t>
      </w:r>
    </w:p>
    <w:p>
      <w:pPr>
        <w:pStyle w:val="Heading5"/>
        <w:numPr>
          <w:ilvl w:val="4"/>
          <w:numId w:val="1"/>
        </w:numPr>
        <w:rPr/>
      </w:pPr>
      <w:bookmarkStart w:id="201" w:name="__RefHeading___Toc624391_3244359995"/>
      <w:bookmarkStart w:id="202" w:name="_Toc75"/>
      <w:bookmarkEnd w:id="201"/>
      <w:r>
        <w:rPr>
          <w:rtl w:val="true"/>
        </w:rPr>
        <w:t>التنبیه الثانی</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أخذ الظن فی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مقیدا بکونه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ظننت بوجوب القصر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الفرض الأول، یلزم عدم وجوب القصر فی صورة العلم إذا أخذ الظن علی الصفتیة، بل و علی الطریقیة الناقصة، و لازمه ردع العمل عن العلم، فیندرج فی تلک المسألة التی اتفقوا علی امتناعها، و قد مر بیانها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الفرض الثانی،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ظننت ظنا غیر معتبر بوجوب القصر،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التناقض، کما إذا أخذ الاحتمال، ضرورة أنه إن حصل الظن غیر المعتبر، یکون موضوعا، و لکن لا یتمکن من الامتثال إلا إذا حصل الظن المعتبر، و إذا حصل الظن المعتبر یخرج عن الموضوعیة للحکم، فلا یتمکن المولی من تحریک العبد إلی مأموله و مرامه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الفرض الثالث، فلازم الدلیل هو اعتبار الظن، فرارا من اللغویة فیکون کالفرض الأول</w:t>
      </w:r>
      <w:r>
        <w:rPr>
          <w:rFonts w:eastAsia="IRNazanin" w:cs="IRNazanin"/>
          <w:color w:val="111111"/>
          <w:sz w:val="28"/>
          <w:szCs w:val="28"/>
          <w:rtl w:val="true"/>
          <w:lang w:bidi="fa-IR"/>
        </w:rPr>
        <w:t>.</w:t>
      </w:r>
      <w:bookmarkStart w:id="203" w:name="pg13170_166270"/>
    </w:p>
    <w:p>
      <w:pPr>
        <w:pStyle w:val="BookText"/>
        <w:rPr/>
      </w:pPr>
      <w:bookmarkEnd w:id="203"/>
      <w:r>
        <w:rPr>
          <w:rFonts w:ascii="IRNazanin" w:hAnsi="IRNazanin" w:eastAsia="IRNazanin"/>
          <w:color w:val="111111"/>
          <w:sz w:val="28"/>
          <w:sz w:val="28"/>
          <w:szCs w:val="28"/>
          <w:rtl w:val="true"/>
          <w:lang w:bidi="fa-IR"/>
        </w:rPr>
        <w:t>و ما ذکرناه یجری فی صورة کون الظن متعلقا بالحکم، لا بالموضوع، لجواز کون مظنون الخمریة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موضوع التحریم منحصرا بمظنون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مقطوع الخمریة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الأمر، لا من ناحیة الشبهة العقلیة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غیر فرق بین کونه تمام الموضوع، أو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یتصور حینئذ کون الظن تمام الموضوع، سواء صادف، أم لم یصادف، کما مر فی القطع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فی صورة المصادفة کونه تمام الموضوع أیضا، فاغتنم</w:t>
      </w:r>
      <w:r>
        <w:rPr>
          <w:rFonts w:eastAsia="IRNazanin" w:cs="IRNazanin"/>
          <w:color w:val="111111"/>
          <w:sz w:val="28"/>
          <w:szCs w:val="28"/>
          <w:rtl w:val="true"/>
          <w:lang w:bidi="fa-IR"/>
        </w:rPr>
        <w:t>.</w:t>
      </w:r>
    </w:p>
    <w:p>
      <w:pPr>
        <w:pStyle w:val="Heading5"/>
        <w:numPr>
          <w:ilvl w:val="4"/>
          <w:numId w:val="1"/>
        </w:numPr>
        <w:rPr/>
      </w:pPr>
      <w:bookmarkStart w:id="204" w:name="__RefHeading___Toc624393_3244359995"/>
      <w:bookmarkStart w:id="205" w:name="_Toc76"/>
      <w:bookmarkEnd w:id="204"/>
      <w:r>
        <w:rPr>
          <w:rtl w:val="true"/>
        </w:rPr>
        <w:t>التنبیه الثالث</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ذکرناه فی الفرض الأول، یتبین وجه سقوط هذا البحث بحسب الأثر و النتیجة، ضرورة أن الظن لیس مأخوذا علی وجه یکون العلم غیر کاف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مأخوذا علی وجه المنجزیة، أو الطریقیة المشترکة فی کافة الموارد، کما فی الظن بالضرر فی السفر، و فی الصوم، و فی عدد الرکعات، أو بدخول الوقت عند الغیم، و بالقبلة، و نحو ذلک، فإن الظن إما یحمل فیها علی الطریقیة المحضة، فیلغی دخالته رأسا، کما فی موارد أخذ العلم أحیانا،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یَتَبَیَّنَ لَکُمُ الْخَیْطُ الْأَبْیَضُ </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Style w:val="FootnoteAnchor"/>
          <w:rtl w:val="true"/>
        </w:rPr>
        <w:footnoteReference w:id="258"/>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یحمل علی الجزئیة و الکاشفیة و الطریقیة، المشترکة فیها سائر الأمارات حتی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تعین الوجه الأول </w:t>
      </w:r>
      <w:r>
        <w:rPr>
          <w:rStyle w:val="FootnoteAnchor"/>
          <w:rtl w:val="true"/>
        </w:rPr>
        <w:footnoteReference w:id="259"/>
      </w:r>
      <w:r>
        <w:rPr>
          <w:rFonts w:ascii="IRNazanin" w:hAnsi="IRNazanin" w:eastAsia="IRNazanin"/>
          <w:color w:val="111111"/>
          <w:sz w:val="28"/>
          <w:sz w:val="28"/>
          <w:szCs w:val="28"/>
          <w:rtl w:val="true"/>
          <w:lang w:bidi="fa-IR"/>
        </w:rPr>
        <w:t xml:space="preserve">، غیر صحیح، إلا بدعوی أن فهم العرف یقتضیه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توهم تعینه، لأجل امتناع الموضوعیة و الطریقیة، أو جزء الموضوعیة و الطریقیة، فقد عرفت فساده فی القطع بما لا مزید علیه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أخذ الحکم المضاد و المماثل، أو الشخصی، فهو کالقطع فی الإمکان و الامتناع، و قد عرفت امتناعه الغیری بالنسبة إلی الضد و المثل فی مفروض البحث، و إمکانه بالنسبة إلی الشخصی </w:t>
      </w:r>
      <w:r>
        <w:rPr>
          <w:rStyle w:val="FootnoteAnchor"/>
          <w:rtl w:val="true"/>
        </w:rPr>
        <w:footnoteReference w:id="262"/>
      </w:r>
      <w:r>
        <w:rPr>
          <w:rFonts w:ascii="IRNazanin" w:hAnsi="IRNazanin" w:eastAsia="IRNazanin"/>
          <w:color w:val="111111"/>
          <w:sz w:val="28"/>
          <w:sz w:val="28"/>
          <w:szCs w:val="28"/>
          <w:rtl w:val="true"/>
          <w:lang w:bidi="fa-IR"/>
        </w:rPr>
        <w:t>، فلیتأمل</w:t>
      </w:r>
      <w:r>
        <w:rPr>
          <w:rFonts w:eastAsia="IRNazanin" w:cs="IRNazanin"/>
          <w:color w:val="111111"/>
          <w:sz w:val="28"/>
          <w:szCs w:val="28"/>
          <w:rtl w:val="true"/>
          <w:lang w:bidi="fa-IR"/>
        </w:rPr>
        <w:t>.</w:t>
      </w:r>
      <w:bookmarkStart w:id="206" w:name="pg13170_166272"/>
    </w:p>
    <w:p>
      <w:pPr>
        <w:pStyle w:val="Heading3"/>
        <w:numPr>
          <w:ilvl w:val="2"/>
          <w:numId w:val="1"/>
        </w:numPr>
        <w:rPr/>
      </w:pPr>
      <w:bookmarkStart w:id="207" w:name="__RefHeading___Toc624395_3244359995"/>
      <w:bookmarkStart w:id="208" w:name="_Toc77"/>
      <w:bookmarkEnd w:id="206"/>
      <w:bookmarkEnd w:id="207"/>
      <w:r>
        <w:rPr>
          <w:rtl w:val="true"/>
        </w:rPr>
        <w:t>المبحث الرابع قیام الأمارات و الأصول مقام القطع</w:t>
      </w:r>
      <w:bookmarkEnd w:id="208"/>
    </w:p>
    <w:p>
      <w:pPr>
        <w:pStyle w:val="Heading4"/>
        <w:numPr>
          <w:ilvl w:val="3"/>
          <w:numId w:val="1"/>
        </w:numPr>
        <w:rPr/>
      </w:pPr>
      <w:bookmarkStart w:id="209" w:name="__RefHeading___Toc624397_3244359995"/>
      <w:bookmarkStart w:id="210" w:name="_Toc78"/>
      <w:bookmarkEnd w:id="209"/>
      <w:r>
        <w:rPr>
          <w:rtl w:val="true"/>
        </w:rPr>
        <w:t>اشارة</w:t>
      </w:r>
      <w:bookmarkEnd w:id="21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یتم الکلام حوله من خلال جهات</w:t>
      </w:r>
      <w:r>
        <w:rPr>
          <w:rFonts w:eastAsia="IRNazanin" w:cs="IRNazanin"/>
          <w:color w:val="111111"/>
          <w:sz w:val="28"/>
          <w:szCs w:val="28"/>
          <w:rtl w:val="true"/>
          <w:lang w:bidi="fa-IR"/>
        </w:rPr>
        <w:t>:</w:t>
      </w:r>
      <w:bookmarkStart w:id="211" w:name="pg13170_166274"/>
    </w:p>
    <w:p>
      <w:pPr>
        <w:pStyle w:val="Heading4"/>
        <w:numPr>
          <w:ilvl w:val="3"/>
          <w:numId w:val="1"/>
        </w:numPr>
        <w:rPr/>
      </w:pPr>
      <w:bookmarkStart w:id="212" w:name="__RefHeading___Toc624399_3244359995"/>
      <w:bookmarkStart w:id="213" w:name="_Toc79"/>
      <w:bookmarkEnd w:id="211"/>
      <w:bookmarkEnd w:id="212"/>
      <w:r>
        <w:rPr>
          <w:rtl w:val="true"/>
        </w:rPr>
        <w:t>الجهة الأولی</w:t>
      </w:r>
      <w:r>
        <w:rPr>
          <w:rtl w:val="true"/>
        </w:rPr>
        <w:t xml:space="preserve">: </w:t>
      </w:r>
      <w:r>
        <w:rPr>
          <w:rtl w:val="true"/>
        </w:rPr>
        <w:t>فی قیام الأمارات مقام القطع الطریقی المحض</w:t>
      </w:r>
      <w:bookmarkEnd w:id="213"/>
    </w:p>
    <w:p>
      <w:pPr>
        <w:pStyle w:val="BookText"/>
        <w:rPr/>
      </w:pPr>
      <w:r>
        <w:rPr>
          <w:rFonts w:ascii="IRNazanin" w:hAnsi="IRNazanin" w:eastAsia="IRNazanin"/>
          <w:color w:val="111111"/>
          <w:sz w:val="28"/>
          <w:sz w:val="28"/>
          <w:szCs w:val="28"/>
          <w:rtl w:val="true"/>
          <w:lang w:bidi="fa-IR"/>
        </w:rPr>
        <w:t xml:space="preserve">و هذا مما لا بحث فیه، و تکفی له نفس أدلتها الناهضة علی إمضائها، أو القائمة علی تأسیسها و اعتبارها، فکل أمارة، أو أصل اعتبر فی حکم الأمارة، أو یکون محرزا و لو حیثیا، کقاعدة التجاوز و الفراغ، أو محرزا مطلقا، کالاستصحاب علی المعروف بینهم </w:t>
      </w:r>
      <w:r>
        <w:rPr>
          <w:rStyle w:val="FootnoteAnchor"/>
          <w:rtl w:val="true"/>
        </w:rPr>
        <w:footnoteReference w:id="263"/>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تهذیب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یقوم مقام هذا القطع، و یوجب تنجز الواقع عند الإصابة، و یصیر معذورا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هذا القطع، أعم مما لا یؤخذ فی الأدلة رأسا، أو یکون مأخوذا، و لکنه غیر دخیل فی موضوع الحکم أصلا، و ذلک لأن معنی حجیة هذه الأمارات و الأصول، لیس إلا ذلک، فتشترک مع القطع فی هاتین الخاصتین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ما سلکناه فی باب جعل الطرق و الأمارات، و کیفیة الجمع بینها و بین الأحکام الواقعیة</w:t>
      </w:r>
      <w:r>
        <w:rPr>
          <w:rStyle w:val="FootnoteAnchor"/>
          <w:rtl w:val="true"/>
        </w:rPr>
        <w:footnoteReference w:id="264"/>
      </w:r>
      <w:r>
        <w:rPr>
          <w:rFonts w:ascii="IRNazanin" w:hAnsi="IRNazanin" w:eastAsia="IRNazanin"/>
          <w:color w:val="111111"/>
          <w:sz w:val="28"/>
          <w:sz w:val="28"/>
          <w:szCs w:val="28"/>
          <w:rtl w:val="true"/>
          <w:lang w:bidi="fa-IR"/>
        </w:rPr>
        <w:t>، لا تکون الأمارات معذرة اصطلاحا، لأن الحکم الواقعی فی صورة الخطأ منتف، فلا واقع حتی یحتاج إلی 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علی السببیة، فإنه لا تخلف و لا خطأ،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خاصة الأصول من المحرزیة و غیرها، موکول إلی محالة، و إنما نشیر إلیها هنا علی القول بکونها محرزة و منجزة فی الجملة، و إلا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کأصالة الحل،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قاعدة التجاوز مثلها، فلا قیام،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أشیر إلیه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لیست مبنیة علی تنزیل الأمارات مقام القطع الطریقی، بل هی و القطع فی عرض واحد فی الأماریة و الکاشفیة، أو فی البناء علی العمل بها عمل القطع، من غیر نظر فی ذلک إلی الطولیة و النیابة، خلافا لما یستظهر من جمع منهم، حیث توهموا أن القطع أمارة ذاتیة، و سائر الأمارات أمارة بالتنزیل </w:t>
      </w:r>
      <w:r>
        <w:rPr>
          <w:rStyle w:val="FootnoteAnchor"/>
          <w:rtl w:val="true"/>
        </w:rPr>
        <w:footnoteReference w:id="265"/>
      </w:r>
      <w:r>
        <w:rPr>
          <w:rFonts w:ascii="IRNazanin" w:hAnsi="IRNazanin" w:eastAsia="IRNazanin"/>
          <w:color w:val="111111"/>
          <w:sz w:val="28"/>
          <w:sz w:val="28"/>
          <w:szCs w:val="28"/>
          <w:rtl w:val="true"/>
          <w:lang w:bidi="fa-IR"/>
        </w:rPr>
        <w:t>، فکأنها أمارة مجازیة و ادعائیة،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شاهد له فی الأخبار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یکذبه العقل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إحراز الأصول المحرزة و أماریة الأمارات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إمکانها، کما هو الحق، و لعل الاستصحاب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إحرازا ادعائیا و إلحاقیا حکمیا، و یکون حجة کسائر الأمارات و الأصول العقلائیة، من غیر کونها نائبة عنها فی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النیابة و التنزیل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 النّظر فی التعبیر المزبور، إلی أنه لو أخذ أحیانا القطع الطریقی المحض فی دلیل، تکون سائر الأمارات قائمة مقامه فی هذا الاعتبار، فاغتنم، و تفصیله فی مقصد الظن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سقوطها عن الأماریة عند وجود القطع </w:t>
      </w:r>
      <w:r>
        <w:rPr>
          <w:rStyle w:val="FootnoteAnchor"/>
          <w:rtl w:val="true"/>
        </w:rPr>
        <w:footnoteReference w:id="266"/>
      </w:r>
      <w:r>
        <w:rPr>
          <w:rFonts w:ascii="IRNazanin" w:hAnsi="IRNazanin" w:eastAsia="IRNazanin"/>
          <w:color w:val="111111"/>
          <w:sz w:val="28"/>
          <w:sz w:val="28"/>
          <w:szCs w:val="28"/>
          <w:rtl w:val="true"/>
          <w:lang w:bidi="fa-IR"/>
        </w:rPr>
        <w:t>، فی غیر محله، لأنه فی</w:t>
      </w:r>
      <w:bookmarkStart w:id="214" w:name="pg13170_166276"/>
    </w:p>
    <w:p>
      <w:pPr>
        <w:pStyle w:val="BookText"/>
        <w:rPr/>
      </w:pPr>
      <w:bookmarkEnd w:id="214"/>
      <w:r>
        <w:rPr>
          <w:rFonts w:ascii="IRNazanin" w:hAnsi="IRNazanin" w:eastAsia="IRNazanin"/>
          <w:color w:val="111111"/>
          <w:sz w:val="28"/>
          <w:sz w:val="28"/>
          <w:szCs w:val="28"/>
          <w:rtl w:val="true"/>
          <w:lang w:bidi="fa-IR"/>
        </w:rPr>
        <w:t>الأمارات أیضا یکون الأمر کذلک، إذا کانت إحداها أقوی من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وجود القطع الموافق مع الأمارة، لا ینافی قوة الأمارة، و لذلک لو زال القطع تبقی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قاطعا بعدالة زید، و قامت الأمارة علیها أیضا، ثم زال القطع، تکون الأمارة باقیة علی قوتها، و وجود القطع المخالف بالقیاس إلیها، کتبدل القطع بالعدالة إلی القطع بالفسق، فلا یکون موردا للأول من غیر أن یکون الثانی نائبا عن الأول، فتأمل و افهم</w:t>
      </w:r>
      <w:r>
        <w:rPr>
          <w:rFonts w:eastAsia="IRNazanin" w:cs="IRNazanin"/>
          <w:color w:val="111111"/>
          <w:sz w:val="28"/>
          <w:szCs w:val="28"/>
          <w:rtl w:val="true"/>
          <w:lang w:bidi="fa-IR"/>
        </w:rPr>
        <w:t>.</w:t>
      </w:r>
    </w:p>
    <w:p>
      <w:pPr>
        <w:pStyle w:val="Heading4"/>
        <w:numPr>
          <w:ilvl w:val="3"/>
          <w:numId w:val="1"/>
        </w:numPr>
        <w:rPr/>
      </w:pPr>
      <w:bookmarkStart w:id="215" w:name="__RefHeading___Toc624401_3244359995"/>
      <w:bookmarkStart w:id="216" w:name="_Toc80"/>
      <w:bookmarkEnd w:id="215"/>
      <w:r>
        <w:rPr>
          <w:rtl w:val="true"/>
        </w:rPr>
        <w:t>الجهة الثانیة</w:t>
      </w:r>
      <w:r>
        <w:rPr>
          <w:rtl w:val="true"/>
        </w:rPr>
        <w:t xml:space="preserve">: </w:t>
      </w:r>
      <w:r>
        <w:rPr>
          <w:rtl w:val="true"/>
        </w:rPr>
        <w:t>فی قیامها مقام القطع الطریقی المأخوذ فی الموضوع علی أن یکون جزء</w:t>
      </w:r>
      <w:bookmarkEnd w:id="216"/>
    </w:p>
    <w:p>
      <w:pPr>
        <w:pStyle w:val="Heading5"/>
        <w:numPr>
          <w:ilvl w:val="4"/>
          <w:numId w:val="1"/>
        </w:numPr>
        <w:rPr/>
      </w:pPr>
      <w:bookmarkStart w:id="217" w:name="__RefHeading___Toc624403_3244359995"/>
      <w:bookmarkStart w:id="218" w:name="_Toc81"/>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 حیث وقع فیه الکلام من أجل أن نفس أدلة حجیتها تکفی، أم لا بد من التماس دلیل آخر، لامتناع کون دلیل الاعتبار جامعا للحجیة و التنزیل، فالکلام هنا یقع فی مقامین</w:t>
      </w:r>
      <w:r>
        <w:rPr>
          <w:rFonts w:eastAsia="IRNazanin" w:cs="IRNazanin"/>
          <w:color w:val="111111"/>
          <w:sz w:val="28"/>
          <w:szCs w:val="28"/>
          <w:rtl w:val="true"/>
          <w:lang w:bidi="fa-IR"/>
        </w:rPr>
        <w:t>:</w:t>
      </w:r>
    </w:p>
    <w:p>
      <w:pPr>
        <w:pStyle w:val="Heading5"/>
        <w:numPr>
          <w:ilvl w:val="4"/>
          <w:numId w:val="1"/>
        </w:numPr>
        <w:rPr/>
      </w:pPr>
      <w:bookmarkStart w:id="219" w:name="__RefHeading___Toc624405_3244359995"/>
      <w:bookmarkStart w:id="220" w:name="_Toc82"/>
      <w:bookmarkEnd w:id="219"/>
      <w:r>
        <w:rPr>
          <w:rtl w:val="true"/>
        </w:rPr>
        <w:t>المقام الأول</w:t>
      </w:r>
      <w:r>
        <w:rPr>
          <w:rtl w:val="true"/>
        </w:rPr>
        <w:t xml:space="preserve">: </w:t>
      </w:r>
      <w:r>
        <w:rPr>
          <w:rtl w:val="true"/>
        </w:rPr>
        <w:t>فی إمکانه</w:t>
      </w:r>
      <w:bookmarkEnd w:id="220"/>
    </w:p>
    <w:p>
      <w:pPr>
        <w:pStyle w:val="Heading6"/>
        <w:numPr>
          <w:ilvl w:val="5"/>
          <w:numId w:val="1"/>
        </w:numPr>
        <w:rPr/>
      </w:pPr>
      <w:bookmarkStart w:id="221" w:name="__RefHeading___Toc624407_3244359995"/>
      <w:bookmarkStart w:id="222" w:name="_Toc83"/>
      <w:bookmarkEnd w:id="221"/>
      <w:r>
        <w:rPr>
          <w:rtl w:val="true"/>
        </w:rPr>
        <w:t>اشارة</w:t>
      </w:r>
      <w:bookmarkEnd w:id="22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قولان، یظهر من العلامة الخراسانیّ قدس سره امتناعه، و ذلک إما لأجل ما یظهر منه من أن الجمع بین اللحاظین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الآلی و الاستقلالی فی دلیل واحد ممتنع، و فیما إذا أخذ القطع طریقا و دخیلا فی الموضوع، یلزم الجمع المزبور، ضرورة أن قضیة الطریقیة هی النظرة الآلیة، و قضیة الموضوعیة هی الاستقلالیة</w:t>
      </w:r>
      <w:r>
        <w:rPr>
          <w:rStyle w:val="FootnoteAnchor"/>
          <w:rtl w:val="true"/>
        </w:rPr>
        <w:footnoteReference w:id="267"/>
      </w:r>
      <w:r>
        <w:rPr>
          <w:rFonts w:ascii="IRNazanin" w:hAnsi="IRNazanin" w:eastAsia="IRNazanin"/>
          <w:color w:val="111111"/>
          <w:sz w:val="28"/>
          <w:sz w:val="28"/>
          <w:szCs w:val="28"/>
          <w:rtl w:val="true"/>
          <w:lang w:bidi="fa-IR"/>
        </w:rPr>
        <w:t>، کما مر فی أقسام</w:t>
      </w:r>
    </w:p>
    <w:p>
      <w:pPr>
        <w:pStyle w:val="BookText"/>
        <w:rPr/>
      </w:pPr>
      <w:r>
        <w:rPr>
          <w:rFonts w:ascii="IRNazanin" w:hAnsi="IRNazanin" w:eastAsia="IRNazanin"/>
          <w:color w:val="111111"/>
          <w:sz w:val="28"/>
          <w:sz w:val="28"/>
          <w:szCs w:val="28"/>
          <w:rtl w:val="true"/>
          <w:lang w:bidi="fa-IR"/>
        </w:rPr>
        <w:t xml:space="preserve">القطع مع نقده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لأجل أن الجمع بین اللحاظین و لو کانا اسمیین، غیر ممکن، و لو کانت أدلة اعتبارها فی مقام تنفیذها و تنزیلها مقام القطع، یلزم کونهما ملحوظین معا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یورث امتناعه، من غیر فرق بین کون القطع جزء الموضوع، کما فی مفروض بحثنا، أو کونه تمام الموضوع، کما لا فرق بین کونه مأخوذا علی الطریقیة، و الصفتیة، 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نظره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حرفیا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لا یقول بامتناع قیام الأمارات و الأصول المحرزة مقام القطع، بل یدعی أن الدلیل الواحد، لا یتمکن من إفادة الحجیة و التنزیل معا، و لا بتعدد الأدلة من هذه الجهة، فالتنزیل ممنوع إلا مع قیام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یورث إجمال الأدلة، لظهوره فی جعل الحجیة بدوا، و لو کان بین جعل الحجیة و التنزیل جامع لقلنا به، و إنما الشأن عدم وجود الجامع، ضرورة أن النّظر فی جعل الحجیة إلی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التنزیل إلی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 </w:t>
      </w:r>
      <w:r>
        <w:rPr>
          <w:rStyle w:val="FootnoteAnchor"/>
          <w:rtl w:val="true"/>
        </w:rPr>
        <w:footnoteReference w:id="270"/>
      </w:r>
      <w:r>
        <w:rPr>
          <w:rFonts w:ascii="IRNazanin" w:hAnsi="IRNazanin" w:eastAsia="IRNazanin"/>
          <w:color w:val="111111"/>
          <w:sz w:val="28"/>
          <w:sz w:val="28"/>
          <w:szCs w:val="28"/>
          <w:rtl w:val="true"/>
          <w:lang w:bidi="fa-IR"/>
        </w:rPr>
        <w:t>،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وجهان لحل هذه المشکلة العامة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المأخوذ فی الدلیل علی وجه الکاشفیة، و یکون موضوعیا طریقیا، جزء کان، أو کلا، مرجعه إلی أن ما هو المأخوذ، هو القطع بما هو محرز و کاشف، فدلیل حجیة الأمارات و الأصول المحرزة، إذا کان مفاده إلحاقها بالقطع فی الأماریة و الکاشفیة، أو کان مفاده إمضاء ما علیه العقلاء و 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الطریقیة و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الکشف النوعیّ، یکون حاکما علی الدلیل المأخوذ فیه</w:t>
      </w:r>
    </w:p>
    <w:p>
      <w:pPr>
        <w:pStyle w:val="BookText"/>
        <w:rPr/>
      </w:pPr>
      <w:r>
        <w:rPr>
          <w:rFonts w:ascii="IRNazanin" w:hAnsi="IRNazanin" w:eastAsia="IRNazanin"/>
          <w:color w:val="111111"/>
          <w:sz w:val="28"/>
          <w:sz w:val="28"/>
          <w:szCs w:val="28"/>
          <w:rtl w:val="true"/>
          <w:lang w:bidi="fa-IR"/>
        </w:rPr>
        <w:t>القطع الطریقی، کسائر الأدلة الحاکمة علی الأدلة المحکومة، کحکومة قاعدة الحل و الطهارة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 لا یصح التعبیر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الظاهریة</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لما سیأتی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الحکومة واحدة، و إنما الاختلاف فی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قضیة النسبة بین دلیل حجیة الأمارات و الأصول المحرزة، تقدیم أدلتها علی الدلیل المشتمل علی القطع الطریقی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القطع المأخوذ طریقیا، و أما إذا کان صفتیا فلا یکفی هذا الوجه للتنزیل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کان المجعول فی باب الطرق و الأمارات و المرضی به فی إمضائها، جعل المؤدی منزلة الواقع فی الآثار، أو جعل المؤدی واقعا ثانویا، فالمعروف بینهم أن هذه المشکلة غیر قابلة للحل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تنزیل المؤدی منزلة الواقع، و جعل الواقع الثانوی عقیب التأدیة، لا ینافی أن یکون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تتمیم الکشف اصطلاحا، و إلغاء الاحتمال المخالف فی مقام الجعل و الظاهر، و الرضا بما علیه بناء العقلاء، و إمضاء عادتهم فی الطرق، و یکون فی صورة الخطأ تنزیل و جعل، و حیث إنه إذا قامت الأمارة لم تثبت صورة خطئها، فتکون ممضاة علی ما علیه الطبع العرفی، فتقوم کلها مقام القطع الطریقی، جزء کان، أو کلا، لو لا اختصاص الصورة</w:t>
      </w:r>
    </w:p>
    <w:p>
      <w:pPr>
        <w:pStyle w:val="BookText"/>
        <w:rPr/>
      </w:pPr>
      <w:r>
        <w:rPr>
          <w:rFonts w:ascii="IRNazanin" w:hAnsi="IRNazanin" w:eastAsia="IRNazanin"/>
          <w:color w:val="111111"/>
          <w:sz w:val="28"/>
          <w:sz w:val="28"/>
          <w:szCs w:val="28"/>
          <w:rtl w:val="true"/>
          <w:lang w:bidi="fa-IR"/>
        </w:rPr>
        <w:t xml:space="preserve">الثانیة بإشکال آخر، یأتی إن شاء اللَّه تعالی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الحجیة، و تنزیل المجعول منزلة القطع، اعتباران مختلفان، و لکن لا یلزم أن یکون الاعتبار الثانی، ملحوظا فی الدلیل الآخر المتکفل له بالاستقلال، بل یکفی أن یکون الاعتبار الثانی لازم الاعتبار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دل الدلیل علی نفوذ الأمارات العقلائیة عند الشرع، و علی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 کما فی الأمارات التعبدیة و الأصول المحرزة، أو إمضاء کسائر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إطلاق هذا الدلیل ترتیب جمیع الآثار، من غیر النّظر إلی کل أثر بالاستقلال، بل یکفی کون النّظر إلی کونها کالقطع فی الآثار، فإذا کان القطع له الکاشفیة و المنجزیة و الطریقیة، تقوم هذه الأمارات مقامه، و هکذا الأصول المشابهة لها فی الاعتبار، و إن لم تکن مثلها فی الواقع، و تکون مثلها فی الجملة،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القطع فی موضوع مأخوذا علی وجه الصفتیة، فهی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کونها محکومة بحکمها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کون الدلیل الواحد، متکفلا لتنزیلها منزلة القطع 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فی أن هذا الدلیل غیر موجود فی أدلة الأمارات، لأن دلیلها ینحصر فی إمضاء ما علیه العقلاء، و ارتضاء الشرع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فیما بینها ما یدل علی شی‌ء، فهو لا یدل علی أنها کالقطع، حتی یترتب علیها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فالمشکلة العامة المذکورة، مندفعة بما ذکرناه بما لا مزید علیه، فلا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الجهة و الجهات الآتیة بحمد اللَّه و له الشکر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امتناع تکفل الدلیل الواحد للحجیة</w:t>
      </w:r>
    </w:p>
    <w:p>
      <w:pPr>
        <w:pStyle w:val="BookText"/>
        <w:rPr/>
      </w:pPr>
      <w:r>
        <w:rPr>
          <w:rFonts w:ascii="IRNazanin" w:hAnsi="IRNazanin" w:eastAsia="IRNazanin"/>
          <w:color w:val="111111"/>
          <w:sz w:val="28"/>
          <w:sz w:val="28"/>
          <w:szCs w:val="28"/>
          <w:rtl w:val="true"/>
          <w:lang w:bidi="fa-IR"/>
        </w:rPr>
        <w:t>و التنزیل معا</w:t>
      </w:r>
      <w:r>
        <w:rPr>
          <w:rStyle w:val="FootnoteAnchor"/>
          <w:rtl w:val="true"/>
        </w:rPr>
        <w:footnoteReference w:id="275"/>
      </w:r>
      <w:r>
        <w:rPr>
          <w:rFonts w:ascii="IRNazanin" w:hAnsi="IRNazanin" w:eastAsia="IRNazanin"/>
          <w:color w:val="111111"/>
          <w:sz w:val="28"/>
          <w:sz w:val="28"/>
          <w:szCs w:val="28"/>
          <w:rtl w:val="true"/>
          <w:lang w:bidi="fa-IR"/>
        </w:rPr>
        <w:t>، منحلة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الخلط بین الجهة المبحوث عنها، و بین عدم وجود الدلیل الناهض علی تنزیل الأمارات منزلة القطع علی الإطلاق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قیام الأمارة حصول صفة 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صقع النّفس و أفق الذهن، کان لإطلاق ترتیب الآثار مجال، و أما فی الطرق النوعیة و الأمارات العقلائیة الخاصة، فلا یحصل منها صورة ذهنیة تکون صفة، حتی تقوم مقام القطع الصفتی، فلا یعقل ذلک من هذه الجهة، و هکذا فی الأصول المحرزة، و ما هو أمارة تعبدیة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إلا أن ما هو الموضوع فی الدلیل و المأخوذ فیه، 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القطع، لأن القطع لا یتعلق به الأمر و النهی، بل المأخوذ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إذا قطعت 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بوجوب القصر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معناه أن الخمر المقطوع بها و الخمر القائم علی خمریتها القطع، محرمة، و الصلاة القائم علی وجوبها القطع واجبة، فإنه عندئذ تقوم مقامه سائر الطرق و الأصول المحرزة، لأنه صفة لمن قام عنده، و لیس صفة لفاقد الأمارة و الحجة،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العویصة لا تنحل إنصافا بالبیان المزبور، فلو حصلت من قیام الأمارات صفة، فهو یکفی حسب تنزیل الأمارة منزلة القطع علی الإطلاق، و إلا فلو لم تحصل منها صفة نفسانیة، أو کان الظن الشخصی علی خلافها، فلا یعقل ترتیب الآثار بمجرد الإطلاق، لانتفاء موضوعه و هو وجود الصفة الناقصة، حتی یترتب علیه آثار وجود الصفة الکاملة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المشکلة لا تختص بصورة فقد الصفة، لأنه فی صورة</w:t>
      </w:r>
      <w:bookmarkStart w:id="223" w:name="pg13170_166281"/>
    </w:p>
    <w:p>
      <w:pPr>
        <w:pStyle w:val="BookText"/>
        <w:rPr/>
      </w:pPr>
      <w:bookmarkEnd w:id="223"/>
      <w:r>
        <w:rPr>
          <w:rFonts w:ascii="IRNazanin" w:hAnsi="IRNazanin" w:eastAsia="IRNazanin"/>
          <w:color w:val="111111"/>
          <w:sz w:val="28"/>
          <w:sz w:val="28"/>
          <w:szCs w:val="28"/>
          <w:rtl w:val="true"/>
          <w:lang w:bidi="fa-IR"/>
        </w:rPr>
        <w:t>حصول الصفة أیضا، لا یکفی الإطلاق المزبور، لأن حصول الصفة و عدمه، سیان فی جعل الأماریة و الکاشفیة، و حجیة الأمارات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ینبغی أن نذکر هذه العویصة فی الجهة المتصدیة لقیام الأمارات مقام القطع الصفتی </w:t>
      </w:r>
      <w:r>
        <w:rPr>
          <w:rStyle w:val="FootnoteAnchor"/>
          <w:rtl w:val="true"/>
        </w:rPr>
        <w:footnoteReference w:id="277"/>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Heading6"/>
        <w:numPr>
          <w:ilvl w:val="5"/>
          <w:numId w:val="1"/>
        </w:numPr>
        <w:rPr/>
      </w:pPr>
      <w:bookmarkStart w:id="224" w:name="__RefHeading___Toc624409_3244359995"/>
      <w:bookmarkStart w:id="225" w:name="_Toc84"/>
      <w:bookmarkEnd w:id="224"/>
      <w:r>
        <w:rPr>
          <w:rtl w:val="true"/>
        </w:rPr>
        <w:t>تذییل</w:t>
      </w:r>
      <w:bookmarkEnd w:id="225"/>
    </w:p>
    <w:p>
      <w:pPr>
        <w:pStyle w:val="BookText"/>
        <w:rPr/>
      </w:pPr>
      <w:r>
        <w:rPr>
          <w:rFonts w:ascii="IRNazanin" w:hAnsi="IRNazanin" w:eastAsia="IRNazanin"/>
          <w:color w:val="111111"/>
          <w:sz w:val="28"/>
          <w:sz w:val="28"/>
          <w:szCs w:val="28"/>
          <w:rtl w:val="true"/>
          <w:lang w:bidi="fa-IR"/>
        </w:rPr>
        <w:t xml:space="preserve">یمکن حل 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الدلیل الواحد إذا کان متکفلا لتنزیل الأمارات مقام القطع، فلازمه حجیتها، لما عرفت أنه مع عدم حجیتها، یستتبع المناقضة إذا کان مأخوذا قیدا للحکم، لا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المعلومة حرمتها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دلیل الأمارات العقلائیة نزلها منزلته، فیصیر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المعلومة بالعلم العادی النظامی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العلم العادی حجة فهو، و إلا فلا یعقل أن یصیر النهی و التحریم زاجرا علی الدوام، و لأجل الفرار من اللغویة، لا بد من استنباط اعتبار هذا العلم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أخذ فی الموضوع فإنه یلازم الحجیة، إلا أنه یمکن أن تکون الحجیة لازمه العادی، و یساعده الفهم العرفی، فیقصده المقنن، فیکون الدلیل الواحد بمدلوله المطابقی، متکفلا للتنزیل، و بمدلوله الالتزامی للحجیة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الحجیة علی التنزیل، لا یستدعی کونها بمدلول مطابقی، فإن الالتزامی و المطابقی إذا حصلا معا و لو فی زمان مقارن، یکفی لنیل المولی ما هو مرامه و مقصوده، فاغتنم</w:t>
      </w:r>
      <w:r>
        <w:rPr>
          <w:rFonts w:eastAsia="IRNazanin" w:cs="IRNazanin"/>
          <w:color w:val="111111"/>
          <w:sz w:val="28"/>
          <w:szCs w:val="28"/>
          <w:rtl w:val="true"/>
          <w:lang w:bidi="fa-IR"/>
        </w:rPr>
        <w:t>.</w:t>
      </w:r>
    </w:p>
    <w:p>
      <w:pPr>
        <w:pStyle w:val="Heading5"/>
        <w:numPr>
          <w:ilvl w:val="4"/>
          <w:numId w:val="1"/>
        </w:numPr>
        <w:rPr/>
      </w:pPr>
      <w:bookmarkStart w:id="226" w:name="__RefHeading___Toc624411_3244359995"/>
      <w:bookmarkStart w:id="227" w:name="_Toc85"/>
      <w:bookmarkEnd w:id="226"/>
      <w:r>
        <w:rPr>
          <w:rtl w:val="true"/>
        </w:rPr>
        <w:t>المقام الثانی</w:t>
      </w:r>
      <w:r>
        <w:rPr>
          <w:rtl w:val="true"/>
        </w:rPr>
        <w:t xml:space="preserve">: </w:t>
      </w:r>
      <w:r>
        <w:rPr>
          <w:rtl w:val="true"/>
        </w:rPr>
        <w:t>فی النّظر إلی أدلة حجیة الأمارات</w:t>
      </w:r>
      <w:bookmarkEnd w:id="227"/>
    </w:p>
    <w:p>
      <w:pPr>
        <w:pStyle w:val="Heading6"/>
        <w:numPr>
          <w:ilvl w:val="5"/>
          <w:numId w:val="1"/>
        </w:numPr>
        <w:rPr/>
      </w:pPr>
      <w:bookmarkStart w:id="228" w:name="__RefHeading___Toc624413_3244359995"/>
      <w:bookmarkStart w:id="229" w:name="_Toc86"/>
      <w:bookmarkEnd w:id="228"/>
      <w:r>
        <w:rPr>
          <w:rtl w:val="true"/>
        </w:rPr>
        <w:t>اشارة</w:t>
      </w:r>
      <w:bookmarkEnd w:id="22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إلا متکفلة لتنفیذ ما علیه العقلاء، و لیست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bookmarkStart w:id="230" w:name="pg13170_166282"/>
    </w:p>
    <w:p>
      <w:pPr>
        <w:pStyle w:val="BookText"/>
        <w:rPr/>
      </w:pPr>
      <w:bookmarkEnd w:id="230"/>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أصل الجعل، أو تتمیم الکشف، أو إلغاء احتمال الخلاف، أو جعل الوسطیة فی الإثبات، بل کل هذه الأمور اصطیادات لغویة، و عبارات خطابیة، تنبئ عن المعنی الواحد الّذی یحصل من سکوت الشرع، و عبوره علی ممر العرف و الأقوام، و سننهم و آدابهم، فما هو الحاصل من ذلک السکوت، هو الحاصل من تلک الأخبار المضبوطة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جمعها سیدنا الأستاذ الفقیه البروجردی قدس سره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تفصیله فی محله </w:t>
      </w:r>
      <w:r>
        <w:rPr>
          <w:rStyle w:val="FootnoteAnchor"/>
          <w:rtl w:val="true"/>
        </w:rPr>
        <w:footnoteReference w:id="279"/>
      </w:r>
      <w:r>
        <w:rPr>
          <w:rFonts w:ascii="IRNazanin" w:hAnsi="IRNazanin" w:eastAsia="IRNazanin"/>
          <w:color w:val="111111"/>
          <w:sz w:val="28"/>
          <w:sz w:val="28"/>
          <w:szCs w:val="28"/>
          <w:rtl w:val="true"/>
          <w:lang w:bidi="fa-IR"/>
        </w:rPr>
        <w:t>، و إجماله 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قیام الأمارات العقلائیة منزلة القطع الطریقی فی محط البحث، مما لا إشکال فیه ثبوتا، و لا إثباتا، فلو کان القطع جزء الموضوع علی الطریقیة، یکفی لنیابة الأمارات العرفیة نفس دلیل اعتبارها و إمضائها، و تکون مقدمة علیها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تسمیة هذه الحکومة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منها، لأن النّظر إلی إفادة أنها لیست دائمیة، لأنها فی مورد الشک، بخلاف الحکومة الواقعیة الأولیة، أو الحکومة الواقعیة الثانویة، فافهم و تأمل، و الأمر سهل</w:t>
      </w:r>
      <w:r>
        <w:rPr>
          <w:rFonts w:eastAsia="IRNazanin" w:cs="IRNazanin"/>
          <w:color w:val="111111"/>
          <w:sz w:val="28"/>
          <w:szCs w:val="28"/>
          <w:rtl w:val="true"/>
          <w:lang w:bidi="fa-IR"/>
        </w:rPr>
        <w:t>.</w:t>
      </w:r>
    </w:p>
    <w:p>
      <w:pPr>
        <w:pStyle w:val="Heading6"/>
        <w:numPr>
          <w:ilvl w:val="5"/>
          <w:numId w:val="1"/>
        </w:numPr>
        <w:rPr/>
      </w:pPr>
      <w:bookmarkStart w:id="231" w:name="__RefHeading___Toc624415_3244359995"/>
      <w:bookmarkStart w:id="232" w:name="_Toc87"/>
      <w:bookmarkEnd w:id="231"/>
      <w:r>
        <w:rPr>
          <w:rtl w:val="true"/>
        </w:rPr>
        <w:t>وهم و دفع</w:t>
      </w:r>
      <w:bookmarkEnd w:id="2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فیما مضی من أقسام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القطع کما یمکن أن یکون مأخوذا علی نحو الطریقیة المشترکة بینه و بین سائر الطرق، یمکن أن یکون مأخوذا موضوعا علی نحو الطریقیة الکاملة التامة المختصة به </w:t>
      </w:r>
      <w:r>
        <w:rPr>
          <w:rStyle w:val="FootnoteAnchor"/>
          <w:rtl w:val="true"/>
        </w:rPr>
        <w:footnoteReference w:id="280"/>
      </w:r>
      <w:r>
        <w:rPr>
          <w:rFonts w:ascii="IRNazanin" w:hAnsi="IRNazanin" w:eastAsia="IRNazanin"/>
          <w:color w:val="111111"/>
          <w:sz w:val="28"/>
          <w:sz w:val="28"/>
          <w:szCs w:val="28"/>
          <w:rtl w:val="true"/>
          <w:lang w:bidi="fa-IR"/>
        </w:rPr>
        <w:t>، و علی هذا لا یمکن أن تکفی نفس أدلة حجیتها و تتمیم کشفها لقیامها مقامه، بل لا بد إما من دلیل یدل</w:t>
      </w:r>
    </w:p>
    <w:p>
      <w:pPr>
        <w:pStyle w:val="BookText"/>
        <w:rPr/>
      </w:pPr>
      <w:r>
        <w:rPr>
          <w:rFonts w:ascii="IRNazanin" w:hAnsi="IRNazanin" w:eastAsia="IRNazanin"/>
          <w:color w:val="111111"/>
          <w:sz w:val="28"/>
          <w:sz w:val="28"/>
          <w:szCs w:val="28"/>
          <w:rtl w:val="true"/>
          <w:lang w:bidi="fa-IR"/>
        </w:rPr>
        <w:t>علی أنها مصداق العلم و القطع تعبدا و ادعاء، و تتمیم کشفها حکما بلحاظ هذا الأثر، و هذا مما لا سبیل إلیه فی أدلة حجیة الأمارات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اشتهر من هذه التعابیر حولها، و أن قضیة أدلتها أنها العلم، و تتمیم کشفها، و إلغاء احتمال الخلاف، و أمثال ذلک </w:t>
      </w:r>
      <w:r>
        <w:rPr>
          <w:rStyle w:val="FootnoteAnchor"/>
          <w:rtl w:val="true"/>
        </w:rPr>
        <w:footnoteReference w:id="281"/>
      </w:r>
      <w:r>
        <w:rPr>
          <w:rFonts w:ascii="IRNazanin" w:hAnsi="IRNazanin" w:eastAsia="IRNazanin"/>
          <w:color w:val="111111"/>
          <w:sz w:val="28"/>
          <w:sz w:val="28"/>
          <w:szCs w:val="28"/>
          <w:rtl w:val="true"/>
          <w:lang w:bidi="fa-IR"/>
        </w:rPr>
        <w:t>، کلها خطابه و ذوق شعری، لا واقعیة لها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تقوم قرینة علی أن القطع المأخوذ فی الدلیل، أخذ علی الطریقیة المشترکة، و لکنها أیضا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تصیر النتیجة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العقلیة فی قیامها مقام القطع الطریقی مندفعة، لکن الأمر فی مرحلة الإثبات مشکل، خلافا لظاهر الأکثر من الالتزام بذلک </w:t>
      </w:r>
      <w:r>
        <w:rPr>
          <w:rStyle w:val="FootnoteAnchor"/>
          <w:rtl w:val="true"/>
        </w:rPr>
        <w:footnoteReference w:id="282"/>
      </w:r>
      <w:r>
        <w:rPr>
          <w:rFonts w:ascii="IRNazanin" w:hAnsi="IRNazanin" w:eastAsia="IRNazanin"/>
          <w:color w:val="111111"/>
          <w:sz w:val="28"/>
          <w:sz w:val="28"/>
          <w:szCs w:val="28"/>
          <w:rtl w:val="true"/>
          <w:lang w:bidi="fa-IR"/>
        </w:rPr>
        <w:t xml:space="preserve">، تبعا للشیخ المفصل بین القطع الطریقی و الصفتی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یندفع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قضیة التتبع فی الآثار، و المراجعة إلی الأخبار، هو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المآثیر و الروایات، لیس ما هو مصطلح أهل المنطق الّذی لا یحتمل الخلاف،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یطلق علی الحجة، و علی العلوم العادیة و النظامیة، لقلة العلم الحقیقی الجازم فی متعارف المسائل و الموضوعات، فکما أن العلوم المأخوذة فیها علی الطریقیة المحضة محمولة علی الحجج العقلائیة و العقلیة، کذلک العلم و القطع الموضوعی محمول علی ذلک، فاحتمال کون النّظر فی أخذ القطع إلی الکاشفیة التامة، بعید جدا</w:t>
      </w:r>
      <w:r>
        <w:rPr>
          <w:rFonts w:eastAsia="IRNazanin" w:cs="IRNazanin"/>
          <w:color w:val="111111"/>
          <w:sz w:val="28"/>
          <w:szCs w:val="28"/>
          <w:rtl w:val="true"/>
          <w:lang w:bidi="fa-IR"/>
        </w:rPr>
        <w:t>.</w:t>
      </w:r>
      <w:bookmarkStart w:id="233" w:name="pg13170_166284"/>
    </w:p>
    <w:p>
      <w:pPr>
        <w:pStyle w:val="BookText"/>
        <w:rPr/>
      </w:pPr>
      <w:bookmarkEnd w:id="233"/>
      <w:r>
        <w:rPr>
          <w:rFonts w:ascii="IRNazanin" w:hAnsi="IRNazanin" w:eastAsia="IRNazanin"/>
          <w:color w:val="111111"/>
          <w:sz w:val="28"/>
          <w:sz w:val="28"/>
          <w:szCs w:val="28"/>
          <w:rtl w:val="true"/>
          <w:lang w:bidi="fa-IR"/>
        </w:rPr>
        <w:t xml:space="preserve">و علی هذا یبتنی قیام الأمارات مقام الیقین المعتبر فی الرکعات الأولی، أو الصلاة الثلاثیة و الثنائیة، فإنه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الأدلة</w:t>
      </w:r>
      <w:r>
        <w:rPr>
          <w:rStyle w:val="FootnoteAnchor"/>
          <w:rtl w:val="true"/>
        </w:rPr>
        <w:footnoteReference w:id="284"/>
      </w:r>
      <w:r>
        <w:rPr>
          <w:rFonts w:ascii="IRNazanin" w:hAnsi="IRNazanin" w:eastAsia="IRNazanin"/>
          <w:color w:val="111111"/>
          <w:sz w:val="28"/>
          <w:sz w:val="28"/>
          <w:szCs w:val="28"/>
          <w:rtl w:val="true"/>
          <w:lang w:bidi="fa-IR"/>
        </w:rPr>
        <w:t>ظاهرا فی الطریقیة، و حمله علی الصفتیة فی نهایة البعد، لاستبعاد العرف له إلا مع قیام القرینة، و لکن احتمال کونه مأخوذا علی الطریقیة الکاملة موجود، فإن ثبت الوجه الأخیر فالقیام مسلم و إلا فمجرد کونه طریقا لا یکفی لقیامها مقامه</w:t>
      </w:r>
      <w:r>
        <w:rPr>
          <w:rFonts w:eastAsia="IRNazanin" w:cs="IRNazanin"/>
          <w:color w:val="111111"/>
          <w:sz w:val="28"/>
          <w:szCs w:val="28"/>
          <w:rtl w:val="true"/>
          <w:lang w:bidi="fa-IR"/>
        </w:rPr>
        <w:t>.</w:t>
      </w:r>
    </w:p>
    <w:p>
      <w:pPr>
        <w:pStyle w:val="Heading6"/>
        <w:numPr>
          <w:ilvl w:val="5"/>
          <w:numId w:val="1"/>
        </w:numPr>
        <w:rPr/>
      </w:pPr>
      <w:bookmarkStart w:id="234" w:name="__RefHeading___Toc624417_3244359995"/>
      <w:bookmarkStart w:id="235" w:name="_Toc88"/>
      <w:bookmarkEnd w:id="234"/>
      <w:r>
        <w:rPr>
          <w:rtl w:val="true"/>
        </w:rPr>
        <w:t>وهم و دفع آخرین</w:t>
      </w:r>
      <w:bookmarkEnd w:id="235"/>
    </w:p>
    <w:p>
      <w:pPr>
        <w:pStyle w:val="BookText"/>
        <w:rPr/>
      </w:pPr>
      <w:r>
        <w:rPr>
          <w:rFonts w:ascii="IRNazanin" w:hAnsi="IRNazanin" w:eastAsia="IRNazanin"/>
          <w:color w:val="111111"/>
          <w:sz w:val="28"/>
          <w:sz w:val="28"/>
          <w:szCs w:val="28"/>
          <w:rtl w:val="true"/>
          <w:lang w:bidi="fa-IR"/>
        </w:rPr>
        <w:t>إذا کان الموضوع مرکبا من القطع و الواقع، و یکون مقیدا ذا جزءین، فإثبات أحد الجزءین بنیابة الأمارات مقام القطع، لا یکفی لإثبات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موضوع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المعلومة و المقطوع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فإقامة الأمارات مقام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لإحراز الجزء الآخر، و لا للمعنی الحرفی المتوسط، و هو التقید الموجود بینهما، فلا یکفی مجرد دلیل حجیتها لقیامها مقامه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مفروضیة کون القطع طریقا، و مأخوذا بما هو أمارة و کاشف مشترک، فدلیل إمضاء سائر الکواشف العقلائیة، یتصدی بنفسه لحصول الموضوع المقید، ضرورة أنه بمجرد قیام خبر الثقة علی خمریة المائع الموجود، یثبت الجزء الآخر و التقید قهرا، و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من حدیث الدور</w:t>
      </w:r>
      <w:r>
        <w:rPr>
          <w:rStyle w:val="FootnoteAnchor"/>
          <w:rtl w:val="true"/>
        </w:rPr>
        <w:footnoteReference w:id="286"/>
      </w:r>
      <w:r>
        <w:rPr>
          <w:rFonts w:ascii="IRNazanin" w:hAnsi="IRNazanin" w:eastAsia="IRNazanin"/>
          <w:color w:val="111111"/>
          <w:sz w:val="28"/>
          <w:sz w:val="28"/>
          <w:szCs w:val="28"/>
          <w:rtl w:val="true"/>
          <w:lang w:bidi="fa-IR"/>
        </w:rPr>
        <w:t>، فهو أقرب إلی الدور 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مبناه من أن الأمارات نزلت منزلة الواقع </w:t>
      </w:r>
      <w:r>
        <w:rPr>
          <w:rStyle w:val="FootnoteAnchor"/>
          <w:rtl w:val="true"/>
        </w:rPr>
        <w:footnoteReference w:id="287"/>
      </w:r>
      <w:r>
        <w:rPr>
          <w:rFonts w:ascii="IRNazanin" w:hAnsi="IRNazanin" w:eastAsia="IRNazanin"/>
          <w:color w:val="111111"/>
          <w:sz w:val="28"/>
          <w:sz w:val="28"/>
          <w:szCs w:val="28"/>
          <w:rtl w:val="true"/>
          <w:lang w:bidi="fa-IR"/>
        </w:rPr>
        <w:t>، یشکل تنزیل الأمارات منزلة القطع، إلا علی القول بالملازمة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المبنی باطل،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أدیا إلیک عنی فعنی یؤدیان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لیس ناظرا إلی ما أفاده، و تفصیله فی محله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تنزیل الأمارات منزلة الجزء، لا یتم به إحراز الجزء الآخر، إلا بدعوی أن ذلک هو مقتضی حجیة الأمارة، و إلا یلزم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اللغویة مما لا یجب الفرار منها، لعدم اختصاص أدلة حجیة الأمارات بصورة خاصة، و هی قیامها مقام العلم المأخوذ فی الدلیل، فقضیة الصناعة عدم کفایة نفس أدلتها للتنزیل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صحة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هو مقتضی الفهم العرفی، مثلا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فرضنا أن المقصود منه هو أن الخمر الّذی قامت علی خمریته الحجة حرام، 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إخبار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ذی الید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ینتقل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محرمیة الخمر القائم علی خمریتها خبر الثقة، من غیر أن یعتنی بالشبهة المعروفة</w:t>
      </w:r>
      <w:r>
        <w:rPr>
          <w:rStyle w:val="FootnoteAnchor"/>
          <w:rtl w:val="true"/>
        </w:rPr>
        <w:footnoteReference w:id="290"/>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فی موارد جعل الشرع الید أمارة علی الملکیة بعد سقوطها عند العقلاء للقرائن الخاصة، کما تحرر تفصیله فی محله، و هکذا فی موارد سائر الأمارات التی یمکن استفادة حجیتها بتأسیس الشرع، کما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حجیة الأخبار مع الوسائط الکثیرة، لیست عرفیة و عقلائیة، و لکنها حجة قطعا فی</w:t>
      </w:r>
      <w:bookmarkStart w:id="236" w:name="pg13170_166286"/>
    </w:p>
    <w:p>
      <w:pPr>
        <w:pStyle w:val="BookText"/>
        <w:rPr/>
      </w:pPr>
      <w:bookmarkEnd w:id="236"/>
      <w:r>
        <w:rPr>
          <w:rFonts w:ascii="IRNazanin" w:hAnsi="IRNazanin" w:eastAsia="IRNazanin"/>
          <w:color w:val="111111"/>
          <w:sz w:val="28"/>
          <w:sz w:val="28"/>
          <w:szCs w:val="28"/>
          <w:rtl w:val="true"/>
          <w:lang w:bidi="fa-IR"/>
        </w:rPr>
        <w:t>الشریعة، فإنها تکون أمارة، لا کالأمارات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أنها أمارة، فلترتب آثارها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أنها لیست کسائر الأمارات، فلأنها لیست عقلائیة کاشفة نوعا، فهی أیضا کسائر الأمارات فی الآثار،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سیمر علیک احتمال کون جمیع الأمارات العقلائیة بناءات عقلائیة، و مسألة الکشف و الأماریة عن الواقع مما لا أساس لها، لا شخصیا، و لا نوعیا، بل هذا الأمر من الغرائب الموجودة بین الناس، و تفصیله إن شاء اللَّه تعالی فی کتاب الظن </w:t>
      </w:r>
      <w:r>
        <w:rPr>
          <w:rStyle w:val="FootnoteAnchor"/>
          <w:rtl w:val="true"/>
        </w:rPr>
        <w:footnoteReference w:id="291"/>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624419_3244359995"/>
      <w:bookmarkStart w:id="238" w:name="_Toc89"/>
      <w:bookmarkEnd w:id="237"/>
      <w:r>
        <w:rPr>
          <w:rtl w:val="true"/>
        </w:rPr>
        <w:t>الجهة الثالثة</w:t>
      </w:r>
      <w:r>
        <w:rPr>
          <w:rtl w:val="true"/>
        </w:rPr>
        <w:t xml:space="preserve">: </w:t>
      </w:r>
      <w:r>
        <w:rPr>
          <w:rtl w:val="true"/>
        </w:rPr>
        <w:t>فی قیام الأمارات مقام القطع المأخوذ تمام الموضوع</w:t>
      </w:r>
      <w:bookmarkEnd w:id="238"/>
    </w:p>
    <w:p>
      <w:pPr>
        <w:pStyle w:val="BookText"/>
        <w:rPr/>
      </w:pPr>
      <w:r>
        <w:rPr>
          <w:rFonts w:ascii="IRNazanin" w:hAnsi="IRNazanin" w:eastAsia="IRNazanin"/>
          <w:color w:val="111111"/>
          <w:sz w:val="28"/>
          <w:sz w:val="28"/>
          <w:szCs w:val="28"/>
          <w:rtl w:val="true"/>
          <w:lang w:bidi="fa-IR"/>
        </w:rPr>
        <w:t>فربما یمتنع ذلک، لأجل أن العلم المزبور یرجع إلی الصفتیة، و یخرج عن الطریقیة، ضرورة أن کون العلم تمام الموضوع، یلازم أن یکون الواقع فی جنبه کالحجر فی جنب الإنسان، فلا یبقی علی الطریقیة، و علی هذا لا تقوم الأمارات مقامه بمجرد قیام الدلیل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القوم من قیامها مقامه إذا کان مأخوذا علی الطریقیة و لو کان تمام الموضوع </w:t>
      </w:r>
      <w:r>
        <w:rPr>
          <w:rStyle w:val="FootnoteAnchor"/>
          <w:rtl w:val="true"/>
        </w:rPr>
        <w:footnoteReference w:id="293"/>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المأخوذ فی الدلیل علی الطریقیة، إذا کان تمام الموضوع، یرجع إلی أن الواقع و إن لم یکن له المدخلیة فی الموضوع الشرعی، و لکنه مما لا بد منه، لما أنه بدون ذلک الموضوع لا یحصل العلم، و بدون الواقع</w:t>
      </w:r>
      <w:bookmarkStart w:id="239" w:name="pg13170_166287"/>
    </w:p>
    <w:p>
      <w:pPr>
        <w:pStyle w:val="BookText"/>
        <w:rPr/>
      </w:pPr>
      <w:bookmarkEnd w:id="239"/>
      <w:r>
        <w:rPr>
          <w:rFonts w:ascii="IRNazanin" w:hAnsi="IRNazanin" w:eastAsia="IRNazanin"/>
          <w:color w:val="111111"/>
          <w:sz w:val="28"/>
          <w:sz w:val="28"/>
          <w:szCs w:val="28"/>
          <w:rtl w:val="true"/>
          <w:lang w:bidi="fa-IR"/>
        </w:rPr>
        <w:t>لا یتحقق الموضوع الشرعی، کما مر فی مطاوی البحوث السابقة، فإذا کان الأمر کذلک، یکون العلم الموضوعی المأخوذ علی نحو الکشف و الطریق، باقیا علی حاله، و تقوم الأمارات مقامه قهرا، حسب أدلة حجیتها و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المأخوذ موضوعا لا یوجد تمام الموضوع </w:t>
      </w:r>
      <w:r>
        <w:rPr>
          <w:rStyle w:val="FootnoteAnchor"/>
          <w:rtl w:val="true"/>
        </w:rPr>
        <w:footnoteReference w:id="294"/>
      </w:r>
      <w:r>
        <w:rPr>
          <w:rFonts w:ascii="IRNazanin" w:hAnsi="IRNazanin" w:eastAsia="IRNazanin"/>
          <w:color w:val="111111"/>
          <w:sz w:val="28"/>
          <w:sz w:val="28"/>
          <w:szCs w:val="28"/>
          <w:rtl w:val="true"/>
          <w:lang w:bidi="fa-IR"/>
        </w:rPr>
        <w:t xml:space="preserve">، فهو غیر واضح، لما أشرنا فیما سلف إلی أن موضوع جواز الاقتداء یکون من هذا القبیل </w:t>
      </w:r>
      <w:r>
        <w:rPr>
          <w:rStyle w:val="FootnoteAnchor"/>
          <w:rtl w:val="true"/>
        </w:rPr>
        <w:footnoteReference w:id="295"/>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فأمثلة الشیخ الأعظم </w:t>
      </w:r>
      <w:r>
        <w:rPr>
          <w:rStyle w:val="FootnoteAnchor"/>
          <w:rtl w:val="true"/>
        </w:rPr>
        <w:footnoteReference w:id="296"/>
      </w:r>
      <w:r>
        <w:rPr>
          <w:rFonts w:ascii="IRNazanin" w:hAnsi="IRNazanin" w:eastAsia="IRNazanin"/>
          <w:color w:val="111111"/>
          <w:sz w:val="28"/>
          <w:sz w:val="28"/>
          <w:szCs w:val="28"/>
          <w:rtl w:val="true"/>
          <w:lang w:bidi="fa-IR"/>
        </w:rPr>
        <w:t xml:space="preserve">و إن کانت غیر واضحة، و لکن ما ذکره العلامة النائینی و العراقی رحمهما اللَّه </w:t>
      </w:r>
      <w:r>
        <w:rPr>
          <w:rStyle w:val="FootnoteAnchor"/>
          <w:rtl w:val="true"/>
        </w:rPr>
        <w:footnoteReference w:id="297"/>
      </w:r>
      <w:r>
        <w:rPr>
          <w:rFonts w:ascii="IRNazanin" w:hAnsi="IRNazanin" w:eastAsia="IRNazanin"/>
          <w:color w:val="111111"/>
          <w:sz w:val="28"/>
          <w:sz w:val="28"/>
          <w:szCs w:val="28"/>
          <w:rtl w:val="true"/>
          <w:lang w:bidi="fa-IR"/>
        </w:rPr>
        <w:t>أیضا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الأخیر لا یأتی فی هذه الصورة، لعدم لزوم إحراز الواقع، ضرورة أن العلم تمام الموضوع</w:t>
      </w:r>
      <w:r>
        <w:rPr>
          <w:rFonts w:eastAsia="IRNazanin" w:cs="IRNazanin"/>
          <w:color w:val="111111"/>
          <w:sz w:val="28"/>
          <w:szCs w:val="28"/>
          <w:rtl w:val="true"/>
          <w:lang w:bidi="fa-IR"/>
        </w:rPr>
        <w:t>.</w:t>
      </w:r>
    </w:p>
    <w:p>
      <w:pPr>
        <w:pStyle w:val="Heading4"/>
        <w:numPr>
          <w:ilvl w:val="3"/>
          <w:numId w:val="1"/>
        </w:numPr>
        <w:rPr/>
      </w:pPr>
      <w:bookmarkStart w:id="240" w:name="__RefHeading___Toc624421_3244359995"/>
      <w:bookmarkStart w:id="241" w:name="_Toc90"/>
      <w:bookmarkEnd w:id="240"/>
      <w:r>
        <w:rPr>
          <w:rtl w:val="true"/>
        </w:rPr>
        <w:t>الجهة الرابعة</w:t>
      </w:r>
      <w:r>
        <w:rPr>
          <w:rtl w:val="true"/>
        </w:rPr>
        <w:t xml:space="preserve">: </w:t>
      </w:r>
      <w:r>
        <w:rPr>
          <w:rtl w:val="true"/>
        </w:rPr>
        <w:t>فی قیام الأمارات مقام القطع المأخوذ صفة فی الدلیل</w:t>
      </w:r>
      <w:bookmarkEnd w:id="241"/>
    </w:p>
    <w:p>
      <w:pPr>
        <w:pStyle w:val="BookText"/>
        <w:rPr/>
      </w:pPr>
      <w:r>
        <w:rPr>
          <w:rFonts w:ascii="IRNazanin" w:hAnsi="IRNazanin" w:eastAsia="IRNazanin"/>
          <w:color w:val="111111"/>
          <w:sz w:val="28"/>
          <w:sz w:val="28"/>
          <w:szCs w:val="28"/>
          <w:rtl w:val="true"/>
          <w:lang w:bidi="fa-IR"/>
        </w:rPr>
        <w:t>قد اشتهر بین أبناء الفضل، جواز قیام الأمارات مقام العلم المأخوذ صفة فی الدلیل، بشرط کون الدلیل المتصدی لذلک غیر الدلیل الناهض علی حجیتها</w:t>
      </w:r>
      <w:r>
        <w:rPr>
          <w:rStyle w:val="FootnoteAnchor"/>
          <w:rtl w:val="true"/>
        </w:rPr>
        <w:footnoteReference w:id="298"/>
      </w:r>
      <w:r>
        <w:rPr>
          <w:rFonts w:ascii="IRNazanin" w:hAnsi="IRNazanin" w:eastAsia="IRNazanin"/>
          <w:color w:val="111111"/>
          <w:sz w:val="28"/>
          <w:sz w:val="28"/>
          <w:szCs w:val="28"/>
          <w:rtl w:val="true"/>
          <w:lang w:bidi="fa-IR"/>
        </w:rPr>
        <w:t>، فلا یکفی مجرد تلک الأدلة لذلک التنزیل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مما لا یمکن و لو بدلیل آخر، و ذلک لأن قضیة کون العلم مأخوذا صفة، هو أن المعتبر وجود هذا النعت النفسانیّ فی صقع النّفس، فإن کان فی موارد الأمارات صفة الظن، و تنزل هذا الظن منزلة العلم، فقیامه مقامه</w:t>
      </w:r>
      <w:bookmarkStart w:id="242" w:name="pg13170_166288"/>
    </w:p>
    <w:p>
      <w:pPr>
        <w:pStyle w:val="BookText"/>
        <w:rPr/>
      </w:pPr>
      <w:bookmarkEnd w:id="242"/>
      <w:r>
        <w:rPr>
          <w:rFonts w:ascii="IRNazanin" w:hAnsi="IRNazanin" w:eastAsia="IRNazanin"/>
          <w:color w:val="111111"/>
          <w:sz w:val="28"/>
          <w:sz w:val="28"/>
          <w:szCs w:val="28"/>
          <w:rtl w:val="true"/>
          <w:lang w:bidi="fa-IR"/>
        </w:rPr>
        <w:t>بالحکومة الواقعیة مما لا بأس به، و لکن الشأن أنه فی موارد حجیة الأمارات، لا یعتبر الظن النفسانیّ، فلا یوجد أحیانا صفة حتی تنزل منزلة العلم، و تقوم مقامه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النّظر إلی الظن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النّظر إلی الظن النوعیّ، فیکفی دلیل اعتبار الأمارة للتنزیل، ضرورة أن هذه الصفة أمر حاصل دائما، و هو لازم جعل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موضوع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المعلومة بالعلم الصفتی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دلیل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إخبار الثقة حجة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التفکیک بین طریقیة هذا العلم و صفتیته، لأن کل من قام عنده خبر الثقة علی خمریة شی‌ء، یکون متصفا بالعلم النوعیّ، و بهذه الصفة نوعا قهرا و طبعا، فیکون موضوع الدلیل الأول محرزا و حاصلا،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مدار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الدلیل الثانی غیر کاف أو یکون الدلیل الأول کافیا، فإنه إن حصل من الأمارات ظن نفسانی، و قام دلیل علی أنه علم فیکفی، و أما إذا لم یحصل ذلک الظن الشخصی، فلا یکفی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المزبور النوعیّ منه،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النوعیّ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لإفادة الحجیة، و یکون حاکما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الشهادة إلا مع العلم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فلا حاجة إلی الدلیل الثانی، و الأمر بعد ذلک کله سهل، لقلة نفعه</w:t>
      </w:r>
      <w:r>
        <w:rPr>
          <w:rFonts w:eastAsia="IRNazanin" w:cs="IRNazanin"/>
          <w:color w:val="111111"/>
          <w:sz w:val="28"/>
          <w:szCs w:val="28"/>
          <w:rtl w:val="true"/>
          <w:lang w:bidi="fa-IR"/>
        </w:rPr>
        <w:t>.</w:t>
      </w:r>
    </w:p>
    <w:p>
      <w:pPr>
        <w:pStyle w:val="Heading4"/>
        <w:numPr>
          <w:ilvl w:val="3"/>
          <w:numId w:val="1"/>
        </w:numPr>
        <w:rPr/>
      </w:pPr>
      <w:bookmarkStart w:id="243" w:name="__RefHeading___Toc624423_3244359995"/>
      <w:bookmarkStart w:id="244" w:name="_Toc91"/>
      <w:bookmarkEnd w:id="243"/>
      <w:r>
        <w:rPr>
          <w:rtl w:val="true"/>
        </w:rPr>
        <w:t>الجهة الخامسة</w:t>
      </w:r>
      <w:r>
        <w:rPr>
          <w:rtl w:val="true"/>
        </w:rPr>
        <w:t xml:space="preserve">: </w:t>
      </w:r>
      <w:r>
        <w:rPr>
          <w:rtl w:val="true"/>
        </w:rPr>
        <w:t>فی قیام الاستصحاب مقام القطع</w:t>
      </w:r>
      <w:bookmarkEnd w:id="24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القطع الطریقی المحض، فهو بما أنه منجز و معذر، و یکون من الحجج العقلائیة، یقوم مقامه الاستصحاب،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أمارة، أو أمارة، أو کالأمارة، أو أصل</w:t>
      </w:r>
    </w:p>
    <w:p>
      <w:pPr>
        <w:pStyle w:val="BookText"/>
        <w:rPr/>
      </w:pPr>
      <w:r>
        <w:rPr>
          <w:rFonts w:ascii="IRNazanin" w:hAnsi="IRNazanin" w:eastAsia="IRNazanin"/>
          <w:color w:val="111111"/>
          <w:sz w:val="28"/>
          <w:sz w:val="28"/>
          <w:szCs w:val="28"/>
          <w:rtl w:val="true"/>
          <w:lang w:bidi="fa-IR"/>
        </w:rPr>
        <w:t>محرز، أو غیر محرز، ضرورة أن الشرع یصح أن یأخذ العباد علی مقتضی الاستصحاب، و أن التکلیف یتنجز به سواء أجری فی نفسه، أو فی قیده و شرطه، فلو شک فی بقاء التکلیف الکذائی، و کان متیقنا، فلا بد من القیام بوظیفته، لأنه کما یتنجز بالعلم ذلک التکلیف، کذلک یتنجز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کانت حاله حال أصالتی الحل و الطهارة، حتی یکون المجعول أمرا آخر فی ظرف الشک، فلا یتنجز به ذلک التکلیف المعلوم سابقا، لأن المنظور فیه لیس إلا جعل تکلیف مماثل لما سبق، من غیر نظر إلیه رأسا، و سیظهر بعض الکلام حول أصالتی الحل و الطهارة إن شاء اللَّه تعالی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المناقشة فی قیام الأمارات و الأصول مقام القطع، من جهة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النیابة و القیام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الأمارة مثلا فرع القطع </w:t>
      </w:r>
      <w:r>
        <w:rPr>
          <w:rStyle w:val="FootnoteAnchor"/>
          <w:rtl w:val="true"/>
        </w:rPr>
        <w:footnoteReference w:id="301"/>
      </w:r>
      <w:r>
        <w:rPr>
          <w:rFonts w:ascii="IRNazanin" w:hAnsi="IRNazanin" w:eastAsia="IRNazanin"/>
          <w:color w:val="111111"/>
          <w:sz w:val="28"/>
          <w:sz w:val="28"/>
          <w:szCs w:val="28"/>
          <w:rtl w:val="true"/>
          <w:lang w:bidi="fa-IR"/>
        </w:rPr>
        <w:t>، فی غیر محله، لأن المقصود من هذه التعابیر، بیان أن مقتضی أدلة الأمارات و الأصول، عدم اختصاص الحکم المأخوذ فی موضوعه القطع بالقطع الوجدانی، بل هو أعم منه و من الظنون الخاصة و لو کانت الظنون الخاصة و القطع فی هذه المرحلة عرضیا، و بحسب التکوین و اللب طولیا، فلا تخلط</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القطع المأخوذ فی الدلیل موضوعا،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الاستصحاب أمارة إمضائیة، أو أمارة تأسیسیة کما هو الأظهر، و أن الأخبار ناطقة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فیکون فی أفق الادعاء و الاعتبار الیقین السابق موجودا، کما تکون حیاة زید باقیة فی ترتیب</w:t>
      </w:r>
    </w:p>
    <w:p>
      <w:pPr>
        <w:pStyle w:val="BookText"/>
        <w:rPr/>
      </w:pPr>
      <w:r>
        <w:rPr>
          <w:rFonts w:ascii="IRNazanin" w:hAnsi="IRNazanin" w:eastAsia="IRNazanin"/>
          <w:color w:val="111111"/>
          <w:sz w:val="28"/>
          <w:sz w:val="28"/>
          <w:szCs w:val="28"/>
          <w:rtl w:val="true"/>
          <w:lang w:bidi="fa-IR"/>
        </w:rPr>
        <w:t>جمیع آثار الحیاة، فقیامه مقام القطع الطریقی المأخوذ موضوعا، مما لا بأس به، و الإشکالات المتوجهة إلی قیام الأمارات تأتی هنا مع أجوبتها، فلا فرق حینئذ بین کونه جزء الموضوع أو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قیامه مقام القطع الصفتی، فعلی ما قویناه فی محله </w:t>
      </w:r>
      <w:r>
        <w:rPr>
          <w:rStyle w:val="FootnoteAnchor"/>
          <w:rtl w:val="true"/>
        </w:rPr>
        <w:footnoteReference w:id="304"/>
      </w:r>
      <w:r>
        <w:rPr>
          <w:rFonts w:ascii="IRNazanin" w:hAnsi="IRNazanin" w:eastAsia="IRNazanin"/>
          <w:color w:val="111111"/>
          <w:sz w:val="28"/>
          <w:sz w:val="28"/>
          <w:szCs w:val="28"/>
          <w:rtl w:val="true"/>
          <w:lang w:bidi="fa-IR"/>
        </w:rPr>
        <w:t>، یمکن دعوی کفایة أدلة حجیته لقیامه مقامه أیضا، نظرا إلی أن مفاد أدلة الاستصحاب، إذا کان هو التعبد بمصداق الیقین فی ظرف الشک، فإذا قیس دلیله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الاقتداء إلا بمعلوم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حاکما علیه، لأجل أن العلم طریق منجز، و الاستصحاب أیضا اعتبر طریقا منجزا، و إذا قیس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الشهادة إلا مع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حاکما علیه، لأنه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لزوم الجمع بین اللحاظین الآلی و الاستقلالی </w:t>
      </w:r>
      <w:r>
        <w:rPr>
          <w:rStyle w:val="FootnoteAnchor"/>
          <w:rtl w:val="true"/>
        </w:rPr>
        <w:footnoteReference w:id="305"/>
      </w:r>
      <w:r>
        <w:rPr>
          <w:rFonts w:ascii="IRNazanin" w:hAnsi="IRNazanin" w:eastAsia="IRNazanin"/>
          <w:color w:val="111111"/>
          <w:sz w:val="28"/>
          <w:sz w:val="28"/>
          <w:szCs w:val="28"/>
          <w:rtl w:val="true"/>
          <w:lang w:bidi="fa-IR"/>
        </w:rPr>
        <w:t xml:space="preserve">، مندفع بما تحرر فی محله </w:t>
      </w:r>
      <w:r>
        <w:rPr>
          <w:rStyle w:val="FootnoteAnchor"/>
          <w:rtl w:val="true"/>
        </w:rPr>
        <w:footnoteReference w:id="306"/>
      </w:r>
      <w:r>
        <w:rPr>
          <w:rFonts w:ascii="IRNazanin" w:hAnsi="IRNazanin" w:eastAsia="IRNazanin"/>
          <w:color w:val="111111"/>
          <w:sz w:val="28"/>
          <w:sz w:val="28"/>
          <w:szCs w:val="28"/>
          <w:rtl w:val="true"/>
          <w:lang w:bidi="fa-IR"/>
        </w:rPr>
        <w:t xml:space="preserve">، فإن ما هو المأخوذ فی دلیل الاستصحاب لیس إلا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المأخوذ فی دلیل الاقتداء هو الطریقی، و فی دلیل الشهادة هو الصفتی، و المفهوم صادق علیهما، و جامع بینهما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ذکرناه الوجدان، فإن العرف إذا لاحظ الأدلة، لا یجد مناقضة فی البین، و یجمع بین الکل بلا انتظار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هو المعروف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مفاد أدلة الاستصحاب هو التعبد ببقاء المتیقن </w:t>
      </w:r>
      <w:r>
        <w:rPr>
          <w:rStyle w:val="FootnoteAnchor"/>
          <w:rtl w:val="true"/>
        </w:rPr>
        <w:footnoteReference w:id="307"/>
      </w:r>
      <w:r>
        <w:rPr>
          <w:rFonts w:ascii="IRNazanin" w:hAnsi="IRNazanin" w:eastAsia="IRNazanin"/>
          <w:color w:val="111111"/>
          <w:sz w:val="28"/>
          <w:sz w:val="28"/>
          <w:szCs w:val="28"/>
          <w:rtl w:val="true"/>
          <w:lang w:bidi="fa-IR"/>
        </w:rPr>
        <w:t xml:space="preserve">، أو التعبد بالحکم المماثل </w:t>
      </w:r>
      <w:r>
        <w:rPr>
          <w:rStyle w:val="FootnoteAnchor"/>
          <w:rtl w:val="true"/>
        </w:rPr>
        <w:footnoteReference w:id="308"/>
      </w:r>
      <w:r>
        <w:rPr>
          <w:rFonts w:ascii="IRNazanin" w:hAnsi="IRNazanin" w:eastAsia="IRNazanin"/>
          <w:color w:val="111111"/>
          <w:sz w:val="28"/>
          <w:sz w:val="28"/>
          <w:szCs w:val="28"/>
          <w:rtl w:val="true"/>
          <w:lang w:bidi="fa-IR"/>
        </w:rPr>
        <w:t>، فقیامه مقام الصفتی مشکل، بل و یشکل أن یقوم مقام الطریقی أیضا، و ذلک لما قالوا فی باب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p>
    <w:p>
      <w:pPr>
        <w:pStyle w:val="BookText"/>
        <w:rPr/>
      </w:pPr>
      <w:r>
        <w:rPr>
          <w:rFonts w:ascii="IRNazanin" w:hAnsi="IRNazanin" w:eastAsia="IRNazanin"/>
          <w:color w:val="111111"/>
          <w:sz w:val="28"/>
          <w:sz w:val="28"/>
          <w:szCs w:val="28"/>
          <w:rtl w:val="true"/>
          <w:lang w:bidi="fa-IR"/>
        </w:rPr>
        <w:t xml:space="preserve">المجعول فیها إن کان التسویة بین المؤدی و الواقع، فلا تقوم مقام القطع، و إن کان الوسطیة فی الإثبات و الحجیة تقوم </w:t>
      </w:r>
      <w:r>
        <w:rPr>
          <w:rStyle w:val="FootnoteAnchor"/>
          <w:rtl w:val="true"/>
        </w:rPr>
        <w:footnoteReference w:id="309"/>
      </w:r>
      <w:r>
        <w:rPr>
          <w:rFonts w:ascii="IRNazanin" w:hAnsi="IRNazanin" w:eastAsia="IRNazanin"/>
          <w:color w:val="111111"/>
          <w:sz w:val="28"/>
          <w:sz w:val="28"/>
          <w:szCs w:val="28"/>
          <w:rtl w:val="true"/>
          <w:lang w:bidi="fa-IR"/>
        </w:rPr>
        <w:t>، و هذا بعینه یجری فی المقام، فإنه إن کان النّظر إلی مؤدی الاستصحاب و متعلق الیقین و الشک، فلا وجه لقیامه مقام القطع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دعوی الملازمة العرفیة بین التنزیلین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إبقاء المتیقن ملازم فی نظر العرف لإبقاء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منه قیامه مقام الصفتی أیضا، لأن التعبد ببقاء الیقین، یستلزم التوسعة فی الدلیل الثانی فی المثال السابق، فیکون حاکما علیه حسب إطلاق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الشأن أن الملازمة المزبورة غیر معلومة جدا، و دعواها مجرد کلام بلا بینة، و لا برهان، کما لا یخفی، فما فی کلام بعضهم فی غیر المقام من التلازم، غیر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مفاد أدلة الاستصحاب إطالة عمر الیقین، و التعبد بصدق الیقین فی ظرف الشک </w:t>
      </w:r>
      <w:r>
        <w:rPr>
          <w:rStyle w:val="FootnoteAnchor"/>
          <w:rtl w:val="true"/>
        </w:rPr>
        <w:footnoteReference w:id="310"/>
      </w:r>
      <w:r>
        <w:rPr>
          <w:rFonts w:ascii="IRNazanin" w:hAnsi="IRNazanin" w:eastAsia="IRNazanin"/>
          <w:color w:val="111111"/>
          <w:sz w:val="28"/>
          <w:sz w:val="28"/>
          <w:szCs w:val="28"/>
          <w:rtl w:val="true"/>
          <w:lang w:bidi="fa-IR"/>
        </w:rPr>
        <w:t>، من غیر النّظر إلی أمر آخر، فیترتب علیه جمیع آثار الیقین، سواء کان مأخوذا علی الطریقیة، أو الصفتیة، جزء، أو کلا، و سواء أخذ علی المنجزیة و المعذریة،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مفاد أدلته التعبد ببقاء المتیقن، علی أن یکون الیقین السابق منجزا له و معذرا، فلا بد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الأدلة موضوعا، علی المنجزیة و المعذریة، ضرورة أن صفة التنجیز و التعذیر، من الأوصاف المشترکة بین الیقین، و بین کل شی‌ء اعتبره الشرع حجة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یشکل قیام الاستصحاب أیضا مقام القطع الطریقی، لعدم إمکان</w:t>
      </w:r>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الدلیل علی هذه الصفة، فإن وصف القطع الواضح، هو کونه طریقا و أمارة و کاشفا، و التنجیز و التعذیر من الاعتبارات العقلائیة المترتبة علی هذه الکاشفیة، فما دام لم تقم قرینة علی ذلک، یتعین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موضوعا علی الطریقیة بالضرورة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 بین المتأخرین، من قیامه مقام القطع الطریقی إذا کان أصلا منجزا</w:t>
      </w:r>
      <w:r>
        <w:rPr>
          <w:rStyle w:val="FootnoteAnchor"/>
          <w:rtl w:val="true"/>
        </w:rPr>
        <w:footnoteReference w:id="3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نهایة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غیر صحیح، و مجرد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الأصول المحرزة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یتم إلا برجوعه إلی أن الشرع اعتبر بقاء الیقین فی ظرف الشک، أو اعتبر التعبد بالیقین المماثل للیقین الأول فی الآثار، لأن صفة الإحراز من تبعات الیقین، لا المتیقن، فالقول بأن الاستصحاب من الأصول المحرزة، معناه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أمارة تأسیسیة شرعیة، باعتبار التعبد الّذی أمره بید الشرع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القطع مأخوذا فی الموضوع علی وجه یکون قیدا و جزء، مثلا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المتیقنة خمریتها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ففیما یقوم الدلیل علی نفوذ الأمارات العقلائیة، یمکن أن یحکم بحرمة الخمر القائمة علی خمریتها إحدی الأمارات الممضاة، لأنه بعد قیامها علیها ینتزع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الخمر متیقنة الخمریة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کفایة الاستصحاب عن ذلک </w:t>
      </w:r>
      <w:r>
        <w:rPr>
          <w:rStyle w:val="FootnoteAnchor"/>
          <w:rtl w:val="true"/>
        </w:rPr>
        <w:footnoteReference w:id="312"/>
      </w:r>
      <w:r>
        <w:rPr>
          <w:rFonts w:ascii="IRNazanin" w:hAnsi="IRNazanin" w:eastAsia="IRNazanin"/>
          <w:color w:val="111111"/>
          <w:sz w:val="28"/>
          <w:sz w:val="28"/>
          <w:szCs w:val="28"/>
          <w:rtl w:val="true"/>
          <w:lang w:bidi="fa-IR"/>
        </w:rPr>
        <w:t>فتمنع، لأن الأصل لا یفی إلا بإثبات أن ما فی الخارج هو الخمر، و أما انتزاع الصفة المزبورة بعد قیام الأصل، فیکون من لوازم الأصل بعد جریانه و نفوذه، و إثبات هذه اللوازم به ممنوع، ضرورة أن التعبد</w:t>
      </w:r>
      <w:bookmarkStart w:id="245" w:name="pg13170_166293"/>
    </w:p>
    <w:p>
      <w:pPr>
        <w:pStyle w:val="BookText"/>
        <w:rPr/>
      </w:pPr>
      <w:bookmarkEnd w:id="245"/>
      <w:r>
        <w:rPr>
          <w:rFonts w:ascii="IRNazanin" w:hAnsi="IRNazanin" w:eastAsia="IRNazanin"/>
          <w:color w:val="111111"/>
          <w:sz w:val="28"/>
          <w:sz w:val="28"/>
          <w:szCs w:val="28"/>
          <w:rtl w:val="true"/>
          <w:lang w:bidi="fa-IR"/>
        </w:rPr>
        <w:t>ببقاء الیقین، یلازم کون الخمر متیقنة الخمریة، فإن کان الاستصحاب أمارة فهو، و إلا فلا یمکن ترتیب الآثار بعد التعبد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الالتزام ببقاء ما فی الإناء خمرا، فإنه یلازم کون ما فی الإناء خمرا منجزة خمریته، و هذا لا یثبت باستصحاب الخمریة إلا علی الأصل المثبت، فتدبر</w:t>
      </w:r>
      <w:r>
        <w:rPr>
          <w:rFonts w:eastAsia="IRNazanin" w:cs="IRNazanin"/>
          <w:color w:val="111111"/>
          <w:sz w:val="28"/>
          <w:szCs w:val="28"/>
          <w:rtl w:val="true"/>
          <w:lang w:bidi="fa-IR"/>
        </w:rPr>
        <w:t>.</w:t>
      </w:r>
    </w:p>
    <w:p>
      <w:pPr>
        <w:pStyle w:val="Heading4"/>
        <w:numPr>
          <w:ilvl w:val="3"/>
          <w:numId w:val="1"/>
        </w:numPr>
        <w:rPr/>
      </w:pPr>
      <w:bookmarkStart w:id="246" w:name="__RefHeading___Toc624425_3244359995"/>
      <w:bookmarkStart w:id="247" w:name="_Toc92"/>
      <w:bookmarkEnd w:id="246"/>
      <w:r>
        <w:rPr>
          <w:rtl w:val="true"/>
        </w:rPr>
        <w:t>الجهة السادسة</w:t>
      </w:r>
      <w:r>
        <w:rPr>
          <w:rtl w:val="true"/>
        </w:rPr>
        <w:t xml:space="preserve">: </w:t>
      </w:r>
      <w:r>
        <w:rPr>
          <w:rtl w:val="true"/>
        </w:rPr>
        <w:t>فی قیام قاعدة التجاوز و الفراغ مقامه</w:t>
      </w:r>
      <w:bookmarkEnd w:id="247"/>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ورد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الأولیین أعاد حتی یحفظ، و یکون علی یقین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فرضنا أن أجزاء الرکعة بحکمها فی لزوم کونها علی یقین، فهل تکفی أدلة القاعدتین لإحراز الیقین المزبور اللازم فی الرکعتین،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لا تخلو من کونها عقلائیة</w:t>
      </w:r>
      <w:r>
        <w:rPr>
          <w:rStyle w:val="FootnoteAnchor"/>
          <w:rtl w:val="true"/>
        </w:rPr>
        <w:footnoteReference w:id="314"/>
      </w:r>
      <w:r>
        <w:rPr>
          <w:rFonts w:ascii="IRNazanin" w:hAnsi="IRNazanin" w:eastAsia="IRNazanin"/>
          <w:color w:val="111111"/>
          <w:sz w:val="28"/>
          <w:sz w:val="28"/>
          <w:szCs w:val="28"/>
          <w:rtl w:val="true"/>
          <w:lang w:bidi="fa-IR"/>
        </w:rPr>
        <w:t>، و تصرف الشرع برفض هذه الجنبة و تأسیس الأصل العملی، خلاف المتعارف، و هذا فی حکم القرینة المتصلة لظهور أخبارهما فی کونهما أمارتین علی الإتیان و الصحة، فیحرز بهما الرکعة بخصوصیاتها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حیث رأی أن المشغول بالصلاة بعد التجاوز، قد أتی بها مفروغا منها، و لازمه الأمر بالتعبد بأنه علی إحراز الرکوع، کما مر فیما سلف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یشعر بأن الشک منتف وجوده، فلا بد من اعتبار ضده مقامه، و هو الیقین</w:t>
      </w:r>
      <w:r>
        <w:rPr>
          <w:rFonts w:eastAsia="IRNazanin" w:cs="IRNazanin"/>
          <w:color w:val="111111"/>
          <w:sz w:val="28"/>
          <w:szCs w:val="28"/>
          <w:rtl w:val="true"/>
          <w:lang w:bidi="fa-IR"/>
        </w:rPr>
        <w:t>.</w:t>
      </w:r>
      <w:bookmarkStart w:id="248" w:name="pg13170_166294"/>
    </w:p>
    <w:p>
      <w:pPr>
        <w:pStyle w:val="BookText"/>
        <w:rPr/>
      </w:pPr>
      <w:bookmarkEnd w:id="248"/>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الإنصاف قصور هذه الوجوه عن إفادة المقصود، و هو کون أدلة القاعدتین دالة علی التعبد المزبور، فإن المنساق من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مساعدة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الإمضاء بعد التجاوز و الفراغ، فیکون ناظرا إلی المشکوک فیه بطرح الشک بعد التجاوز، و عدم الاعتداد به، من غیر کونه بصدد إحداث الیقین التعبدی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یوجد فی موارد القاعدتین مورد ینفع قیامهما مقام القطع الطریقی الموضوعی، أو الصفتی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قیامهما مقام القطع الطریقی المحض، فهو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إذا کان قاطعا بإتیان الجزء بعد التجاوز لا یکون علیه شی‌ء، کذلک الأمر إذا شک بعد التجاوز، فیترتب علیه آثار القطع بعدم الإعادة لزوما، أو جوازا</w:t>
      </w:r>
      <w:r>
        <w:rPr>
          <w:rFonts w:eastAsia="IRNazanin" w:cs="IRNazanin"/>
          <w:color w:val="111111"/>
          <w:sz w:val="28"/>
          <w:szCs w:val="28"/>
          <w:rtl w:val="true"/>
          <w:lang w:bidi="fa-IR"/>
        </w:rPr>
        <w:t>.</w:t>
      </w:r>
    </w:p>
    <w:p>
      <w:pPr>
        <w:pStyle w:val="Heading4"/>
        <w:numPr>
          <w:ilvl w:val="3"/>
          <w:numId w:val="1"/>
        </w:numPr>
        <w:rPr/>
      </w:pPr>
      <w:bookmarkStart w:id="249" w:name="__RefHeading___Toc624427_3244359995"/>
      <w:bookmarkStart w:id="250" w:name="_Toc93"/>
      <w:bookmarkEnd w:id="249"/>
      <w:r>
        <w:rPr>
          <w:rtl w:val="true"/>
        </w:rPr>
        <w:t>الجهة السابعة</w:t>
      </w:r>
      <w:r>
        <w:rPr>
          <w:rtl w:val="true"/>
        </w:rPr>
        <w:t xml:space="preserve">: </w:t>
      </w:r>
      <w:r>
        <w:rPr>
          <w:rtl w:val="true"/>
        </w:rPr>
        <w:t>قیام أصل الحل و الطهارة أو الاستصحاب مقامه</w:t>
      </w:r>
      <w:bookmarkEnd w:id="250"/>
    </w:p>
    <w:p>
      <w:pPr>
        <w:pStyle w:val="BookText"/>
        <w:rPr/>
      </w:pPr>
      <w:r>
        <w:rPr>
          <w:rFonts w:ascii="IRNazanin" w:hAnsi="IRNazanin" w:eastAsia="IRNazanin"/>
          <w:color w:val="111111"/>
          <w:sz w:val="28"/>
          <w:sz w:val="28"/>
          <w:szCs w:val="28"/>
          <w:rtl w:val="true"/>
          <w:lang w:bidi="fa-IR"/>
        </w:rPr>
        <w:t>بناء علی کونه للتعبد بالحکم المماثل فی ظرف الشک، فالذی لا ریب فیه، أنه لا معنی لقیامه مقامه بما أنه طریق أو صفة، ضرورة أن الأصول العملیة لیست ذات کشف تکوینی، و لا تعبدی، و لیست أدلتها متعرضة لإفادة العلم و الیقین،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صفات القطع و اعتباراته العقلائیة، التنجیز و التعذیر، و هذه الأصول یمکن أن تقوم مقامه من هذه الجهة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القطع بطهارة الحیوان الکذائی یصح بیعه، و لو کان مکلفا بالبیع لأجل الإنفاق مثلا، یکون التکلیف المزبور منجزا، و هذا القطع أیضا معذر إذا کان بحسب الواقع ذلک الحیوان نجسا، فعلیه إذا شک فی نجاسة الحیوان المتولد من الحیوانین، فیبنی علی طهارته و علی حلیته، حسب القاعدتین، و یترتب علیه آثار</w:t>
      </w:r>
      <w:bookmarkStart w:id="251" w:name="pg13170_166295"/>
    </w:p>
    <w:p>
      <w:pPr>
        <w:pStyle w:val="BookText"/>
        <w:rPr/>
      </w:pPr>
      <w:bookmarkEnd w:id="251"/>
      <w:r>
        <w:rPr>
          <w:rFonts w:ascii="IRNazanin" w:hAnsi="IRNazanin" w:eastAsia="IRNazanin"/>
          <w:color w:val="111111"/>
          <w:sz w:val="28"/>
          <w:sz w:val="28"/>
          <w:szCs w:val="28"/>
          <w:rtl w:val="true"/>
          <w:lang w:bidi="fa-IR"/>
        </w:rPr>
        <w:t>القطع من التنجیز و 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فقیام هذه الأصول مقام القطع الطریقی المحض أو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علی صفة الطریقیة، أو الصفتیة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و لکن قیامها مقامه لأجل الاعتبار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نعت التنجیز و 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کما مر فی أوائل البحوث </w:t>
      </w:r>
      <w:r>
        <w:rPr>
          <w:rStyle w:val="FootnoteAnchor"/>
          <w:rtl w:val="true"/>
        </w:rPr>
        <w:footnoteReference w:id="317"/>
      </w:r>
      <w:r>
        <w:rPr>
          <w:rFonts w:ascii="IRNazanin" w:hAnsi="IRNazanin" w:eastAsia="IRNazanin"/>
          <w:color w:val="111111"/>
          <w:sz w:val="28"/>
          <w:sz w:val="28"/>
          <w:szCs w:val="28"/>
          <w:rtl w:val="true"/>
          <w:lang w:bidi="fa-IR"/>
        </w:rPr>
        <w:t>، و أشرنا إلیه أخیرا</w:t>
      </w:r>
      <w:r>
        <w:rPr>
          <w:rStyle w:val="FootnoteAnchor"/>
          <w:rtl w:val="true"/>
        </w:rPr>
        <w:footnoteReference w:id="318"/>
      </w:r>
      <w:r>
        <w:rPr>
          <w:rFonts w:ascii="IRNazanin" w:hAnsi="IRNazanin" w:eastAsia="IRNazanin"/>
          <w:color w:val="111111"/>
          <w:sz w:val="28"/>
          <w:sz w:val="28"/>
          <w:szCs w:val="28"/>
          <w:rtl w:val="true"/>
          <w:lang w:bidi="fa-IR"/>
        </w:rPr>
        <w:t xml:space="preserve">، و یأتی من ذی قبل إن شاء اللَّه تعالی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یترتب علی مجری القاعدتین، ما یترتب علی القطع و لو بالواسطة أو الوسائط، فتدبر جیدا</w:t>
      </w:r>
      <w:r>
        <w:rPr>
          <w:rFonts w:eastAsia="IRNazanin" w:cs="IRNazanin"/>
          <w:color w:val="111111"/>
          <w:sz w:val="28"/>
          <w:szCs w:val="28"/>
          <w:rtl w:val="true"/>
          <w:lang w:bidi="fa-IR"/>
        </w:rPr>
        <w:t>.</w:t>
      </w:r>
    </w:p>
    <w:p>
      <w:pPr>
        <w:pStyle w:val="Heading4"/>
        <w:numPr>
          <w:ilvl w:val="3"/>
          <w:numId w:val="1"/>
        </w:numPr>
        <w:rPr/>
      </w:pPr>
      <w:bookmarkStart w:id="252" w:name="__RefHeading___Toc624429_3244359995"/>
      <w:bookmarkStart w:id="253" w:name="_Toc94"/>
      <w:bookmarkEnd w:id="252"/>
      <w:r>
        <w:rPr>
          <w:rtl w:val="true"/>
        </w:rPr>
        <w:t>الجهة الثامنة</w:t>
      </w:r>
      <w:r>
        <w:rPr>
          <w:rtl w:val="true"/>
        </w:rPr>
        <w:t xml:space="preserve">: </w:t>
      </w:r>
      <w:r>
        <w:rPr>
          <w:rtl w:val="true"/>
        </w:rPr>
        <w:t>تقریب قیام الأصول العملیة مقام القطع</w:t>
      </w:r>
      <w:bookmarkEnd w:id="253"/>
    </w:p>
    <w:p>
      <w:pPr>
        <w:pStyle w:val="Heading5"/>
        <w:numPr>
          <w:ilvl w:val="4"/>
          <w:numId w:val="1"/>
        </w:numPr>
        <w:rPr/>
      </w:pPr>
      <w:bookmarkStart w:id="254" w:name="__RefHeading___Toc624431_3244359995"/>
      <w:bookmarkStart w:id="255" w:name="_Toc95"/>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قضیة ما سلف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القطع إما یکون طریقا، أو موضوعا،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موضوعا علی الطریقیة، أو الصفتیة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غیر تام، لأن من اعتبارات القطع المنجزیة و المعذریة، التی تکون من تبعات الکاشفیة و الطریقیة، و لیست هی عینها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إذا کان القطع مأخوذا فی الدلیل بوصف منجزیته، یقوم مقامه الاحتمال الّذی هو منجز فی موارد مختلفة، إما عقلا، أو عرفا و شرعا، و لا یعقل قیام الاحتمال مقام القطع مع انحفاظ أنه احتمال، إلا فیما إذا کان القطع مأخوذا علی هذه الجنبة و الصفة، فلو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الخمر المعلومة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مقامه احتمال الخمریة، بناء علی کونه من الشبهات المهتم بها، 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تنجیزه</w:t>
      </w:r>
      <w:r>
        <w:rPr>
          <w:rFonts w:eastAsia="IRNazanin" w:cs="IRNazanin"/>
          <w:color w:val="111111"/>
          <w:sz w:val="28"/>
          <w:szCs w:val="28"/>
          <w:rtl w:val="true"/>
          <w:lang w:bidi="fa-IR"/>
        </w:rPr>
        <w:t>.</w:t>
      </w:r>
      <w:bookmarkStart w:id="256" w:name="pg13170_166296"/>
    </w:p>
    <w:p>
      <w:pPr>
        <w:pStyle w:val="BookText"/>
        <w:rPr/>
      </w:pPr>
      <w:bookmarkEnd w:id="256"/>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الصلاة فی المغصوب، لا یکون موضوع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المعلوم تفصیلا أو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جواز الصلاة فی صورة العلم الإجمالی بأن الثوبین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مغصوب،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مع أنه لا علم بالغصب تفصیلا، و لا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الغصب متنجز، فتکون الصلاة فی المغصوب المنجز منهیة و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حصلنا، ظهرت مواضع الضعف فی کلمات القوم، بحمد اللَّه، و له الشکر، و تبین أن هناک أمرا آخر من القطع، تقوم مقامه الأصول العملیة و الاحتمال البدوی، و 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کیفیة قیام الاحتیاط العقلی مقام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کیفیة قیام البراءة العقلیة مقام القطع، مثلا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الخمر غیر المعلومة خمریتها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فرضنا أن المراد من صفة العلم هی المنجزیة، فیکون مفاد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الخمر غیر المتنجزة خمریتها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مورد الشک فی الخمریة، یحرز موضوع هذا الدلیل بالوجدان، و هذا هو معنی قیام البراءة مقام العلم، لأن العلم المأخوذ فی الدلیل أعم من المنفی و المثبت، کما سیظهر فی تحریر قیام البراءة الشرعیة</w:t>
      </w:r>
      <w:r>
        <w:rPr>
          <w:rFonts w:eastAsia="IRNazanin" w:cs="IRNazanin"/>
          <w:color w:val="111111"/>
          <w:sz w:val="28"/>
          <w:szCs w:val="28"/>
          <w:rtl w:val="true"/>
          <w:lang w:bidi="fa-IR"/>
        </w:rPr>
        <w:t>.</w:t>
      </w:r>
    </w:p>
    <w:p>
      <w:pPr>
        <w:pStyle w:val="Heading5"/>
        <w:numPr>
          <w:ilvl w:val="4"/>
          <w:numId w:val="1"/>
        </w:numPr>
        <w:rPr/>
      </w:pPr>
      <w:bookmarkStart w:id="257" w:name="__RefHeading___Toc624433_3244359995"/>
      <w:bookmarkStart w:id="258" w:name="_Toc96"/>
      <w:bookmarkEnd w:id="257"/>
      <w:r>
        <w:rPr>
          <w:rtl w:val="true"/>
        </w:rPr>
        <w:t>توضیح و إفادة</w:t>
      </w:r>
      <w:bookmarkEnd w:id="2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ذکرناه فی طول البحث، یظهر حکم أصالة الصحة، و قاعدة القرعة، و حکم الحاکم فی مثل هلال رمضان و شوال، فإن أصالة الصحة إن کانت أمارة عقلائیة فتلحق بها فی الآثار، و أما لو کانت أصلا عرفیا، کما هو المشهور</w:t>
      </w:r>
      <w:r>
        <w:rPr>
          <w:rStyle w:val="FootnoteAnchor"/>
          <w:rtl w:val="true"/>
        </w:rPr>
        <w:footnoteReference w:id="321"/>
      </w:r>
      <w:r>
        <w:rPr>
          <w:rFonts w:ascii="IRNazanin" w:hAnsi="IRNazanin" w:eastAsia="IRNazanin"/>
          <w:color w:val="111111"/>
          <w:sz w:val="28"/>
          <w:sz w:val="28"/>
          <w:szCs w:val="28"/>
          <w:rtl w:val="true"/>
          <w:lang w:bidi="fa-IR"/>
        </w:rPr>
        <w:t>، و قد أمضاها الشرع، فلا دلیل علی قیامها مقام القطع الموضوعی 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تنوب مناب الطریقی المحض، ففی موارد الاشتغال الیقینی و إن کان لا بد من البراءة الیقینیة، و لکنها إذا کانت جاریة تکفی عن الیقین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تنوب مناب القطع بصفة التنجیز، فلو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صحتها، و کان تکلیف منجز علی تقدیر صحتها، فإنه أیضا یتنجز علی فرض جریان الأصل المزبور، و لا نعنی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مقامی و النائب منابی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ذلک، و هو کون شی‌ء ذا خاصة من خواص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القرعة ففیها قولان،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أمارة واقعیة</w:t>
      </w:r>
      <w:r>
        <w:rPr>
          <w:rStyle w:val="FootnoteAnchor"/>
          <w:rtl w:val="true"/>
        </w:rPr>
        <w:footnoteReference w:id="322"/>
      </w:r>
      <w:r>
        <w:rPr>
          <w:rFonts w:ascii="IRNazanin" w:hAnsi="IRNazanin" w:eastAsia="IRNazanin"/>
          <w:color w:val="111111"/>
          <w:sz w:val="28"/>
          <w:sz w:val="28"/>
          <w:szCs w:val="28"/>
          <w:rtl w:val="true"/>
          <w:lang w:bidi="fa-IR"/>
        </w:rPr>
        <w:t>، کما هو مفاد بعض الأخبار</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اللَّه عز و جل به فلیس بمخطئ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قضیة أعدل من القرعة إذا فوض الأمر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أمارة تعبدیة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شرعت لحل المشاکل و رفع الحیرة فی مقام العمل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أمرها واضح بعد ما عرفت من مشابهاتها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الحاکم فی مثل هلال رمضان، الّذی لا یجوز الصوم إلا بعد إحراز رمضان، فإن کان النّظر إلی مستنده من قیام البینة عنده، و هو کاف، فیحصل الإحراز بها، فیجوز الصوم، لقیامه مقام القطع الموضوعی، و تحصل الحکومة بین الدلیلین، فلا معارضة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النّظر إلی حکمه، کما إذا حکم لأجل الأمور القائمة عنده غیر</w:t>
      </w:r>
      <w:bookmarkStart w:id="259" w:name="pg13170_166298"/>
    </w:p>
    <w:p>
      <w:pPr>
        <w:pStyle w:val="BookText"/>
        <w:rPr/>
      </w:pPr>
      <w:bookmarkEnd w:id="259"/>
      <w:r>
        <w:rPr>
          <w:rFonts w:ascii="IRNazanin" w:hAnsi="IRNazanin" w:eastAsia="IRNazanin"/>
          <w:color w:val="111111"/>
          <w:sz w:val="28"/>
          <w:sz w:val="28"/>
          <w:szCs w:val="28"/>
          <w:rtl w:val="true"/>
          <w:lang w:bidi="fa-IR"/>
        </w:rPr>
        <w:t>المعلومة عندنا، فلا یحرز موضوع جواز الصوم بعنوان رمضان، إلا أنه لا بد من الالتزام بالتخصیص، فیحصل التعارض المرتفع بهذا الجمع العقلائی، فاغتنم</w:t>
      </w:r>
      <w:r>
        <w:rPr>
          <w:rFonts w:eastAsia="IRNazanin" w:cs="IRNazanin"/>
          <w:color w:val="111111"/>
          <w:sz w:val="28"/>
          <w:szCs w:val="28"/>
          <w:rtl w:val="true"/>
          <w:lang w:bidi="fa-IR"/>
        </w:rPr>
        <w:t>.</w:t>
      </w:r>
    </w:p>
    <w:p>
      <w:pPr>
        <w:pStyle w:val="Heading5"/>
        <w:numPr>
          <w:ilvl w:val="4"/>
          <w:numId w:val="1"/>
        </w:numPr>
        <w:rPr/>
      </w:pPr>
      <w:bookmarkStart w:id="260" w:name="__RefHeading___Toc624435_3244359995"/>
      <w:bookmarkStart w:id="261" w:name="_Toc97"/>
      <w:bookmarkEnd w:id="260"/>
      <w:r>
        <w:rPr>
          <w:rtl w:val="true"/>
        </w:rPr>
        <w:t>تتمیم و تکمیل</w:t>
      </w:r>
      <w:r>
        <w:rPr>
          <w:rtl w:val="true"/>
        </w:rPr>
        <w:t xml:space="preserve">: </w:t>
      </w:r>
      <w:r>
        <w:rPr>
          <w:rtl w:val="true"/>
        </w:rPr>
        <w:t>فی کیفیة قیام البراءة الشرعیة مقام القطع</w:t>
      </w:r>
      <w:bookmarkEnd w:id="261"/>
    </w:p>
    <w:p>
      <w:pPr>
        <w:pStyle w:val="BookText"/>
        <w:rPr/>
      </w:pPr>
      <w:r>
        <w:rPr>
          <w:rFonts w:ascii="IRNazanin" w:hAnsi="IRNazanin" w:eastAsia="IRNazanin"/>
          <w:color w:val="111111"/>
          <w:sz w:val="28"/>
          <w:sz w:val="28"/>
          <w:szCs w:val="28"/>
          <w:rtl w:val="true"/>
          <w:lang w:bidi="fa-IR"/>
        </w:rPr>
        <w:t>فی تقریب قیام البراءة الشرعیة مقام القطع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إذا کان مأخوذا فی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إذا نذر أنه إذا کان عالما بعدم وجوب الجمعة، تصدق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أدلة البراءة موجبة لإحراز العلم بعدم الوجوب، لأن قضیة الجمع بین الأحکام الواقعیة و الظاهریة تنتهی إلی تقیید إطلاقاتها بها، فیکون فی مورد الجهل و الشک، عالما بعدم الوجوب الفعلی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العلم فی الدلیل، کما یکون علی صفة الإیجاب بأقسامه طریقیا و صفتیا، کذلک یکون علی صفة السلب، فإن عدم العلم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عدم العلم الطریقی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الصفتی، و هکذا، و لا ینبغی الخلط بین الجهل و عدم العلم، فإن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هذه الاعتبارات، و هو من العناوین القابلة لتقیید الموضوع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إذا أخذ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غیر المعلومة خمریتها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معناه البدوی، فلا معنی لقیام البراءة الشرعیة النافیة لرفع ما لا یعلم مقامه، لأن الموضوع فی صورة الشک یکون محرزا، من غیر الحاجة إلی جریان الأصل الشرعی المزبور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التنجز، أی أن الخمر غیر المتنجزة حلال، فإنه یمکن تقریب التنزیل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جریان البراءة العقلیة فی الشبهات الموضوعیة محل منع، کما علیه سیدنا الأستاذ البروجردی قدس سره </w:t>
      </w:r>
      <w:r>
        <w:rPr>
          <w:rStyle w:val="FootnoteAnchor"/>
          <w:rtl w:val="true"/>
        </w:rPr>
        <w:footnoteReference w:id="326"/>
      </w:r>
      <w:r>
        <w:rPr>
          <w:rFonts w:ascii="Amiri" w:hAnsi="Amiri" w:eastAsia="Amiri" w:cs="Amiri"/>
          <w:color w:val="111111"/>
          <w:sz w:val="28"/>
          <w:sz w:val="28"/>
          <w:szCs w:val="28"/>
          <w:rtl w:val="true"/>
          <w:lang w:bidi="ar-SA"/>
        </w:rPr>
        <w:t>و العلامة</w:t>
      </w:r>
      <w:bookmarkStart w:id="262" w:name="pg13170_166299"/>
    </w:p>
    <w:p>
      <w:pPr>
        <w:pStyle w:val="BookText"/>
        <w:rPr/>
      </w:pPr>
      <w:bookmarkEnd w:id="262"/>
      <w:r>
        <w:rPr>
          <w:rFonts w:ascii="Amiri" w:hAnsi="Amiri" w:eastAsia="Amiri" w:cs="Amiri"/>
          <w:color w:val="111111"/>
          <w:sz w:val="28"/>
          <w:sz w:val="28"/>
          <w:szCs w:val="28"/>
          <w:rtl w:val="true"/>
          <w:lang w:bidi="ar-SA"/>
        </w:rPr>
        <w:t xml:space="preserve">الإیروانی رحمه اللَّه </w:t>
      </w:r>
      <w:r>
        <w:rPr>
          <w:rStyle w:val="FootnoteAnchor"/>
          <w:rtl w:val="true"/>
        </w:rPr>
        <w:footnoteReference w:id="327"/>
      </w:r>
      <w:r>
        <w:rPr>
          <w:rFonts w:ascii="IRNazanin" w:hAnsi="IRNazanin" w:eastAsia="IRNazanin"/>
          <w:color w:val="111111"/>
          <w:sz w:val="28"/>
          <w:sz w:val="28"/>
          <w:szCs w:val="28"/>
          <w:rtl w:val="true"/>
          <w:lang w:bidi="fa-IR"/>
        </w:rPr>
        <w:t xml:space="preserve">فلا یکون موضوع الدلیل محرزا، فإذا جری حدیث الرفع </w:t>
      </w:r>
      <w:r>
        <w:rPr>
          <w:rStyle w:val="FootnoteAnchor"/>
          <w:rtl w:val="true"/>
        </w:rPr>
        <w:footnoteReference w:id="328"/>
      </w:r>
      <w:r>
        <w:rPr>
          <w:rFonts w:ascii="IRNazanin" w:hAnsi="IRNazanin" w:eastAsia="IRNazanin"/>
          <w:color w:val="111111"/>
          <w:sz w:val="28"/>
          <w:sz w:val="28"/>
          <w:szCs w:val="28"/>
          <w:rtl w:val="true"/>
          <w:lang w:bidi="fa-IR"/>
        </w:rPr>
        <w:t>، 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معناه هو أن ما لا یتنجز مرفوع، فیکون الخمر مما لا یتنجز، فتکون مرفوعة، و بضمیمة جریان الأصل الشرعی یحرز موضوع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تتوجه إلی هذه التقاریب شبهة المثبتیة، فلیتأمل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یتوجه إلی ما مضی من تقریب قیام البراءة العقلیة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العقلیة لیست إلا نیل العقل امتناع العقاب من قبل المولی، و هذا أجنبی عن موضوع الأدلة و القیام مقامه،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فهم العقلاء بعد درک العقلاء البراءة، هو أن الخمر المشکوکة غیر متنجزة، و الأمر سهل جدا</w:t>
      </w:r>
      <w:r>
        <w:rPr>
          <w:rFonts w:eastAsia="IRNazanin" w:cs="IRNazanin"/>
          <w:color w:val="111111"/>
          <w:sz w:val="28"/>
          <w:szCs w:val="28"/>
          <w:rtl w:val="true"/>
          <w:lang w:bidi="fa-IR"/>
        </w:rPr>
        <w:t>.</w:t>
      </w:r>
    </w:p>
    <w:p>
      <w:pPr>
        <w:pStyle w:val="Heading5"/>
        <w:numPr>
          <w:ilvl w:val="4"/>
          <w:numId w:val="1"/>
        </w:numPr>
        <w:rPr/>
      </w:pPr>
      <w:bookmarkStart w:id="263" w:name="__RefHeading___Toc624437_3244359995"/>
      <w:bookmarkStart w:id="264" w:name="_Toc98"/>
      <w:bookmarkEnd w:id="263"/>
      <w:r>
        <w:rPr>
          <w:rtl w:val="true"/>
        </w:rPr>
        <w:t>تذییل</w:t>
      </w:r>
      <w:r>
        <w:rPr>
          <w:rtl w:val="true"/>
        </w:rPr>
        <w:t xml:space="preserve">: </w:t>
      </w:r>
      <w:r>
        <w:rPr>
          <w:rtl w:val="true"/>
        </w:rPr>
        <w:t>فی وجه قیام العلم الإجمالی و الاحتمال المنجز مقام القطع</w:t>
      </w:r>
      <w:bookmarkEnd w:id="264"/>
    </w:p>
    <w:p>
      <w:pPr>
        <w:pStyle w:val="BookText"/>
        <w:rPr/>
      </w:pPr>
      <w:r>
        <w:rPr>
          <w:rFonts w:ascii="IRNazanin" w:hAnsi="IRNazanin" w:eastAsia="IRNazanin"/>
          <w:color w:val="111111"/>
          <w:sz w:val="28"/>
          <w:sz w:val="28"/>
          <w:szCs w:val="28"/>
          <w:rtl w:val="true"/>
          <w:lang w:bidi="fa-IR"/>
        </w:rPr>
        <w:t>قد مر فی الجهة الثامنة، وجه قیام الاحتیاط العقلی و الاحتمال المنجز مقام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موارد العلم الإجمالی، إن کان موضوع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التفصیلیّ و الإجمالی، فالمعلوم بالإجمال یشمله الدلیل، من غیر احتیاج إلی کون العلم الإجمالی منجزا، و لا إلی قیامه مقام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موضوع الدلیل هو العلم التفصیلیّ، فإن أخذ علی الطریقیة و الصفتیة، فلا یقوم مقامه شی‌ء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مأخوذا علی صفة التنجیز، ففی موارد العلم الإجمالی یکون</w:t>
      </w:r>
      <w:bookmarkStart w:id="265" w:name="pg13170_166300"/>
    </w:p>
    <w:p>
      <w:pPr>
        <w:pStyle w:val="BookText"/>
        <w:rPr/>
      </w:pPr>
      <w:bookmarkEnd w:id="265"/>
      <w:r>
        <w:rPr>
          <w:rFonts w:ascii="IRNazanin" w:hAnsi="IRNazanin" w:eastAsia="IRNazanin"/>
          <w:color w:val="111111"/>
          <w:sz w:val="28"/>
          <w:sz w:val="28"/>
          <w:szCs w:val="28"/>
          <w:rtl w:val="true"/>
          <w:lang w:bidi="fa-IR"/>
        </w:rPr>
        <w:t>الحکم متنجزا، بناء علی منجزیة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حتی الآن و تبین فذلکة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الأمارات تقوم مقام القطع الطریقی دون الصفتی، إذا کان مأخوذا علی أصل الطریقیة المشترکة، لا الطریقیة المخصوصة به، و هی الکشف التام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الأصول ما یقوم مقام القطع بأقسامه کالاستصحاب، حتی الصفتی منه، و أما سائر الأصول فهی لا تقوم مقام القطع، إلا القطع بما أنه منجز و معذر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أخیرا وجه المناقشة فی قیام البراءة العقلیة و الشرعیة مقامه بما لا مزید علیه، و اللَّه هو الموفق المؤید</w:t>
      </w:r>
      <w:r>
        <w:rPr>
          <w:rFonts w:eastAsia="IRNazanin" w:cs="IRNazanin"/>
          <w:color w:val="111111"/>
          <w:sz w:val="28"/>
          <w:szCs w:val="28"/>
          <w:rtl w:val="true"/>
          <w:lang w:bidi="fa-IR"/>
        </w:rPr>
        <w:t>.</w:t>
      </w:r>
    </w:p>
    <w:p>
      <w:pPr>
        <w:pStyle w:val="Heading4"/>
        <w:numPr>
          <w:ilvl w:val="3"/>
          <w:numId w:val="1"/>
        </w:numPr>
        <w:rPr/>
      </w:pPr>
      <w:bookmarkStart w:id="266" w:name="__RefHeading___Toc624439_3244359995"/>
      <w:bookmarkStart w:id="267" w:name="_Toc99"/>
      <w:bookmarkEnd w:id="266"/>
      <w:r>
        <w:rPr>
          <w:rtl w:val="true"/>
        </w:rPr>
        <w:t>الجهة التاسعة</w:t>
      </w:r>
      <w:r>
        <w:rPr>
          <w:rtl w:val="true"/>
        </w:rPr>
        <w:t xml:space="preserve">: </w:t>
      </w:r>
      <w:r>
        <w:rPr>
          <w:rtl w:val="true"/>
        </w:rPr>
        <w:t>فی قیام الظن الانسدادی مقامه</w:t>
      </w:r>
      <w:bookmarkEnd w:id="267"/>
    </w:p>
    <w:p>
      <w:pPr>
        <w:pStyle w:val="BookText"/>
        <w:rPr/>
      </w:pPr>
      <w:r>
        <w:rPr>
          <w:rFonts w:ascii="IRNazanin" w:hAnsi="IRNazanin" w:eastAsia="IRNazanin"/>
          <w:color w:val="111111"/>
          <w:sz w:val="28"/>
          <w:sz w:val="28"/>
          <w:szCs w:val="28"/>
          <w:rtl w:val="true"/>
          <w:lang w:bidi="fa-IR"/>
        </w:rPr>
        <w:t xml:space="preserve">فربما یقال بعدمه مطلقا، لأنه لا یصیر فی جمیع التقادیر حجة عقلیة کالعقل، و لا شرعیة کالأمارات، بل الأحکام فی دائرة العلم الإجمالی، تکون متنجزة بالعلم الإجمالی، و إنما یجب فی مقام الامتثال، الخروج من عهدة التکلیف المتنجز بالعلم بالترتیب، فیقدم المظنون علی المحتمل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بإصابة طائفة من التکالیف الواقع، و إن لم یکن مع قطع النّظر عن العلم الإجمالی حجة، و لکنه هو مرتبة من العلم الإجمالی الکبیر، فکما أن الاحتمالات فی أطراف العلم بکثرتها، ترجع إلی العلم فی مقام رجوع الکثیر إلی الواحد، و العلم هو نفس تلک الاحتمالات بأجمعها فی مقام رجوع الواحد إلی الکثیر، کذلک الأمر فی مورد الظن، فیکون تنجز التکلیف، مستندا إلی خصوصیة الظن المقترن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حجة بعد تمامیة الانسداد بمقدماته، إما حجة عقلیة علی الحکومة، أو شرعیة علی الکشف، فتقوم مقام القطع الطریقی المأخوذ بما أنه حجة و کاشف، لا بما أنه کاشف تام، 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بحسب مقام الإثبات مأخوذ علی نحو أصل الکشف و الحجیة، و لا یؤخذ علی نحو الکشف التام إلا مع قیام القرینة</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بسط البحث حول الظن و أقسامه، و کیفیة قیامه مقام الأمارة، أو قیام بعض الأمارات مقام الأخری، فهو من اللغو المنهی عنه، و قد تبین حقیقة الأمر فیما مضی، و اللَّه هو الموفق و المؤید</w:t>
      </w:r>
      <w:r>
        <w:rPr>
          <w:rFonts w:eastAsia="IRNazanin" w:cs="IRNazanin"/>
          <w:color w:val="111111"/>
          <w:sz w:val="28"/>
          <w:szCs w:val="28"/>
          <w:rtl w:val="true"/>
          <w:lang w:bidi="fa-IR"/>
        </w:rPr>
        <w:t>.</w:t>
      </w:r>
      <w:bookmarkStart w:id="268" w:name="pg13170_166302"/>
    </w:p>
    <w:p>
      <w:pPr>
        <w:pStyle w:val="Heading3"/>
        <w:numPr>
          <w:ilvl w:val="2"/>
          <w:numId w:val="1"/>
        </w:numPr>
        <w:rPr/>
      </w:pPr>
      <w:bookmarkStart w:id="269" w:name="__RefHeading___Toc624441_3244359995"/>
      <w:bookmarkStart w:id="270" w:name="_Toc100"/>
      <w:bookmarkEnd w:id="268"/>
      <w:bookmarkEnd w:id="269"/>
      <w:r>
        <w:rPr>
          <w:rtl w:val="true"/>
        </w:rPr>
        <w:t>المبحث الخامس فی الموافقة الالتزامیة</w:t>
      </w:r>
      <w:bookmarkEnd w:id="270"/>
    </w:p>
    <w:p>
      <w:pPr>
        <w:pStyle w:val="Heading4"/>
        <w:numPr>
          <w:ilvl w:val="3"/>
          <w:numId w:val="1"/>
        </w:numPr>
        <w:rPr/>
      </w:pPr>
      <w:bookmarkStart w:id="271" w:name="__RefHeading___Toc624443_3244359995"/>
      <w:bookmarkStart w:id="272" w:name="_Toc101"/>
      <w:bookmarkEnd w:id="271"/>
      <w:r>
        <w:rPr>
          <w:rtl w:val="true"/>
        </w:rPr>
        <w:t>اشارة</w:t>
      </w:r>
      <w:bookmarkEnd w:id="27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المسألة یحتاج إلی البحث فی مقامین</w:t>
      </w:r>
      <w:r>
        <w:rPr>
          <w:rFonts w:eastAsia="IRNazanin" w:cs="IRNazanin"/>
          <w:color w:val="111111"/>
          <w:sz w:val="28"/>
          <w:szCs w:val="28"/>
          <w:rtl w:val="true"/>
          <w:lang w:bidi="fa-IR"/>
        </w:rPr>
        <w:t>:</w:t>
      </w:r>
      <w:bookmarkStart w:id="273" w:name="pg13170_166304"/>
    </w:p>
    <w:p>
      <w:pPr>
        <w:pStyle w:val="Heading4"/>
        <w:numPr>
          <w:ilvl w:val="3"/>
          <w:numId w:val="1"/>
        </w:numPr>
        <w:rPr/>
      </w:pPr>
      <w:bookmarkStart w:id="274" w:name="__RefHeading___Toc624445_3244359995"/>
      <w:bookmarkStart w:id="275" w:name="_Toc102"/>
      <w:bookmarkEnd w:id="273"/>
      <w:bookmarkEnd w:id="274"/>
      <w:r>
        <w:rPr>
          <w:rtl w:val="true"/>
        </w:rPr>
        <w:t>المقام الأول فی مرحلة الثبوت</w:t>
      </w:r>
      <w:bookmarkEnd w:id="275"/>
    </w:p>
    <w:p>
      <w:pPr>
        <w:pStyle w:val="BookText"/>
        <w:rPr/>
      </w:pPr>
      <w:r>
        <w:rPr>
          <w:rFonts w:ascii="IRNazanin" w:hAnsi="IRNazanin" w:eastAsia="IRNazanin"/>
          <w:color w:val="111111"/>
          <w:sz w:val="28"/>
          <w:sz w:val="28"/>
          <w:szCs w:val="28"/>
          <w:rtl w:val="true"/>
          <w:lang w:bidi="fa-IR"/>
        </w:rPr>
        <w:t>و أن إیجاب الموافقة الالتزامیة هل یعقل و یمکن، أم لا؟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القطع بالتکلیف، یستتبع عقلا لزوم الموافقة العملیة، و یدرک العقل حتمیة اتباعه عملا، و إلا فیستحق العبد العقوبة، و هکذا سائر الحجج العرفیة الممضاة و الشرعیة، فهل یجب عقلا أو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الموافقة الالتزامیة، بمعنی عقد القلب و البناء القلبی علی ذلک التکلیف، أم 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بحثوا فی مرحلة الإثبات، و ذهبوا إلی عدم الوجوب </w:t>
      </w:r>
      <w:r>
        <w:rPr>
          <w:rStyle w:val="FootnoteAnchor"/>
          <w:rtl w:val="true"/>
        </w:rPr>
        <w:footnoteReference w:id="331"/>
      </w:r>
      <w:r>
        <w:rPr>
          <w:rFonts w:ascii="IRNazanin" w:hAnsi="IRNazanin" w:eastAsia="IRNazanin"/>
          <w:color w:val="111111"/>
          <w:sz w:val="28"/>
          <w:sz w:val="28"/>
          <w:szCs w:val="28"/>
          <w:rtl w:val="true"/>
          <w:lang w:bidi="fa-IR"/>
        </w:rPr>
        <w:t>، و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 مرحلة الثبوت، و ناقش فی إمکان الإیجاب، فلا بد من عقد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یؤسف له أنه بعد ما کان الأمر کذلک، فالعدول عنه یکون أولی، لأن المسائل الاتفاقیة لا تحتاج</w:t>
      </w:r>
    </w:p>
    <w:p>
      <w:pPr>
        <w:pStyle w:val="BookText"/>
        <w:rPr/>
      </w:pPr>
      <w:r>
        <w:rPr>
          <w:rFonts w:ascii="IRNazanin" w:hAnsi="IRNazanin" w:eastAsia="IRNazanin"/>
          <w:color w:val="111111"/>
          <w:sz w:val="28"/>
          <w:sz w:val="28"/>
          <w:szCs w:val="28"/>
          <w:rtl w:val="true"/>
          <w:lang w:bidi="fa-IR"/>
        </w:rPr>
        <w:t>إلی البحث و إطالة الکلام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أفاده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الأمور الخارجیة مما تتعلق بها الإرادة و الاختیار، کالقیام، و القعود، و الحرکة، و أمثالها مما یسانخها، و أما الأمور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کالحب، و البغض، و الخوف، و الرجاء،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القلب و البناء القلبی و 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مورد الإرادة و الاختیار، فلا یعقل مع العلم بعدم وجود الأسد فی الدار، الخوف منه، و لا مع العلم بوجوده و حصول الخوف، عقد القلب علی عدم الخوف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فیما نحن فیه، فإن المکلف إن کان عالما بالتکلیف، فلا یعقل عقد القلب علی عدمه، حتی یجب علیه عقد القلب تکلیفا، و إذا کان عالما بعدم وجود تکلیف فی الشرع، لا یعقل عقد القلب علی وجوده، و لذلک لا یعقل أیضا التشریع بمعناه الواقعی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 یتوهم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Style w:val="FootnoteAnchor"/>
          <w:rtl w:val="true"/>
        </w:rPr>
        <w:footnoteReference w:id="332"/>
      </w:r>
      <w:r>
        <w:rPr>
          <w:rFonts w:ascii="IRNazanin" w:hAnsi="IRNazanin" w:eastAsia="IRNazanin"/>
          <w:color w:val="111111"/>
          <w:sz w:val="28"/>
          <w:sz w:val="28"/>
          <w:szCs w:val="28"/>
          <w:rtl w:val="true"/>
          <w:lang w:bidi="fa-IR"/>
        </w:rPr>
        <w:t xml:space="preserve">دلیل علی إمکانه </w:t>
      </w:r>
      <w:r>
        <w:rPr>
          <w:rStyle w:val="FootnoteAnchor"/>
          <w:rtl w:val="true"/>
        </w:rPr>
        <w:footnoteReference w:id="333"/>
      </w:r>
      <w:r>
        <w:rPr>
          <w:rFonts w:ascii="IRNazanin" w:hAnsi="IRNazanin" w:eastAsia="IRNazanin"/>
          <w:color w:val="111111"/>
          <w:sz w:val="28"/>
          <w:sz w:val="28"/>
          <w:szCs w:val="28"/>
          <w:rtl w:val="true"/>
          <w:lang w:bidi="fa-IR"/>
        </w:rPr>
        <w:t>، غیر صحیح، لأن الامتناع العقلی لا یرتفع بظاهر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کون النّظر فی الآیة الشریفة إلی الجحود اللفظی و العملی، لا القلبی و الذهنی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عبارة أخری عن العلم بالأحکام الشرعیة، و الاعتقاد بما جاء به النبی صلی اللَّه علیه و آله و سلم فإنه أمر لا یخص به المکلف الخاصّ، بل یشترک فیه جمیع الناس، سواء کان الحکم مرتبطا به، أو مرتبطا بنساء الأمة، و سواء فیه الواجبات، و المستحبات، و غیرها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أخری عن عقد القلب</w:t>
      </w:r>
    </w:p>
    <w:p>
      <w:pPr>
        <w:pStyle w:val="BookText"/>
        <w:rPr/>
      </w:pPr>
      <w:r>
        <w:rPr>
          <w:rFonts w:ascii="IRNazanin" w:hAnsi="IRNazanin" w:eastAsia="IRNazanin"/>
          <w:color w:val="111111"/>
          <w:sz w:val="28"/>
          <w:sz w:val="28"/>
          <w:szCs w:val="28"/>
          <w:rtl w:val="true"/>
          <w:lang w:bidi="fa-IR"/>
        </w:rPr>
        <w:t>علی التکلیف الّذی یعمل به، و یشتغل به فی الخارج، فإنه أمر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البناء القلبی، و الالتزام النفسانیّ باتباع التکلیف المعلوم فی ظرفه 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المکلف قبل دخول الوقت، بانیا علی امتثال أمر الصلاة فی ظرفه، و لکنه بعد ما دخل الوقت لا یمتثل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بانیا علی عدم الامتثال فی ظرفه، و لکنه یمتثل بعد ما حان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بانیا علی الامتثال، و یمتثل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بانیا علی الامتثال، و لا علی عدم الامتثال، و لکنه إذا حان الوقت یمتثل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الناس بحسب هذه الحالات النفسانیّة مختلفین، یمکن تحریر بحث و نزاع، حول أنه هل یجب علی العباد أن یکونوا بانین علی الموافقة، أم لا؟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هل یجب الالتزام بموافقة التکلیف عملا، أم لا یجب عقلا، و لا شرعا؟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مراد الباحثین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آخر غیر ما ذکرناه، فهو لا یرجع إلی محصل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منها هو لزوم تحصیل العلم بالأحکام الفرعیة، فهو أمر آخر أجنبی عن المقام بالوجدان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قیاس هذه المسألة بالمسائل الأصولیة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کما یکون الواجب الاعتقاد و تحصیله بإله العالم، و بالتوحید، و سائر المسائل الاعتقادیة الإسلامیة، و هذا مما لا ینکر إمکانه، لأنه بالمقدمات و المبادئ یمکن تحصیله، و لو وصل إلی حد عجز عنه فیکون من المستضعفین، کذلک فی الفروع، لا بد من الالتزام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یمتثل الأوامر الفرعیة، و النواهی الإلهیة، حتی إذا کان شی‌ء بوجوده الذهنی مورد الأمر، فلا بد من الالتزام بذلک بتحصیله فی ظرفه، و هکذا إذا کان شی‌ء منهیا، فالبحث فی المقام یکون حول هذه المسألة، سواء کان متعلق الأمر المعلوم أمرا خارجیا، أم أمرا ذهنیا و نفسیا</w:t>
      </w:r>
      <w:r>
        <w:rPr>
          <w:rFonts w:eastAsia="IRNazanin" w:cs="IRNazanin"/>
          <w:color w:val="111111"/>
          <w:sz w:val="28"/>
          <w:szCs w:val="28"/>
          <w:rtl w:val="true"/>
          <w:lang w:bidi="fa-IR"/>
        </w:rPr>
        <w:t>.</w:t>
      </w:r>
      <w:bookmarkStart w:id="276" w:name="pg13170_166308"/>
    </w:p>
    <w:p>
      <w:pPr>
        <w:pStyle w:val="Heading4"/>
        <w:numPr>
          <w:ilvl w:val="3"/>
          <w:numId w:val="1"/>
        </w:numPr>
        <w:rPr/>
      </w:pPr>
      <w:bookmarkStart w:id="277" w:name="__RefHeading___Toc624447_3244359995"/>
      <w:bookmarkStart w:id="278" w:name="_Toc103"/>
      <w:bookmarkEnd w:id="276"/>
      <w:bookmarkEnd w:id="277"/>
      <w:r>
        <w:rPr>
          <w:rtl w:val="true"/>
        </w:rPr>
        <w:t>المقام الثانی فی مرحلة الإثبات</w:t>
      </w:r>
      <w:bookmarkEnd w:id="278"/>
    </w:p>
    <w:p>
      <w:pPr>
        <w:pStyle w:val="BookText"/>
        <w:rPr/>
      </w:pPr>
      <w:r>
        <w:rPr>
          <w:rFonts w:ascii="IRNazanin" w:hAnsi="IRNazanin" w:eastAsia="IRNazanin"/>
          <w:color w:val="111111"/>
          <w:sz w:val="28"/>
          <w:sz w:val="28"/>
          <w:szCs w:val="28"/>
          <w:rtl w:val="true"/>
          <w:lang w:bidi="fa-IR"/>
        </w:rPr>
        <w:t>هل هذا الالتزام القلبی من الواجبات، حتی یکون البانی علی ترک الواجب فی وقته، تارکا لإحدی الواجبات الإلهیة، أو من الأمور التی یستقل العقل بصحة العقوبة علی ترکها، أم لا؟</w:t>
      </w:r>
    </w:p>
    <w:p>
      <w:pPr>
        <w:pStyle w:val="BookText"/>
        <w:rPr/>
      </w:pPr>
      <w:r>
        <w:rPr>
          <w:rFonts w:ascii="IRNazanin" w:hAnsi="IRNazanin" w:eastAsia="IRNazanin"/>
          <w:color w:val="111111"/>
          <w:sz w:val="28"/>
          <w:sz w:val="28"/>
          <w:szCs w:val="28"/>
          <w:rtl w:val="true"/>
          <w:lang w:bidi="fa-IR"/>
        </w:rPr>
        <w:t>لا سبیل إلی وجوبه الشرعی، لعدم دلیل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أن طائفة من الأخبار</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 أن الخلود فی النار، معلول هذا الالتزام، و الخلود فی الجنة، معلول الالتزام بأن العبد إذا کان دائمی الوجود یکون دائمی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هذا البناء، فی غیر محله، لأنه لو دلت فهو من الدلالة العقلیة، کما لا یخفی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الالتزام و عقد القلب علی امتثال التکالیف، و إطاعة الأوامر فی ظرفها إلی الأبد، و هکذا النواهی الخاصة به، من المستقلات العقلیة</w:t>
      </w:r>
      <w:r>
        <w:rPr>
          <w:rStyle w:val="FootnoteAnchor"/>
          <w:rtl w:val="true"/>
        </w:rPr>
        <w:footnoteReference w:id="335"/>
      </w:r>
      <w:r>
        <w:rPr>
          <w:rFonts w:ascii="IRNazanin" w:hAnsi="IRNazanin" w:eastAsia="IRNazanin"/>
          <w:color w:val="111111"/>
          <w:sz w:val="28"/>
          <w:sz w:val="28"/>
          <w:szCs w:val="28"/>
          <w:rtl w:val="true"/>
          <w:lang w:bidi="fa-IR"/>
        </w:rPr>
        <w:t>، فقد مر فی مباحث الأوامر و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الأوامر الشرعیة أوامر مولویة نفسیة، محل المناقشة</w:t>
      </w:r>
      <w:r>
        <w:rPr>
          <w:rStyle w:val="FootnoteAnchor"/>
          <w:rtl w:val="true"/>
        </w:rPr>
        <w:footnoteReference w:id="336"/>
      </w:r>
      <w:r>
        <w:rPr>
          <w:rFonts w:ascii="IRNazanin" w:hAnsi="IRNazanin" w:eastAsia="IRNazanin"/>
          <w:color w:val="111111"/>
          <w:sz w:val="28"/>
          <w:sz w:val="28"/>
          <w:szCs w:val="28"/>
          <w:rtl w:val="true"/>
          <w:lang w:bidi="fa-IR"/>
        </w:rPr>
        <w:t>، فإن العقل لا یدرک إلا وجود الملازمة بین النار و المحرمات و ترک الواجبات، و بین الجنة و الامتثال، و أما درک لزوم الطاعة، و لزوم شکر المنعم، و لزوم العبودیة، فهو کله ممنوع، و تفصیله فی مباحث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لزوم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و الالتزام المذکور، لأنه لازم مشکوریة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لکونه مستتبعا للعقاب أو العتاب، کما تحرر فی مباحث التجری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فی مطاوی البحث إلی أن المسألة لا تکون من خصائص القطع، بل هی أعم منه و من سائر الحجج الإلهیة العقلائیة أو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موارد العلم الإجمالی، لا یمکن الالتزام إلا بالمعنی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دوران الأمر بین المحذورین، فلا یعقل الالتزام، لا علی المعانی المحتملة فی المسألة المذکورة سابقا، و لا علی الوجه المحرر عندنا، ضرورة أنه لا معنی لعقد القلب علی ما هو المعلوم بالإجمال وراء نفس العلم و الیقین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عقد القلب و الالتزام بالامتثال، فهو فی مفروض البحث غیر ممکن، لما لا یتمکن من امتثال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یلتزم بذلک الحکم و إن لا یعلم به </w:t>
      </w:r>
      <w:r>
        <w:rPr>
          <w:rStyle w:val="FootnoteAnchor"/>
          <w:rtl w:val="true"/>
        </w:rPr>
        <w:footnoteReference w:id="338"/>
      </w:r>
      <w:r>
        <w:rPr>
          <w:rFonts w:ascii="IRNazanin" w:hAnsi="IRNazanin" w:eastAsia="IRNazanin"/>
          <w:color w:val="111111"/>
          <w:sz w:val="28"/>
          <w:sz w:val="28"/>
          <w:szCs w:val="28"/>
          <w:rtl w:val="true"/>
          <w:lang w:bidi="fa-IR"/>
        </w:rPr>
        <w:t>، من قبیل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یلتزم بوجود الأسد مع العلم بعدم الأسد، أو الشک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أمکن الالتزام للزم التشریع، لأنه من قبیل الالتزام بما لا یعلم، فافهم و تأمل،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جعلناه محور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جریان الأصول فی أطراف العلم الإجمالی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الموارد التی یلزم من جریانها المخالفة العملیة فواضح، ضرورة أن عقد القلب علی المعنی الإجمالی، لا ینافی التعبد الظاهری بالخلاف فی الموارد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معنی لزوم 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الالتزام بنجاسة مجموع الإناءین، فهو ینافی ذلک، لأن الالتزام بنجاستهما، یستلزم کون کل واحد معلوم النجاسة، و هو ینافی جریان الأصل المتقوم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 دوران الأمر بین المحذورین، أو فی الموارد التی لا یلزم من جریانها المخالفة العملیة، فلا وجه لتوهم مانعیة الوجوب المزبور، إلا إذا کان مفاد الاستصحاب الجاری فی الطرفین مثلا، هو الإحراز، و الالتزام بذلک ینافی العلم الإجمالی بعدم تمامیة أحد المحرزین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أن ما هو مورد الالتزام، هو المعنی الإجمالی الواقعی، أو التفصیلیّ الظاهری، و التنافی بینهما کالتنافی بین الحکم الواقعی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 العبد بأن کل واحد من الإناءین، متنجز النجاسة، و یلتزم بنجاسة واقعیة واحدة فی البین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کلمات جل منهم،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عقد القلب علی المعلوم </w:t>
      </w:r>
      <w:r>
        <w:rPr>
          <w:rStyle w:val="FootnoteAnchor"/>
          <w:rtl w:val="true"/>
        </w:rPr>
        <w:footnoteReference w:id="339"/>
      </w:r>
      <w:r>
        <w:rPr>
          <w:rFonts w:ascii="IRNazanin" w:hAnsi="IRNazanin" w:eastAsia="IRNazanin"/>
          <w:color w:val="111111"/>
          <w:sz w:val="28"/>
          <w:sz w:val="28"/>
          <w:szCs w:val="28"/>
          <w:rtl w:val="true"/>
          <w:lang w:bidi="fa-IR"/>
        </w:rPr>
        <w:t>، و هذا غیر راجع إلی معنی محصل، و ظاهر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الموافقة الالتزامیة تابعة للعلم فی التفصیل و الإجمال، هو أنه دائر أیضا مدار العلم وجودا و عدما، کما یظهر من العلامة العراقی </w:t>
      </w:r>
      <w:r>
        <w:rPr>
          <w:rStyle w:val="FootnoteAnchor"/>
          <w:rtl w:val="true"/>
        </w:rPr>
        <w:footnoteReference w:id="340"/>
      </w:r>
      <w:r>
        <w:rPr>
          <w:rFonts w:ascii="IRNazanin" w:hAnsi="IRNazanin" w:eastAsia="IRNazanin"/>
          <w:color w:val="111111"/>
          <w:sz w:val="28"/>
          <w:sz w:val="28"/>
          <w:szCs w:val="28"/>
          <w:rtl w:val="true"/>
          <w:lang w:bidi="fa-IR"/>
        </w:rPr>
        <w:t xml:space="preserve">و بعض آخر فی ذیل البحث </w:t>
      </w:r>
      <w:r>
        <w:rPr>
          <w:rStyle w:val="FootnoteAnchor"/>
          <w:rtl w:val="true"/>
        </w:rPr>
        <w:footnoteReference w:id="341"/>
      </w:r>
      <w:r>
        <w:rPr>
          <w:rFonts w:ascii="IRNazanin" w:hAnsi="IRNazanin" w:eastAsia="IRNazanin"/>
          <w:color w:val="111111"/>
          <w:sz w:val="28"/>
          <w:sz w:val="28"/>
          <w:szCs w:val="28"/>
          <w:rtl w:val="true"/>
          <w:lang w:bidi="fa-IR"/>
        </w:rPr>
        <w:t xml:space="preserve">، و بناء علی هذا فلا بد من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أبدعناه فی المسألة، فتدبر</w:t>
      </w:r>
      <w:r>
        <w:rPr>
          <w:rFonts w:eastAsia="IRNazanin" w:cs="IRNazanin"/>
          <w:color w:val="111111"/>
          <w:sz w:val="28"/>
          <w:szCs w:val="28"/>
          <w:rtl w:val="true"/>
          <w:lang w:bidi="fa-IR"/>
        </w:rPr>
        <w:t>.</w:t>
      </w:r>
      <w:bookmarkStart w:id="279" w:name="pg13170_166312"/>
    </w:p>
    <w:p>
      <w:pPr>
        <w:pStyle w:val="Heading3"/>
        <w:numPr>
          <w:ilvl w:val="2"/>
          <w:numId w:val="1"/>
        </w:numPr>
        <w:rPr/>
      </w:pPr>
      <w:bookmarkStart w:id="280" w:name="__RefHeading___Toc624449_3244359995"/>
      <w:bookmarkStart w:id="281" w:name="_Toc104"/>
      <w:bookmarkEnd w:id="279"/>
      <w:bookmarkEnd w:id="280"/>
      <w:r>
        <w:rPr>
          <w:rtl w:val="true"/>
        </w:rPr>
        <w:t>المبحث السادس فی العلم الإجمالی</w:t>
      </w:r>
      <w:bookmarkEnd w:id="28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624451_3244359995"/>
      <w:bookmarkStart w:id="283" w:name="_Toc105"/>
      <w:bookmarkEnd w:id="282"/>
      <w:r>
        <w:rPr>
          <w:rtl w:val="true"/>
        </w:rPr>
        <w:t>اشارة</w:t>
      </w:r>
      <w:bookmarkStart w:id="284" w:name="pg13170_166314"/>
      <w:bookmarkEnd w:id="283"/>
    </w:p>
    <w:p>
      <w:pPr>
        <w:pStyle w:val="BookText"/>
        <w:rPr/>
      </w:pPr>
      <w:bookmarkEnd w:id="284"/>
      <w:r>
        <w:rPr>
          <w:rFonts w:ascii="IRNazanin" w:hAnsi="IRNazanin" w:eastAsia="IRNazanin"/>
          <w:color w:val="111111"/>
          <w:sz w:val="28"/>
          <w:sz w:val="28"/>
          <w:szCs w:val="28"/>
          <w:rtl w:val="true"/>
          <w:lang w:bidi="fa-IR"/>
        </w:rPr>
        <w:t>قد اشتهر بین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کالتفصیلی، فکما أن التفصیلیّ ینجز و یعذر، کذلک الإجمالی، فلو علم إجمالا بوجوب صلاة الظهر أو الجمعة، فعلیه الامتثال، فإن طابق الواقع فهو، و إلا فهو معذور،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خالف المعلوم بالإجمال، و صادف الواقع، لا یعذر، لتنجز التکلیف بالعلم و لو کان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بحوث هذه المسألة، لا بد من الإشارة إلی أمور</w:t>
      </w:r>
      <w:r>
        <w:rPr>
          <w:rFonts w:eastAsia="IRNazanin" w:cs="IRNazanin"/>
          <w:color w:val="111111"/>
          <w:sz w:val="28"/>
          <w:szCs w:val="28"/>
          <w:rtl w:val="true"/>
          <w:lang w:bidi="fa-IR"/>
        </w:rPr>
        <w:t>:</w:t>
      </w:r>
    </w:p>
    <w:p>
      <w:pPr>
        <w:pStyle w:val="Heading4"/>
        <w:numPr>
          <w:ilvl w:val="3"/>
          <w:numId w:val="1"/>
        </w:numPr>
        <w:rPr/>
      </w:pPr>
      <w:bookmarkStart w:id="285" w:name="__RefHeading___Toc624453_3244359995"/>
      <w:bookmarkStart w:id="286" w:name="_Toc106"/>
      <w:bookmarkEnd w:id="285"/>
      <w:r>
        <w:rPr>
          <w:rtl w:val="true"/>
        </w:rPr>
        <w:t>أحدها</w:t>
      </w:r>
      <w:r>
        <w:rPr>
          <w:rtl w:val="true"/>
        </w:rPr>
        <w:t xml:space="preserve">: </w:t>
      </w:r>
      <w:r>
        <w:rPr>
          <w:rtl w:val="true"/>
        </w:rPr>
        <w:t>فی حقیقة العلم الإجمالی</w:t>
      </w:r>
      <w:bookmarkEnd w:id="286"/>
    </w:p>
    <w:p>
      <w:pPr>
        <w:pStyle w:val="BookText"/>
        <w:rPr/>
      </w:pPr>
      <w:r>
        <w:rPr>
          <w:rFonts w:ascii="IRNazanin" w:hAnsi="IRNazanin" w:eastAsia="IRNazanin"/>
          <w:color w:val="111111"/>
          <w:sz w:val="28"/>
          <w:sz w:val="28"/>
          <w:szCs w:val="28"/>
          <w:rtl w:val="true"/>
          <w:lang w:bidi="fa-IR"/>
        </w:rPr>
        <w:t>إن من الأسئلة الدارجة عن الأفاضل، هو کیفیة تعلق العلم الإجمالی بالخارج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آثار العلم الإجمالی، فرع کون العلم الإجمالی معنی معقولا، و إذا شک فی ذلک لشبهة عقلیة، یسقط البحث عن آثاره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المصطلح علیه فی الکتب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لدی أهله، ضرورة أن العالم صورة العلم التفصیلیّ، و هی منکشفة قبل تحققه بانکشاف الذات لدی الذات، لأن هذا الانکشاف یستلزم انکشاف لوازم الذات من الصفات و الآثار، و ذاک هو العلم التفصیلیّ، و هذا هو العلم الإجمالی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المقام، فربما یشکل کما استشکل الأمر فی الواجب التخییری، و فی بیع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هو الحق الصریح فی المسألة، أنه من مقایسة العلم الإجمالی بالعلم التفصیلیّ، یعلم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یکون فی نفس العلم و لا فی المتعلق إجمال، خلافا لما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الإجمال لیس فی العلم، بل هو فی المتعلق</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نهایة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العلم التفصیلیّ مثلا بخمریة ما فی الإناء، هو العلم بالأمور المختلفة المتعانقة فی الوجود، و المتلازمة فی التحقق، فإن من یعلم بأن ما فی الإناء الخاصّ خمر، یعلم بوجود الخمر، و بطبیعتها، و بمقولاتها،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الأین الخاصّ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التفصیلیّ یرجع إلی العلوم الکثیرة بالجوهر و الأعراض، التی یکون کل واحد مستقلا فی المعلومیة و المجهولیة، فربما یعلم بوجود الخمر، و لا یعلم بلونها، لأجل الشرکة بین لونها و لون آخر یشبه الخمر، أو یعلم بوجودها و کیفیته، و لا یعلم بأینها و مکانها،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وجود المشارکات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 بمقولة الأین،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عالما بجمیع الخصوصیات، یعلم تفصیلا بوجود الخمر، و لا یعقل حینئذ أن یحصل العلم الإجمالی، و هذا یشهد علی أن الإجمال، ناشئ من الجهل ببعض المقارنات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جاهلا بإحدی الخصوصیات، یلزم لأجل المشارکة الجهل، فیکون العلم المقرون بالجهل، علما بأصل الوجود فی الدار، و جهلا بأنه فی الجانب الشرقی أو الغربی، فالعلم الإجمالی هو العلم المقرون بالجهل، و لا إجمال فی الحیثیة</w:t>
      </w:r>
      <w:bookmarkStart w:id="287" w:name="pg13170_166316"/>
    </w:p>
    <w:p>
      <w:pPr>
        <w:pStyle w:val="BookText"/>
        <w:rPr/>
      </w:pPr>
      <w:bookmarkEnd w:id="287"/>
      <w:r>
        <w:rPr>
          <w:rFonts w:ascii="IRNazanin" w:hAnsi="IRNazanin" w:eastAsia="IRNazanin"/>
          <w:color w:val="111111"/>
          <w:sz w:val="28"/>
          <w:sz w:val="28"/>
          <w:szCs w:val="28"/>
          <w:rtl w:val="true"/>
          <w:lang w:bidi="fa-IR"/>
        </w:rPr>
        <w:t>المعلومة بالذات، و لا فی المتعلق، و إنما الإجمال أمر یعتبر و ینتزع، أو یخترع من التقارن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الإجمال بالخارج، کتعلق التفصیل بالخارج، فإن الخارج مورد الإضافة بالعرض و المجاز، و معلوم بالعرض، و ما هو المعلوم بالذات هو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تحرر و تحصل إلی هنا، تنحل هذه المشکلة فی المقام، و أما مشکلة الوجوب التخییری، فقد حلت فی محلها</w:t>
      </w:r>
      <w:r>
        <w:rPr>
          <w:rStyle w:val="FootnoteAnchor"/>
          <w:rtl w:val="true"/>
        </w:rPr>
        <w:footnoteReference w:id="344"/>
      </w:r>
      <w:r>
        <w:rPr>
          <w:rFonts w:ascii="IRNazanin" w:hAnsi="IRNazanin" w:eastAsia="IRNazanin"/>
          <w:color w:val="111111"/>
          <w:sz w:val="28"/>
          <w:sz w:val="28"/>
          <w:szCs w:val="28"/>
          <w:rtl w:val="true"/>
          <w:lang w:bidi="fa-IR"/>
        </w:rPr>
        <w:t xml:space="preserve">، و مشکلة بیع الفرد المردد، مذکورة بحلها فی کتابنا الموضوع فی البیع و أحکامه </w:t>
      </w:r>
      <w:r>
        <w:rPr>
          <w:rStyle w:val="FootnoteAnchor"/>
          <w:rtl w:val="true"/>
        </w:rPr>
        <w:footnoteReference w:id="345"/>
      </w:r>
      <w:r>
        <w:rPr>
          <w:rFonts w:ascii="IRNazanin" w:hAnsi="IRNazanin" w:eastAsia="IRNazanin"/>
          <w:color w:val="111111"/>
          <w:sz w:val="28"/>
          <w:sz w:val="28"/>
          <w:szCs w:val="28"/>
          <w:rtl w:val="true"/>
          <w:lang w:bidi="fa-IR"/>
        </w:rPr>
        <w:t>، و اللَّه هو المؤید المسدد</w:t>
      </w:r>
      <w:r>
        <w:rPr>
          <w:rFonts w:eastAsia="IRNazanin" w:cs="IRNazanin"/>
          <w:color w:val="111111"/>
          <w:sz w:val="28"/>
          <w:szCs w:val="28"/>
          <w:rtl w:val="true"/>
          <w:lang w:bidi="fa-IR"/>
        </w:rPr>
        <w:t>.</w:t>
      </w:r>
    </w:p>
    <w:p>
      <w:pPr>
        <w:pStyle w:val="Heading4"/>
        <w:numPr>
          <w:ilvl w:val="3"/>
          <w:numId w:val="1"/>
        </w:numPr>
        <w:rPr/>
      </w:pPr>
      <w:bookmarkStart w:id="288" w:name="__RefHeading___Toc624455_3244359995"/>
      <w:bookmarkStart w:id="289" w:name="_Toc107"/>
      <w:bookmarkEnd w:id="288"/>
      <w:r>
        <w:rPr>
          <w:rtl w:val="true"/>
        </w:rPr>
        <w:t>ثانیها</w:t>
      </w:r>
      <w:r>
        <w:rPr>
          <w:rtl w:val="true"/>
        </w:rPr>
        <w:t xml:space="preserve">: </w:t>
      </w:r>
      <w:r>
        <w:rPr>
          <w:rtl w:val="true"/>
        </w:rPr>
        <w:t>فی بیان محل النزاع</w:t>
      </w:r>
      <w:bookmarkEnd w:id="289"/>
    </w:p>
    <w:p>
      <w:pPr>
        <w:pStyle w:val="BookText"/>
        <w:rPr/>
      </w:pPr>
      <w:r>
        <w:rPr>
          <w:rFonts w:ascii="IRNazanin" w:hAnsi="IRNazanin" w:eastAsia="IRNazanin"/>
          <w:color w:val="111111"/>
          <w:sz w:val="28"/>
          <w:sz w:val="28"/>
          <w:szCs w:val="28"/>
          <w:rtl w:val="true"/>
          <w:lang w:bidi="fa-IR"/>
        </w:rPr>
        <w:t>إن محل النزاع، هو أن التکلیف المعلوم بالعلم التفصیلیّ، کما یکون متنجزا عند کافة العقول، و لا قصور من ناحیة العلم فی تنجیزه، فهل إذا کان ذاک التکلیف مورد العلم الإجمالی، یلزم قصور فی تنجزه لأجل إجمال العلم، أم لا؟</w:t>
      </w:r>
    </w:p>
    <w:p>
      <w:pPr>
        <w:pStyle w:val="BookText"/>
        <w:rPr/>
      </w:pPr>
      <w:r>
        <w:rPr>
          <w:rFonts w:ascii="IRNazanin" w:hAnsi="IRNazanin" w:eastAsia="IRNazanin"/>
          <w:color w:val="111111"/>
          <w:sz w:val="28"/>
          <w:sz w:val="28"/>
          <w:szCs w:val="28"/>
          <w:rtl w:val="true"/>
          <w:lang w:bidi="fa-IR"/>
        </w:rPr>
        <w:t>فما هو مورد البحث، هو الفحص عن قصور العلم و عدمه، و أما المعلوم فلا قصور فیه، و یکون حکما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یشکل ثبوت الفعلیة لأجل الإجمال، لاحتمال کون الفعلی هو الواصل بالتفصیل، فلو کان البحث بعد الفراغ عن الفعلیة، للزم منه الإقرار بالتنجیز طبعا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 فی المجلد الأول معنی الشأنیة و الفعلیة</w:t>
      </w:r>
      <w:r>
        <w:rPr>
          <w:rStyle w:val="FootnoteAnchor"/>
          <w:rtl w:val="true"/>
        </w:rPr>
        <w:footnoteReference w:id="346"/>
      </w:r>
      <w:r>
        <w:rPr>
          <w:rFonts w:ascii="IRNazanin" w:hAnsi="IRNazanin" w:eastAsia="IRNazanin"/>
          <w:color w:val="111111"/>
          <w:sz w:val="28"/>
          <w:sz w:val="28"/>
          <w:szCs w:val="28"/>
          <w:rtl w:val="true"/>
          <w:lang w:bidi="fa-IR"/>
        </w:rPr>
        <w:t>، و أثبتنا</w:t>
      </w:r>
      <w:bookmarkStart w:id="290" w:name="pg13170_166317"/>
    </w:p>
    <w:p>
      <w:pPr>
        <w:pStyle w:val="BookText"/>
        <w:rPr/>
      </w:pPr>
      <w:bookmarkEnd w:id="290"/>
      <w:r>
        <w:rPr>
          <w:rFonts w:ascii="IRNazanin" w:hAnsi="IRNazanin" w:eastAsia="IRNazanin"/>
          <w:color w:val="111111"/>
          <w:sz w:val="28"/>
          <w:sz w:val="28"/>
          <w:szCs w:val="28"/>
          <w:rtl w:val="true"/>
          <w:lang w:bidi="fa-IR"/>
        </w:rPr>
        <w:t>هناک أن من الفعلیة، الأحکام الصادرة عن المبادئ الإلهیة للإجراء، و المبلغة للأمة و إن لم تصل إلینا للموانع الطبیعیة الخارجیة، فإنها لا تخرج عن الفعلیة بعدم الوصول المزبور، فلا تتقوم الفعلیة بالوصول حتی تلزم الشبهة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المبحوث عنها، هی أن حیثیة إجمال العلم، هل تستلزم قصورا و لو تقدیرا، بمعنی أن التکلیف المعلوم بالإجمال، لو کان معلوما بالتفصیل یکون فعلیا، فهل الإجمال فی العلم یورث منع الفعلیة، أم لا؟</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ربما یتخیل </w:t>
      </w:r>
      <w:r>
        <w:rPr>
          <w:rStyle w:val="FootnoteAnchor"/>
          <w:rtl w:val="true"/>
        </w:rPr>
        <w:footnoteReference w:id="347"/>
      </w:r>
      <w:r>
        <w:rPr>
          <w:rFonts w:ascii="IRNazanin" w:hAnsi="IRNazanin" w:eastAsia="IRNazanin"/>
          <w:color w:val="111111"/>
          <w:sz w:val="28"/>
          <w:sz w:val="28"/>
          <w:szCs w:val="28"/>
          <w:rtl w:val="true"/>
          <w:lang w:bidi="fa-IR"/>
        </w:rPr>
        <w:t>من أن من الأصحاب من ارتکب الخلط،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العلم الإجمالی لا یؤثر فی شی‌ء من الأطراف، لأن المعلوم بالإجمال هی المرتبة الأولی من الحکم، و هی مرتبة الإنشاء، و علی هذا لا منع من جریان الأصول النافیة فی جمیع الأطراف، لأنها تنفی المرتبة الثانیة من الحکم </w:t>
      </w:r>
      <w:r>
        <w:rPr>
          <w:rStyle w:val="FootnoteAnchor"/>
          <w:rtl w:val="true"/>
        </w:rPr>
        <w:footnoteReference w:id="348"/>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صحت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تحقیقا، کما سیظهر</w:t>
      </w:r>
      <w:r>
        <w:rPr>
          <w:rFonts w:eastAsia="IRNazanin" w:cs="IRNazanin"/>
          <w:color w:val="111111"/>
          <w:sz w:val="28"/>
          <w:szCs w:val="28"/>
          <w:rtl w:val="true"/>
          <w:lang w:bidi="fa-IR"/>
        </w:rPr>
        <w:t>.</w:t>
      </w:r>
    </w:p>
    <w:p>
      <w:pPr>
        <w:pStyle w:val="Heading4"/>
        <w:numPr>
          <w:ilvl w:val="3"/>
          <w:numId w:val="1"/>
        </w:numPr>
        <w:rPr/>
      </w:pPr>
      <w:bookmarkStart w:id="291" w:name="__RefHeading___Toc624457_3244359995"/>
      <w:bookmarkStart w:id="292" w:name="_Toc108"/>
      <w:bookmarkEnd w:id="291"/>
      <w:r>
        <w:rPr>
          <w:rtl w:val="true"/>
        </w:rPr>
        <w:t>ثالثها</w:t>
      </w:r>
      <w:r>
        <w:rPr>
          <w:rtl w:val="true"/>
        </w:rPr>
        <w:t xml:space="preserve">: </w:t>
      </w:r>
      <w:r>
        <w:rPr>
          <w:rtl w:val="true"/>
        </w:rPr>
        <w:t>فی أن البحث عقلی محض</w:t>
      </w:r>
      <w:bookmarkEnd w:id="292"/>
    </w:p>
    <w:p>
      <w:pPr>
        <w:pStyle w:val="BookText"/>
        <w:rPr/>
      </w:pPr>
      <w:r>
        <w:rPr>
          <w:rFonts w:ascii="IRNazanin" w:hAnsi="IRNazanin" w:eastAsia="IRNazanin"/>
          <w:color w:val="111111"/>
          <w:sz w:val="28"/>
          <w:sz w:val="28"/>
          <w:szCs w:val="28"/>
          <w:rtl w:val="true"/>
          <w:lang w:bidi="fa-IR"/>
        </w:rPr>
        <w:t>ما هو مورد الکلام فی المقام مخصوص بالبحث العقلی، و لا ربط له بالأدلة الشرعیة، ضرورة أن الجهة المبحوث عنها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العلم الإجمالی هل هو کالتفصیلی، أم لا، فی الآثار العقلیة، أو العقلائیة؟ و أما جریان الأصول الشرعیة ذاتا، و عدم جریانها، فهو موکول إلی مباحث البراءة و الاشتغال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البحث عن أن العلم الإجمالی علة تامة، فیکون مانعا من الجریان، أم هو مقتض للتنجیز لو لا الترخیص، فیکون الحکم المعلوم بالإجمال، منجزا بعد العلم و عدم وجود المؤمن، و إلا لو کان معلوما، و لکن کان هناک مؤمن، فلا یکون منجزا،</w:t>
      </w:r>
      <w:bookmarkStart w:id="293" w:name="pg13170_166318"/>
    </w:p>
    <w:p>
      <w:pPr>
        <w:pStyle w:val="BookText"/>
        <w:rPr/>
      </w:pPr>
      <w:bookmarkEnd w:id="293"/>
      <w:r>
        <w:rPr>
          <w:rFonts w:ascii="IRNazanin" w:hAnsi="IRNazanin" w:eastAsia="IRNazanin"/>
          <w:color w:val="111111"/>
          <w:sz w:val="28"/>
          <w:sz w:val="28"/>
          <w:szCs w:val="28"/>
          <w:rtl w:val="true"/>
          <w:lang w:bidi="fa-IR"/>
        </w:rPr>
        <w:t xml:space="preserve">ینتهی إلی البحث عن جریانها، فیرجع إلی محله إن شاء اللَّه تعالی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فی هذه المسألة علی الاقتضاء، یبقی مورد للبحث عن الجریان و عدمه فی المباحث الآتیة، و إلا فلا، لأنه بعد کونه علة تامة لا یبقی وجه لجریانها، کما لا تجری مع العلم التفصیلیّ، و سیأتی زیادة توضیح ذیل الوجه الرابع إن شاء اللَّه تعالی، کما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العلیة و الاقتضاء، لا یرجعان إلی محصل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624459_3244359995"/>
      <w:bookmarkStart w:id="295" w:name="_Toc109"/>
      <w:bookmarkEnd w:id="294"/>
      <w:r>
        <w:rPr>
          <w:rtl w:val="true"/>
        </w:rPr>
        <w:t>رابعها</w:t>
      </w:r>
      <w:r>
        <w:rPr>
          <w:rtl w:val="true"/>
        </w:rPr>
        <w:t xml:space="preserve">: </w:t>
      </w:r>
      <w:r>
        <w:rPr>
          <w:rtl w:val="true"/>
        </w:rPr>
        <w:t>فی الوجوه و الأقوال فی المسألة</w:t>
      </w:r>
      <w:bookmarkEnd w:id="295"/>
    </w:p>
    <w:p>
      <w:pPr>
        <w:pStyle w:val="Heading5"/>
        <w:numPr>
          <w:ilvl w:val="4"/>
          <w:numId w:val="1"/>
        </w:numPr>
        <w:rPr/>
      </w:pPr>
      <w:bookmarkStart w:id="296" w:name="__RefHeading___Toc624461_3244359995"/>
      <w:bookmarkStart w:id="297" w:name="_Toc110"/>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فإن فی توضیحها ما ینفک لأصل البحث فی جوهر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فی شی‌ء، و لا یزاحم البراءة العقلیة، فضلا عن الشرعیة، و لا یعد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الاستناد إلیه لتوجیهه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المتبین للمکلف لا تصلح المؤاخذة علیه، و ما تصلح المؤاخذة علیه غیر متبین، فما هو متبین هی الکبری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تصلح المؤاخذة علی ذلک، و ما هو غیر المتبین هو الخمر، ضرورة أن ما هو الموجب لتنجز التکلیف و الکبری الکلیة، هو انضمام الصغری إلیها، و الصغری هی مجهولة، و لا وجود للواحد المردد فی الخارج حتی یکون هو الصغری للکبری المعلومة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الارتکاب الثانی یوجب العلم بالمخالفة القبیحة غیر نافع، ضرورة أنه فی الشبهة البدویة تجری البراءة العقلیة، و یجوز الاطلاع علی حال تلک الشبهة بالعلم بحصول المخالفة و وقوعها،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 أن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و الخوانساری، ذهبا إلی هذه المقالة</w:t>
      </w:r>
      <w:r>
        <w:rPr>
          <w:rStyle w:val="FootnoteAnchor"/>
          <w:rtl w:val="true"/>
        </w:rPr>
        <w:footnoteReference w:id="351"/>
      </w:r>
      <w:r>
        <w:rPr>
          <w:rFonts w:ascii="IRNazanin" w:hAnsi="IRNazanin" w:eastAsia="IRNazanin"/>
          <w:color w:val="111111"/>
          <w:sz w:val="28"/>
          <w:sz w:val="28"/>
          <w:szCs w:val="28"/>
          <w:rtl w:val="true"/>
          <w:lang w:bidi="fa-IR"/>
        </w:rPr>
        <w:t>، و سیأتی 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یقولان بمقالة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أو یقولان بالتفصیل بین العلم الإجمالی بالتکلیف، و بین العلم الإجمالی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أصل الأثر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البناءات العقلائیة، و الاحتجاجات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الصناعة، فإن قضیة الشکل الأول فی موارد العلم التفصیلیّ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إذا أحرز أن ما فی الإناء خمر، و طبق علیه الکبری، تصیر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فی الإناء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علمنا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أو ذاک خمر، یجوز تطبیق الکبری الکلیة علی هذا أو ذاک،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 ذاک حرام، لأن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وجدنا بعد تمامیة الشکل الأول، أن هذا أو ذاک حرام، فیکون نظیر الدلیل الوارد اجتهادا و دلیلا خاصا، بأن هذا أو ذاک حرام، فهل یمکن لک إجراء البراءة العقلیة،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یعلم حین المخالفة عنوان الخلاف و العصیان، لاحتمال کون الحرام بعد ارتکاب الطرف الأول هو الطرف الأول، و یکون الثانی مباحا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فارتکاب جمیع الأطراف غیر جائز بالضرورة فی مرتبة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التحریم التخییری الّذی حررنا تصویره فی محله </w:t>
      </w:r>
      <w:r>
        <w:rPr>
          <w:rStyle w:val="FootnoteAnchor"/>
          <w:rtl w:val="true"/>
        </w:rPr>
        <w:footnoteReference w:id="352"/>
      </w:r>
      <w:r>
        <w:rPr>
          <w:rFonts w:ascii="IRNazanin" w:hAnsi="IRNazanin" w:eastAsia="IRNazanin"/>
          <w:color w:val="111111"/>
          <w:sz w:val="28"/>
          <w:sz w:val="28"/>
          <w:szCs w:val="28"/>
          <w:rtl w:val="true"/>
          <w:lang w:bidi="fa-IR"/>
        </w:rPr>
        <w:t>بیان، فلا یجوز ارتکاب المجموع، و أما إذا فرض التحریم المزبور من باب العلم الإجمالی، فإنه حینئذ یثبت البیان عند العقل، و لا یجوز الاقتحام فی المجموع، لتمامیة الشکل الأول بحسب الواقع بالضرورة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توجیها لهذا القول، یظهر ضعف ما أفاده العلامة النائینی و غیره</w:t>
      </w:r>
    </w:p>
    <w:p>
      <w:pPr>
        <w:pStyle w:val="BookText"/>
        <w:rPr/>
      </w:pPr>
      <w:r>
        <w:rPr>
          <w:rFonts w:ascii="IRNazanin" w:hAnsi="IRNazanin" w:eastAsia="IRNazanin"/>
          <w:color w:val="111111"/>
          <w:sz w:val="28"/>
          <w:sz w:val="28"/>
          <w:szCs w:val="28"/>
          <w:rtl w:val="true"/>
          <w:lang w:bidi="fa-IR"/>
        </w:rPr>
        <w:t xml:space="preserve">فی المقام </w:t>
      </w:r>
      <w:r>
        <w:rPr>
          <w:rStyle w:val="FootnoteAnchor"/>
          <w:rtl w:val="true"/>
        </w:rPr>
        <w:footnoteReference w:id="353"/>
      </w:r>
      <w:r>
        <w:rPr>
          <w:rFonts w:ascii="IRNazanin" w:hAnsi="IRNazanin" w:eastAsia="IRNazanin"/>
          <w:color w:val="111111"/>
          <w:sz w:val="28"/>
          <w:sz w:val="28"/>
          <w:szCs w:val="28"/>
          <w:rtl w:val="true"/>
          <w:lang w:bidi="fa-IR"/>
        </w:rPr>
        <w:t>، فإنه وجه بارد، و یتوجه إلیه ما فی کلامهم علیه،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مقتض، و یجوز الترخیص علی خلافه، فلا تحرم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حیث لم ینکشف به تمام الانکشاف، و کانت مرتبة الحکم الظاهری محفوظة، جاز الإذن من الشارع بمخالفته احتمالا، بل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محذور المناقضة إنما هو المحذور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الظاهری، و الواقعی فی الشبهة غیر المحصورة، بل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فیهما لا یکون بفعلی، مندفع بثبوت الفعلیة فی غیر المحصورة، و باحتمالها فی البدویة، فما به التفصی عن المحذور فیهما، کان به التفصی عنه فی القطع به فی الأطراف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الإجمالی کالتفصیلی فی مجرد الاقتضاء، لا فی العلیة التامة، فیوجب التنجز لو لم یمنع عن التنجز دلیل و ترخیص عقلی، کما فی غیر المحصورة، أو شرعی کما فی المحصورة، حسب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انتهی ملخص مرامه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القولین المزبورین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الأول یکون العلم الإجمالی کالشک البدوی بالنسبة إلی البراءات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العقلائیة، و الشرعیة، و فی الثانی یکون مثله فی خصوص البراءة الشرعیة، دون العقلیة و العرفیة، و النتیجة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أن تجویز المخالفة القطعیة بنحو الجد، لا یمکن أن یصدر من المولی الواحد، ضرورة أنه یمکن أن یرخص الأب فی مخالفة الجد، و أما الرب فلا یعقل أن یرخص فی مخالفة نفسه، للزوم کون الواحد الشخصی، مصب الإرادتین المتخالفتین غیر القابلتین للاجتماع، بل یقبح الترخیص بالمخالفة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تبدل الحکم الواقعی الفعلی إلی الشأنی، فلا مخالفة کما لا یخفی، و لو کان الحکم فعلیا فالمناقضة غیر مرتفعة، حتی فی الشبهة البدویة، فضلا عن غیر المحصورة، و قد تحرر منا و یأتی تفصیله أن الجمع بین الأحکام الظاهریة و الواقعیة، غیر معقول بمعناه الواقعی، و ما هو المعقول هو إنکار الواقعیة فی مرتبة الحکم الظاهری، بمضی الشرع عن الواقعیات، نظرا إلی بعض الأمور المهمة، و الأغراض الأساسیة، و تفصیله فی الآتی إن شاء اللَّه تعالی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البحث و هو تعلق العلم الإجمالی بالحکم الفعلی، لا یعقل الترخیص فی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الشبهة غیر المحصورة بیان آخر یأتی فی محله </w:t>
      </w:r>
      <w:r>
        <w:rPr>
          <w:rStyle w:val="FootnoteAnchor"/>
          <w:rtl w:val="true"/>
        </w:rPr>
        <w:footnoteReference w:id="357"/>
      </w:r>
      <w:r>
        <w:rPr>
          <w:rFonts w:ascii="IRNazanin" w:hAnsi="IRNazanin" w:eastAsia="IRNazanin"/>
          <w:color w:val="111111"/>
          <w:sz w:val="28"/>
          <w:sz w:val="28"/>
          <w:szCs w:val="28"/>
          <w:rtl w:val="true"/>
          <w:lang w:bidi="fa-IR"/>
        </w:rPr>
        <w:t xml:space="preserve">، کما أن لنا جمعا بین الأحکام علی نعت بدیع، فانتظر حتی حین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إذا کان المفروض، تعلق العلم الإجمالی بالحجة الفعلیة اللولائیة، فلا منع من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أدلة الأصول، قرینة علی عدم فعلیة الحکم فی أطراف العلم الإجمالی، و أن الخمر المعلوم بالإجمال لیس بمحرم واقعا، لأجل اقتضاء الأدلة الجاریة فی الأطراف، القابلة لکونها قرینة علی حصول القید فی الموضوع الواقعی،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الخمر المعلومة بالتفصیل حراما، و هکذا</w:t>
      </w:r>
    </w:p>
    <w:p>
      <w:pPr>
        <w:pStyle w:val="BookText"/>
        <w:rPr/>
      </w:pPr>
      <w:r>
        <w:rPr>
          <w:rFonts w:ascii="IRNazanin" w:hAnsi="IRNazanin" w:eastAsia="IRNazanin"/>
          <w:color w:val="111111"/>
          <w:sz w:val="28"/>
          <w:sz w:val="28"/>
          <w:szCs w:val="28"/>
          <w:rtl w:val="true"/>
          <w:lang w:bidi="fa-IR"/>
        </w:rPr>
        <w:t>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الدور فیها</w:t>
      </w:r>
      <w:r>
        <w:rPr>
          <w:rStyle w:val="FootnoteAnchor"/>
          <w:rtl w:val="true"/>
        </w:rPr>
        <w:footnoteReference w:id="359"/>
      </w:r>
      <w:r>
        <w:rPr>
          <w:rFonts w:ascii="IRNazanin" w:hAnsi="IRNazanin" w:eastAsia="IRNazanin"/>
          <w:color w:val="111111"/>
          <w:sz w:val="28"/>
          <w:sz w:val="28"/>
          <w:szCs w:val="28"/>
          <w:rtl w:val="true"/>
          <w:lang w:bidi="fa-IR"/>
        </w:rPr>
        <w:t>مدفوع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أخذ العلم قیدا لها أیضا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مما هو الموضوع للبحث هنا</w:t>
      </w:r>
      <w:r>
        <w:rPr>
          <w:rStyle w:val="FootnoteAnchor"/>
          <w:rtl w:val="true"/>
        </w:rPr>
        <w:footnoteReference w:id="361"/>
      </w:r>
      <w:r>
        <w:rPr>
          <w:rFonts w:ascii="IRNazanin" w:hAnsi="IRNazanin" w:eastAsia="IRNazanin"/>
          <w:color w:val="111111"/>
          <w:sz w:val="28"/>
          <w:sz w:val="28"/>
          <w:szCs w:val="28"/>
          <w:rtl w:val="true"/>
          <w:lang w:bidi="fa-IR"/>
        </w:rPr>
        <w:t>، و هو أن إجمال العلم هل یمنع من جریان البراءة فی الأطراف؟</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الآثار الثابتة للعلم التفصیلیّ، ثابتة للعلم الإجمالی علی وجه العلیة التامة حتی یمنع، أو علی وجه الاقتضاء، حتی لا یمنع؟</w:t>
      </w:r>
    </w:p>
    <w:p>
      <w:pPr>
        <w:pStyle w:val="BookText"/>
        <w:rPr/>
      </w:pPr>
      <w:r>
        <w:rPr>
          <w:rFonts w:ascii="IRNazanin" w:hAnsi="IRNazanin" w:eastAsia="IRNazanin"/>
          <w:color w:val="111111"/>
          <w:sz w:val="28"/>
          <w:sz w:val="28"/>
          <w:szCs w:val="28"/>
          <w:rtl w:val="true"/>
          <w:lang w:bidi="fa-IR"/>
        </w:rPr>
        <w:t>و أما جریان الأصول و عدمه فی الأطراف، فهو بحث روائی مربوط بمباحث الشک، و بالنظر إلی الآثار و الأخبار، و التدبر فی لسان الروایات تصدیقا، و لا ینبغی الخلط بین مباحث القطع، و مباحث البراءة و الشکوک، و لا معنی لإحالة البحث من هنا إلی ذاک المحل و بالعکس، لأجنبیة المقامات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کلام العلامة النائینی </w:t>
      </w:r>
      <w:r>
        <w:rPr>
          <w:rStyle w:val="FootnoteAnchor"/>
          <w:rtl w:val="true"/>
        </w:rPr>
        <w:footnoteReference w:id="362"/>
      </w:r>
      <w:r>
        <w:rPr>
          <w:rFonts w:ascii="IRNazanin" w:hAnsi="IRNazanin" w:eastAsia="IRNazanin"/>
          <w:color w:val="111111"/>
          <w:sz w:val="28"/>
          <w:sz w:val="28"/>
          <w:szCs w:val="28"/>
          <w:rtl w:val="true"/>
          <w:lang w:bidi="fa-IR"/>
        </w:rPr>
        <w:t>، أیضا غیر صحیح،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أیضا یظهر ضعف ما أفاده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البحث عن وجوب الموافقة القطعیة، موکول إلی البراءة و الاشتغال، و ما هو الموکول إلی هنا، هو البحث عن حرمة المخالفة القطعیة</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جمیع الجهات الراجعة إلی القطع حسب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العلیة، أو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مربوطة بمباحث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قلنا بالاقتضاء، یبقی محل للبحث هناک، و إلا فلا کما مر آنفا، فتأمل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لیس کالشک البدوی، حتی لا یکون بیانا عقلا، أو</w:t>
      </w:r>
    </w:p>
    <w:p>
      <w:pPr>
        <w:pStyle w:val="BookText"/>
        <w:rPr/>
      </w:pPr>
      <w:r>
        <w:rPr>
          <w:rFonts w:ascii="IRNazanin" w:hAnsi="IRNazanin" w:eastAsia="IRNazanin"/>
          <w:color w:val="111111"/>
          <w:sz w:val="28"/>
          <w:sz w:val="28"/>
          <w:szCs w:val="28"/>
          <w:rtl w:val="true"/>
          <w:lang w:bidi="fa-IR"/>
        </w:rPr>
        <w:t>لا یکون مانعا عن جریان البراءة الشرعیة فی قاطبة الأطراف طرا، و لا یکون کالعلم التفصیلیّ، حتی لا یمکن ترخیص ارتکاب مجموع المحتملات، بل هو أمر متوسط بینهما، و لازمه حرمة المخالفة القطعیة، و ممنوعیة المخالفة الاحتمالیة عقلا، و لکن یمکن ترخیص أحد الأطراف علی التعیین أو التخییر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المذهب المستقر علیه رأی الشیخ الأعظم، و شیخ مشایخنا جد أولادی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النائینی قدس سرهم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ألجأهم إلی ذلک، هو أن الترخیص بجمیع الأطراف مستحیل، و الترخیص ببعض الأطراف لیس بمستحیل، فلا مانع منه، و لا دلیل من العقل علی قبح هذا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العلمین کانا متوجهین إلی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الترخیص فی بعض الأطراف فی حکم الترخیص فی الکل، لأن احتمال المناقضة فی حکم المناقضة</w:t>
      </w:r>
      <w:r>
        <w:rPr>
          <w:rStyle w:val="FootnoteAnchor"/>
          <w:rtl w:val="true"/>
        </w:rPr>
        <w:footnoteReference w:id="365"/>
      </w:r>
      <w:r>
        <w:rPr>
          <w:rFonts w:ascii="IRNazanin" w:hAnsi="IRNazanin" w:eastAsia="IRNazanin"/>
          <w:color w:val="111111"/>
          <w:sz w:val="28"/>
          <w:sz w:val="28"/>
          <w:szCs w:val="28"/>
          <w:rtl w:val="true"/>
          <w:lang w:bidi="fa-IR"/>
        </w:rPr>
        <w:t>، أخذ کل مهربا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 العقل بلزوم الاحتیاط، لأجل عدم الأمن من الضرر، فإذا حصل المؤمن فلا یحتمل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غیر کاف لحل الإشکال، و لذلک عدل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حواشی العلامة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أن الشرع بما هو شارع لا یجوز له الترخیص، و لکنه بما هو عاقل یجوز، نظرا إلی تسهیل الأمر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لا یرجع إلی محصل، کما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التقریرات فاتخذ سبیلا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للشارع الترخیص فی بعض الأطراف، بجعل الطرف الآخر بدلا، و هذا هو من التصرف فی مقام الامتثال، و قد جوزنا ذلک حتی فی العلم التفصیلیّ فی وادی الفراغ</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الإجمالی بالإرادة الفعلیة و التکلیف الحتمی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الترخیص فی أحد الأطراف، ضرورة أنه لو کان معنی الترخیص، هو جعل الحلیة للخمر إذا کان مشکوکا، أو للخمر المشکوک، أو کان معنی الترخیص رفع الحرمة عن الخمر المشکوک، أو عن الخمر إذا کان مشکوکا، یلزم فی صورة کون الطرف المرتکب هو الخمر، اجتماع الإرادتین المتنافیتین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التحریم، و إرادة الترخیص، و هذا هو احتمال المناقضة الّذی هو فی حکم المناقضة فی الاستحالة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الترخیص فی بعض الأطراف فی مفروض المسألة، فهو کما یستحیل، یستحیل فی الشبهة البدویة أیضا، و کما لا یعقل هناک الترخیص إلا بالتصرف فی الفعلیة و الإرادة، کذلک الأمر هنا، فیلزم الخلف، و تصیر النتیجة علی هذا ممنوعیة الترخیص مطلقا، فلو ورد دلیل علی الترخیص، فیحمل علی وجه یستتبع التصرف فی الحکم الواقعی، کما سیجی‌ء فی محله إن شاء اللَّه تعالی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الحاشیة، فالذی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لا یعقل له الترخیص حتی بما أنه عاقل، لاتحادهما، فلا بد فی صورة الترخیص من ملاحظة المصالح العامة فی الأحکام الواقعیة، و من مصلحة التسهیل، و بعد الکسر و الانکسار إما یقدم الواقع فیحتاط، أو یقدم الثانی فیرخص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بحسب التصدیق، فتفصیله فی بحوث الشک إن شاء اللَّه تعالی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الأعجب ما فی تقریرات العلامة الکاظمی قدس سره حیث تخیل إمکان کون الامتثال أوسع من التکلیف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الواضح امتناعه، فلو رخص الشرع فی أحد الأطراف بجعل البدلیة، فهو یرجع إلی أن الحکم الواقعی هو التخییر بین الطرف و البدل، و إلا فلا یعقل إجزاء المباین عن المباین، کما تحرر فی مباحث الإجزاء</w:t>
      </w:r>
      <w:r>
        <w:rPr>
          <w:rStyle w:val="FootnoteAnchor"/>
          <w:rtl w:val="true"/>
        </w:rPr>
        <w:footnoteReference w:id="372"/>
      </w:r>
      <w:r>
        <w:rPr>
          <w:rFonts w:ascii="IRNazanin" w:hAnsi="IRNazanin" w:eastAsia="IRNazanin"/>
          <w:color w:val="111111"/>
          <w:sz w:val="28"/>
          <w:sz w:val="28"/>
          <w:szCs w:val="28"/>
          <w:rtl w:val="true"/>
          <w:lang w:bidi="fa-IR"/>
        </w:rPr>
        <w:t>، فکون الصوم مجزیا عن الصلاة و بالعکس، و ترک شرب الماء مجزیا عن ترک شرب الخمر، مع التزام الشارع بالصلاة معینا، و بحرمة الخمر فعلا و بتا، مما یضحک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وادی الفراغ أیضا، لا یعقل إلا بالمضی عن الواقع، لأجل المصالح العلیا،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ما حققنا یمکن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فی مثل النهی عن الخمر، لا یکون اشتغال الذّمّة، حتی یکون ترک شرب الماء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التکلیف لیس إلا اشتغال الذّمّة بالمکلف به،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w:t>
      </w:r>
      <w:r>
        <w:rPr>
          <w:rStyle w:val="FootnoteAnchor"/>
          <w:rtl w:val="true"/>
        </w:rPr>
        <w:footnoteReference w:id="373"/>
      </w:r>
      <w:r>
        <w:rPr>
          <w:rFonts w:ascii="IRNazanin" w:hAnsi="IRNazanin" w:eastAsia="IRNazanin"/>
          <w:color w:val="111111"/>
          <w:sz w:val="28"/>
          <w:sz w:val="28"/>
          <w:szCs w:val="28"/>
          <w:rtl w:val="true"/>
          <w:lang w:bidi="fa-IR"/>
        </w:rPr>
        <w:t xml:space="preserve">، فهو غلط قد تحرر منا فی محله امتناعه </w:t>
      </w:r>
      <w:r>
        <w:rPr>
          <w:rStyle w:val="FootnoteAnchor"/>
          <w:rtl w:val="true"/>
        </w:rPr>
        <w:footnoteReference w:id="374"/>
      </w:r>
      <w:r>
        <w:rPr>
          <w:rFonts w:ascii="IRNazanin" w:hAnsi="IRNazanin" w:eastAsia="IRNazanin"/>
          <w:color w:val="111111"/>
          <w:sz w:val="28"/>
          <w:sz w:val="28"/>
          <w:szCs w:val="28"/>
          <w:rtl w:val="true"/>
          <w:lang w:bidi="fa-IR"/>
        </w:rPr>
        <w:t>، مضافا إلی عدم عقلائیته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فی أحد الأطراف معینا أو غیر معین، غیر معقول فی مفروض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توهم إمکان أوسعیة مقام الامتثال من الجعل و التکلیف فاسد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قصور أدلة الأصول الشرعیة عن جعل الطرف بدلا عن الواقع، فیما إذا علم إجمالا بوجوب القصر أو الإتمام، أو جعل ترک أحد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bookmarkStart w:id="298" w:name="pg13170_166326"/>
    </w:p>
    <w:p>
      <w:pPr>
        <w:pStyle w:val="BookText"/>
        <w:rPr/>
      </w:pPr>
      <w:bookmarkEnd w:id="298"/>
      <w:r>
        <w:rPr>
          <w:rFonts w:ascii="IRNazanin" w:hAnsi="IRNazanin" w:eastAsia="IRNazanin"/>
          <w:color w:val="111111"/>
          <w:sz w:val="28"/>
          <w:sz w:val="28"/>
          <w:szCs w:val="28"/>
          <w:rtl w:val="true"/>
          <w:lang w:bidi="fa-IR"/>
        </w:rPr>
        <w:t>ترک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ترک الخمر، مع ما فیه من المناقشات الجزئیة الاخر، فلا تغفل، و تدبر</w:t>
      </w:r>
      <w:r>
        <w:rPr>
          <w:rFonts w:eastAsia="IRNazanin" w:cs="IRNazanin"/>
          <w:color w:val="111111"/>
          <w:sz w:val="28"/>
          <w:szCs w:val="28"/>
          <w:rtl w:val="true"/>
          <w:lang w:bidi="fa-IR"/>
        </w:rPr>
        <w:t>.</w:t>
      </w:r>
    </w:p>
    <w:p>
      <w:pPr>
        <w:pStyle w:val="Heading5"/>
        <w:numPr>
          <w:ilvl w:val="4"/>
          <w:numId w:val="1"/>
        </w:numPr>
        <w:rPr/>
      </w:pPr>
      <w:bookmarkStart w:id="299" w:name="__RefHeading___Toc624463_3244359995"/>
      <w:bookmarkStart w:id="300" w:name="_Toc111"/>
      <w:bookmarkEnd w:id="299"/>
      <w:r>
        <w:rPr>
          <w:rtl w:val="true"/>
        </w:rPr>
        <w:t>إیقاظ</w:t>
      </w:r>
      <w:r>
        <w:rPr>
          <w:rtl w:val="true"/>
        </w:rPr>
        <w:t xml:space="preserve">: </w:t>
      </w:r>
      <w:r>
        <w:rPr>
          <w:rtl w:val="true"/>
        </w:rPr>
        <w:t>فیه إشارة لبعض الأدلة الشرعیة علی تنجیز العلم الإجمالی</w:t>
      </w:r>
      <w:bookmarkEnd w:id="300"/>
    </w:p>
    <w:p>
      <w:pPr>
        <w:pStyle w:val="BookText"/>
        <w:rPr/>
      </w:pPr>
      <w:r>
        <w:rPr>
          <w:rFonts w:ascii="IRNazanin" w:hAnsi="IRNazanin" w:eastAsia="IRNazanin"/>
          <w:color w:val="111111"/>
          <w:sz w:val="28"/>
          <w:sz w:val="28"/>
          <w:szCs w:val="28"/>
          <w:rtl w:val="true"/>
          <w:lang w:bidi="fa-IR"/>
        </w:rPr>
        <w:t>ربما یمکن الاستناد إلی بعض الأدلة الشرعیة لتنجیز العلم الإجمالی، مثل أن قضیة مفهوم الغایة لقاعدة الحل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عدم جریانهما فی الأطراف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ممنوعیة جمیع الأطراف،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حلال </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هو المرخص للارتکاب، فیکون المفهوم فی الغایة المنع عنه إذا علم، و حیث إنه فی مورد العلم الإجمالی یکون من العلم المأخوذ فیه، یلزم ممنوعیة جمیع الأطراف 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یشعر الأمر بالإهراق فی الماء المردد المعلومة بالإجمال نجاسته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بأن العلم الإجمالی ینجز جمیع الأطراف، فلا تصل مع النجس، أو لا تتوضأ بالنجس، إذ قد تنجز بحسب ذلک، فیلزم ترک الکل، و حیث إن الأمر دائر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الماءین مما لا یمکن تحصیل الوضوء بهما جمعا، کما تحرر فی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الإهراق، لأنه قد تنجز علیه التکلیف بالمائیة مثلا، و علی هذا یعلم بتنجیز العلم الإجمالی فی هذه الناحیة أیضا، فافهم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من الأمر بالصلاة إلی الأطراف الأربعة فی صورة اشتباه القبلة</w:t>
      </w:r>
      <w:r>
        <w:rPr>
          <w:rStyle w:val="FootnoteAnchor"/>
          <w:rtl w:val="true"/>
        </w:rPr>
        <w:footnoteReference w:id="377"/>
      </w:r>
      <w:r>
        <w:rPr>
          <w:rFonts w:ascii="IRNazanin" w:hAnsi="IRNazanin" w:eastAsia="IRNazanin"/>
          <w:color w:val="111111"/>
          <w:sz w:val="28"/>
          <w:sz w:val="28"/>
          <w:szCs w:val="28"/>
          <w:rtl w:val="true"/>
          <w:lang w:bidi="fa-IR"/>
        </w:rPr>
        <w:t>، مع أن کل واحد من الأطراف مجری البراءة، فلیتدبر</w:t>
      </w:r>
      <w:r>
        <w:rPr>
          <w:rFonts w:eastAsia="IRNazanin" w:cs="IRNazanin"/>
          <w:color w:val="111111"/>
          <w:sz w:val="28"/>
          <w:szCs w:val="28"/>
          <w:rtl w:val="true"/>
          <w:lang w:bidi="fa-IR"/>
        </w:rPr>
        <w:t>.</w:t>
      </w:r>
      <w:bookmarkStart w:id="301" w:name="pg13170_166327"/>
    </w:p>
    <w:p>
      <w:pPr>
        <w:pStyle w:val="BookText"/>
        <w:rPr/>
      </w:pPr>
      <w:bookmarkEnd w:id="301"/>
      <w:r>
        <w:rPr>
          <w:rFonts w:ascii="IRNazanin" w:hAnsi="IRNazanin" w:eastAsia="IRNazanin"/>
          <w:color w:val="111111"/>
          <w:sz w:val="28"/>
          <w:sz w:val="28"/>
          <w:szCs w:val="28"/>
          <w:rtl w:val="true"/>
          <w:lang w:bidi="fa-IR"/>
        </w:rPr>
        <w:t>إذا تبینت هذه الأمور و الأقوال بنحو الإجمال فی مسألة منجزیة العلم الإجمالی،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الکلام فی المقام یقع فی مرحلتین</w:t>
      </w:r>
      <w:r>
        <w:rPr>
          <w:rFonts w:eastAsia="IRNazanin" w:cs="IRNazanin"/>
          <w:color w:val="111111"/>
          <w:sz w:val="28"/>
          <w:szCs w:val="28"/>
          <w:rtl w:val="true"/>
          <w:lang w:bidi="fa-IR"/>
        </w:rPr>
        <w:t>:</w:t>
      </w:r>
    </w:p>
    <w:p>
      <w:pPr>
        <w:pStyle w:val="Heading4"/>
        <w:numPr>
          <w:ilvl w:val="3"/>
          <w:numId w:val="1"/>
        </w:numPr>
        <w:rPr/>
      </w:pPr>
      <w:bookmarkStart w:id="302" w:name="__RefHeading___Toc624465_3244359995"/>
      <w:bookmarkStart w:id="303" w:name="_Toc112"/>
      <w:bookmarkEnd w:id="302"/>
      <w:r>
        <w:rPr>
          <w:rtl w:val="true"/>
        </w:rPr>
        <w:t>المرحلة الأولی فیما هو الحق فی مسألة تنجیز العلم الإجمالی</w:t>
      </w:r>
      <w:bookmarkEnd w:id="303"/>
    </w:p>
    <w:p>
      <w:pPr>
        <w:pStyle w:val="Heading5"/>
        <w:numPr>
          <w:ilvl w:val="4"/>
          <w:numId w:val="1"/>
        </w:numPr>
        <w:rPr/>
      </w:pPr>
      <w:bookmarkStart w:id="304" w:name="__RefHeading___Toc624467_3244359995"/>
      <w:bookmarkStart w:id="305" w:name="_Toc113"/>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و الّذی تبین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بین العلم الإجمالی بوجود التکلیف الإلزامیّ، و بین العلم الإجمالی بالحجة الفعلیة</w:t>
      </w:r>
      <w:r>
        <w:rPr>
          <w:rStyle w:val="FootnoteAnchor"/>
          <w:rtl w:val="true"/>
        </w:rPr>
        <w:footnoteReference w:id="378"/>
      </w:r>
      <w:r>
        <w:rPr>
          <w:rFonts w:ascii="IRNazanin" w:hAnsi="IRNazanin" w:eastAsia="IRNazanin"/>
          <w:color w:val="111111"/>
          <w:sz w:val="28"/>
          <w:sz w:val="28"/>
          <w:szCs w:val="28"/>
          <w:rtl w:val="true"/>
          <w:lang w:bidi="fa-IR"/>
        </w:rPr>
        <w:t>، ممکن لا بحسب الثبوت، بداهة أنه مع کون المفروض وجود الحکم الفعلی، أو مع کون المفروض ثبوت الحجة الفعلیة، التی لا یتنازل الشرع عن واقعه إذا أصابت الحجة، لا یعقل الترخیص فی أحد الأطراف، و لا فی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یتراءی من کلام بعض من التفصیل، فهو یرجع إلی مقام الإثبات،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الصورة الأولی لا یمکن أن تکون أدلة الأصول العملیة، قرینة علی عدم فعلیة الحکم، لأنه خلف، ضرورة أن المفروض هو العلم الوجدانی بالإرادة القطعیة، و روح التکلیف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 فیمکن أن تجعل تلک الأدلة قرینة علی أن المولی قد تنازل عن الحکم، لأجل مصلحة التسهیل، فلا فعلیة للحکم و الإرادة التشریعیة حینئذ</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الصورتین ثبوتا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الوجه المزبور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المزبور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کفایة الأدلة لذلک، فهو بحث آخر موکول إلی مباحث الشکوک </w:t>
      </w:r>
      <w:r>
        <w:rPr>
          <w:rStyle w:val="FootnoteAnchor"/>
          <w:rtl w:val="true"/>
        </w:rPr>
        <w:footnoteReference w:id="379"/>
      </w:r>
      <w:r>
        <w:rPr>
          <w:rFonts w:ascii="IRNazanin" w:hAnsi="IRNazanin" w:eastAsia="IRNazanin"/>
          <w:color w:val="111111"/>
          <w:sz w:val="28"/>
          <w:sz w:val="28"/>
          <w:szCs w:val="28"/>
          <w:rtl w:val="true"/>
          <w:lang w:bidi="fa-IR"/>
        </w:rPr>
        <w:t xml:space="preserve">، و من هنا یظهر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الخلط بین مباحث القطع و البراءة و الاشتغال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فی أطراف العلم الإجمالی بالإرادة الفعلیة و الحکم الإلهی غیر معقول، کما أنه فی الشبهة البدویة غیر معقول، و لا سبیل إلی ذلک، بخلاف الترخیص فی أطراف الحجة الإجمالیة، کما فی کثیر من موارد العلم الإجمالی، فإنه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العلم الإجمالی مثلا بنجاسة أحد الإناءین، لا ینافی احتمال کون النجس جائز الشرب فی الشریعة بحسب الواقع، ضرورة أن ما یقتضی حرمة شربها هو خبر الثقة، فلا قطع بالإرادة و الحکم واقعا، و عندئذ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الأصول فی جمیع الأطراف ذاتا، یشهد علی أن مصلحة التسهیل متقدمة علی مصلحة الواقع، و إطلاق أدلة الترخیص مقدم علی إطلاق دلیل حرمة شرب الخمر،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 بیانا یقرب من البیان المزبور آنفا، و هو ینتهی إلی إمکان الترخیص أیضا فی جمیع الأطراف، و لکن من ناحیة أن قضیة العقل، هی امتناع الترخیص فیما إذا فرض العلم القطعی بالتکلیف، و کان المفروض أن موضوع هذا الحکم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إطلاقها، و أما إذا دل دلیل علی أن موضوع الحرمة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المعلومة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منع من تصدیقه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جریان الأصول فی الأطراف بحسب ذاتها،</w:t>
      </w:r>
      <w:bookmarkStart w:id="306" w:name="pg13170_166329"/>
    </w:p>
    <w:p>
      <w:pPr>
        <w:pStyle w:val="BookText"/>
        <w:rPr/>
      </w:pPr>
      <w:bookmarkEnd w:id="306"/>
      <w:r>
        <w:rPr>
          <w:rFonts w:ascii="IRNazanin" w:hAnsi="IRNazanin" w:eastAsia="IRNazanin"/>
          <w:color w:val="111111"/>
          <w:sz w:val="28"/>
          <w:sz w:val="28"/>
          <w:szCs w:val="28"/>
          <w:rtl w:val="true"/>
          <w:lang w:bidi="fa-IR"/>
        </w:rPr>
        <w:t xml:space="preserve">یستکشف أن موضوع الحکم المزبور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المعلومة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لازم الترخیص فی جمیع الأطراف ذلک، فإذا کانت القرینة قویة، و کان یمکن التصرف فی المعلوم الإجمالی بهذا النحو، یمکن الترخیص فی جمیع الأطراف،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إمکان کونها قرینة و عدمه، فهو موکول إلی بحوث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لا یختص بالشبهات الموضوعیة، بتوهم لزوم الدور فی الحکمیة، لما تقرر منا من إمکان تصویر اختصاص الحکم بالعالم فی المسائل و البحوث السابقة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الوجه الأول إلی هذا البیان أیضا، لأن تنازل الشرع عن الواقع فی أطراف الشبهة البدویة و المقرونة بالعلم الإجمالی، یلازم کون الموضوع بحسب اللب مقیدا بالعلم التفصیلیّ، فیکون موضوع الحرام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المعلومة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307" w:name="__RefHeading___Toc624469_3244359995"/>
      <w:bookmarkStart w:id="308" w:name="_Toc114"/>
      <w:bookmarkEnd w:id="307"/>
      <w:r>
        <w:rPr>
          <w:rtl w:val="true"/>
        </w:rPr>
        <w:t>تحقیق و تقریب</w:t>
      </w:r>
      <w:bookmarkEnd w:id="30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أن المضادة التی تأتی من الترخیص فی جمیع الأطراف، هی ما إذا کان مقتضی أدلة الأصول، جعل الحلیة للخمر إذا کانت مشکوکة، أو للخمر المشکوکة، أو للخمر حین الشک، فإنه لکون الموضوع للحکم الواقعی و الظاهری واحدا، یلزم المضادة و المناقضة المستحیلة، و لا یعقل فعلیة الحکمین، و إطلاق الواقع فی ظرف الشک، و لأجله ابتلوا بمسألة الجمع بین الواقعی و الظاهری الآتیة فی کتاب الظن إن شاء اللَّه تعالی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إشکال عند القائلین باجتماع الأمر و النهی، فیما إذا کانت النسبة بین موضوعهما العموم من وجه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ذهب بعضهم إلی إمکان الاجتماع و لو کانت النسبة عموما مطلقا</w:t>
      </w:r>
      <w:r>
        <w:rPr>
          <w:rStyle w:val="FootnoteAnchor"/>
          <w:rtl w:val="true"/>
        </w:rPr>
        <w:footnoteReference w:id="384"/>
      </w:r>
      <w:r>
        <w:rPr>
          <w:rFonts w:ascii="IRNazanin" w:hAnsi="IRNazanin" w:eastAsia="IRNazanin"/>
          <w:color w:val="111111"/>
          <w:sz w:val="28"/>
          <w:sz w:val="28"/>
          <w:szCs w:val="28"/>
          <w:rtl w:val="true"/>
          <w:lang w:bidi="fa-IR"/>
        </w:rPr>
        <w:t>، و لکنه بمعزل عن التحقیق عندنا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فإن کان موضوع الأصول العملیة، ذات الطبائع التی هی موضوع الأدلة الواقعیة، فیلزم المناقضة، سواء کانت الذات علی نحو القضیة الحینیة، أو المشروطة، أو المقیدة بالنسبة إلی حال الشک و الجهل و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موضوع تلک الأصول العملیة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المشکوک، و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الخمر، و مشتبه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تکون النسبة بین موضوع الحرمة و موضوع الترخیص، عموما من وجه، فإن مشکوک الخمر أعم من کونه خمرا واقعا، أو غیر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تکون المسألة صغری باب التزاحم، أو التعارض، ضرورة أن العبد یعجز عن الجمع فی محل اجتماع الأمر و النهی 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إکرام الفاسق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صدور الأمر العام و النهی العام، و فیما نحن فیه أیضا و إن کان یمکن الاحتیاط، فیقدم جانب الواقع، و لکن یحتمل أقوائیة مصلحة التسهیل الموجبة لجعل الأصول المرخصة، فیقدم جانب الترخیص، بمعنی أنه مخیر فی الارتکاب و عدمه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موارد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یکون من باب التعارض بالعرض، للعلم بکذب أحدهما خارجا، فیلاحظ مرجحات باب التعارض الداخلیة و الخارجیة، و تصیر النتیجة مختلفة، فربما یمکن ترجیح دلیل الطبیعة، و ربما یرجح دلیل المشتبه و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بین الموضوعین و إن کانت من وجه، و یلزم منه إنکار الأحکام الظاهریة بناتا، و تصیر جمیع الأحکام أحکاما واقعیة علی عناوین ذاتیة و عرضیة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تحریم الخمر فی مورد الشک لا معنی له، لما لا یترتب علیه الأثر، و هو الانزجار، لما لا یعقل التبلیغ مع کونها مشکوکة، و لا سیما مع الترخیص فی الترک بالارتکاب فی الشبهات التحریمیة، و ترک الامتثال فی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تبعات تحلیل الخطاب القانونی إلی الخطابات الجزئیة الشخصیة، و إذا لوحظ القانون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قانون ممنوعیة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یلاحظ هناک إلا طبیعة الخمر، و لا یلاحظ إلا تحریمها علی الأمة، و هکذا فی جانب قانون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ربما یعمل بالقانون الأول فیما أحرزت الخمر، و ربما یعمل بالقانون الثانی فیما لم تحرز، و ربما لا یعمل بالقانون الثانی فیما إذا کان الواقع أهم، کما فی الشبهات المهتم بها، فلا یجری القانون الثانی، لانکشاف أقوائیة ملاک الواقع من ملاک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التسهیل ربما یبلغ إلی حد یریده المولی، کما فی القصر، و الإفطار فی السفر فإن اللَّه یرید بکم الیسر مع أن النّظر إلی التسهیل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الشریعة الإسلامیة، لا بد و أن لا تعرف بأنها شریعة صعبة شدیدة قتالة هدامة حتی یفر منها الناس، و تتنفر منها الطباع، و لذلک رخص فی کثیر من المواقف، فاغتنم</w:t>
      </w:r>
      <w:r>
        <w:rPr>
          <w:rFonts w:eastAsia="IRNazanin" w:cs="IRNazanin"/>
          <w:color w:val="111111"/>
          <w:sz w:val="28"/>
          <w:szCs w:val="28"/>
          <w:rtl w:val="true"/>
          <w:lang w:bidi="fa-IR"/>
        </w:rPr>
        <w:t>.</w:t>
      </w:r>
      <w:bookmarkStart w:id="309" w:name="pg13170_166332"/>
    </w:p>
    <w:p>
      <w:pPr>
        <w:pStyle w:val="Heading5"/>
        <w:numPr>
          <w:ilvl w:val="4"/>
          <w:numId w:val="1"/>
        </w:numPr>
        <w:rPr/>
      </w:pPr>
      <w:bookmarkStart w:id="310" w:name="__RefHeading___Toc624471_3244359995"/>
      <w:bookmarkStart w:id="311" w:name="_Toc115"/>
      <w:bookmarkEnd w:id="309"/>
      <w:bookmarkEnd w:id="310"/>
      <w:r>
        <w:rPr>
          <w:rtl w:val="true"/>
        </w:rPr>
        <w:t>بقی شی‌ء</w:t>
      </w:r>
      <w:r>
        <w:rPr>
          <w:rtl w:val="true"/>
        </w:rPr>
        <w:t xml:space="preserve">: </w:t>
      </w:r>
      <w:r>
        <w:rPr>
          <w:rtl w:val="true"/>
        </w:rPr>
        <w:t>فی بیان النسبة بین مصب الأحکام الواقعیة و مصب الأصول العملیة الحکمیة</w:t>
      </w:r>
      <w:bookmarkEnd w:id="311"/>
    </w:p>
    <w:p>
      <w:pPr>
        <w:pStyle w:val="BookText"/>
        <w:rPr/>
      </w:pPr>
      <w:r>
        <w:rPr>
          <w:rFonts w:ascii="IRNazanin" w:hAnsi="IRNazanin" w:eastAsia="IRNazanin"/>
          <w:color w:val="111111"/>
          <w:sz w:val="28"/>
          <w:sz w:val="28"/>
          <w:szCs w:val="28"/>
          <w:rtl w:val="true"/>
          <w:lang w:bidi="fa-IR"/>
        </w:rPr>
        <w:t>کما یمکن فرض کون النسبة بین مصب الأحکام الواقعیة و مصب الأصول العملیة، عموما من وجه فی الشبهات الموضوعیة، کذلک یمکن ذلک فی الشبهات الحکمیة، فإن موضوع حدیث الرفع لما لا یعلمون، إن أخذ هذا العنوان مشیرا إلی العناوین الذاتیّة، فیلزم المناقضة، فلا بد من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أخذ هذا العنوان مستقلا، فتکون النسبة بین صلاة الظهر و صلاة الجمعة و ما لا یعلمون، عموما من وجه، فیکون ما لا یعلمون مرفوعا، سواء فیه أن صادف الواقع، أم لا، و صلاة الظهر مثلا واجبة، سواء علمت، أم لم تعلم، فإذا کان زید جاهلا بالحکم، تکون الذات واجبة بما أنها ذات، و یکون المجهول بلا حکم، فتکون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منطبقا علیها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الحکم بما أنها مصداق العنوان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الخلط بین إشکالات مباحث اجتماع الأمر و النهی، و مشکلات هذه المسألة،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إمکان اجتماعهما، و إمکان اجتماع الحکم الإلزامیّ و الترخیصی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ذاک، فافهم و اغتنم جیدا</w:t>
      </w:r>
      <w:r>
        <w:rPr>
          <w:rFonts w:eastAsia="IRNazanin" w:cs="IRNazanin"/>
          <w:color w:val="111111"/>
          <w:sz w:val="28"/>
          <w:szCs w:val="28"/>
          <w:rtl w:val="true"/>
          <w:lang w:bidi="fa-IR"/>
        </w:rPr>
        <w:t>.</w:t>
      </w:r>
    </w:p>
    <w:p>
      <w:pPr>
        <w:pStyle w:val="Heading5"/>
        <w:numPr>
          <w:ilvl w:val="4"/>
          <w:numId w:val="1"/>
        </w:numPr>
        <w:rPr/>
      </w:pPr>
      <w:bookmarkStart w:id="312" w:name="__RefHeading___Toc624473_3244359995"/>
      <w:bookmarkStart w:id="313" w:name="_Toc116"/>
      <w:bookmarkEnd w:id="312"/>
      <w:r>
        <w:rPr>
          <w:rtl w:val="true"/>
        </w:rPr>
        <w:t>بقی شی‌ء آخر</w:t>
      </w:r>
      <w:r>
        <w:rPr>
          <w:rtl w:val="true"/>
        </w:rPr>
        <w:t xml:space="preserve">: </w:t>
      </w:r>
      <w:r>
        <w:rPr>
          <w:rtl w:val="true"/>
        </w:rPr>
        <w:t>فی عدم استلزام جعل حلیة المشکوک لمحال</w:t>
      </w:r>
      <w:bookmarkEnd w:id="313"/>
    </w:p>
    <w:p>
      <w:pPr>
        <w:pStyle w:val="BookText"/>
        <w:rPr/>
      </w:pPr>
      <w:r>
        <w:rPr>
          <w:rFonts w:ascii="IRNazanin" w:hAnsi="IRNazanin" w:eastAsia="IRNazanin"/>
          <w:color w:val="111111"/>
          <w:sz w:val="28"/>
          <w:sz w:val="28"/>
          <w:szCs w:val="28"/>
          <w:rtl w:val="true"/>
          <w:lang w:bidi="fa-IR"/>
        </w:rPr>
        <w:t xml:space="preserve">و هو أن جعل الحلیة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المحال علی الإجمال، ضرورة أنه إن کان المشکوک بحسب الذات حلالا، یلزم اجتماع المثلین، و إن کان بحسب الواقع حراما، یلزم اجتماع الضدین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المناقضة و الامتناع علی مسلک القوم فی صورة الإصابة قطعیة، و فی صورة الاحتمال غیر جائز تصدیقها، و أما علی هذا المسلک فیلزم الامتناع</w:t>
      </w:r>
      <w:bookmarkStart w:id="314" w:name="pg13170_166333"/>
    </w:p>
    <w:p>
      <w:pPr>
        <w:pStyle w:val="BookText"/>
        <w:rPr/>
      </w:pPr>
      <w:bookmarkEnd w:id="314"/>
      <w:r>
        <w:rPr>
          <w:rFonts w:ascii="IRNazanin" w:hAnsi="IRNazanin" w:eastAsia="IRNazanin"/>
          <w:color w:val="111111"/>
          <w:sz w:val="28"/>
          <w:sz w:val="28"/>
          <w:szCs w:val="28"/>
          <w:rtl w:val="true"/>
          <w:lang w:bidi="fa-IR"/>
        </w:rPr>
        <w:t>بنحو المعلوم بالإجمال، للزوم اجتماع المثلین، أو الضدین، فلا یعقل أن یکون موضوع الأصول العملیة، عنوانا أعم من وجه من العناوین الواقعیة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الصورة الأولی، یمکن منع لزوم اجتماع المثلین، لأن الذات مباحة، و المباح لیس من الأحکام، فلا علم إجمالی بالمناقضة، الأعم من اجتماع المثلین، أو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التوهم من توهمات بحث اجتماع الأمر و النهی، حیث یتخیل سرایة الحکم من العنوان إلی العنوان، و من المعنون الذاتی إلی سائر جهات المعنون،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المتحد معه المقابل له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موضوع الأصول العملیة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مشتبه الخمر بما هو مشتبه من حیث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مصب التحلیل و الرفع هو هذا العنوان، من غیر أن یکون الذات المنطبق علیها العنوان مصب الحلیة بما هی ذات، حتی یلزم اجتماع المتقابلات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ما هو مصب التحریم هی الذات الأعم، و ما هو مصب التحلیل هو المشکوک الأعم، فلا تقع المخالطة بین المصبین فی محط الجعل و التشریع، و لا فی الخارج، کما تحرر و تقرر تفصیله فی بحوث الاجتماع </w:t>
      </w:r>
      <w:r>
        <w:rPr>
          <w:rStyle w:val="FootnoteAnchor"/>
          <w:rtl w:val="true"/>
        </w:rPr>
        <w:footnoteReference w:id="38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315" w:name="__RefHeading___Toc624475_3244359995"/>
      <w:bookmarkStart w:id="316" w:name="_Toc117"/>
      <w:bookmarkEnd w:id="315"/>
      <w:r>
        <w:rPr>
          <w:rtl w:val="true"/>
        </w:rPr>
        <w:t>بحث و تحقیق فی منجزیة العلم الإجمالی</w:t>
      </w:r>
      <w:bookmarkEnd w:id="31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فیما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لتنجیز العلم الإجمالی بالوجدان من غیر إقامة البرهان، و أن قاعدة قبح العقاب بلا بیان لا تجری فی المقام، لأن العلم بیان وجدانا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منجزیة العلم الإجمالی، متأخر عن مسألة لزوم المناقضة و احتمال التناقض، فلا تصل نوبة البحث إلیها، و لذلک لا یجوز الترخیص فی محط البحث هنا حتی فی الشبهة البدویة، مع أنه لا علم هناک بالتکلیف </w:t>
      </w:r>
      <w:r>
        <w:rPr>
          <w:rStyle w:val="FootnoteAnchor"/>
          <w:rtl w:val="true"/>
        </w:rPr>
        <w:footnoteReference w:id="388"/>
      </w:r>
      <w:r>
        <w:rPr>
          <w:rFonts w:ascii="IRNazanin" w:hAnsi="IRNazanin" w:eastAsia="IRNazanin"/>
          <w:color w:val="111111"/>
          <w:sz w:val="28"/>
          <w:sz w:val="28"/>
          <w:szCs w:val="28"/>
          <w:rtl w:val="true"/>
          <w:lang w:bidi="fa-IR"/>
        </w:rPr>
        <w:t>، 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فإن مسألة منجزیة العلم الإجمالی فی محیط العقل،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تقاس إلی إمکان الترخیص عقلا،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إمکانه شرعا، و ما یلزم منه المناقضة و احتمالها هو الثانی، لا الأول، ضرورة إمکان کون الحکم الفعلی باقیا علی فعلیته و حتمیته، و مع ذلک یرخص العقل فی الارتکاب، لأجل أن العقاب بلا بیان، و المؤاخذة بلا برهان، فما فی کلمات العلامة العراقی من الخلط</w:t>
      </w:r>
      <w:r>
        <w:rPr>
          <w:rStyle w:val="FootnoteAnchor"/>
          <w:rtl w:val="true"/>
        </w:rPr>
        <w:footnoteReference w:id="389"/>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أصل 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العلم الإجمالی ینجز الواقع، علی وجه یستحق العبد العقاب و لو ارتکب واحدا من الأطراف، و أتلف الطرف الآخر، أم لا، و أنه یکون بیانا حتی یصح العقاب، أو لا، و عندئذ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نوبة البحث تصل إلی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وصلت النوبة إلی إمکان ترخیص الشرع یثبت التنجیز، للعلم وجدانا، حسبما تمسکوا به، و برهانا و هو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 لیس لها معنی غیر أنه إذا علمنا إجمالا بتکلیف المولی، فهل هو یورث العقاب؟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إذا لم یورث العقاب یلزم المناقضة، لأن عدم لزوم العقاب لأجل جریان الأصول المؤمنة فی الأطراف، و هذا یستلزم المضادة و 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یکون الأمر سهلا، کما لا یخفی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یشکل فی تمامیة الوجدان و حکم العقلاء بالنسبة إلی واحد</w:t>
      </w:r>
    </w:p>
    <w:p>
      <w:pPr>
        <w:pStyle w:val="BookText"/>
        <w:rPr/>
      </w:pPr>
      <w:r>
        <w:rPr>
          <w:rFonts w:ascii="IRNazanin" w:hAnsi="IRNazanin" w:eastAsia="IRNazanin"/>
          <w:color w:val="111111"/>
          <w:sz w:val="28"/>
          <w:sz w:val="28"/>
          <w:szCs w:val="28"/>
          <w:rtl w:val="true"/>
          <w:lang w:bidi="fa-IR"/>
        </w:rPr>
        <w:t>من الأطراف و المخالفة الاحتمالیة، لأجل أن القیاس المتشکل من الشکل الأول، لا یقتضی إلا حرمة المخالفة القطعیة، فإنه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خمر أو هذا، و کل خمر حرام، فهذا حرام أو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یدرک العقل إلا ممنوعیة ارتکاب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الضرورة قاضیة بأنه لو وصل من الشرع ذلک، ینتقل منه إلی جواز ارتکاب واحد من الإناءین، فلا ینبغی الخلط بین البراءة الشرعیة، و بین العقلیة و العقلائیة، فإن الشرعیة لا تجری حتی فی الواحد منهما فی مفروض البحث، کما عرفت، و أما العقلیة و العقلائیة فلا تجری بالنسبة إلی المجموع، و أما بالنسبة إلی الواحد لا بعینه، فلا یتم الوجدان، و لا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یمنع إذا کان بناؤه علی ارتکاب الأطراف، و ارتکب المجموع و إن لم یکن عن بناء سابق، و أما إذا کان بانیا علی إعدام الطرف الآخر، فارتکب أحدهما، و أعدم الآخر، فلا وجدان، و لا أقل من الشک، فلا تتم صحة المؤاخذة، لأنه لا بد من ثبوت البیان حتی یصح المؤاخذة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ارتکاب أحد الطرفین لجاز الطرف الآخر، و حیث لم یجز ارتکاب المجموع کما هو المفروض، فلم یجز ارتکاب واحد منهما أیضا، و ذلک لا لأجل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ارتکاب الإناء الثانی کالأول، و العلم بحصول المخالفة غیر ممنوع بالضرورة، لإمکان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و إن کان لا یمنع من العلم بالمخالفة فی الشبهات البدویة، بتوسیط الجفر، أو غیره، و لکنه یمنع هنا، لأنه بواسطة ارتکاب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یری أن البیان یتم بذلک، أما فی حقه، أو فی حق الارتکاب الأول، فیستحق العقوبة، لأجل تمامیة البیان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لأجل أن تجویز ارتکاب الإناء الأول إذا أمکن، فارتکاب الثانی أهون، ضرورة أن العلم الإجمالی بعد ارتکاب الأول ینعدم، فلو کان لا یؤثر حین وجوده،</w:t>
      </w:r>
    </w:p>
    <w:p>
      <w:pPr>
        <w:pStyle w:val="BookText"/>
        <w:rPr/>
      </w:pPr>
      <w:r>
        <w:rPr>
          <w:rFonts w:ascii="IRNazanin" w:hAnsi="IRNazanin" w:eastAsia="IRNazanin"/>
          <w:color w:val="111111"/>
          <w:sz w:val="28"/>
          <w:sz w:val="28"/>
          <w:szCs w:val="28"/>
          <w:rtl w:val="true"/>
          <w:lang w:bidi="fa-IR"/>
        </w:rPr>
        <w:t>فهل یعقل أن یؤثر حین انعدامه؟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یؤثر حین وجوده فی واحد لا بعینه، و یبقی الأثر بعد الانعدام فی الواحد الباقی،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صدقنا أن البیان بالنسبة إلی المخالفة القطعیة تام، فلنا السؤال عن أن ترخیص المخالفة الاحتمالیة عقلا، إما موضوعه الواحد الشخصی، أو واحد علی البدل؟ و لا سبیل إلی الثالث، کما لا سبیل إلی الأول، فتعین أن یکون البیان تاما علی الواحد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تاما علی الواحد لا بعینه أیضا، فإما معناه أنه یتم علی هذا العنوان، و لا سبیل إلیه، کما لا سبیل إلی أنه تام علی الواحد المعین، فلا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تام بالنسبة إلی الحکم المعلومة کبراه تفصیلا، و صغراه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هذا هو تمامیة البیان علی ما هو الواقع، إذا انطبق الارتکاب علیه، فیلزم حینئذ الاحتیاط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ذلک عقلا، فلا یعتنی بما 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حکم العقلاء بجواز ارتکاب واحد و إعدام الآخر من غیر أن یکون بیان، علة لحکمهم و درک سبب تفکیکهم بین ارتکاب المجموع، و ارتکاب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البیان علی الواحد منهما تاما، فإما یکون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واقع لا بعینه، أو علی ما هو الخمر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الأول، للزوم کون البیان تاما علی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 واقعیة 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البیان و حجة المولی تاما علی ما هو الخمر، فإذا تمت الحجة فلا بد من إمکان الاعتذار إذا خالفها، و لا عذر عقلا بعد تمامیة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شرعا فقد مر تفصیله </w:t>
      </w:r>
      <w:r>
        <w:rPr>
          <w:rStyle w:val="FootnoteAnchor"/>
          <w:rtl w:val="true"/>
        </w:rPr>
        <w:footnoteReference w:id="390"/>
      </w:r>
      <w:r>
        <w:rPr>
          <w:rFonts w:ascii="IRNazanin" w:hAnsi="IRNazanin" w:eastAsia="IRNazanin"/>
          <w:color w:val="111111"/>
          <w:sz w:val="28"/>
          <w:sz w:val="28"/>
          <w:szCs w:val="28"/>
          <w:rtl w:val="true"/>
          <w:lang w:bidi="fa-IR"/>
        </w:rPr>
        <w:t>، فلاحظ و اغتنم</w:t>
      </w:r>
      <w:r>
        <w:rPr>
          <w:rFonts w:eastAsia="IRNazanin" w:cs="IRNazanin"/>
          <w:color w:val="111111"/>
          <w:sz w:val="28"/>
          <w:szCs w:val="28"/>
          <w:rtl w:val="true"/>
          <w:lang w:bidi="fa-IR"/>
        </w:rPr>
        <w:t>.</w:t>
      </w:r>
      <w:bookmarkStart w:id="317" w:name="pg13170_166337"/>
    </w:p>
    <w:p>
      <w:pPr>
        <w:pStyle w:val="Heading5"/>
        <w:numPr>
          <w:ilvl w:val="4"/>
          <w:numId w:val="1"/>
        </w:numPr>
        <w:rPr/>
      </w:pPr>
      <w:bookmarkStart w:id="318" w:name="__RefHeading___Toc624477_3244359995"/>
      <w:bookmarkStart w:id="319" w:name="_Toc118"/>
      <w:bookmarkEnd w:id="317"/>
      <w:bookmarkEnd w:id="318"/>
      <w:r>
        <w:rPr>
          <w:rtl w:val="true"/>
        </w:rPr>
        <w:t>تتمیم و تحلیل حول تنجیز ضمان المثلیین و التکالیف عند العلم الإجمالی</w:t>
      </w:r>
      <w:bookmarkEnd w:id="319"/>
    </w:p>
    <w:p>
      <w:pPr>
        <w:pStyle w:val="BookText"/>
        <w:rPr/>
      </w:pPr>
      <w:r>
        <w:rPr>
          <w:rFonts w:ascii="IRNazanin" w:hAnsi="IRNazanin" w:eastAsia="IRNazanin"/>
          <w:color w:val="111111"/>
          <w:sz w:val="28"/>
          <w:sz w:val="28"/>
          <w:szCs w:val="28"/>
          <w:rtl w:val="true"/>
          <w:lang w:bidi="fa-IR"/>
        </w:rPr>
        <w:t>لا شبهة فیما إذا علمنا إجمالا باشتغال الذّمّة بضمان أحد المتباینین المثلیین، بوجوب ردهما، لأن العلم بالاشتغال الیقینی یقتضی البراءة الیقینیة، فلا یجوز الاکتفاء برد المثل الواحد، لأنه بذلک لا یحصل العلم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لم یکن إشکال آخر من ناحیة العقل أو الشرع، لکان التنجیز فی الضمانات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التکالیف الإلهیة مضمونة، کما قیل و استظهرناه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کما مر</w:t>
      </w:r>
      <w:r>
        <w:rPr>
          <w:rStyle w:val="FootnoteAnchor"/>
          <w:rtl w:val="true"/>
        </w:rPr>
        <w:footnoteReference w:id="391"/>
      </w:r>
      <w:r>
        <w:rPr>
          <w:rFonts w:ascii="IRNazanin" w:hAnsi="IRNazanin" w:eastAsia="IRNazanin"/>
          <w:color w:val="111111"/>
          <w:sz w:val="28"/>
          <w:sz w:val="28"/>
          <w:szCs w:val="28"/>
          <w:rtl w:val="true"/>
          <w:lang w:bidi="fa-IR"/>
        </w:rPr>
        <w:t>،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الواجبات الشرعیة دین حسب الأدلة الخاصة، کما اختاره السید الفقیه الیزدی قدس سره </w:t>
      </w:r>
      <w:r>
        <w:rPr>
          <w:rStyle w:val="FootnoteAnchor"/>
          <w:rtl w:val="true"/>
        </w:rPr>
        <w:footnoteReference w:id="392"/>
      </w:r>
      <w:r>
        <w:rPr>
          <w:rFonts w:ascii="IRNazanin" w:hAnsi="IRNazanin" w:eastAsia="IRNazanin"/>
          <w:color w:val="111111"/>
          <w:sz w:val="28"/>
          <w:sz w:val="28"/>
          <w:szCs w:val="28"/>
          <w:rtl w:val="true"/>
          <w:lang w:bidi="fa-IR"/>
        </w:rPr>
        <w:t>فیلزم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فی المثال الأول لا یمکن الالتزام بوجوب الاحتیاط، لعدم جواز تصرف الدائن فی مجموع الطرفین، لأنه بعد ما أخذ المثلین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یجوز له التصرف فی واحد منهما، و لا بد من رد أحدهما إلی صاحبه، و لو أتلفا فعلیه ضمان واحد منهما، فیتسلسل، بل و لو تلفا علی إشکال فیه، فیتعین إما الصلح، أو المصالحة القهریة، أو جواز المخالفة الاحتمالیة، و إما الشرکة فی القیمة، و تفصیله فی محل آخر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موارد التکالیف فلا یلزم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لنا المناقشة فی کونها مضمونة، و تکون دینا فی محلها، و لا سیما توهم اقتضاء نفس التکلیف ذلک، و أسوأ حالا تخیل أن المحرمات مضمونة، فإنه باطل عقلا، و قد مر منا وجه فساده فی محله </w:t>
      </w:r>
      <w:r>
        <w:rPr>
          <w:rStyle w:val="FootnoteAnchor"/>
          <w:rtl w:val="true"/>
        </w:rPr>
        <w:footnoteReference w:id="393"/>
      </w:r>
      <w:r>
        <w:rPr>
          <w:rFonts w:ascii="IRNazanin" w:hAnsi="IRNazanin" w:eastAsia="IRNazanin"/>
          <w:color w:val="111111"/>
          <w:sz w:val="28"/>
          <w:sz w:val="28"/>
          <w:szCs w:val="28"/>
          <w:rtl w:val="true"/>
          <w:lang w:bidi="fa-IR"/>
        </w:rPr>
        <w:t>، فلیتدبر جیدا</w:t>
      </w:r>
      <w:r>
        <w:rPr>
          <w:rFonts w:eastAsia="IRNazanin" w:cs="IRNazanin"/>
          <w:color w:val="111111"/>
          <w:sz w:val="28"/>
          <w:szCs w:val="28"/>
          <w:rtl w:val="true"/>
          <w:lang w:bidi="fa-IR"/>
        </w:rPr>
        <w:t>.</w:t>
      </w:r>
      <w:bookmarkStart w:id="320" w:name="pg13170_166338"/>
    </w:p>
    <w:p>
      <w:pPr>
        <w:pStyle w:val="Heading5"/>
        <w:numPr>
          <w:ilvl w:val="4"/>
          <w:numId w:val="1"/>
        </w:numPr>
        <w:rPr/>
      </w:pPr>
      <w:bookmarkStart w:id="321" w:name="__RefHeading___Toc624479_3244359995"/>
      <w:bookmarkStart w:id="322" w:name="_Toc119"/>
      <w:bookmarkEnd w:id="320"/>
      <w:bookmarkEnd w:id="321"/>
      <w:r>
        <w:rPr>
          <w:rtl w:val="true"/>
        </w:rPr>
        <w:t>نقل مختار المحقق الأصفهانی فی تنجیز العلم الإجمالی و نقده</w:t>
      </w:r>
      <w:bookmarkEnd w:id="322"/>
    </w:p>
    <w:p>
      <w:pPr>
        <w:pStyle w:val="BookText"/>
        <w:rPr/>
      </w:pPr>
      <w:r>
        <w:rPr>
          <w:rFonts w:ascii="IRNazanin" w:hAnsi="IRNazanin" w:eastAsia="IRNazanin"/>
          <w:color w:val="111111"/>
          <w:sz w:val="28"/>
          <w:sz w:val="28"/>
          <w:szCs w:val="28"/>
          <w:rtl w:val="true"/>
          <w:lang w:bidi="fa-IR"/>
        </w:rPr>
        <w:t xml:space="preserve">تشبث المحشی المحقق الأصفهانیّ قدس سره لتنجیز العلم الإجمالی علی وجه العلیة التامة بمقدمات </w:t>
      </w:r>
      <w:r>
        <w:rPr>
          <w:rStyle w:val="FootnoteAnchor"/>
          <w:rtl w:val="true"/>
        </w:rPr>
        <w:footnoteReference w:id="394"/>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مباحث التجری </w:t>
      </w:r>
      <w:r>
        <w:rPr>
          <w:rStyle w:val="FootnoteAnchor"/>
          <w:rtl w:val="true"/>
        </w:rPr>
        <w:footnoteReference w:id="395"/>
      </w:r>
      <w:r>
        <w:rPr>
          <w:rFonts w:ascii="IRNazanin" w:hAnsi="IRNazanin" w:eastAsia="IRNazanin"/>
          <w:color w:val="111111"/>
          <w:sz w:val="28"/>
          <w:sz w:val="28"/>
          <w:szCs w:val="28"/>
          <w:rtl w:val="true"/>
          <w:lang w:bidi="fa-IR"/>
        </w:rPr>
        <w:t>، و هو أن هتک المولی و الظلم له من العناوین المقبحة بالذات، و تخلف الذاتی من ذی الذاتی محال، و علی هذا یتعین الاحتیاط، و یکون العلم الإجمالی منجزا بالعلة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بکفایة فساده لفساد مرامه، و قد مر فی تلک البحوث فساد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یتم بالنسبة إلی من یرتکب أحدهما، و یعدم الآخر بالمرة، لأنه من الشک فی الهتک، و الأمور التی مثله لا واقعیة لها، کما لا یخفی</w:t>
      </w:r>
      <w:r>
        <w:rPr>
          <w:rFonts w:eastAsia="IRNazanin" w:cs="IRNazanin"/>
          <w:color w:val="111111"/>
          <w:sz w:val="28"/>
          <w:szCs w:val="28"/>
          <w:rtl w:val="true"/>
          <w:lang w:bidi="fa-IR"/>
        </w:rPr>
        <w:t>.</w:t>
      </w:r>
    </w:p>
    <w:p>
      <w:pPr>
        <w:pStyle w:val="Heading4"/>
        <w:numPr>
          <w:ilvl w:val="3"/>
          <w:numId w:val="1"/>
        </w:numPr>
        <w:rPr/>
      </w:pPr>
      <w:bookmarkStart w:id="323" w:name="__RefHeading___Toc624481_3244359995"/>
      <w:bookmarkStart w:id="324" w:name="_Toc120"/>
      <w:bookmarkEnd w:id="323"/>
      <w:r>
        <w:rPr>
          <w:rtl w:val="true"/>
        </w:rPr>
        <w:t>المرحلة الثانیة فی کفایة الامتثال الإجمالی و عدم کفایته</w:t>
      </w:r>
      <w:bookmarkEnd w:id="324"/>
    </w:p>
    <w:p>
      <w:pPr>
        <w:pStyle w:val="Heading5"/>
        <w:numPr>
          <w:ilvl w:val="4"/>
          <w:numId w:val="1"/>
        </w:numPr>
        <w:rPr/>
      </w:pPr>
      <w:bookmarkStart w:id="325" w:name="__RefHeading___Toc624483_3244359995"/>
      <w:bookmarkStart w:id="326" w:name="_Toc121"/>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و قبل الخوض فی هذه المسألة، نشیر إلی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هل یمکن الالتزام بکفایة الامتثال الاحتمالی مع العلم بالتکلیف إجمالا؟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الممنوع عقلا، و یدرک لزوم الاجتناب عنه قطعا، هو أن یکون العبد علی حال ینتزع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مخالف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خالف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طاغ و ظالم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و أما إذا أتی بأحد طرفی العلم الإجمالی، باحتمال</w:t>
      </w:r>
    </w:p>
    <w:p>
      <w:pPr>
        <w:pStyle w:val="BookText"/>
        <w:rPr/>
      </w:pPr>
      <w:r>
        <w:rPr>
          <w:rFonts w:ascii="IRNazanin" w:hAnsi="IRNazanin" w:eastAsia="IRNazanin"/>
          <w:color w:val="111111"/>
          <w:sz w:val="28"/>
          <w:sz w:val="28"/>
          <w:szCs w:val="28"/>
          <w:rtl w:val="true"/>
          <w:lang w:bidi="fa-IR"/>
        </w:rPr>
        <w:t>الإصابة، و یترک الآخر، باحتمال عدم الإصابة، و لأجل الفتور و الضعف، و عدم مساعدة الحال، و غیر ذلک من الأمور الموجودة أحیانا فی کثیر من الناس، من غیر إرادة الطغیان، و الظلم، و العصیان، و الخلاف، فلا بأس به، لما لا یکون مخالفة، فلا یعد عقلا مستحق العقاب، و لا أقل من قصور العقل عن درک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أنه مخالف أو قد خالف سیده، یوجب عند العقلاء الشک فی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ما أشیر إلیه، للزم حتی فی صورة الإتیان بالمأتی به المخالف للمأمور به الظاهری تفصیلا، المناقشة فی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مبنی العقاب هی الجعل فالاستحقاق ممکن، و أما إذا کان مبنی العقاب علی المسائل الاخر المحررة فی محلها</w:t>
      </w:r>
      <w:r>
        <w:rPr>
          <w:rStyle w:val="FootnoteAnchor"/>
          <w:rtl w:val="true"/>
        </w:rPr>
        <w:footnoteReference w:id="396"/>
      </w:r>
      <w:r>
        <w:rPr>
          <w:rFonts w:ascii="IRNazanin" w:hAnsi="IRNazanin" w:eastAsia="IRNazanin"/>
          <w:color w:val="111111"/>
          <w:sz w:val="28"/>
          <w:sz w:val="28"/>
          <w:szCs w:val="28"/>
          <w:rtl w:val="true"/>
          <w:lang w:bidi="fa-IR"/>
        </w:rPr>
        <w:t>، فیشکل، لأن العقاب من تبعات أن یری العبد نفسه طاغیا و ظالما لمولاه، و یصبح مخالفا له، و یدرک أنه قد خالف منعمه و واجبه، فإن هذه الإدراکات تستتبع العقوبات، و أما ترک الواجب الواقعی، فلا عقوبة علیه فی الشبهات البدویة قطعا، و مثله الشبهات المقرونة بالعلم الإجمالی، و لو کان العقاب من تبعات الواقع، لکان الاحتیاط لازما فی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اشتهر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الاشتغال الیقینی یقتضی البراءة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نرجو من أهله أن یتدبروا حقه، و لا یسلوا سیوفهم، و لست أنا من المصدقین بهذه المقالة، بل أردت طرح البحث حتی یعلم وجه المناقشة، و اللَّه هو العاصم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للمسألة طور آخر من البحث و الکلام، یطلب من مواقف اخر إن شاء اللَّه تعالی، و یأتی جملة من البحث فی البراءة إن شاء اللَّه تعالی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تبینت هذه الوجیزة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کفایة الامتثال الإجمالی، غیر معنونة هنا علی الوجه الصحیح، و قد خلطوا بین البحوث الأصولیة فی المجلد الأول، و المسائل الفقهیة، و بین ما هو مطرح النّظر فی المقام، و لأجل أن یتضح الأمر، و تبین حقیقة الحال، بلا حاجة إلی إطالة المقال،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البحث عن اعتبار قصد الوجه و التمییز، أو شرطیة کون المأتی به أو الّذی یأتی به العبد، معلوما أنه المأمور به، و أمثال ذلک، بحث فقهی، و البحث عن إمکان التمسک بالإطلاق لرفع هذه الشکوک و عدمه، بحث تحرر تفصیله فی مسألة التعبدی و التوصلی </w:t>
      </w:r>
      <w:r>
        <w:rPr>
          <w:rStyle w:val="FootnoteAnchor"/>
          <w:rtl w:val="true"/>
        </w:rPr>
        <w:footnoteReference w:id="398"/>
      </w:r>
      <w:r>
        <w:rPr>
          <w:rFonts w:ascii="IRNazanin" w:hAnsi="IRNazanin" w:eastAsia="IRNazanin"/>
          <w:color w:val="111111"/>
          <w:sz w:val="28"/>
          <w:sz w:val="28"/>
          <w:szCs w:val="28"/>
          <w:rtl w:val="true"/>
          <w:lang w:bidi="fa-IR"/>
        </w:rPr>
        <w:t>، و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فالخوض هنا حول هذه الأمور علی نعت الکبری الکلیة، غیر وجیه جدا، فضلا عما فی تقریرات العلامة العراقی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منشأ الإشکال إنما هی شبهة قصد الوجه و التمییز فی العبادة المستلزم للامتثال التفصیلیّ</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انتهی، فإنه لو فرض أن المأتی به الإجمالی، فاقد لجمیع ما یعتبر فی المأمور به، فلا یبقی محل لکفایة الامتثال الإجمالی عن التفصیلیّ،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 هذا البحث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بحث یختص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علی تقدیر اعتبار الوجه و التمییز و بعض القیود الاخر، فهل یعقل أن یکون المأتی به الإجمالی، واجدا لجمیع القیود المعتبرة، أم لا؟ و هذا هو المناسب للمقام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الإتیان بالمأمور به التفصیلیّ علی وجه الإجمال، بالتکرار فیما یقتضی التکرار، أو بإتیان الأکثر فیما دار الأمر بین الأقل و الأکثر، هل</w:t>
      </w:r>
      <w:bookmarkStart w:id="327" w:name="pg13170_166341"/>
    </w:p>
    <w:p>
      <w:pPr>
        <w:pStyle w:val="BookText"/>
        <w:rPr/>
      </w:pPr>
      <w:bookmarkEnd w:id="327"/>
      <w:r>
        <w:rPr>
          <w:rFonts w:ascii="IRNazanin" w:hAnsi="IRNazanin" w:eastAsia="IRNazanin"/>
          <w:color w:val="111111"/>
          <w:sz w:val="28"/>
          <w:sz w:val="28"/>
          <w:szCs w:val="28"/>
          <w:rtl w:val="true"/>
          <w:lang w:bidi="fa-IR"/>
        </w:rPr>
        <w:t>یستلزم ما یوجب الشک فی سقوط الأمر، أو یستتبع ما یقتضی العلم بعدم سقوط الأمر، أم لا، للزوم الإخلال بما هو مورد الأمر و ما هو الشرط؟</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الامتثال الإجمالی یجزئ أم لا</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فهو أیضا فی غیر محله، لأن المحمول إذا کان الإجزاء و عدمه، یوجب اندراج البحث فی الإجزاء، فکما یبحث هناک عن إجزاء الاضطراری عن الواقعی، یبحث هناک عن إجزاء الإجمالی عن المأمور به المعلوم بتفصیل، و علی کل تقدیر یکون الأمر 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فالکلام فی المقام یتم فی جهتین</w:t>
      </w:r>
      <w:r>
        <w:rPr>
          <w:rFonts w:eastAsia="IRNazanin" w:cs="IRNazanin"/>
          <w:color w:val="111111"/>
          <w:sz w:val="28"/>
          <w:szCs w:val="28"/>
          <w:rtl w:val="true"/>
          <w:lang w:bidi="fa-IR"/>
        </w:rPr>
        <w:t>:</w:t>
      </w:r>
    </w:p>
    <w:p>
      <w:pPr>
        <w:pStyle w:val="Heading5"/>
        <w:numPr>
          <w:ilvl w:val="4"/>
          <w:numId w:val="1"/>
        </w:numPr>
        <w:rPr/>
      </w:pPr>
      <w:bookmarkStart w:id="328" w:name="__RefHeading___Toc624485_3244359995"/>
      <w:bookmarkStart w:id="329" w:name="_Toc122"/>
      <w:bookmarkEnd w:id="328"/>
      <w:r>
        <w:rPr>
          <w:rtl w:val="true"/>
        </w:rPr>
        <w:t>الجهة الأولی</w:t>
      </w:r>
      <w:r>
        <w:rPr>
          <w:rtl w:val="true"/>
        </w:rPr>
        <w:t xml:space="preserve">: </w:t>
      </w:r>
      <w:r>
        <w:rPr>
          <w:rtl w:val="true"/>
        </w:rPr>
        <w:t>فی إمکان تحصیل قصد الوجه بالامتثال الإجمالی</w:t>
      </w:r>
      <w:bookmarkEnd w:id="329"/>
    </w:p>
    <w:p>
      <w:pPr>
        <w:pStyle w:val="BookText"/>
        <w:rPr/>
      </w:pPr>
      <w:r>
        <w:rPr>
          <w:rFonts w:ascii="IRNazanin" w:hAnsi="IRNazanin" w:eastAsia="IRNazanin"/>
          <w:color w:val="111111"/>
          <w:sz w:val="28"/>
          <w:sz w:val="28"/>
          <w:szCs w:val="28"/>
          <w:rtl w:val="true"/>
          <w:lang w:bidi="fa-IR"/>
        </w:rPr>
        <w:t>لو قلنا باعتبار الوجه و أشباهه، فهل یمکن تحصیله بإتیان المأمور به الإجمالی، أم لا؟</w:t>
      </w:r>
    </w:p>
    <w:p>
      <w:pPr>
        <w:pStyle w:val="BookText"/>
        <w:rPr/>
      </w:pPr>
      <w:r>
        <w:rPr>
          <w:rFonts w:ascii="IRNazanin" w:hAnsi="IRNazanin" w:eastAsia="IRNazanin"/>
          <w:color w:val="111111"/>
          <w:sz w:val="28"/>
          <w:sz w:val="28"/>
          <w:szCs w:val="28"/>
          <w:rtl w:val="true"/>
          <w:lang w:bidi="fa-IR"/>
        </w:rPr>
        <w:t>فإن أمکن فهو، و إلا فإن کان متمکنا من تحصیل العلم التفصیلیّ، أو ما هو کالعلم شرعا، فیتعین ذلک، و إلا فتندرج المسألة فیما یأتی فی مباحث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أنه فی صورة العجز عن الامتثال، یسقط أمر الطبیعة، أم لا، و تفصیله هناک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 فی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الوجه یمکن تحصیله، ضرورة أن المراد منه هو الإتیان بداعی الوجوب، و هذا أمر حاصل فی الامتثال الإجمالی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أرید منه توصیف المأتی به بالوجوب، فهو أیضا ممکن، بأن یقید ما یأتی به بقصد أنه یمتثل أمره علی تقدیر کونه واجبا، و لوجوب أمره</w:t>
      </w:r>
      <w:r>
        <w:rPr>
          <w:rFonts w:eastAsia="IRNazanin" w:cs="IRNazanin"/>
          <w:color w:val="111111"/>
          <w:sz w:val="28"/>
          <w:szCs w:val="28"/>
          <w:rtl w:val="true"/>
          <w:lang w:bidi="fa-IR"/>
        </w:rPr>
        <w:t>.</w:t>
      </w:r>
      <w:bookmarkStart w:id="330" w:name="pg13170_166342"/>
    </w:p>
    <w:p>
      <w:pPr>
        <w:pStyle w:val="BookText"/>
        <w:rPr/>
      </w:pPr>
      <w:bookmarkEnd w:id="330"/>
      <w:r>
        <w:rPr>
          <w:rFonts w:ascii="IRNazanin" w:hAnsi="IRNazanin" w:eastAsia="IRNazanin"/>
          <w:color w:val="111111"/>
          <w:sz w:val="28"/>
          <w:sz w:val="28"/>
          <w:szCs w:val="28"/>
          <w:rtl w:val="true"/>
          <w:lang w:bidi="fa-IR"/>
        </w:rPr>
        <w:t>و أما قصد التمییز، فالحق أنه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المبنی باطل عاطل، کما تحرر فی محله </w:t>
      </w:r>
      <w:r>
        <w:rPr>
          <w:rStyle w:val="FootnoteAnchor"/>
          <w:rtl w:val="true"/>
        </w:rPr>
        <w:footnoteReference w:id="402"/>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Heading5"/>
        <w:numPr>
          <w:ilvl w:val="4"/>
          <w:numId w:val="1"/>
        </w:numPr>
        <w:rPr/>
      </w:pPr>
      <w:bookmarkStart w:id="331" w:name="__RefHeading___Toc624487_3244359995"/>
      <w:bookmarkStart w:id="332" w:name="_Toc123"/>
      <w:bookmarkEnd w:id="331"/>
      <w:r>
        <w:rPr>
          <w:rtl w:val="true"/>
        </w:rPr>
        <w:t>الجهة الثانیة</w:t>
      </w:r>
      <w:r>
        <w:rPr>
          <w:rtl w:val="true"/>
        </w:rPr>
        <w:t xml:space="preserve">: </w:t>
      </w:r>
      <w:r>
        <w:rPr>
          <w:rtl w:val="true"/>
        </w:rPr>
        <w:t>فی صحة الامتثال الإجمالی</w:t>
      </w:r>
      <w:bookmarkEnd w:id="332"/>
    </w:p>
    <w:p>
      <w:pPr>
        <w:pStyle w:val="BookText"/>
        <w:rPr/>
      </w:pPr>
      <w:r>
        <w:rPr>
          <w:rFonts w:ascii="IRNazanin" w:hAnsi="IRNazanin" w:eastAsia="IRNazanin"/>
          <w:color w:val="111111"/>
          <w:sz w:val="28"/>
          <w:sz w:val="28"/>
          <w:szCs w:val="28"/>
          <w:rtl w:val="true"/>
          <w:lang w:bidi="fa-IR"/>
        </w:rPr>
        <w:t>إذا کان المأتی به الإجمالی واجدا لجمیع ما یعتبر فی المأمور به، فهل سبیل إلی منع الامتثال مطلقا، أم لا مطلقا، أو یفصل بین التوصلیات و التعبدیات، أو بین صورتی إمکان تحصیل العلم و عدمه، أو بین المتباینین و الأقل و الأکثر؟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یستند إلیه للمنع المطلق أو للمنع فی الجملة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الحاکم و الملجأ و الملاذ فی باب الطاعة، یدرک لزوم کون ما یمتثل به الأمر، فارغا من جمیع الجهات المبعدة، و یدرک لزوم کون المقرب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من کافة الحیثیات المبعدة، و یدرک وجوب اختیار المصداق غیر الجامع لعناوین مقبحة و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اجتماع المقرب و المبعد فی ظرف الامتثال، و فی ظرف سقوط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 التکرار و لا سیما فیما یزید علی الثلاث، أو 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فیما إذا کان بالنسبة إلی الأقل، أکثر من الأضعاف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مثلا الأمر بین الواحد و العشرة، فیأتی بالعشرة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التکرار من اللعب، و من الکواشف عن عدم الاعتناء بشأن المولی، و المظهرات لعدم الاهتمام بمرامه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یحتمل دخالة الوحدة مثلا</w:t>
      </w:r>
    </w:p>
    <w:p>
      <w:pPr>
        <w:pStyle w:val="BookText"/>
        <w:rPr/>
      </w:pPr>
      <w:r>
        <w:rPr>
          <w:rFonts w:ascii="IRNazanin" w:hAnsi="IRNazanin" w:eastAsia="IRNazanin"/>
          <w:color w:val="111111"/>
          <w:sz w:val="28"/>
          <w:sz w:val="28"/>
          <w:szCs w:val="28"/>
          <w:rtl w:val="true"/>
          <w:lang w:bidi="fa-IR"/>
        </w:rPr>
        <w:t xml:space="preserve">فی المأمور به، و لو کانت مرتفعة بحدیث الرفع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اجتماع المقرب و المبعد، و یلزم کون المأتی به معانقا للمبغوض، و قد حکم العقل و أدرک خلافه، کما مر فی التعبدی و التوصلی، و فی باب اجتماع الأمر و النهی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سقوط الأمر فی التوصلیات من المقربات القهریة، لأن العبد الآتی بالمأمور به واقعا و إن لم یکن متوجها إلی الآمر و نهیه، قد وفی بغرض المولی،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من المقرب الواقعی سواء قصده أم لم یقصده، فیلزم اشتماله علی المبعد، و اجتماعهما غیر جائز، فسقوط الأمر المعلوم تفصیلا بالمأتی به الإجمالی معلوم العدم، أو مشکوک، فالاکتفاء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إخراج التوصلیات من دائرة البحث، فی غیر محله و إن کان مورد اتفاقهم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یمکن إجراؤه فی الأقل و الأکثر، و لا یختص بالمتباینین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القائلین بالامتناع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أتباعه </w:t>
      </w:r>
      <w:r>
        <w:rPr>
          <w:rStyle w:val="FootnoteAnchor"/>
          <w:rtl w:val="true"/>
        </w:rPr>
        <w:footnoteReference w:id="406"/>
      </w:r>
      <w:r>
        <w:rPr>
          <w:rFonts w:ascii="IRNazanin" w:hAnsi="IRNazanin" w:eastAsia="IRNazanin"/>
          <w:color w:val="111111"/>
          <w:sz w:val="28"/>
          <w:sz w:val="28"/>
          <w:szCs w:val="28"/>
          <w:rtl w:val="true"/>
          <w:lang w:bidi="fa-IR"/>
        </w:rPr>
        <w:t>، لا بد لهم من القول بلزوم الامتثال التفصیلیّ، فما ذهب إلیه هنا</w:t>
      </w:r>
      <w:r>
        <w:rPr>
          <w:rStyle w:val="FootnoteAnchor"/>
          <w:rtl w:val="true"/>
        </w:rPr>
        <w:footnoteReference w:id="407"/>
      </w:r>
      <w:r>
        <w:rPr>
          <w:rFonts w:ascii="IRNazanin" w:hAnsi="IRNazanin" w:eastAsia="IRNazanin"/>
          <w:color w:val="111111"/>
          <w:sz w:val="28"/>
          <w:sz w:val="28"/>
          <w:szCs w:val="28"/>
          <w:rtl w:val="true"/>
          <w:lang w:bidi="fa-IR"/>
        </w:rPr>
        <w:t>خلاف ما بنی علیه فی باب الاجتماع و الامتناع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الإشکال، عدم واجدیة المأتی به لجمیع ما یعتبر فی</w:t>
      </w:r>
    </w:p>
    <w:p>
      <w:pPr>
        <w:pStyle w:val="BookText"/>
        <w:rPr/>
      </w:pPr>
      <w:r>
        <w:rPr>
          <w:rFonts w:ascii="IRNazanin" w:hAnsi="IRNazanin" w:eastAsia="IRNazanin"/>
          <w:color w:val="111111"/>
          <w:sz w:val="28"/>
          <w:sz w:val="28"/>
          <w:szCs w:val="28"/>
          <w:rtl w:val="true"/>
          <w:lang w:bidi="fa-IR"/>
        </w:rPr>
        <w:t xml:space="preserve">المأمور به، و هو أن یکون مقربا کما فی العبادات،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النزاع فی أن الامتثال الإجمالی، یکفی عن التفصیلیّ مع أن الإجمالی واجد لجمیع الشرائط</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فی غیر محله، للزوم کون المأتی به فاقدا لجهة التقریب المعتبر شرطا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اختصاص النزاع بصورة القدرة علی الامتثال التفصیلیّ </w:t>
      </w:r>
      <w:r>
        <w:rPr>
          <w:rStyle w:val="FootnoteAnchor"/>
          <w:rtl w:val="true"/>
        </w:rPr>
        <w:footnoteReference w:id="409"/>
      </w:r>
      <w:r>
        <w:rPr>
          <w:rFonts w:ascii="IRNazanin" w:hAnsi="IRNazanin" w:eastAsia="IRNazanin"/>
          <w:color w:val="111111"/>
          <w:sz w:val="28"/>
          <w:sz w:val="28"/>
          <w:szCs w:val="28"/>
          <w:rtl w:val="true"/>
          <w:lang w:bidi="fa-IR"/>
        </w:rPr>
        <w:t>، فی غیر محله، لأنه و لو کان غیر قادر علی الامتثال التفصیلیّ، یلزم احتمال الإخلال بشرط العبادة مثلا فی الإجمالی، و علی هذا لا یتمکن فی صورة العجز عن التفصیلیّ من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لأجل الاحتمال المزبور الراجع إلی الشک فی القدرة، لا بد من الاحتیاط أیضا عقلا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هذه الصورة لا یکون عابثا و لاعبا</w:t>
      </w:r>
      <w:r>
        <w:rPr>
          <w:rStyle w:val="FootnoteAnchor"/>
          <w:rtl w:val="true"/>
        </w:rPr>
        <w:footnoteReference w:id="410"/>
      </w:r>
      <w:r>
        <w:rPr>
          <w:rFonts w:ascii="IRNazanin" w:hAnsi="IRNazanin" w:eastAsia="IRNazanin"/>
          <w:color w:val="111111"/>
          <w:sz w:val="28"/>
          <w:sz w:val="28"/>
          <w:szCs w:val="28"/>
          <w:rtl w:val="true"/>
          <w:lang w:bidi="fa-IR"/>
        </w:rPr>
        <w:t>، فی محله بالنسبة إلی ما إذا کانت الأطراف قلیلة، کالصلاتین، و أما إذا کثرت و بلغت إلی العشرة، فربما یجی‌ء الاحتمال،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یدرک أنه لا یکون فی الجمع بین الأطراف، لاعبا و مستهزئا و هاتکا، فعلیه لا وجه لاستلزام الامتثال الإجمالی، إخلالا بالواجب و قیوده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لو کان الأمر کما تحرر، و لکن المدار علی أن یجد انتزاع القوم من عمله اللعب و الهتک و الاستهزاء مثلا، فلو کان هو فی نفسه غیر لاعب، و یدرک اعتبار القوم من التکرار المزبور ذلک، فلا یجوز، لأنه أیضا من الهتک و الوهن</w:t>
      </w:r>
    </w:p>
    <w:p>
      <w:pPr>
        <w:pStyle w:val="BookText"/>
        <w:rPr/>
      </w:pPr>
      <w:r>
        <w:rPr>
          <w:rFonts w:ascii="IRNazanin" w:hAnsi="IRNazanin" w:eastAsia="IRNazanin"/>
          <w:color w:val="111111"/>
          <w:sz w:val="28"/>
          <w:sz w:val="28"/>
          <w:szCs w:val="28"/>
          <w:rtl w:val="true"/>
          <w:lang w:bidi="fa-IR"/>
        </w:rPr>
        <w:t>لساحة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یمکن أن یقال، و لکن مما یؤسف له أن إطالة البحث حول هذا الوجه، لا تنتهی إلی وجه یطمئن الإنسان بصدقة، کما لا یمکن الوثوق بجواز التکرار، مع القدرة علی التفصیلیّ علی الوجه المیسور جدا، لأنه ربما یکون ذلک خروجا عما تعارف بین القوم فی الامتثالات بالنسبة إلی أوامر 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العجز، أو فی صورة تعسر العلم التفصیلیّ، أو استلزام العلم التفصیلیّ لبعض المحاذیر العرفیة، کالاستحیاء من السؤال عما هو المأمور به تفصیلا،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خالف طریقة العقلاء فی انتخاب الامتثال الملازم لانضمام بعض الجهات المحرمة، فالأظهر عدم الکفایة و الاجتزاء، لما تحرر منا فی التعبدی و التوصلی و فی مباحث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انتخاب الفرد المشتمل علی الجهات المبغوضة، خلاف المتفاهم العرفی و إن أمکن الاجتماع جعلا و امتثالا، خلافا للقائلین بالامتناع جعلا و امتثالا، أو امتثالا فقط، کما عرفت تفصیله </w:t>
      </w:r>
      <w:r>
        <w:rPr>
          <w:rStyle w:val="FootnoteAnchor"/>
          <w:rtl w:val="true"/>
        </w:rPr>
        <w:footnoteReference w:id="411"/>
      </w:r>
      <w:r>
        <w:rPr>
          <w:rFonts w:ascii="IRNazanin" w:hAnsi="IRNazanin" w:eastAsia="IRNazanin"/>
          <w:color w:val="111111"/>
          <w:sz w:val="28"/>
          <w:sz w:val="28"/>
          <w:szCs w:val="28"/>
          <w:rtl w:val="true"/>
          <w:lang w:bidi="fa-IR"/>
        </w:rPr>
        <w:t>فلا نعید،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الشیخ الأعظم الأنصاری قدس سره الإشکال فی التوصلیات إذا کانت من قبیل العقود و الإیقاعات،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یستتبع التردید فی الإنشاء، و هو ممنوع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تعارف الاحتیاط المزبور فی عصرنا جدا، و لو کان ذلک خلاف الاحتیاط یشکل الأمر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التردید فی الإنشاء، و التردد فی قصد الإنشاء، غیر التردید</w:t>
      </w:r>
    </w:p>
    <w:p>
      <w:pPr>
        <w:pStyle w:val="BookText"/>
        <w:rPr/>
      </w:pPr>
      <w:r>
        <w:rPr>
          <w:rFonts w:ascii="IRNazanin" w:hAnsi="IRNazanin" w:eastAsia="IRNazanin"/>
          <w:color w:val="111111"/>
          <w:sz w:val="28"/>
          <w:sz w:val="28"/>
          <w:szCs w:val="28"/>
          <w:rtl w:val="true"/>
          <w:lang w:bidi="fa-IR"/>
        </w:rPr>
        <w:t>فیما هو الممضی من الألفاظ التی ینشأ بها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التردید فی تلک الألفاظ، یستلزم وجدانا أن العاقد غیر مرید جدا حین الإنشاء، بل یکون بناؤه علی إنشاء الزوجیة بهذه الألفاظ إن تحققت، و لازم ذلک هو التعلیق اللبی المورث للبطلان فی باب الإیقاعات، بل و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یتصدی للإنشاء، جاهل بأن الألفاظ التی یستعملها هل هی لغو، أو موضوع لاعتبار العقلاء و الشرع، و عندئذ بداعی حصول تلک العلقة و حصول الموضوعیة و السببیة، یتصدی لذلک، و إذا فرغ من الأطراف یحصل له القطع بما هو الموضوع 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بحسب اللب أنه ینشئ الزوجیة بها إن کانت تؤثر فیها، فیکون تعلیقا، و لکنه تعلیق لبی موجود حتی فی صورة العلم التفصیلیّ، بکفایة الألفاظ الکذائیة حسب الأدلة الخاصة، کما لا یخفی، فیعلم منه أنه تعلیق تقدیری، و هو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اللازم کون المأمور به، علی وجه یصلح لأن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و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لزوم إطاعة اللَّه و الرسول،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إلا بالانبعاث عن بعث المولی، و هذا لا یمکن تحصیله فی الامتثال الإجمالی، لأن فیه الانبعاث عن احتمال البعث،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غیر فرق بین صورتی القدرة علی الامتثال التفصیلیّ، و عدمها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الإخلال بالشرط فی الامتثال الإجمالی، و هو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العجز عن الامتثال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التکلیف، أو عدم اعتبار الشرط، حسبما تحرر من الخلاف فی محله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أو ذاک یمکن أن یختار الحلی قدس سره</w:t>
      </w:r>
    </w:p>
    <w:p>
      <w:pPr>
        <w:pStyle w:val="BookText"/>
        <w:rPr/>
      </w:pPr>
      <w:r>
        <w:rPr>
          <w:rFonts w:ascii="IRNazanin" w:hAnsi="IRNazanin" w:eastAsia="IRNazanin"/>
          <w:color w:val="111111"/>
          <w:sz w:val="28"/>
          <w:sz w:val="28"/>
          <w:szCs w:val="28"/>
          <w:rtl w:val="true"/>
          <w:lang w:bidi="fa-IR"/>
        </w:rPr>
        <w:t xml:space="preserve">عدم جواز التکرار حتی فی صورة العجز عن الامتثال التفصیلیّ </w:t>
      </w:r>
      <w:r>
        <w:rPr>
          <w:rStyle w:val="FootnoteAnchor"/>
          <w:rtl w:val="true"/>
        </w:rPr>
        <w:footnoteReference w:id="415"/>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حرره العلامة النائینی قدس سره هنا من الوجه لاختصاص عدم کفایة الامتثال الإجمالی فی صورة القدرة علی الامتثال التفصیلیّ </w:t>
      </w:r>
      <w:r>
        <w:rPr>
          <w:rStyle w:val="FootnoteAnchor"/>
          <w:rtl w:val="true"/>
        </w:rPr>
        <w:footnoteReference w:id="416"/>
      </w:r>
      <w:r>
        <w:rPr>
          <w:rFonts w:ascii="IRNazanin" w:hAnsi="IRNazanin" w:eastAsia="IRNazanin"/>
          <w:color w:val="111111"/>
          <w:sz w:val="28"/>
          <w:sz w:val="28"/>
          <w:szCs w:val="28"/>
          <w:rtl w:val="true"/>
          <w:lang w:bidi="fa-IR"/>
        </w:rPr>
        <w:t>، بلا وجه، فإن هذا التقریب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العجز فی غیر محله، للزوم الخلف، و هو أن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تنتزع إلا من الانبعاث عن البعث،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کفایة الامتثال الإجمالی إما فی عرض الامتثال التفصیلیّ، أو لا یکون فی عرضه، و لا سبیل إلی اختیار الطولیة</w:t>
      </w:r>
      <w:r>
        <w:rPr>
          <w:rStyle w:val="FootnoteAnchor"/>
          <w:rtl w:val="true"/>
        </w:rPr>
        <w:footnoteReference w:id="417"/>
      </w:r>
      <w:r>
        <w:rPr>
          <w:rFonts w:ascii="IRNazanin" w:hAnsi="IRNazanin" w:eastAsia="IRNazanin"/>
          <w:color w:val="111111"/>
          <w:sz w:val="28"/>
          <w:sz w:val="28"/>
          <w:szCs w:val="28"/>
          <w:rtl w:val="true"/>
          <w:lang w:bidi="fa-IR"/>
        </w:rPr>
        <w:t xml:space="preserve">، کما یأتی من ذی قبل إن شاء اللَّه تعالی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هل قضیة هذا الوجه، جواز الامتثال الإجمالی فی الإتیان بالأکثر و لو کان قادرا علی الامتثال التفصیلیّ فی الأقل و الأکثر، کما یظهر من العلامة المزبور رحمه اللَّه </w:t>
      </w:r>
      <w:r>
        <w:rPr>
          <w:rStyle w:val="FootnoteAnchor"/>
          <w:rtl w:val="true"/>
        </w:rPr>
        <w:footnoteReference w:id="4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لا یکفی، لاشتراک المتباینین و الأقل و الأکثر فیما هو المحذور، کما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تختلف المسألة باختلاف المبانی فی الأقل و الأکثر؟ و هو الأظهر، و ذلک لأنه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امتثال الأجزاء، لأجل الانبعاث عن البعث الضمنی المتعلق بکل جزء، فلا یکون الانبعاث عن الجزء المشکوک وجوبه و المعلوم عدم مانعیته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هو المفروض فی محل البحث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انبعاثا عن احتمال البعث، فلا یتحقق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فالانبعاث إلی جملة العمل بالانبعاث عن الأمر بالکل المردد، لا یکفی لکون الانبعاث إلی الجزء، انبعاثا عن الأمر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الأوامر الضمنیة من الأکاذیب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انبعاث إلی الجزء المعلوم إلا بالانبعاث عن الأمر المتعلق بالطبیعة، من غیر أن یکون هناک انبعاثان،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الأجزاء، بل هو انبعاث إلی الکل، و لکن حیث هو أمر تدریجی، یحصل تدریجا، فلا یلزم علی هذا فی صورة الإتیان بالجزء المشکوک، انبعاث عن احتمال الأمر، بل الانبعاث عن الأمر، و الإتیان بالجزء المشکوک انبعاث إلی الطبیعة، و إیجاد الطبیعة بالفرد الأبسط و الأکثر حذرا من احتمال بقاء الأمر لأجل الجزئیة المحتملة، من غیر فرق بین صورتی قبل الفحص و بعده فی هذه الجهة،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 الفحص لا بد من الاحتیاط، دون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إطالة الکلام حول سائر المحتملات و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کاحتمال المانعیة، و صورة الجزء الاستحبابی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اللغو الممنوع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هذه المقالة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عدم تمامیة اعتبار کون المأتی به، صالحا لأن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بإطاعة اللَّه و رسوله، لیس إلا ناظرا إلی امتثال الأوامر المتعلقة بالطبائع، و النواهی الزاجرة عنها، من غیر لزوم ذلک، و إلا یلزم أصالة التعبدیة، و خروج المحرمات و التوصلیات بالتخصیص، و الالتزام به مشکل، فلو امتثل أحد العباد أمر الصلاة، بإتیان جمیع الأجزاء و الشرائط، و فرضنا أنه لا ینزع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بالضرورة، فیعلم منه سقوط الشرط المتوهم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قربیة العمل، لا تنحصر بالانبعاث عن البعث، بل یکفی لها إتیان العمل بالأغراض الشرعیة، و الجهات الحسنة، و تطبیق تلک العناوین علیها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قد یقال بالانحصار</w:t>
      </w:r>
      <w:r>
        <w:rPr>
          <w:rStyle w:val="FootnoteAnchor"/>
          <w:rtl w:val="true"/>
        </w:rPr>
        <w:footnoteReference w:id="422"/>
      </w:r>
      <w:r>
        <w:rPr>
          <w:rFonts w:ascii="IRNazanin" w:hAnsi="IRNazanin" w:eastAsia="IRNazanin"/>
          <w:color w:val="111111"/>
          <w:sz w:val="28"/>
          <w:sz w:val="28"/>
          <w:szCs w:val="28"/>
          <w:rtl w:val="true"/>
          <w:lang w:bidi="fa-IR"/>
        </w:rPr>
        <w:t>، یکون فی الضعف مثل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لیس الا موضوعا للطاعة، کما عن الأستاذ البروجردی قدس سره </w:t>
      </w:r>
      <w:r>
        <w:rPr>
          <w:rStyle w:val="FootnoteAnchor"/>
          <w:rtl w:val="true"/>
        </w:rPr>
        <w:footnoteReference w:id="423"/>
      </w:r>
      <w:r>
        <w:rPr>
          <w:rFonts w:ascii="IRNazanin" w:hAnsi="IRNazanin" w:eastAsia="IRNazanin"/>
          <w:color w:val="111111"/>
          <w:sz w:val="28"/>
          <w:sz w:val="28"/>
          <w:szCs w:val="28"/>
          <w:rtl w:val="true"/>
          <w:lang w:bidi="fa-IR"/>
        </w:rPr>
        <w:t>فإن القول الفصل هو الرّأی الوسط، فربما یکون القرب حاصلا من الانبعاث عن البعث، کما فی صورة الغفلة عن کثیر من الدواعی، أو فی بعض الحالات الخاصة، و ربما یأتی العمل القربی و ان لم یکن أمر، بل یکون الأمر وجوده و عدمه عنده سیین، و لذلک یقع العمل القربی صحیحا و لو کان جاهلا بالأمر، أو معتقدا بأن أوامر اللَّه تعالی لیست إلا ألطافا فی الواجبات العقلیة، فاغتنم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صورة دوران الأمر بین المتباینین، انبعاث عن احتمال البعث، و إلا لانبعث فی الشبهة البدویة، فمنه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انبعاث عن البعث، إلا أنه إجمالی لا تفصیلی، فلا تخلط</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الانبعاث عن احتمال البعث أطوع، فهو من الخلط بین الطاعة، و بین حسن ذات العبد، و کمال إخلاصه، و فنائه فی الرب، فما هو المقوم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الاشتداد و الضعف، و ما هو یقبل ذلک هی الصفات النفسانیّة،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هنا</w:t>
      </w:r>
      <w:r>
        <w:rPr>
          <w:rStyle w:val="FootnoteAnchor"/>
          <w:rtl w:val="true"/>
        </w:rPr>
        <w:footnoteReference w:id="424"/>
      </w:r>
      <w:r>
        <w:rPr>
          <w:rFonts w:ascii="IRNazanin" w:hAnsi="IRNazanin" w:eastAsia="IRNazanin"/>
          <w:color w:val="111111"/>
          <w:sz w:val="28"/>
          <w:sz w:val="28"/>
          <w:szCs w:val="28"/>
          <w:rtl w:val="true"/>
          <w:lang w:bidi="fa-IR"/>
        </w:rPr>
        <w:t>، غیر وجیه، و الأمر سهل</w:t>
      </w:r>
      <w:r>
        <w:rPr>
          <w:rFonts w:eastAsia="IRNazanin" w:cs="IRNazanin"/>
          <w:color w:val="111111"/>
          <w:sz w:val="28"/>
          <w:szCs w:val="28"/>
          <w:rtl w:val="true"/>
          <w:lang w:bidi="fa-IR"/>
        </w:rPr>
        <w:t>.</w:t>
      </w:r>
      <w:bookmarkStart w:id="333" w:name="pg13170_166350"/>
    </w:p>
    <w:p>
      <w:pPr>
        <w:pStyle w:val="Heading5"/>
        <w:numPr>
          <w:ilvl w:val="4"/>
          <w:numId w:val="1"/>
        </w:numPr>
        <w:rPr/>
      </w:pPr>
      <w:bookmarkStart w:id="334" w:name="__RefHeading___Toc624489_3244359995"/>
      <w:bookmarkStart w:id="335" w:name="_Toc124"/>
      <w:bookmarkEnd w:id="333"/>
      <w:bookmarkEnd w:id="334"/>
      <w:r>
        <w:rPr>
          <w:rtl w:val="true"/>
        </w:rPr>
        <w:t>تذنیب</w:t>
      </w:r>
      <w:r>
        <w:rPr>
          <w:rtl w:val="true"/>
        </w:rPr>
        <w:t xml:space="preserve">: </w:t>
      </w:r>
      <w:r>
        <w:rPr>
          <w:rtl w:val="true"/>
        </w:rPr>
        <w:t>فی دوران الأمر بین الامتثال الإجمالی و الظن الانسدادی</w:t>
      </w:r>
      <w:bookmarkEnd w:id="335"/>
    </w:p>
    <w:p>
      <w:pPr>
        <w:pStyle w:val="BookText"/>
        <w:rPr/>
      </w:pPr>
      <w:r>
        <w:rPr>
          <w:rFonts w:ascii="IRNazanin" w:hAnsi="IRNazanin" w:eastAsia="IRNazanin"/>
          <w:color w:val="111111"/>
          <w:sz w:val="28"/>
          <w:sz w:val="28"/>
          <w:szCs w:val="28"/>
          <w:rtl w:val="true"/>
          <w:lang w:bidi="fa-IR"/>
        </w:rPr>
        <w:t>قد تبین فی طی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مراتب الامتثال، لا یرجع إلی محصل فی المقال، و ذلک لأن إدراک العقل، لا یتجاوز عن لزوم کون المأتی به مطابقا للمأمور به، فإن کان فی مقام الإتیان إخلال بقیود المأمور به، فلا امتثال، و إن کان لا یخل بها فلا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القصر، أو التمام، و قد تنجز علیه التکلیف، و لکنه یتعذر الجمع بالعذر اللاحق علی العلم المنجز، یتعین عقلا إتیان أحد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أحدهما مظنونا بالظن المعتبر علی الانسداد، فهل یتعین ذلک مطلقا، أو لا مطلقا، أم یفصل بین اعتباره علی الکشف، و اعتباره علی الحکومة؟</w:t>
      </w:r>
    </w:p>
    <w:p>
      <w:pPr>
        <w:pStyle w:val="BookText"/>
        <w:rPr/>
      </w:pPr>
      <w:r>
        <w:rPr>
          <w:rFonts w:ascii="IRNazanin" w:hAnsi="IRNazanin" w:eastAsia="IRNazanin"/>
          <w:color w:val="111111"/>
          <w:sz w:val="28"/>
          <w:sz w:val="28"/>
          <w:szCs w:val="28"/>
          <w:rtl w:val="true"/>
          <w:lang w:bidi="fa-IR"/>
        </w:rPr>
        <w:t>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کونه معتبرا علی الکشف، لا تصل النوبة إلی الامتثال الإجمالی، و یکفی ذلک، لأنه کالتفصیلی و فی عرضه، و لا ینافی ذلک حسنه بعد الامتثال المزبور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الشرع اعتبر هذا الظن علما فی رتبة تنجیز الواقع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معتبر عند عدم القدرة علی الاحتیاط المذکور فی مقدمات الانسداد، و لیس التعذر المفروض فی المثال، من ذلک التعسر و العجز المذکور کلیا فی مقدمات الانسداد</w:t>
      </w:r>
      <w:r>
        <w:rPr>
          <w:rFonts w:eastAsia="IRNazanin" w:cs="IRNazanin"/>
          <w:color w:val="111111"/>
          <w:sz w:val="28"/>
          <w:szCs w:val="28"/>
          <w:rtl w:val="true"/>
          <w:lang w:bidi="fa-IR"/>
        </w:rPr>
        <w:t>.</w:t>
      </w:r>
      <w:bookmarkStart w:id="336" w:name="pg13170_166351"/>
    </w:p>
    <w:p>
      <w:pPr>
        <w:pStyle w:val="BookText"/>
        <w:rPr/>
      </w:pPr>
      <w:bookmarkEnd w:id="336"/>
      <w:r>
        <w:rPr>
          <w:rFonts w:ascii="IRNazanin" w:hAnsi="IRNazanin" w:eastAsia="IRNazanin"/>
          <w:color w:val="111111"/>
          <w:sz w:val="28"/>
          <w:sz w:val="28"/>
          <w:szCs w:val="28"/>
          <w:rtl w:val="true"/>
          <w:lang w:bidi="fa-IR"/>
        </w:rPr>
        <w:t>هذا مع أنه لا فرق بین الظن علی الکشف و علی الحکومة، فإن الظن الموجود فی أطراف العلم، هو مرتبة من العلم الموجود فی البین، فیکون تنجیز الحکم فی أحد الطرفین بمرتبة من العلم، و فی الطرف الآخر بمرتبة أخری من العلم الإجمالی، فعلیه یتعین المظنون مطلقا،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المدرک للزوم الامتثال هو العقل، و لا یدل إلا علی لزوم الأمن من العقاب، و تبعات ترک التکلیف المنجز، و علیه فتوهم لزوم المظنون و لو کان الظن غیر حجة، بدعوی بناء العرف و العقلاء علیه، و هو مقتضی الفطرة السلیمة</w:t>
      </w:r>
      <w:r>
        <w:rPr>
          <w:rStyle w:val="FootnoteAnchor"/>
          <w:rtl w:val="true"/>
        </w:rPr>
        <w:footnoteReference w:id="426"/>
      </w:r>
      <w:r>
        <w:rPr>
          <w:rFonts w:ascii="IRNazanin" w:hAnsi="IRNazanin" w:eastAsia="IRNazanin"/>
          <w:color w:val="111111"/>
          <w:sz w:val="28"/>
          <w:sz w:val="28"/>
          <w:szCs w:val="28"/>
          <w:rtl w:val="true"/>
          <w:lang w:bidi="fa-IR"/>
        </w:rPr>
        <w:t>، لیس فی محله کما لا یخفی</w:t>
      </w:r>
      <w:r>
        <w:rPr>
          <w:rFonts w:eastAsia="IRNazanin" w:cs="IRNazanin"/>
          <w:color w:val="111111"/>
          <w:sz w:val="28"/>
          <w:szCs w:val="28"/>
          <w:rtl w:val="true"/>
          <w:lang w:bidi="fa-IR"/>
        </w:rPr>
        <w:t>.</w:t>
      </w:r>
    </w:p>
    <w:p>
      <w:pPr>
        <w:pStyle w:val="Heading5"/>
        <w:numPr>
          <w:ilvl w:val="4"/>
          <w:numId w:val="1"/>
        </w:numPr>
        <w:rPr/>
      </w:pPr>
      <w:bookmarkStart w:id="337" w:name="__RefHeading___Toc624491_3244359995"/>
      <w:bookmarkStart w:id="338" w:name="_Toc125"/>
      <w:bookmarkEnd w:id="337"/>
      <w:r>
        <w:rPr>
          <w:rtl w:val="true"/>
        </w:rPr>
        <w:t>الخلاف حول مراتب الامتثالین التفصیلیّ و الإجمالی</w:t>
      </w:r>
      <w:bookmarkEnd w:id="338"/>
    </w:p>
    <w:p>
      <w:pPr>
        <w:pStyle w:val="BookText"/>
        <w:rPr/>
      </w:pPr>
      <w:r>
        <w:rPr>
          <w:rFonts w:ascii="IRNazanin" w:hAnsi="IRNazanin" w:eastAsia="IRNazanin"/>
          <w:color w:val="111111"/>
          <w:sz w:val="28"/>
          <w:sz w:val="28"/>
          <w:szCs w:val="28"/>
          <w:rtl w:val="true"/>
          <w:lang w:bidi="fa-IR"/>
        </w:rPr>
        <w:t>ثم إنه قد اختلفوا فی مراتب التفصیلیّ العلمی و الإجمالی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یخل بشرائط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قولین </w:t>
      </w:r>
      <w:r>
        <w:rPr>
          <w:rStyle w:val="FootnoteAnchor"/>
          <w:rtl w:val="true"/>
        </w:rPr>
        <w:footnoteReference w:id="427"/>
      </w:r>
      <w:r>
        <w:rPr>
          <w:rFonts w:ascii="IRNazanin" w:hAnsi="IRNazanin" w:eastAsia="IRNazanin"/>
          <w:color w:val="111111"/>
          <w:sz w:val="28"/>
          <w:sz w:val="28"/>
          <w:szCs w:val="28"/>
          <w:rtl w:val="true"/>
          <w:lang w:bidi="fa-IR"/>
        </w:rPr>
        <w:t>و لو صح هذا الخلاف لکان المتعین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مراتب الامتثال أکثر مما تصوروه، و ذلک لأن الامتثال العلمی الوجدانی، فی طول الامتثال التفصیلیّ المستند إلی الطرق و الأمارات، و هکذا ما هو المستند إلی بعض منها مقدم علی المستند إلی بعض آخر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یتمکن من العلم التفصیلیّ الوجدانی بصلاة الجمعة یتعین، و إذا کان متمکنا من التفصیلیّ العلمی کالإخبار، فیتعین علیه الرجوع إلیه، و إذا کان</w:t>
      </w:r>
    </w:p>
    <w:p>
      <w:pPr>
        <w:pStyle w:val="BookText"/>
        <w:rPr/>
      </w:pPr>
      <w:r>
        <w:rPr>
          <w:rFonts w:ascii="IRNazanin" w:hAnsi="IRNazanin" w:eastAsia="IRNazanin"/>
          <w:color w:val="111111"/>
          <w:sz w:val="28"/>
          <w:sz w:val="28"/>
          <w:szCs w:val="28"/>
          <w:rtl w:val="true"/>
          <w:lang w:bidi="fa-IR"/>
        </w:rPr>
        <w:t>یتمکن من تحصیل الظن الأقوی المستند إلی الخبر القلیل الوسائط، یتعین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تنزیل الأمارة منزلة العلم، مفقود کما تحرر</w:t>
      </w:r>
      <w:r>
        <w:rPr>
          <w:rStyle w:val="FootnoteAnchor"/>
          <w:rtl w:val="true"/>
        </w:rPr>
        <w:footnoteReference w:id="428"/>
      </w:r>
      <w:r>
        <w:rPr>
          <w:rFonts w:ascii="IRNazanin" w:hAnsi="IRNazanin" w:eastAsia="IRNazanin"/>
          <w:color w:val="111111"/>
          <w:sz w:val="28"/>
          <w:sz w:val="28"/>
          <w:szCs w:val="28"/>
          <w:rtl w:val="true"/>
          <w:lang w:bidi="fa-IR"/>
        </w:rPr>
        <w:t>، و لیس منه أثر کما تقرر، و ما هو المستند هو بناء العقلاء، و حدیث تنزیل المؤدی منزلة الواقع من الأباطیل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ما هو المستند فی مقام التنجیز و الامتثال، هو العرف و العقل، فالعرف فی مرتبة التنجیز ینجز الواقع بها، و العقل فی مرتبة الامتثال یجد الفرق بین هذه المراتب، و حیث إن ذلک غیر تام فی هذه المرحلة، یعلم عدم تمامیته مطلقا، لعدم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منشأ اعتبار ذلک الشک، و کون المسألة من دوران الأمر بین التعیین و التخییر، فلازمه أیضا المحافظة علی المراتب المزبورة، فیکون للامتثال مراتب، و إلا فلا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الامتثال و السقوط، لا یعقل إلا بعد سریان الشک إلی التکلیف و الثبوت، فتصیر المسألة من صغریات الأقل و الأکثر، فإن قلنا هناک بالاشتغال، فلا فرق بین المراتب المذکورة، و إن قلنا بالبراءة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بین القول بالاشتغال فی مطلق الأقل و الأکثر، أو فی خصوص المقام، لأن الشک یرجع إلی قیدیة الوجه و التمییز، اللذین لا یمکن التمسک فیهما بالإطلاق اللفظی، و لا المقامی، و لا البراءة العقلیة، و لا الشرعیة، فإنه أیضا لا یحصل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لا تصل نوبتها إلی هذه المراحل، کما هو الواضح علی ذوی الألباب و البصائر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الشک فی مطلق التعیین و التخییر، موجبا للاحتیاط،</w:t>
      </w:r>
      <w:bookmarkStart w:id="339" w:name="pg13170_166353"/>
    </w:p>
    <w:p>
      <w:pPr>
        <w:pStyle w:val="BookText"/>
        <w:rPr/>
      </w:pPr>
      <w:bookmarkEnd w:id="339"/>
      <w:r>
        <w:rPr>
          <w:rFonts w:ascii="IRNazanin" w:hAnsi="IRNazanin" w:eastAsia="IRNazanin"/>
          <w:color w:val="111111"/>
          <w:sz w:val="28"/>
          <w:sz w:val="28"/>
          <w:szCs w:val="28"/>
          <w:rtl w:val="true"/>
          <w:lang w:bidi="fa-IR"/>
        </w:rPr>
        <w:t>لکان لازمه الاحتیاط إذا شک فی وجوب المطلق أو المقید، فإنه یرجع إلی الشک فی أن الواجب هو امتثال الرقبة المؤمنة، أو یکون هو مخیرا بین المؤمنة و غیر المؤمنة، و کما تری أن هذا غیر صحیح، کذلک الأمر هنا، فإن الشک فی التعیین و التخییر فی مرحلة الامتثال، راجع إلی أن الواجب هو المقید، أم هو مخیر بین التفصیلیّ و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المزبور عقلی لا شرعی، فلا تخلط</w:t>
      </w:r>
      <w:r>
        <w:rPr>
          <w:rFonts w:eastAsia="IRNazanin" w:cs="IRNazanin"/>
          <w:color w:val="111111"/>
          <w:sz w:val="28"/>
          <w:szCs w:val="28"/>
          <w:rtl w:val="true"/>
          <w:lang w:bidi="fa-IR"/>
        </w:rPr>
        <w:t>.</w:t>
      </w:r>
    </w:p>
    <w:p>
      <w:pPr>
        <w:pStyle w:val="Heading5"/>
        <w:numPr>
          <w:ilvl w:val="4"/>
          <w:numId w:val="1"/>
        </w:numPr>
        <w:rPr/>
      </w:pPr>
      <w:bookmarkStart w:id="340" w:name="__RefHeading___Toc624493_3244359995"/>
      <w:bookmarkStart w:id="341" w:name="_Toc126"/>
      <w:bookmarkEnd w:id="340"/>
      <w:r>
        <w:rPr>
          <w:rtl w:val="true"/>
        </w:rPr>
        <w:t>فذلکة البحث</w:t>
      </w:r>
      <w:bookmarkEnd w:id="341"/>
    </w:p>
    <w:p>
      <w:pPr>
        <w:pStyle w:val="BookText"/>
        <w:rPr/>
      </w:pPr>
      <w:r>
        <w:rPr>
          <w:rFonts w:ascii="IRNazanin" w:hAnsi="IRNazanin" w:eastAsia="IRNazanin"/>
          <w:color w:val="111111"/>
          <w:sz w:val="28"/>
          <w:sz w:val="28"/>
          <w:szCs w:val="28"/>
          <w:rtl w:val="true"/>
          <w:lang w:bidi="fa-IR"/>
        </w:rPr>
        <w:t>إن تصویر المراتب بین الامتثال التفصیلیّ و الإجمالی، غیر معقول، لأنه إن أمکن تحصیل المأمور به بجمیع قیوده فی الامتثال الإجمالی، فلا وجه لعدم الاجتزاء، لأن الإجزاء عقلی و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یمکن ذلک، فلا تصل النوبة إلیه، و لا یکون الإجمالی فی طول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ذلک، بإنکار شرطیة الوجه و التمییز، و أمثال ذلک مما مر فی وجه المسألة</w:t>
      </w:r>
      <w:r>
        <w:rPr>
          <w:rStyle w:val="FootnoteAnchor"/>
          <w:rtl w:val="true"/>
        </w:rPr>
        <w:footnoteReference w:id="429"/>
      </w:r>
      <w:r>
        <w:rPr>
          <w:rFonts w:ascii="IRNazanin" w:hAnsi="IRNazanin" w:eastAsia="IRNazanin"/>
          <w:color w:val="111111"/>
          <w:sz w:val="28"/>
          <w:sz w:val="28"/>
          <w:szCs w:val="28"/>
          <w:rtl w:val="true"/>
          <w:lang w:bidi="fa-IR"/>
        </w:rPr>
        <w:t xml:space="preserve">، فهو لیس من الامتثال الطولی، بل یرجع إلی أن هناک أمرا آخر و مأمورا به آخر یمتثل، فلا طولیة فی البین علی جمیع التقادیر، ضرورة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احتفاظ الأمر و المأمور به علی جمیع القیود فی الحالین، و هذا غیر معقول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الطولیة بین الامتثال الإجمالی و الامتثال الاحتمالی واضحة، لأنه لا یختلف فی مرتبة الجعل المأمور به، و إنما الاختلاف فی مرحلة الامتثال بحسب حال العبد قدرة و عجزا، فإذا کان قادرا فعلیه الاحتیاط، و إلا فیحتاط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الطولیة بین الامتثال الإجمالی و الظنی، 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غیر الحجة لا یوجب الترتیب، و الظن الحجة بمقدمات الانسداد، إن کان مطلق الظن، فلا فرق بین کونه حجة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کالظن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حجة علی الحکومة، فیکون کالقطع، فإنه یلحق بالامتثال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مطلق الظن حتی یشمل المقام، فهو لا یورث الترتیب، فلا تغفل،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الفراغ منه فی أواخر السنة الثالثة من العشر الأخیرة، من المائة الرابعة بعد الألف، من الهجرة النبویة، علی مهاجرها آلاف السلام و التحیة، فی النجف الأشرف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 و الصلاة علی سیدنا محمد و آله الطیبین الطاهرین، و اللعنة الدائمة علی أعدائهم أجمعین إلی یوم الدین</w:t>
      </w:r>
      <w:r>
        <w:rPr>
          <w:rFonts w:eastAsia="IRNazanin" w:cs="IRNazanin"/>
          <w:color w:val="111111"/>
          <w:sz w:val="28"/>
          <w:szCs w:val="28"/>
          <w:rtl w:val="true"/>
          <w:lang w:bidi="fa-IR"/>
        </w:rPr>
        <w:t>.</w:t>
      </w:r>
      <w:bookmarkStart w:id="342" w:name="pg13170_166356"/>
    </w:p>
    <w:p>
      <w:pPr>
        <w:pStyle w:val="Heading2"/>
        <w:numPr>
          <w:ilvl w:val="1"/>
          <w:numId w:val="1"/>
        </w:numPr>
        <w:rPr/>
      </w:pPr>
      <w:bookmarkStart w:id="343" w:name="__RefHeading___Toc624495_3244359995"/>
      <w:bookmarkStart w:id="344" w:name="_Toc127"/>
      <w:bookmarkEnd w:id="342"/>
      <w:bookmarkEnd w:id="343"/>
      <w:r>
        <w:rPr>
          <w:rtl w:val="true"/>
        </w:rPr>
        <w:t>المقصد الثامن فی الظن</w:t>
      </w:r>
      <w:bookmarkEnd w:id="34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624497_3244359995"/>
      <w:bookmarkStart w:id="346" w:name="_Toc128"/>
      <w:bookmarkEnd w:id="345"/>
      <w:r>
        <w:rPr>
          <w:rtl w:val="true"/>
        </w:rPr>
        <w:t>اشارة</w:t>
      </w:r>
      <w:bookmarkStart w:id="347" w:name="pg13170_166358"/>
      <w:bookmarkEnd w:id="346"/>
    </w:p>
    <w:p>
      <w:pPr>
        <w:pStyle w:val="Heading3"/>
        <w:numPr>
          <w:ilvl w:val="2"/>
          <w:numId w:val="1"/>
        </w:numPr>
        <w:rPr/>
      </w:pPr>
      <w:bookmarkStart w:id="348" w:name="__RefHeading___Toc624499_3244359995"/>
      <w:bookmarkStart w:id="349" w:name="_Toc129"/>
      <w:bookmarkEnd w:id="347"/>
      <w:bookmarkEnd w:id="348"/>
      <w:r>
        <w:rPr>
          <w:rtl w:val="true"/>
        </w:rPr>
        <w:t>مقدمة</w:t>
      </w:r>
      <w:bookmarkEnd w:id="349"/>
    </w:p>
    <w:p>
      <w:pPr>
        <w:pStyle w:val="Heading4"/>
        <w:numPr>
          <w:ilvl w:val="3"/>
          <w:numId w:val="1"/>
        </w:numPr>
        <w:rPr/>
      </w:pPr>
      <w:bookmarkStart w:id="350" w:name="__RefHeading___Toc624501_3244359995"/>
      <w:bookmarkStart w:id="351" w:name="_Toc130"/>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قبل الخوض فی المباحث، لا بد من الإشارة إلی جهات</w:t>
      </w:r>
      <w:r>
        <w:rPr>
          <w:rFonts w:eastAsia="IRNazanin" w:cs="IRNazanin"/>
          <w:color w:val="111111"/>
          <w:sz w:val="28"/>
          <w:szCs w:val="28"/>
          <w:rtl w:val="true"/>
          <w:lang w:bidi="fa-IR"/>
        </w:rPr>
        <w:t>:</w:t>
      </w:r>
    </w:p>
    <w:p>
      <w:pPr>
        <w:pStyle w:val="Heading4"/>
        <w:numPr>
          <w:ilvl w:val="3"/>
          <w:numId w:val="1"/>
        </w:numPr>
        <w:rPr/>
      </w:pPr>
      <w:bookmarkStart w:id="352" w:name="__RefHeading___Toc624503_3244359995"/>
      <w:bookmarkStart w:id="353" w:name="_Toc131"/>
      <w:bookmarkEnd w:id="352"/>
      <w:r>
        <w:rPr>
          <w:rtl w:val="true"/>
        </w:rPr>
        <w:t>الجهة الأولی</w:t>
      </w:r>
      <w:r>
        <w:rPr>
          <w:rtl w:val="true"/>
        </w:rPr>
        <w:t xml:space="preserve">: </w:t>
      </w:r>
      <w:r>
        <w:rPr>
          <w:rtl w:val="true"/>
        </w:rPr>
        <w:t>فی تنقیح محل النزاع</w:t>
      </w:r>
      <w:bookmarkEnd w:id="353"/>
    </w:p>
    <w:p>
      <w:pPr>
        <w:pStyle w:val="BookText"/>
        <w:rPr/>
      </w:pPr>
      <w:r>
        <w:rPr>
          <w:rFonts w:ascii="IRNazanin" w:hAnsi="IRNazanin" w:eastAsia="IRNazanin"/>
          <w:color w:val="111111"/>
          <w:sz w:val="28"/>
          <w:sz w:val="28"/>
          <w:szCs w:val="28"/>
          <w:rtl w:val="true"/>
          <w:lang w:bidi="fa-IR"/>
        </w:rPr>
        <w:t>لا یختص البحث بالأمارات و الطرق، فإن الجهة المبحوث عنها، أعم من إمکان التعبد بها و بالظن الشخصی، حیث إنه کما یمکن المناقشة فی إمکان التعبد بها، یمکن المناقشة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البحث بما مر، فإن الموجبات لتوهم الامتناع، تسری إلی الأصول العقلائیة، و الشرعیة التأسیسیة المحرزة، و غیر المحرزة، کما هو الواضح، فإن القول بلزوم اجتماع الحلال و الحرام فی موارد الأصول غیر المحرزة، أوضح من غیرها، فالبحث أعم من هذه الجهة أیضا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 خصوص إمکان التعبد بالظن، کما فی بعض الکتب </w:t>
      </w:r>
      <w:r>
        <w:rPr>
          <w:rStyle w:val="FootnoteAnchor"/>
          <w:rtl w:val="true"/>
        </w:rPr>
        <w:footnoteReference w:id="430"/>
      </w:r>
      <w:r>
        <w:rPr>
          <w:rFonts w:ascii="IRNazanin" w:hAnsi="IRNazanin" w:eastAsia="IRNazanin"/>
          <w:color w:val="111111"/>
          <w:sz w:val="28"/>
          <w:sz w:val="28"/>
          <w:szCs w:val="28"/>
          <w:rtl w:val="true"/>
          <w:lang w:bidi="fa-IR"/>
        </w:rPr>
        <w:t xml:space="preserve">، أو فی خصوص إمکان التعبد بالطرق و الأمارات، کما فی الأخری </w:t>
      </w:r>
      <w:r>
        <w:rPr>
          <w:rStyle w:val="FootnoteAnchor"/>
          <w:rtl w:val="true"/>
        </w:rPr>
        <w:footnoteReference w:id="431"/>
      </w:r>
      <w:r>
        <w:rPr>
          <w:rFonts w:ascii="IRNazanin" w:hAnsi="IRNazanin" w:eastAsia="IRNazanin"/>
          <w:color w:val="111111"/>
          <w:sz w:val="28"/>
          <w:sz w:val="28"/>
          <w:szCs w:val="28"/>
          <w:rtl w:val="true"/>
          <w:lang w:bidi="fa-IR"/>
        </w:rPr>
        <w:t>، و لذلک ینتهی الکلام فی آخر البحث إلی کیفیة الجمع بین الأحکام الواقعیة و الظاهریة المشترکة فی</w:t>
      </w:r>
    </w:p>
    <w:p>
      <w:pPr>
        <w:pStyle w:val="BookText"/>
        <w:rPr/>
      </w:pPr>
      <w:r>
        <w:rPr>
          <w:rFonts w:ascii="IRNazanin" w:hAnsi="IRNazanin" w:eastAsia="IRNazanin"/>
          <w:color w:val="111111"/>
          <w:sz w:val="28"/>
          <w:sz w:val="28"/>
          <w:szCs w:val="28"/>
          <w:rtl w:val="true"/>
          <w:lang w:bidi="fa-IR"/>
        </w:rPr>
        <w:t>مشکلاته الأمارات و الأصول علی إطلاقها، فکون ابن قبة من المخالفین فی خصوص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تمامیة النسبة</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لا یورث قصور البحث و حصره بما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حجیة القطع غیر ذاتیة، و هکذا حجیة الظن علی الانسداد و الحکومة، فهذان أیضا یندرجان فی محط الکلام فی المقام، لأن المشکلات تنشأ عن تنفیذ الشرع و جعله، و إعمال التعبد و تأسیسه، فإذا کان اعتبارهما باعتبار الشرع، فیلزم المحاذیر الآتیة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الحجیة ذاتیة لهما، أو لخصوص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یبعد، لأن حجیة الظن علی الحکومة، تستلزم الخلف، بخلاف حجیة القطع، کما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أوسعیة نطاق البحث أیضا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أنه کما یمکن المناقشة فی التعبد بالأمارات و مطلق الظن، و فی التعبد بالأصول بجعلها تشریعا، کذلک یمکن المناقشة فی جعل القطع مثلا تکوینا، فإن المشکلات المتوهمة، لا تختص بالمجعولات التشریعیة و الإمضائیة، ضرورة أن خلق الطریق و القطع المنتهی إلی خلاف الواقعیات مع التوجه إلی ذلک، غیر جائز، لامتناع ذلک علی من یرید الواقع علی إطلاقه، و یرید خلق القطع علی إطلاقه، بعد کون المریدین واحدا، فإنه تعالی خالق القطع و جاعل الحکم، و متوجه حین خلقه إلی تخلفه عن الواقع، فهل یمکن بقاء الإرادة التشریعیة الإلزامیة، مع توجهه إلی انتهاء القطع فی موارد کذا و کذا إلی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عین مشکلة الأحکام الظاهریة و الواقعیة فی موارد الطرق و الأمارات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تحصل، لا بد من أخذ العنوان الجامع لهذه الجهات المتنوعة، حتی</w:t>
      </w:r>
      <w:bookmarkStart w:id="354" w:name="pg13170_166360"/>
    </w:p>
    <w:p>
      <w:pPr>
        <w:pStyle w:val="BookText"/>
        <w:rPr/>
      </w:pPr>
      <w:bookmarkEnd w:id="354"/>
      <w:r>
        <w:rPr>
          <w:rFonts w:ascii="IRNazanin" w:hAnsi="IRNazanin" w:eastAsia="IRNazanin"/>
          <w:color w:val="111111"/>
          <w:sz w:val="28"/>
          <w:sz w:val="28"/>
          <w:szCs w:val="28"/>
          <w:rtl w:val="true"/>
          <w:lang w:bidi="fa-IR"/>
        </w:rPr>
        <w:t>یکون وافیا بتمام البحث، و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فی المقام حول أنه هل یمکن أن یرتضی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أو تأسیسا، تشریعیا کان، أو تکوینیا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ما یجوز أن یؤدی إلی خلاف الواقع، کما فی موارد الطرق و الأصول طرا، أم لا یمکن ذلک؟</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یعتبر الشرع، ما یؤدی إلی خلاف الواقع أحیانا،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النقض علی ابن قبة بما فی الموارد الکثیرة غیر المفیدة للعلم </w:t>
      </w:r>
      <w:r>
        <w:rPr>
          <w:rStyle w:val="FootnoteAnchor"/>
          <w:rtl w:val="true"/>
        </w:rPr>
        <w:footnoteReference w:id="434"/>
      </w:r>
      <w:r>
        <w:rPr>
          <w:rFonts w:ascii="IRNazanin" w:hAnsi="IRNazanin" w:eastAsia="IRNazanin"/>
          <w:color w:val="111111"/>
          <w:sz w:val="28"/>
          <w:sz w:val="28"/>
          <w:szCs w:val="28"/>
          <w:rtl w:val="true"/>
          <w:lang w:bidi="fa-IR"/>
        </w:rPr>
        <w:t>، فی غیر محله، لأن البحث لیس هنا مع ابن قبة، أو شخص آخر، ضرورة أن الأصولی لا بد و أن یدقق النّظر إلی الأطراف، و یحقق فی الشبهات بحلها، سواء تعرض لها أحد، أم لم یتعرض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النقض علیه بالقطع </w:t>
      </w:r>
      <w:r>
        <w:rPr>
          <w:rStyle w:val="FootnoteAnchor"/>
          <w:rtl w:val="true"/>
        </w:rPr>
        <w:footnoteReference w:id="435"/>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جعلوه محور البحث من الاختصاص بالظن، أو الأمارات و الطرق، غیر واقع فی محله</w:t>
      </w:r>
      <w:r>
        <w:rPr>
          <w:rFonts w:eastAsia="IRNazanin" w:cs="IRNazanin"/>
          <w:color w:val="111111"/>
          <w:sz w:val="28"/>
          <w:szCs w:val="28"/>
          <w:rtl w:val="true"/>
          <w:lang w:bidi="fa-IR"/>
        </w:rPr>
        <w:t>.</w:t>
      </w:r>
    </w:p>
    <w:p>
      <w:pPr>
        <w:pStyle w:val="Heading4"/>
        <w:numPr>
          <w:ilvl w:val="3"/>
          <w:numId w:val="1"/>
        </w:numPr>
        <w:rPr/>
      </w:pPr>
      <w:bookmarkStart w:id="355" w:name="__RefHeading___Toc624505_3244359995"/>
      <w:bookmarkStart w:id="356" w:name="_Toc132"/>
      <w:bookmarkEnd w:id="355"/>
      <w:r>
        <w:rPr>
          <w:rtl w:val="true"/>
        </w:rPr>
        <w:t>الجهة الثانیة</w:t>
      </w:r>
      <w:r>
        <w:rPr>
          <w:rtl w:val="true"/>
        </w:rPr>
        <w:t xml:space="preserve">: </w:t>
      </w:r>
      <w:r>
        <w:rPr>
          <w:rtl w:val="true"/>
        </w:rPr>
        <w:t xml:space="preserve">فی المراد من </w:t>
      </w:r>
      <w:r>
        <w:rPr>
          <w:rtl w:val="true"/>
        </w:rPr>
        <w:t>«</w:t>
      </w:r>
      <w:r>
        <w:rPr>
          <w:rtl w:val="true"/>
        </w:rPr>
        <w:t>الإمکان</w:t>
      </w:r>
      <w:r>
        <w:rPr>
          <w:rtl w:val="true"/>
        </w:rPr>
        <w:t xml:space="preserve">» </w:t>
      </w:r>
      <w:r>
        <w:rPr>
          <w:rtl w:val="true"/>
        </w:rPr>
        <w:t>المزبور</w:t>
      </w:r>
      <w:bookmarkEnd w:id="356"/>
    </w:p>
    <w:p>
      <w:pPr>
        <w:pStyle w:val="Heading5"/>
        <w:numPr>
          <w:ilvl w:val="4"/>
          <w:numId w:val="1"/>
        </w:numPr>
        <w:rPr/>
      </w:pPr>
      <w:bookmarkStart w:id="357" w:name="__RefHeading___Toc624507_3244359995"/>
      <w:bookmarkStart w:id="358" w:name="_Toc133"/>
      <w:bookmarkEnd w:id="357"/>
      <w:r>
        <w:rPr>
          <w:rtl w:val="true"/>
        </w:rPr>
        <w:t>اشارة</w:t>
      </w:r>
      <w:bookmarkEnd w:id="35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عند المحصلین فی أنه لیس الإمکان الذاتی، لأنه فی مقابل المستحیل الذاتی، کاجتماع النقیضین، و لا خفاء فی أن التعبد المزبور، و جعل ما یؤدی إلی الخلاف، لیس من المستحیلات الذاتیّة، بل لو استحال فهو لأمر آخر یطرؤه و یقتضیه، کما أن استحالة اجتماع الضدین و الدور و التسلسل، کذلک کلها، لرجوعها إلی المناقضة و اجتماع النقیضین، أو ارتفاعهما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امتناع شریک الباری</w:t>
      </w:r>
    </w:p>
    <w:p>
      <w:pPr>
        <w:pStyle w:val="BookText"/>
        <w:rPr/>
      </w:pPr>
      <w:r>
        <w:rPr>
          <w:rFonts w:ascii="IRNazanin" w:hAnsi="IRNazanin" w:eastAsia="IRNazanin"/>
          <w:color w:val="111111"/>
          <w:sz w:val="28"/>
          <w:sz w:val="28"/>
          <w:szCs w:val="28"/>
          <w:rtl w:val="true"/>
          <w:lang w:bidi="fa-IR"/>
        </w:rPr>
        <w:t xml:space="preserve">أیضا للفساد، کما یظهر من الکتاب </w:t>
      </w:r>
      <w:r>
        <w:rPr>
          <w:rStyle w:val="FootnoteAnchor"/>
          <w:rtl w:val="true"/>
        </w:rPr>
        <w:footnoteReference w:id="43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 ذلک فالاحتمالات خمسة، لأن جمعا من الأفاضل و الأعلام اختاروا أنه الإمکان الوقوعی </w:t>
      </w:r>
      <w:r>
        <w:rPr>
          <w:rStyle w:val="FootnoteAnchor"/>
          <w:rtl w:val="true"/>
        </w:rPr>
        <w:footnoteReference w:id="437"/>
      </w:r>
      <w:r>
        <w:rPr>
          <w:rFonts w:ascii="IRNazanin" w:hAnsi="IRNazanin" w:eastAsia="IRNazanin"/>
          <w:color w:val="111111"/>
          <w:sz w:val="28"/>
          <w:sz w:val="28"/>
          <w:szCs w:val="28"/>
          <w:rtl w:val="true"/>
          <w:lang w:bidi="fa-IR"/>
        </w:rPr>
        <w:t>، و أن الخلاف فی المسألة حول هذا الإمکان و مقابله، و هو الامتناع الوقوعی، و ذلک لقیام المحاذیر الکثیرة علی التعبد المزبور، فالتعبد علی الوجه السابق ممتنع بالغیر، کامتناع المعلول بلا علة، فإذا دفعنا تلک الشبهات یصیر ممکنا، و یصح أن یتعبد به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المحاذیر لا تقبل الحصر العقلی، فلا سبیل إلی العلم بعدم وجود المحذور الآخر، ضرورة أن محاذیر ابن قبة کانت محصورة بین الأمرین، و صارت فی العصور المتأخرة إلی الشبهات الکثیرة، و ربما تأتی فی العصور الآتیة شبهات أخری، فعندئذ لا یمکن استکشاف الإمکان الوقوعی بعد معلومیة إمکانه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هذه الشبهة اختار الشیخ الإمکان العرفی </w:t>
      </w:r>
      <w:r>
        <w:rPr>
          <w:rStyle w:val="FootnoteAnchor"/>
          <w:rtl w:val="true"/>
        </w:rPr>
        <w:footnoteReference w:id="438"/>
      </w:r>
      <w:r>
        <w:rPr>
          <w:rFonts w:ascii="IRNazanin" w:hAnsi="IRNazanin" w:eastAsia="IRNazanin"/>
          <w:color w:val="111111"/>
          <w:sz w:val="28"/>
          <w:sz w:val="28"/>
          <w:szCs w:val="28"/>
          <w:rtl w:val="true"/>
          <w:lang w:bidi="fa-IR"/>
        </w:rPr>
        <w:t>، فإن بعد رفع المحاذیر، یکون حکم العقلاء علی الإمکان فی مسالکهم العرفیة، فکان الخلاف هنا فی أنه هل یمکن عرفا التعبد المزبور، أم لا یمکن عرفا؟ فمن ادعی الثانی أقام المحاذیر، و من دفعها یثبت لدیه الأول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الاحتمال </w:t>
      </w:r>
      <w:r>
        <w:rPr>
          <w:rStyle w:val="FootnoteAnchor"/>
          <w:rtl w:val="true"/>
        </w:rPr>
        <w:footnoteReference w:id="439"/>
      </w:r>
      <w:r>
        <w:rPr>
          <w:rFonts w:ascii="IRNazanin" w:hAnsi="IRNazanin" w:eastAsia="IRNazanin"/>
          <w:color w:val="111111"/>
          <w:sz w:val="28"/>
          <w:sz w:val="28"/>
          <w:szCs w:val="28"/>
          <w:rtl w:val="true"/>
          <w:lang w:bidi="fa-IR"/>
        </w:rPr>
        <w:t xml:space="preserve">، کما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الإمکان فی الحیض عند جمع </w:t>
      </w:r>
      <w:r>
        <w:rPr>
          <w:rStyle w:val="FootnoteAnchor"/>
          <w:rtl w:val="true"/>
        </w:rPr>
        <w:footnoteReference w:id="440"/>
      </w:r>
      <w:r>
        <w:rPr>
          <w:rFonts w:ascii="IRNazanin" w:hAnsi="IRNazanin" w:eastAsia="IRNazanin"/>
          <w:color w:val="111111"/>
          <w:sz w:val="28"/>
          <w:sz w:val="28"/>
          <w:szCs w:val="28"/>
          <w:rtl w:val="true"/>
          <w:lang w:bidi="fa-IR"/>
        </w:rPr>
        <w:t>، و هو المراد من القاعدة المعروفة عن الشیخ رئیس الصناعة،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ما قرع سمعک من غرائب</w:t>
      </w:r>
    </w:p>
    <w:p>
      <w:pPr>
        <w:pStyle w:val="BookText"/>
        <w:rPr/>
      </w:pPr>
      <w:r>
        <w:rPr>
          <w:rFonts w:ascii="IRNazanin" w:hAnsi="IRNazanin" w:eastAsia="IRNazanin"/>
          <w:color w:val="111111"/>
          <w:sz w:val="28"/>
          <w:sz w:val="28"/>
          <w:szCs w:val="28"/>
          <w:rtl w:val="true"/>
          <w:lang w:bidi="fa-IR"/>
        </w:rPr>
        <w:t>الزمان و عجائب الدوران، فذره فی بقعة الإمکان ما لم یذدک عنه قائم البرهان</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و ذلک لأن مما قرع سمعنا التعبد بالأمارات و الطرق و الأصول، فما دام لم یذدنا البرهان قائما، یکون التعبد بها ثابتا، ضرورة أن رفع الید عن أدلة اعتبارها مع الشک فی الإمکان، غیر جائز، و لا طریق لنا إلی إثبات الإمکان الوقوعی، کما عرفت،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 لقیام المحاذیر العقلیة، أنکر الإمکان، 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تلک المحاذیر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نتمکن من طرح الأدلة بشهادة العقل و العرف </w:t>
      </w:r>
      <w:r>
        <w:rPr>
          <w:rStyle w:val="FootnoteAnchor"/>
          <w:rtl w:val="true"/>
        </w:rPr>
        <w:footnoteReference w:id="442"/>
      </w:r>
      <w:r>
        <w:rPr>
          <w:rFonts w:ascii="IRNazanin" w:hAnsi="IRNazanin" w:eastAsia="IRNazanin"/>
          <w:color w:val="111111"/>
          <w:sz w:val="28"/>
          <w:sz w:val="28"/>
          <w:szCs w:val="28"/>
          <w:rtl w:val="true"/>
          <w:lang w:bidi="fa-IR"/>
        </w:rPr>
        <w:t>، انتهی محصل 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بتصرفات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مورد کلام المتأخرین، هو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أی ما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العنوان المطرح للأنظار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یصح حمله علی الاحتمال،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یحتمل وقوع التعبد، أم لا یحتمل وقوع التعبد؟ فان أقیم البرهان علی عدم صحة الاحتمال بإثبات الامتناع فهو، و إلا فالاحتمال باق علی حاله، فإذا وجدنا الدلیل علی وقوع التعبد، لا یجوز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أحسن 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الإجمال و المناقشة، و لا معنی لرفع الید عن العنوان المعروف إلی ما جعله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الإمکان الوقوعی، ثم لأجل سد الطریق إلی إثباته نتمسک بالإمکان العرفی، بلا وجه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لا معنی له إلا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یحکم بالإمکان الوقوعی، و هذا غیر واضح، لأن العقلاء یعملون علی حسبما یحتاجون إلیه، و یحتجون بما عندهم من</w:t>
      </w:r>
      <w:bookmarkStart w:id="359" w:name="pg13170_166363"/>
    </w:p>
    <w:p>
      <w:pPr>
        <w:pStyle w:val="BookText"/>
        <w:rPr/>
      </w:pPr>
      <w:bookmarkEnd w:id="359"/>
      <w:r>
        <w:rPr>
          <w:rFonts w:ascii="IRNazanin" w:hAnsi="IRNazanin" w:eastAsia="IRNazanin"/>
          <w:color w:val="111111"/>
          <w:sz w:val="28"/>
          <w:sz w:val="28"/>
          <w:szCs w:val="28"/>
          <w:rtl w:val="true"/>
          <w:lang w:bidi="fa-IR"/>
        </w:rPr>
        <w:t xml:space="preserve">الحجج، و أما الحکم علی شی‌ء بکذا أو کذا، فهو خارج عن الطریقة العملیة، و لا شبهة فی أن العقلاء یعملون بالأدلة السمعیة ما دام لم یحرز امتناعه، فما فی کلام الشیخ </w:t>
      </w:r>
      <w:r>
        <w:rPr>
          <w:rStyle w:val="FootnoteAnchor"/>
          <w:rtl w:val="true"/>
        </w:rPr>
        <w:footnoteReference w:id="443"/>
      </w:r>
      <w:r>
        <w:rPr>
          <w:rFonts w:ascii="IRNazanin" w:hAnsi="IRNazanin" w:eastAsia="IRNazanin"/>
          <w:color w:val="111111"/>
          <w:sz w:val="28"/>
          <w:sz w:val="28"/>
          <w:szCs w:val="28"/>
          <w:rtl w:val="true"/>
          <w:lang w:bidi="fa-IR"/>
        </w:rPr>
        <w:t>أیضا لا یخلو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تحصل إلی هنا، یسقط ما فی کلام کثیر من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الاحتمال غیر جائز، لأنه أمر لا خلاف فیه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الاحتمال موجود عند بعض، و لا یوجد عند آخر</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العقل لا یجوز احتمال المناقضة، و لا یجوز احتمال وجود المعلول بلا علة، لقیام البرهان علی امتناعه، و الوجدان علی استحالته، و أما فیما نحن فیه فلا یأبی عن الاحتمال، لعدم استحالته، و من یدعی الاستحالة لا بد من إثباتها، و سیظهر المحاذیر الناهضة علیها مع ما فیها إن شاء اللَّه تعالی</w:t>
      </w:r>
      <w:r>
        <w:rPr>
          <w:rFonts w:eastAsia="IRNazanin" w:cs="IRNazanin"/>
          <w:color w:val="111111"/>
          <w:sz w:val="28"/>
          <w:szCs w:val="28"/>
          <w:rtl w:val="true"/>
          <w:lang w:bidi="fa-IR"/>
        </w:rPr>
        <w:t>.</w:t>
      </w:r>
    </w:p>
    <w:p>
      <w:pPr>
        <w:pStyle w:val="Heading5"/>
        <w:numPr>
          <w:ilvl w:val="4"/>
          <w:numId w:val="1"/>
        </w:numPr>
        <w:rPr/>
      </w:pPr>
      <w:bookmarkStart w:id="360" w:name="__RefHeading___Toc624509_3244359995"/>
      <w:bookmarkStart w:id="361" w:name="_Toc134"/>
      <w:bookmarkEnd w:id="360"/>
      <w:r>
        <w:rPr>
          <w:rtl w:val="true"/>
        </w:rPr>
        <w:t>بقی شی‌ء</w:t>
      </w:r>
      <w:bookmarkEnd w:id="36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هنا احتمالا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الإمکان الاستعدادی، إلا أن الإمکان الاستعدادی حیث یکون من الأمور الخارجیة، بخلاف الإمکانین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و الوقوعی، ففیما نحن فیه یعتبر الإمکان الاستعدادی، لأجل أن البحث یکون حول أن الطرق و الأمارات و أشباه هذه الأمور حتی الأصول، هل تکون قابلة للجعل و التنفیذ، أم لا تقبل ذلک، و لیست فیها القابلیة، للمحاذیر الآتیة و التوالی الفاسدة الکثیرة؟</w:t>
      </w:r>
      <w:r>
        <w:rPr>
          <w:rFonts w:eastAsia="IRNazanin" w:cs="IRNazanin"/>
          <w:color w:val="111111"/>
          <w:sz w:val="28"/>
          <w:szCs w:val="28"/>
          <w:rtl w:val="true"/>
          <w:lang w:bidi="fa-IR"/>
        </w:rPr>
        <w:t>.</w:t>
      </w:r>
      <w:bookmarkStart w:id="362" w:name="pg13170_166364"/>
    </w:p>
    <w:p>
      <w:pPr>
        <w:pStyle w:val="BookText"/>
        <w:rPr/>
      </w:pPr>
      <w:bookmarkEnd w:id="362"/>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یشبه الإمکان الوقوعی، لأنه عند عدم وجود المحاذیر لا یمکن الحکم بالقابلیة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کشف الإمکان الوقوعی و القابلیة الاعتباریة، من جهة وقوعها فی الشریعة، فإنه إذا قطعنا بأن الشرع اعتبر فی الجملة شیئا یؤدی إلی خلاف الواقع، 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 الوقوعی و القابلیة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یمکن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الوقوعی، کما علیه الأکثر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البحث عن الإمکان و اللاإمکان، مقدم علی البحث عن الوقوع و اللاوقوع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یساعده الطبع فی البحث، هو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لا یحتاج إلی فرض وقوع التعبد فی الشرع، مع أن الکلام فی المقام الأول حول إمکان الوقوع و عدمه</w:t>
      </w:r>
      <w:r>
        <w:rPr>
          <w:rFonts w:eastAsia="IRNazanin" w:cs="IRNazanin"/>
          <w:color w:val="111111"/>
          <w:sz w:val="28"/>
          <w:szCs w:val="28"/>
          <w:rtl w:val="true"/>
          <w:lang w:bidi="fa-IR"/>
        </w:rPr>
        <w:t>.</w:t>
      </w:r>
    </w:p>
    <w:p>
      <w:pPr>
        <w:pStyle w:val="Heading5"/>
        <w:numPr>
          <w:ilvl w:val="4"/>
          <w:numId w:val="1"/>
        </w:numPr>
        <w:rPr/>
      </w:pPr>
      <w:bookmarkStart w:id="363" w:name="__RefHeading___Toc624511_3244359995"/>
      <w:bookmarkStart w:id="364" w:name="_Toc135"/>
      <w:bookmarkEnd w:id="363"/>
      <w:r>
        <w:rPr>
          <w:rtl w:val="true"/>
        </w:rPr>
        <w:t>بقی شی‌ء آخر</w:t>
      </w:r>
      <w:bookmarkEnd w:id="364"/>
    </w:p>
    <w:p>
      <w:pPr>
        <w:pStyle w:val="BookText"/>
        <w:rPr/>
      </w:pPr>
      <w:r>
        <w:rPr>
          <w:rFonts w:ascii="IRNazanin" w:hAnsi="IRNazanin" w:eastAsia="IRNazanin"/>
          <w:color w:val="111111"/>
          <w:sz w:val="28"/>
          <w:sz w:val="28"/>
          <w:szCs w:val="28"/>
          <w:rtl w:val="true"/>
          <w:lang w:bidi="fa-IR"/>
        </w:rPr>
        <w:t>و هو أن من المحتملات و هو خامسها و أضعفها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الإمکان التشریعی الواقع فی کلام العلامة النائینی قدس سره </w:t>
      </w:r>
      <w:r>
        <w:rPr>
          <w:rStyle w:val="FootnoteAnchor"/>
          <w:rtl w:val="true"/>
        </w:rPr>
        <w:footnoteReference w:id="447"/>
      </w:r>
      <w:r>
        <w:rPr>
          <w:rFonts w:ascii="IRNazanin" w:hAnsi="IRNazanin" w:eastAsia="IRNazanin"/>
          <w:color w:val="111111"/>
          <w:sz w:val="28"/>
          <w:sz w:val="28"/>
          <w:szCs w:val="28"/>
          <w:rtl w:val="true"/>
          <w:lang w:bidi="fa-IR"/>
        </w:rPr>
        <w:t xml:space="preserve">و قد أجیب عنه بما لا مزید علیه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الإمکان من الاعتبارات الفلسفیة، و لیس من الأمور التکوینیة رأسا،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الإمکان هنا تشریعی، لا تکوینی، کما لا یخفی علی أهله</w:t>
      </w:r>
      <w:r>
        <w:rPr>
          <w:rFonts w:eastAsia="IRNazanin" w:cs="IRNazanin"/>
          <w:color w:val="111111"/>
          <w:sz w:val="28"/>
          <w:szCs w:val="28"/>
          <w:rtl w:val="true"/>
          <w:lang w:bidi="fa-IR"/>
        </w:rPr>
        <w:t>.</w:t>
      </w:r>
      <w:bookmarkStart w:id="365" w:name="pg13170_166365"/>
    </w:p>
    <w:p>
      <w:pPr>
        <w:pStyle w:val="Heading4"/>
        <w:numPr>
          <w:ilvl w:val="3"/>
          <w:numId w:val="1"/>
        </w:numPr>
        <w:rPr/>
      </w:pPr>
      <w:bookmarkStart w:id="366" w:name="__RefHeading___Toc624513_3244359995"/>
      <w:bookmarkStart w:id="367" w:name="_Toc136"/>
      <w:bookmarkEnd w:id="365"/>
      <w:bookmarkEnd w:id="366"/>
      <w:r>
        <w:rPr>
          <w:rtl w:val="true"/>
        </w:rPr>
        <w:t>الجهة الثالثة</w:t>
      </w:r>
      <w:r>
        <w:rPr>
          <w:rtl w:val="true"/>
        </w:rPr>
        <w:t xml:space="preserve">: </w:t>
      </w:r>
      <w:r>
        <w:rPr>
          <w:rtl w:val="true"/>
        </w:rPr>
        <w:t>حول المحاذیر التی یمکن أن تذکر للتعبد بما یؤدی إلی خلاف الواقع أحیانا</w:t>
      </w:r>
      <w:bookmarkEnd w:id="367"/>
    </w:p>
    <w:p>
      <w:pPr>
        <w:pStyle w:val="Heading5"/>
        <w:numPr>
          <w:ilvl w:val="4"/>
          <w:numId w:val="1"/>
        </w:numPr>
        <w:rPr/>
      </w:pPr>
      <w:bookmarkStart w:id="368" w:name="__RefHeading___Toc624515_3244359995"/>
      <w:bookmarkStart w:id="369" w:name="_Toc137"/>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المحاذیر بین ما هو ملاکی، و خطابی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المثلین أو الضدین، و طلب الضدین، و تفویت المصلحة و الإلقاء فی المفسدة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الأقسام بین أربعة، لأنها إما راجعة إلی الملاکات، کاجتماع المصلحة 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مبادئ الخطابات، کاجتماع الکراهة و الإرادة، و الحب و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نفس الخطابات، کاجتماع الضدین و النقیضین و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إلی لازم الخطابات، کالإلقاء فی المفسدة، و تفویت المصلحة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أیضا لم یستوف جمیع المحاذیر، لأن منها الجزاف، ضرورة أن الإلزام بما لا تکون فیه المصلحة الإلزامیة، خلاف مذهب العدلیة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تابعة للمصالح و المفاسد، و من الجزاف إیجاب ما فیه المفسدة الملزمة،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اجتماع الضدین غیر طلب الضدین، و ما هو یرجع إلی نفس الخطاب هو طلب الضدین، و صورة اجتماع الضدین و المثلین من تبعات الجعل و الخطاب، للزوم کون الواجب حراما و بالعکس</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تحلیل الحرام و تحریم الحلال بما هو هو، فلا محذور فیه، إلا إذا رجع</w:t>
      </w:r>
    </w:p>
    <w:p>
      <w:pPr>
        <w:pStyle w:val="BookText"/>
        <w:rPr/>
      </w:pPr>
      <w:r>
        <w:rPr>
          <w:rFonts w:ascii="IRNazanin" w:hAnsi="IRNazanin" w:eastAsia="IRNazanin"/>
          <w:color w:val="111111"/>
          <w:sz w:val="28"/>
          <w:sz w:val="28"/>
          <w:szCs w:val="28"/>
          <w:rtl w:val="true"/>
          <w:lang w:bidi="fa-IR"/>
        </w:rPr>
        <w:t>إلی بعض ما ذکرنا، کما لا یخفی، أو رجع إلی التصویب الباطل، لأجل أن لازم التعبد المزبور، اختصاص الحکم بالعالم، و أن الحکم المخصوص بالجاهل، هو مؤدی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أنه من نقض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الغرض تعلق بمنع الناس و تحریمهم عن الخمر، ثم یجعل ما یؤدی إلی خلافه، أو تعلق الغرض بإباحة شی‌ء علی الناس، نظرا إلی التسهیل فی أمورهم، ثم یجعل ما ینتهی إلی تصعیب الأمر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مما ذکر عبارات متعددة تحکی عن الأمور الراجعة إلی محذور واحد فی الحقیقة، بحیث إذا قلع ذلک المحذور، لارتفعت هذه المحاذیر علی کثرتها،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المحاذیر بإجمالها، فقبل الخوض فی تفصیلها نشیر إلی أن ما نسب إلی ابن 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لو جاز الإخبار عن النبی صلی اللَّه علیه و آله و سلم لجاز الإخبار عن اللَّه تبارک و تعالی</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نظره إلی وجوب الملازمة بین الوقوعین، أو کان إلی أن الإخبار عن اللَّه تعالی من المستحیل، فعن النبی صلی اللَّه علیه و آله و سلم مثله فی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الثانی، لأن الأول فی غایة السخافة، ضرورة إمکان التعبد بلزوم الأخذ بطریق دون طریق و هکذا، أو جواز التفکیک بین الإخبارین، فما هو الأقرب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محصل، و لعله أراد به بعض ما لا نفهم من کلامه، لبعد عصره، و علو قدره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النبی صلی اللَّه علیه و آله و سلم غیر جائز إلا مع الوسط، و الإخبار عن اللَّه جائز مع الوسط، إلا أن الوسائط الموجودة بیننا و بینه صلی اللَّه علیه و آله و سلم أمثالنا المبطوطین</w:t>
      </w:r>
      <w:bookmarkStart w:id="370" w:name="pg13170_166367"/>
    </w:p>
    <w:p>
      <w:pPr>
        <w:pStyle w:val="BookText"/>
        <w:rPr/>
      </w:pPr>
      <w:bookmarkEnd w:id="370"/>
      <w:r>
        <w:rPr>
          <w:rFonts w:ascii="IRNazanin" w:hAnsi="IRNazanin" w:eastAsia="IRNazanin"/>
          <w:color w:val="111111"/>
          <w:sz w:val="28"/>
          <w:sz w:val="28"/>
          <w:szCs w:val="28"/>
          <w:rtl w:val="true"/>
          <w:lang w:bidi="fa-IR"/>
        </w:rPr>
        <w:t>فی التأریخ، و الوسائط الموجودة بیننا و بین اللَّه تعالی لا بد أن تنتهی إلی النبی الأکرم صلی اللَّه علیه و آله و سلم لانقطاع الوحی بفقده صلی اللَّه علیه و آله و سلم و لذلک قد أخبر عن اللَّه تعالی بتوسیط الأولیاء و بعض الفقهاء، و منهم السید علی خان قدس سره حیث إنه تشرف بسلسلة ذهبیة من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الإمام موسی بن جعفر علیهما السلام و ذکر خمسة أحادیث مسلسلة بالآباء و فیها ما یرجع إلی النبی صلی اللَّه علیه و آله و سلم لیلة المعراج، و عن اللَّه تعالی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العجیب إطالة الکلام حول هذه المشکلة، بذکر محتملاتها، و الجواب عنها، کما فی تقریرات العلامة العراقی قدس سره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624517_3244359995"/>
      <w:bookmarkStart w:id="372" w:name="_Toc138"/>
      <w:bookmarkEnd w:id="371"/>
      <w:r>
        <w:rPr>
          <w:rtl w:val="true"/>
        </w:rPr>
        <w:t>انقسام المحاذیر العقلیة إلی ثلاث طوائف</w:t>
      </w:r>
      <w:bookmarkEnd w:id="372"/>
    </w:p>
    <w:p>
      <w:pPr>
        <w:pStyle w:val="Heading6"/>
        <w:numPr>
          <w:ilvl w:val="5"/>
          <w:numId w:val="1"/>
        </w:numPr>
        <w:rPr/>
      </w:pPr>
      <w:bookmarkStart w:id="373" w:name="__RefHeading___Toc624519_3244359995"/>
      <w:bookmarkStart w:id="374" w:name="_Toc139"/>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المحاذیر بین ما هو محذور عقلا، کاجتماع الضدین و المثلین، سواء کان فی الملاکات، أو فی المبادئ، و بین ما هو محذور بالقیاس إلی المبدأ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امتناع الجزاف فی حقه تعالی، کنقض الغرض، و الإلقاء فی المفسدة، و تفویت المصلحة، و بین ما هو المحذور بالقیاس إلی المذهب الحق، کلزوم کون الحکم بلا مصلحة و لا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الأخیرین فرق، فإن الأول غیر جائز عند المسلمین، و الأخیر غیر جائز إلا عند الأشاعرة،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الأجوبة ما تنحل به تمام المحاذیر، و منه ما یختص ببعض منها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إطالة الکلام حول المبانی المختلفة علی السببیة و الموضوعیة، و علی الانسداد و الانفتاح، غیر صحیح إنصافا، و قد استوفی القوم ذلک</w:t>
      </w:r>
      <w:bookmarkStart w:id="375" w:name="pg13170_166368"/>
    </w:p>
    <w:p>
      <w:pPr>
        <w:pStyle w:val="BookText"/>
        <w:rPr/>
      </w:pPr>
      <w:bookmarkEnd w:id="375"/>
      <w:r>
        <w:rPr>
          <w:rFonts w:ascii="IRNazanin" w:hAnsi="IRNazanin" w:eastAsia="IRNazanin"/>
          <w:color w:val="111111"/>
          <w:sz w:val="28"/>
          <w:sz w:val="28"/>
          <w:szCs w:val="28"/>
          <w:rtl w:val="true"/>
          <w:lang w:bidi="fa-IR"/>
        </w:rPr>
        <w:t xml:space="preserve">مع ما فی إفاداتهم </w:t>
      </w:r>
      <w:r>
        <w:rPr>
          <w:rStyle w:val="FootnoteAnchor"/>
          <w:rtl w:val="true"/>
        </w:rPr>
        <w:footnoteReference w:id="455"/>
      </w:r>
      <w:r>
        <w:rPr>
          <w:rFonts w:ascii="IRNazanin" w:hAnsi="IRNazanin" w:eastAsia="IRNazanin"/>
          <w:color w:val="111111"/>
          <w:sz w:val="28"/>
          <w:sz w:val="28"/>
          <w:szCs w:val="28"/>
          <w:rtl w:val="true"/>
          <w:lang w:bidi="fa-IR"/>
        </w:rPr>
        <w:t>، فنحن نتصدی لما هو حل هذه المعضلات علی المذهب المنصور، و هو انفتاح باب العلمی و الطریقیة</w:t>
      </w:r>
      <w:r>
        <w:rPr>
          <w:rFonts w:eastAsia="IRNazanin" w:cs="IRNazanin"/>
          <w:color w:val="111111"/>
          <w:sz w:val="28"/>
          <w:szCs w:val="28"/>
          <w:rtl w:val="true"/>
          <w:lang w:bidi="fa-IR"/>
        </w:rPr>
        <w:t>.</w:t>
      </w:r>
    </w:p>
    <w:p>
      <w:pPr>
        <w:pStyle w:val="Heading6"/>
        <w:numPr>
          <w:ilvl w:val="5"/>
          <w:numId w:val="1"/>
        </w:numPr>
        <w:rPr/>
      </w:pPr>
      <w:bookmarkStart w:id="376" w:name="__RefHeading___Toc624521_3244359995"/>
      <w:bookmarkStart w:id="377" w:name="_Toc140"/>
      <w:bookmarkEnd w:id="376"/>
      <w:r>
        <w:rPr>
          <w:rtl w:val="true"/>
        </w:rPr>
        <w:t>الطائفة الأولی</w:t>
      </w:r>
      <w:r>
        <w:rPr>
          <w:rtl w:val="true"/>
        </w:rPr>
        <w:t xml:space="preserve">: </w:t>
      </w:r>
      <w:r>
        <w:rPr>
          <w:rtl w:val="true"/>
        </w:rPr>
        <w:t>المحاذیر الممنوعة عقلا</w:t>
      </w:r>
      <w:bookmarkEnd w:id="377"/>
    </w:p>
    <w:p>
      <w:pPr>
        <w:pStyle w:val="BookText"/>
        <w:rPr/>
      </w:pPr>
      <w:r>
        <w:rPr>
          <w:rFonts w:ascii="IRNazanin" w:hAnsi="IRNazanin" w:eastAsia="IRNazanin"/>
          <w:color w:val="111111"/>
          <w:sz w:val="28"/>
          <w:sz w:val="28"/>
          <w:szCs w:val="28"/>
          <w:rtl w:val="true"/>
          <w:lang w:bidi="fa-IR"/>
        </w:rPr>
        <w:t>فتندفع فی باب الطرق و الأمارات و کل ما یحذو حذوها بإنکار لزوم اجتماع المثلین و الضدین فی صورة الإصابة و الخطأ، و ذلک لما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الشرع غیر متصرف فیها إلا بالإمضاء</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حاجة إلی الإمضاء، بل یکفی عدم الردع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لا معنی لتوهم الحکمین رأسا حتی یلزم ما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الأصول المتصدیة للجعل، کجعل الحلیة و الطهارة، أو للرفع، کرفع الوجوب و الحرمة، أو رفع الجزئیة و الشرطیة،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الثانی، فأیضا لا یلزم منه اجتماع الضدین، و لا المثلین، لأنه رفع لا نصب، فلا حکمین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قبیل القسم الأول فیشکل، للزوم کون الشی‌ء المشکوک حلالا، و إذا کان هو خمرا فهو حرام، فیلزم اجتماع الحلیة و الحرمة المتضادین، و هو مستحیل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هو الموضوع للحرمة هو الخمر، و ما هو الموضوع للحلیة هو الخمر المشکوک، فهنا موضوعان، و لا یلزم اجتماع الضدین، و لا المثلین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السید الأستاذ الفشارکی قدس سره تعبیر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موضوع الحرام هی الذات، و موضوع الحل معنی متأخر عنها برتبة، و هو الشک فی الحکم المتعلق بالذات، فلا یعقل اجتماعهما فی محل واحد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إلی 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تحرر فی مسألة الضد من أن الإطلاق و التقیید، لا یکفیان لتجویز اجتماع الأمر و النهی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إما ظاهرة فی أن المشکوک بما هو، مورد الحل و الطهارة، فتکون النسبة بین الواقعیات و أدلة الأصول الجاعلة، عموما من وجه، کما عرفت منا فی مبحث القطع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تکون الأدلة بصدد جعل الحلیة الموقتة لما هو موضوع الحرام واقعا، فیکون الشک جهة تعلیلیة لعروض الحلیة علی الذات، و تکون القضیة فی اعتبار من القضایا الحینیة،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حین الشک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الأدلة ظاهرة 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العناوین الذاتیّة، فهذا التقریب غیر تام ثبوتا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کفایة الإطلاق و التقیید لتعدد الموضوع، اللازم للفرار من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إثباتا، فلما أشیر إلیه آنفا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إلی 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و إن لم یکن من قبیل السواد و البیاض من الصفات الخارجیة، و یکون متعلقة الشک فی الحکم،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بذات الخمر، و الشک متأخر عن ذلک الحکم، و لکنه یرجع إلی کون الشک تمام الموضوع، فیلزم أن تکون النسبة بین موضوع الأحکام الأولیة و الثانویة، عموما من وجه، و هذا معناه إنکار الأحکام الظاهریة، کما مر فی مباحث</w:t>
      </w:r>
    </w:p>
    <w:p>
      <w:pPr>
        <w:pStyle w:val="BookText"/>
        <w:rPr/>
      </w:pPr>
      <w:r>
        <w:rPr>
          <w:rFonts w:ascii="IRNazanin" w:hAnsi="IRNazanin" w:eastAsia="IRNazanin"/>
          <w:color w:val="111111"/>
          <w:sz w:val="28"/>
          <w:sz w:val="28"/>
          <w:szCs w:val="28"/>
          <w:rtl w:val="true"/>
          <w:lang w:bidi="fa-IR"/>
        </w:rPr>
        <w:t xml:space="preserve">القطع </w:t>
      </w:r>
      <w:r>
        <w:rPr>
          <w:rStyle w:val="FootnoteAnchor"/>
          <w:rtl w:val="true"/>
        </w:rPr>
        <w:footnoteReference w:id="462"/>
      </w:r>
      <w:r>
        <w:rPr>
          <w:rFonts w:ascii="IRNazanin" w:hAnsi="IRNazanin" w:eastAsia="IRNazanin"/>
          <w:color w:val="111111"/>
          <w:sz w:val="28"/>
          <w:sz w:val="28"/>
          <w:szCs w:val="28"/>
          <w:rtl w:val="true"/>
          <w:lang w:bidi="fa-IR"/>
        </w:rPr>
        <w:t>، و لیس وجها مقبولا عنده و عند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إما یکون جهة تعلیلیة، فیلزم المحذور، أو جهة تقییدیة، فیکون القید الآخر إما الحکم المتعلق بالذات، أو نفس الذات، و لا سبیل إلی کون القید الآخر نفس الحکم بدون الذات بالضرورة، للملازمة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معنی لکون الشک مورد التحلیل، و علی تقدیر یلزم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الشک تمام الموضوع فلا محذور فیه، إلا أنه یلزم کون الحکم الظاهری واقعیا، کما فی العامین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حاجة إلی هذه التشبثات،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 مشکلة اجتماع الضدین و المثلین صغرویا، غیر ممکن إلا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النسبة بین محط الحکمین عموم من وجه، فإنه به یتعدد الموضوع، کما تحرر تفصیله فی بحوث الضد مستوفی </w:t>
      </w:r>
      <w:r>
        <w:rPr>
          <w:rStyle w:val="FootnoteAnchor"/>
          <w:rtl w:val="true"/>
        </w:rPr>
        <w:footnoteReference w:id="463"/>
      </w:r>
      <w:r>
        <w:rPr>
          <w:rFonts w:ascii="IRNazanin" w:hAnsi="IRNazanin" w:eastAsia="IRNazanin"/>
          <w:color w:val="111111"/>
          <w:sz w:val="28"/>
          <w:sz w:val="28"/>
          <w:szCs w:val="28"/>
          <w:rtl w:val="true"/>
          <w:lang w:bidi="fa-IR"/>
        </w:rPr>
        <w:t xml:space="preserve">، و فی آخر مباحث القطع أیضا فی خصوص هذه المسألة لتجویز الاقتحام فی جمیع أطراف المعلوم بالإجمال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الکلام فی دفع هذه العویصة بالنسبة إلی اجتماع الحلال و الحرام، و الطهارة و النجاسة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اجتماع الکراهة و الإرادة، و هما أیضا ضدان، و مثلهما الحب و البغض، و اجتماع الإرادتین و الکراهتین، و الحبین و البغضین، و الکل ممتنع بعد کون المتعلق واحدا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مصبهما واحدا بالمرة فی الأمارات، و لا فی الأصول، ضرورة أن ما هو مصب الأحکام الواقعیة و مورد الحب و البغض، هی الذوات و الطبائع و العناوین النفسیّة، و ما هو مصب الإمضاء فی الطرق و الأمارات و الأصول هو</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بها ترخیصا، أو إیجابا طریقیا، فلا یلزم اجتماع الضدین، و لا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الکراهة لیست تقابل الإرادة، و إن قابل بینهما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الطبیعی فی عنوان البحث </w:t>
      </w:r>
      <w:r>
        <w:rPr>
          <w:rStyle w:val="FootnoteAnchor"/>
          <w:rtl w:val="true"/>
        </w:rPr>
        <w:footnoteReference w:id="465"/>
      </w:r>
      <w:r>
        <w:rPr>
          <w:rFonts w:ascii="IRNazanin" w:hAnsi="IRNazanin" w:eastAsia="IRNazanin"/>
          <w:color w:val="111111"/>
          <w:sz w:val="28"/>
          <w:sz w:val="28"/>
          <w:szCs w:val="28"/>
          <w:rtl w:val="true"/>
          <w:lang w:bidi="fa-IR"/>
        </w:rPr>
        <w:t>، ضرورة أن الإرادة من الأمور القائمة بالنفس قیام صدور، و الکراهة قائمة بها قیام 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فی موارد التحریم، نحتاج إلی المبادئ التی نحتاج إلیها فی الإیجاب، و هی إرادة البعث و التحریک، و إرادة الزجر و المنع، فلیست الکراهة مقابل الإرادة حتی یلزم الجمع بینهما، کی یکون من اجتماع الضدین، و لا تتعلق الإرادة التشریعیة فی ناحیة الإیجاب و التحریم إلا بالبعث نحو المادة و الزجر عنها، کما حررناه فی محله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الممتنع أن تتعلق الإرادتان بشی‌ء واحد، أو تعلق الحبین و البغضین بعنوان واحد، من شخص واحد، فی حال واحدة، و کل ذلک غیر لازم فی التعبد بالأمارات و الأصول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الجواب عن هذه الطائفة من المحذورات العقلیة، التی یدرک امتناعها کل ملة و نحلة، و قد تبین أن دفعها علی سبیلین و طریقین، لأنه کما یمکن إنکار اجتماعهما، یمکن إنکار التضاد بین الأحکام، کما سلکه جمع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رضوان اللَّه الملک العلام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مباحث الضد ما یتعلق بهذا المرام علی وجه لا مزید علیه </w:t>
      </w:r>
      <w:r>
        <w:rPr>
          <w:rStyle w:val="FootnoteAnchor"/>
          <w:rtl w:val="true"/>
        </w:rPr>
        <w:footnoteReference w:id="468"/>
      </w:r>
      <w:r>
        <w:rPr>
          <w:rFonts w:ascii="IRNazanin" w:hAnsi="IRNazanin" w:eastAsia="IRNazanin"/>
          <w:color w:val="111111"/>
          <w:sz w:val="28"/>
          <w:sz w:val="28"/>
          <w:szCs w:val="28"/>
          <w:rtl w:val="true"/>
          <w:lang w:bidi="fa-IR"/>
        </w:rPr>
        <w:t>، فلا نحتاج إلی تکراره فی المقام</w:t>
      </w:r>
      <w:r>
        <w:rPr>
          <w:rFonts w:eastAsia="IRNazanin" w:cs="IRNazanin"/>
          <w:color w:val="111111"/>
          <w:sz w:val="28"/>
          <w:szCs w:val="28"/>
          <w:rtl w:val="true"/>
          <w:lang w:bidi="fa-IR"/>
        </w:rPr>
        <w:t>.</w:t>
      </w:r>
      <w:bookmarkStart w:id="378" w:name="pg13170_166372"/>
    </w:p>
    <w:p>
      <w:pPr>
        <w:pStyle w:val="BookText"/>
        <w:rPr/>
      </w:pPr>
      <w:bookmarkEnd w:id="378"/>
      <w:r>
        <w:rPr>
          <w:rFonts w:ascii="IRNazanin" w:hAnsi="IRNazanin" w:eastAsia="IRNazanin"/>
          <w:color w:val="111111"/>
          <w:sz w:val="28"/>
          <w:sz w:val="28"/>
          <w:szCs w:val="28"/>
          <w:rtl w:val="true"/>
          <w:lang w:bidi="fa-IR"/>
        </w:rPr>
        <w:t xml:space="preserve">فدعوی الامتناع الذاتی، بتخیل اجتماع المتضادین و المتماثلین </w:t>
      </w:r>
      <w:r>
        <w:rPr>
          <w:rStyle w:val="FootnoteAnchor"/>
          <w:rtl w:val="true"/>
        </w:rPr>
        <w:footnoteReference w:id="469"/>
      </w:r>
      <w:r>
        <w:rPr>
          <w:rFonts w:ascii="IRNazanin" w:hAnsi="IRNazanin" w:eastAsia="IRNazanin"/>
          <w:color w:val="111111"/>
          <w:sz w:val="28"/>
          <w:sz w:val="28"/>
          <w:szCs w:val="28"/>
          <w:rtl w:val="true"/>
          <w:lang w:bidi="fa-IR"/>
        </w:rPr>
        <w:t>، باطلة من الناحیتین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الصغرویة، و الکبرویة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ما تحرر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الاعتباریات لا تقبل أحکام التکوینیات، و الضدیة و الندیة من خصائص التکوین، فعلیه یعلم أنه لا امتناع بین النجاسة الواقعیة و الطهارة الجعلیة، و لا بین الطهارة الواقعیة و الطهارة الجعلیة، و لو کانت النجاسة و الطهارة الواقعیتان من المندرجات فی إحدی المقولات، کما لا یخفی</w:t>
      </w:r>
      <w:r>
        <w:rPr>
          <w:rFonts w:eastAsia="IRNazanin" w:cs="IRNazanin"/>
          <w:color w:val="111111"/>
          <w:sz w:val="28"/>
          <w:szCs w:val="28"/>
          <w:rtl w:val="true"/>
          <w:lang w:bidi="fa-IR"/>
        </w:rPr>
        <w:t>.</w:t>
      </w:r>
    </w:p>
    <w:p>
      <w:pPr>
        <w:pStyle w:val="Heading6"/>
        <w:numPr>
          <w:ilvl w:val="5"/>
          <w:numId w:val="1"/>
        </w:numPr>
        <w:rPr/>
      </w:pPr>
      <w:bookmarkStart w:id="379" w:name="__RefHeading___Toc624523_3244359995"/>
      <w:bookmarkStart w:id="380" w:name="_Toc141"/>
      <w:bookmarkEnd w:id="379"/>
      <w:r>
        <w:rPr>
          <w:rtl w:val="true"/>
        </w:rPr>
        <w:t>الطائفة الثانیة</w:t>
      </w:r>
      <w:r>
        <w:rPr>
          <w:rtl w:val="true"/>
        </w:rPr>
        <w:t xml:space="preserve">: </w:t>
      </w:r>
      <w:r>
        <w:rPr>
          <w:rtl w:val="true"/>
        </w:rPr>
        <w:t>ما هو المحذور عند الإمامیة حسب المذهب</w:t>
      </w:r>
      <w:bookmarkEnd w:id="380"/>
    </w:p>
    <w:p>
      <w:pPr>
        <w:pStyle w:val="Heading6"/>
        <w:numPr>
          <w:ilvl w:val="5"/>
          <w:numId w:val="1"/>
        </w:numPr>
        <w:rPr/>
      </w:pPr>
      <w:bookmarkStart w:id="381" w:name="__RefHeading___Toc624525_3244359995"/>
      <w:bookmarkStart w:id="382" w:name="_Toc142"/>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کلزوم کون الحکم بلا مصلحة و مفسدة، فإن من التعبد بالأمارات و الأصول المحرزة بل و غیر المحرزة، یلزم أن یکون فی موارد الإباحة تحریم و إیجاب، أو فی موارد الکراهة تحریم، و فی موارد الاستحباب إیجاب، مع أن الأحکام تابعة للمصالح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یلزم أن یکون التحریم فی مورد الإیجاب و بالعکس، و التحلیل فی مورد التحریم فی الأصول، و بالعکس فی الأمارات، و یجمع الکل ما ینافیه المذهب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کنا من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لا تستتبع المصالح و المفاسد،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هذا المحذور فی أصل الطهارة أیضا، فإن جعل شی‌ء طاهرا، یکون علی حسب المصلحة، و لو صح التعبد یلزم جعل ما یجب أن یعتبر نجسا طاهرا، و هذا باطل عندنا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صورة الإصابة لا یلزم محذور فلو کان شی‌ء واجبا فأصابته الأمارة أو الأصل، أو کان مباحا فأصابته الأمارة أو الأصل، أو کان طاهرا فأصابته الأمارة أو الأصل، فلا مناقشة، فالمشکلة تختص بصورة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فی موارد تحریم ما هو الواجب، و إیجاب ما هو الحرام، و ما یشبه به، یکون أمر زائد علی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الإلقاء فی المفسدة، و تفویت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نحیل الجواب عن هذه الموارد إلی الطائفة الثالثة من المحاذیر التی یشترک فیها الکل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یرخص ذلک، لأنه لا یقول بتبعیة الأحکام للمصالح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لا یرخص القبیح فی حقه تعالی، و إنما ینکر قبح تصرفاته تعالی، و تفویت المصلحة و الإلقاء فی المفسدة بعنوانهما، مما لا یرخص أحد فی حقه تعالی، و الأشعری إذا کان یقول بعدم التبعیة، یقول بعدم التفویت، و لا إلقاء فی البین، لا إنه یقول بجواز الإلقاء فی المفسدة فی حقه، فما فی کتب جمع من المعاصرین خال من التحصیل،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یخص الجواب هنا بموارد خاصة، و هی ما إذا أدت الأمارة إلی وجوب شی‌ء مباح، أو حرمة شی‌ء مباح، أو کراهته، و استحباب شی‌ء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هذه المشکلة یظهر بالتدبر فیما هو المرام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تابعة للمصالح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المراد من ذلک، لیس أن کل مورد من موارد الحکم الانحلالی و الإیجاب العمومی، ذو مصلحة أو مفسدة، بل مقصودنا أن الجزاف فی المجاعیل الإلهیة غیر جائز، لأن الجزاف فی حقه تعالی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تخیله الأشعری من إطلاق عظمته، و عدم قید لشوکته و سیطرته و سطوته، لا ینافی ذلک فی وجه، و ینافیه فی وجه آخر تحرر تفصیله فی محله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کما أن العقلاء لمصالح عامة سیاسیة و نظامیة، یعتبرون الأحکام العامة الکلیة، من غیر وجود مصلحة فی کل مورد، و مفسدة فی کل موضوع، کذلک</w:t>
      </w:r>
    </w:p>
    <w:p>
      <w:pPr>
        <w:pStyle w:val="BookText"/>
        <w:rPr/>
      </w:pPr>
      <w:r>
        <w:rPr>
          <w:rFonts w:ascii="IRNazanin" w:hAnsi="IRNazanin" w:eastAsia="IRNazanin"/>
          <w:color w:val="111111"/>
          <w:sz w:val="28"/>
          <w:sz w:val="28"/>
          <w:szCs w:val="28"/>
          <w:rtl w:val="true"/>
          <w:lang w:bidi="fa-IR"/>
        </w:rPr>
        <w:t>الشرع، فإن من ذلک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التصرف فی مال الغیر، لا یلزم أن یکون فی کل مورد مفسدة تخص به، أو إیجاب العمل بالطرق و الأمارات، لا یلزم أن یکون فی جمیع الموارد مصلحة الإیجاب التی تخص بها، بل تکفی المهملة فی الناحیتین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تمنع التجول فی اللیل مطلقا، نظرا إلی الغرض الخاصّ، و هو منع تجول جمع معین، و لیس ذلک إلا لأن المقصود لا یحصل إلا بهذه الوتیرة، و غیر ذلک من القوانین العامة الکلیة حفاظا علی أمور جزئیة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لا منع من إیجاب العمل بالطرق و الأمارات و الأصول، المنتهیة إلی تحریم المباح و إیجابه، لما فی الإیجاب الکلی و جعل الحجیة المطلقة، من مصلحة خاصة لازمة المراعاة بالقیاس إلی النظام العالمی،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الأحکام النفسیّة لیست المصلحة و المفسدة ملحوظة بالقیاس إلی کل مورد إلا أحیانا، کذلک فی الأحکام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الطریقیة، لیست إلا اعتبار الحجیة و جعلها و إمضاءها، و لا یعتبر هناک کون الأحکام تابعة للمصالح، فی غیر محله، لأن الممنوع هو الجزاف فی حقه تعالی، و یخرج من الجزافیة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یقال بکفایة المصلحة فی الجعل، کما فی موارد الأوامر المتعذریة و الامتحانیة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لعمری، إنه قلما یوجد فی الإسلام حکم، یکون ناشئا فی کل مورد عن مصلحة فی ذلک المورد، بل الأحکام الإسلامیة، تابعة للمصالح و المفاسد الغالبیة، أو المهملة الأحیانیة مثلا، أو الأنظار السیاسیة، فتکون المصالح اعتباریة نظامیة و اجتماعیة حکومیة، و إلا فربما لا تکون صلاة زید ذات مصلحة فی حقه، إن لم نقل برجوعها إلیه بصورة مؤذیة،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تال للقرآن و القرآن یلعنه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 هذا لا ینافی</w:t>
      </w:r>
      <w:bookmarkStart w:id="383" w:name="pg13170_166375"/>
    </w:p>
    <w:p>
      <w:pPr>
        <w:pStyle w:val="BookText"/>
        <w:rPr/>
      </w:pPr>
      <w:bookmarkEnd w:id="383"/>
      <w:r>
        <w:rPr>
          <w:rFonts w:ascii="IRNazanin" w:hAnsi="IRNazanin" w:eastAsia="IRNazanin"/>
          <w:color w:val="111111"/>
          <w:sz w:val="28"/>
          <w:sz w:val="28"/>
          <w:szCs w:val="28"/>
          <w:rtl w:val="true"/>
          <w:lang w:bidi="fa-IR"/>
        </w:rPr>
        <w:t>استحبابه علیه، للجهة العامة المنظورة للشرع، و لو کان فی حق شخص ذو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یعتبر قانون منع التجول للأغراض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ربما تنتهی إلی هلاک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مبغوض الحاکم، فتأمل</w:t>
      </w:r>
      <w:r>
        <w:rPr>
          <w:rFonts w:eastAsia="IRNazanin" w:cs="IRNazanin"/>
          <w:color w:val="111111"/>
          <w:sz w:val="28"/>
          <w:szCs w:val="28"/>
          <w:rtl w:val="true"/>
          <w:lang w:bidi="fa-IR"/>
        </w:rPr>
        <w:t>.</w:t>
      </w:r>
    </w:p>
    <w:p>
      <w:pPr>
        <w:pStyle w:val="Heading6"/>
        <w:numPr>
          <w:ilvl w:val="5"/>
          <w:numId w:val="1"/>
        </w:numPr>
        <w:rPr/>
      </w:pPr>
      <w:bookmarkStart w:id="384" w:name="__RefHeading___Toc624527_3244359995"/>
      <w:bookmarkStart w:id="385" w:name="_Toc143"/>
      <w:bookmarkEnd w:id="384"/>
      <w:r>
        <w:rPr>
          <w:rtl w:val="true"/>
        </w:rPr>
        <w:t>تتمیم</w:t>
      </w:r>
      <w:r>
        <w:rPr>
          <w:rtl w:val="true"/>
        </w:rPr>
        <w:t xml:space="preserve">: </w:t>
      </w:r>
      <w:r>
        <w:rPr>
          <w:rtl w:val="true"/>
        </w:rPr>
        <w:t>حول اجتماع المصلحة و المفسدة بناء علی المختار</w:t>
      </w:r>
      <w:bookmarkEnd w:id="385"/>
    </w:p>
    <w:p>
      <w:pPr>
        <w:pStyle w:val="BookText"/>
        <w:rPr/>
      </w:pPr>
      <w:r>
        <w:rPr>
          <w:rFonts w:ascii="IRNazanin" w:hAnsi="IRNazanin" w:eastAsia="IRNazanin"/>
          <w:color w:val="111111"/>
          <w:sz w:val="28"/>
          <w:sz w:val="28"/>
          <w:szCs w:val="28"/>
          <w:rtl w:val="true"/>
          <w:lang w:bidi="fa-IR"/>
        </w:rPr>
        <w:t>بناء علی المذهب المنصور، یلزم اجتماع المصلحة و المفسدة بلا کسر و انکسار، فیکون العنوان الواحد فیه المصلحة الداعیة إلی الإیجاب، و المفسدة الداعیة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اشتمال الواحد النوعیّ أو الشخصی علیهما بالکسر و الانکسار، فلا منع منه، بل قلما یوجد موضوع یشتمل علی المصلحة المطلقة، أو المفسدة المطلقة، فإنّ الخمر أیضا فیها مَنافِعُ لِلنَّاسِ </w:t>
      </w:r>
      <w:r>
        <w:rPr>
          <w:rStyle w:val="FootnoteAnchor"/>
          <w:rtl w:val="true"/>
        </w:rPr>
        <w:footnoteReference w:id="472"/>
      </w:r>
      <w:r>
        <w:rPr>
          <w:rFonts w:ascii="IRNazanin" w:hAnsi="IRNazanin" w:eastAsia="IRNazanin"/>
          <w:color w:val="111111"/>
          <w:sz w:val="28"/>
          <w:sz w:val="28"/>
          <w:szCs w:val="28"/>
          <w:rtl w:val="true"/>
          <w:lang w:bidi="fa-IR"/>
        </w:rPr>
        <w:t>و لکن لمکان غلبة إثمها علی نفعها حرمت فی الشریعة، و هذا هو معنی الکسر و الانکسار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اجتماع المصلحتین بلا کسر و انکسار، و هو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اجتماعهما فی الأمارات، و لا فی الأصول المحرزة، لأن ما هو مصب المفسدة هی الخمر، و ما هو مصب الإیجاب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مصب المفسدة هی الخمر، و ما هو مصب جعل الحجیة هی الأمارات و الأصول المحرزة، سواء قلنا بانجعال الحجیة، أو بمجعولیتها مستقلة، أو تبعا، کما لا یخفی، فلا مجمع فی الخارج لهما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الأصول الجاعلة للطهارة و الحلیة یشکل الأمر، إلاّ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 xml:space="preserve">ما هو مصبّ الطهارة و النجاسة هو المشکوک، فتکون النسبة عموما من وجه، و أمّا بناء علی کون الذات المشکوکة فیها طاهرة و حلال، أو الذات حین الشکّ حلال و طاهرة، فلا بدّ من العلاج الّذی به یعالج الجمع بین الأحکام الظاهریّة و الواقعیّة، و سیمرّ علیک فی ذیل الطائفة الثالثة من المحاذیر إن شاء اللَّه تعالی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المحذور أیضا مشکل علی القول بالسببیّة و الموضوعیّة، و أنّ مؤدّی الأمارات مجعول ثان ناشئ عن المفسدة أو المصلحة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علی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لازم هذا الجعل، لیس أن تکون المصلحة و المفسدة فی المتعلّق، کما هو التحقیق، فلا محذور علی هذا المسلک أیضا، فإنّ مصلحة التسهیل علی الأمّة، و المحافظة علی النظام و مصالحه الأُخر، کافیة لجعل الحرمة علی شی‌ء آخر، أو الوجوب علی شی‌ء أجنبیّ، و لکنّه دخیل فی المحافظة به علی ما هو المقصود الأعلی کما سیمرّ علیک أنحاء الملاحظات الکلّیة النوعیّة فی ضرب القانون الإسلامیّ و القوانین العرفیّة إن شاء اللَّه تعالی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 فی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ترک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الحجّ بالنسبة إلی تروک الإحرام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Style w:val="FootnoteAnchor"/>
          <w:rtl w:val="true"/>
        </w:rPr>
        <w:footnoteReference w:id="475"/>
      </w:r>
      <w:r>
        <w:rPr>
          <w:rFonts w:ascii="IRNazanin" w:hAnsi="IRNazanin" w:eastAsia="IRNazanin"/>
          <w:color w:val="111111"/>
          <w:sz w:val="28"/>
          <w:sz w:val="28"/>
          <w:szCs w:val="28"/>
          <w:rtl w:val="true"/>
          <w:lang w:bidi="fa-IR"/>
        </w:rPr>
        <w:t>، و لا یجوز الخلط بین التشریعیّات و التکوینیّات، فإنّ ترک الصلاة محرّم، کما أنّ فعلها واجب، و لا یکون حرمة الترک إلاّ عن مصلحة ناشئة فی الفعل، و لکنّ الشرع یلاحظ القوانین اهتماما بشأنها، فلا تخلط</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مواضع الضعف فی کلمات القوم، و لا یهمّنا أن نشیر إلیها،</w:t>
      </w:r>
      <w:bookmarkStart w:id="386" w:name="pg13170_166377"/>
    </w:p>
    <w:p>
      <w:pPr>
        <w:pStyle w:val="BookText"/>
        <w:rPr/>
      </w:pPr>
      <w:bookmarkEnd w:id="386"/>
      <w:r>
        <w:rPr>
          <w:rFonts w:ascii="IRNazanin" w:hAnsi="IRNazanin" w:eastAsia="IRNazanin"/>
          <w:color w:val="111111"/>
          <w:sz w:val="28"/>
          <w:sz w:val="28"/>
          <w:szCs w:val="28"/>
          <w:rtl w:val="true"/>
          <w:lang w:bidi="fa-IR"/>
        </w:rPr>
        <w:t>حذرا من الإطالة القلیلة إفادتها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اجتماع المصلحتین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کمصلحة الحکم المؤدّی بالأمارة، و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أیضا، علی ما مرّ علی المذهب المنصور فی باب الطرق و الأمارات، و الأصول المجعولة علی ضوئها، لأنّ ما به تقوم المصلحة الثانیة هو غیر العناوین الواقعیّة، کما عرفت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مثل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و الطهارة، فعلی کون النسبة بینهما العموم من وجه، فالامر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الآخر، فکون الذات طاهرة واقعا، ثمّ جعل الطهارة ثانیا لها عند الشکّ، ممّا لا منع منه عقلا، لأن محذوره اجتماع المثلین، و قد مر الفراغ منه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یظهر حال المسألة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هی السببیة و الموضوعیة، و أن المؤدی مجعول ثان، فلاحظ و لا تکن من الغافلین، و المسألة تحتاج إلی تأمل و تدبر</w:t>
      </w:r>
      <w:r>
        <w:rPr>
          <w:rFonts w:eastAsia="IRNazanin" w:cs="IRNazanin"/>
          <w:color w:val="111111"/>
          <w:sz w:val="28"/>
          <w:szCs w:val="28"/>
          <w:rtl w:val="true"/>
          <w:lang w:bidi="fa-IR"/>
        </w:rPr>
        <w:t>.</w:t>
      </w:r>
    </w:p>
    <w:p>
      <w:pPr>
        <w:pStyle w:val="Heading6"/>
        <w:numPr>
          <w:ilvl w:val="5"/>
          <w:numId w:val="1"/>
        </w:numPr>
        <w:rPr/>
      </w:pPr>
      <w:bookmarkStart w:id="387" w:name="__RefHeading___Toc624529_3244359995"/>
      <w:bookmarkStart w:id="388" w:name="_Toc144"/>
      <w:bookmarkEnd w:id="387"/>
      <w:r>
        <w:rPr>
          <w:rtl w:val="true"/>
        </w:rPr>
        <w:t>الطائفة الثالثة</w:t>
      </w:r>
      <w:r>
        <w:rPr>
          <w:rtl w:val="true"/>
        </w:rPr>
        <w:t xml:space="preserve">: </w:t>
      </w:r>
      <w:r>
        <w:rPr>
          <w:rtl w:val="true"/>
        </w:rPr>
        <w:t>ما لا یلتزم بها المسلمون</w:t>
      </w:r>
      <w:bookmarkEnd w:id="388"/>
    </w:p>
    <w:p>
      <w:pPr>
        <w:pStyle w:val="Heading6"/>
        <w:numPr>
          <w:ilvl w:val="5"/>
          <w:numId w:val="1"/>
        </w:numPr>
        <w:rPr/>
      </w:pPr>
      <w:bookmarkStart w:id="389" w:name="__RefHeading___Toc624531_3244359995"/>
      <w:bookmarkStart w:id="390" w:name="_Toc145"/>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المحاذیر التی لا یمکن الالتزام بها بالنسبة إلی شرع الإسلام، و الحکیم البارئ عز اسمه، و لا تلتزم به الطوائف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وجوه و تقاریر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التعبد المزبور هی الإلقاء فی المفسدة، و تفویت المصلحة، ضرورة أن الأصول و الأمارات طرا، تتخلف أحیانا عن الواقعیات الأولیة،</w:t>
      </w:r>
    </w:p>
    <w:p>
      <w:pPr>
        <w:pStyle w:val="BookText"/>
        <w:rPr/>
      </w:pPr>
      <w:r>
        <w:rPr>
          <w:rFonts w:ascii="IRNazanin" w:hAnsi="IRNazanin" w:eastAsia="IRNazanin"/>
          <w:color w:val="111111"/>
          <w:sz w:val="28"/>
          <w:sz w:val="28"/>
          <w:szCs w:val="28"/>
          <w:rtl w:val="true"/>
          <w:lang w:bidi="fa-IR"/>
        </w:rPr>
        <w:t>و الأحکام المشروعة علی العناوین الثابتة علی الکل إلی یوم القیامة، و عند التخلف یلزم المحذوران الممنوعان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القوانین العرفیة، فربما تغفل المحاکم القانونیة عن تبعات قوانینهم، و عن هذه المحاذیر، و لا یتوجهون، و لا منع من الالتزام بهما فی حقهم،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الأشعری لا یلتزم بهذا اللازم، لما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واقع إلا ما یصل إلیه المجتهدون، فلا تفویت، و لا 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المعتزلة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الأصول و الأمارات الواصلة المصیبة للواقع، لا تستلزم المحذورین، و أما غیر الواصلة و الخاطئة، فلا واقع فی تلک الصورة إلا ما أدی إلیه نظر المجتهدین، فلا إلقاء و لا 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ظنیة الطریق لا تنافی قطعیة الحکم عندهما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الإمامیة القائلون بانحفاظ الأحکام فی صورتی الإصابة و الخطأ، فقد وقعوا صرعی، فهرب کل مهربا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یقال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المصلحة المفوتة و المفسدة المبتلی بها، منجبرة بتبعیة الطرق و الأوامر الطریقیة</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و هذا هو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احتمال ذلک لحل الغائلة و الأخذ بالأدلة الناهضة علی حجیة الأمارات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المصلحة إن کانت راجحة، یلزم أن یکون الواجب النفسیّ بحسب الواقع، هو تطرق الطرق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مساویة، یلزم الوجوب التخییری بحسب الواقع، فیکون بعد اعتبار الشرع تلک الطرق، حکم واقعی آخر علی النحوین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یصل العبد إلیه، إلا أن عدم الوصول لا یضر بالمأمول، و هو المجعول الکذائی،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الإشکالات الاخر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فهی قابلة للدفع، و لا نطیل الکلام بذکرها، و لا یخلو بعضها من غرابة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لزوم الإجزاء مع الجبران </w:t>
      </w:r>
      <w:r>
        <w:rPr>
          <w:rStyle w:val="FootnoteAnchor"/>
          <w:rtl w:val="true"/>
        </w:rPr>
        <w:footnoteReference w:id="480"/>
      </w:r>
      <w:r>
        <w:rPr>
          <w:rFonts w:ascii="IRNazanin" w:hAnsi="IRNazanin" w:eastAsia="IRNazanin"/>
          <w:color w:val="111111"/>
          <w:sz w:val="28"/>
          <w:sz w:val="28"/>
          <w:szCs w:val="28"/>
          <w:rtl w:val="true"/>
          <w:lang w:bidi="fa-IR"/>
        </w:rPr>
        <w:t>،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منوط بعدم الکشف، و بعدم تبین الخلاف، فإذا تبین فعلیه الواقع و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عدم الکشف، أو الانکشاف فی صورة عدم إمکان الجبران، تنجیز المصلحة المفوتة بالسلوکیة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 وجه الفرار من هذه الغائلة، أن إیجاب تحصیل العلم التفصیلیّ، یستلزم المفاسد فی عصر الحضور، و إیجاب الاحتیاط فی عصر الغیبة یخل بالنظام، و یوجب تنفر الطباع من الإسلام، و یستلزم أن یعرف العامة من الإسلام ما لا ینبغی، فیکون الدین دینا لغیر الشاغلین، و مذهبا للمعطلین فی المجتمعات الإنسانیة، و یورث فرار المسلمین أحیانا من الدین الکذائی المنتهی إلی تعطیل الأمور، و إحراج الطوائف و غیر ذلک من العبارات المختلفة الحاکیة عن هذه المصیبة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لا بد و أن یوسع علیهم الأمر، بجعل الطرق و إمضائها، بل و التوسعة فیها أحیانا</w:t>
      </w:r>
      <w:r>
        <w:rPr>
          <w:rStyle w:val="FootnoteAnchor"/>
          <w:rtl w:val="true"/>
        </w:rPr>
        <w:footnoteReference w:id="481"/>
      </w:r>
      <w:r>
        <w:rPr>
          <w:rFonts w:ascii="IRNazanin" w:hAnsi="IRNazanin" w:eastAsia="IRNazanin"/>
          <w:color w:val="111111"/>
          <w:sz w:val="28"/>
          <w:sz w:val="28"/>
          <w:szCs w:val="28"/>
          <w:rtl w:val="true"/>
          <w:lang w:bidi="fa-IR"/>
        </w:rPr>
        <w:t>، انتهی ملخص ما أفاده بتعبیرات منا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من صغریات باب التزاحم، فإن هناک ملاک تسهیل الأمر علی الأمة، و ملاک الواقع، فإذا جاز تقدیم الملاک الأول، جاز</w:t>
      </w:r>
    </w:p>
    <w:p>
      <w:pPr>
        <w:pStyle w:val="BookText"/>
        <w:rPr/>
      </w:pPr>
      <w:r>
        <w:rPr>
          <w:rFonts w:ascii="IRNazanin" w:hAnsi="IRNazanin" w:eastAsia="IRNazanin"/>
          <w:color w:val="111111"/>
          <w:sz w:val="28"/>
          <w:sz w:val="28"/>
          <w:szCs w:val="28"/>
          <w:rtl w:val="true"/>
          <w:lang w:bidi="fa-IR"/>
        </w:rPr>
        <w:t xml:space="preserve">الترخیص فی العمل بالطرق و الأمارات </w:t>
      </w:r>
      <w:r>
        <w:rPr>
          <w:rStyle w:val="FootnoteAnchor"/>
          <w:rtl w:val="true"/>
        </w:rPr>
        <w:footnoteReference w:id="482"/>
      </w:r>
      <w:r>
        <w:rPr>
          <w:rFonts w:ascii="IRNazanin" w:hAnsi="IRNazanin" w:eastAsia="IRNazanin"/>
          <w:color w:val="111111"/>
          <w:sz w:val="28"/>
          <w:sz w:val="28"/>
          <w:szCs w:val="28"/>
          <w:rtl w:val="true"/>
          <w:lang w:bidi="fa-IR"/>
        </w:rPr>
        <w:t>، 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التقریب الثانی باطل، ضرورة أن لازمه عدم انحفاظ الحکم الواقعی فی مقام الفعلیة، و أن الشرع بعد ملاحظة الکسر و الانکسار بین المصالح الکلیة، رجح إیجاب العمل بالطرق، فیکون الحکم الواقعی فی صورة التخلف،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التقریب الأول أیضا، لأنه إذا کان الشرع یلاحظ هذه الملاحظات، فلا یتمکن من إرادة البعث الجدی نحو الصلاة، مع عرفانه بأن الطریق موصل إلی خلافه، و هو قد أوجب العمل به، فلازمه الانصراف عن واقعه، و التجاوز عن مطلوبه فی موارد لأجل المصالح العامة، و فداء المرجوح لنیل الراجح جائز، بل واجب، و لکنه یرجع إلی التصویب، بمعنی عدم اشتراک الأحکام بالقیاس إلی الکل و قد فرض ابن قبة إشکاله و بنی شبهته علی هذا الأصل المسلم عند الإمامیة، فی قبال الأشاعرة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ذلک أسوأ حالا من مذهب الاعتزال، لأنه یقول بالواقع الثانوی بخلافهما، حسب هذا التقریب المذکور هنا، و قد مر منا توضیحه فی مباحث الإجزاء بما لا مزید علیه </w:t>
      </w:r>
      <w:r>
        <w:rPr>
          <w:rStyle w:val="FootnoteAnchor"/>
          <w:rtl w:val="true"/>
        </w:rPr>
        <w:footnoteReference w:id="483"/>
      </w:r>
      <w:r>
        <w:rPr>
          <w:rFonts w:ascii="IRNazanin" w:hAnsi="IRNazanin" w:eastAsia="IRNazanin"/>
          <w:color w:val="111111"/>
          <w:sz w:val="28"/>
          <w:sz w:val="28"/>
          <w:szCs w:val="28"/>
          <w:rtl w:val="true"/>
          <w:lang w:bidi="fa-IR"/>
        </w:rPr>
        <w:t>، و بنینا القول بالإجزاء هناک علی هذا حتی فی الأمارات و الطرق، و سیمر علیک حقیقة الحال فی ذیل البحث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 الفرار من تفویت المصلحة و الإلقاء فی المفسدة موجود،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المصلحة المفوتة منجبرة، أو المفسدة الملقی فیها منجبرة بالمصلحة الأهم، یجوز التعبد بالأمارات و الأصول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عدم انحفاظ الحکم الواقعی، و یرجع فی</w:t>
      </w:r>
    </w:p>
    <w:p>
      <w:pPr>
        <w:pStyle w:val="BookText"/>
        <w:rPr/>
      </w:pPr>
      <w:r>
        <w:rPr>
          <w:rFonts w:ascii="IRNazanin" w:hAnsi="IRNazanin" w:eastAsia="IRNazanin"/>
          <w:color w:val="111111"/>
          <w:sz w:val="28"/>
          <w:sz w:val="28"/>
          <w:szCs w:val="28"/>
          <w:rtl w:val="true"/>
          <w:lang w:bidi="fa-IR"/>
        </w:rPr>
        <w:t>الحقیقة إلی تفویت المصلحة التی یجب جلبها، و إلی الإلقاء فی المفسدة التی یحرم الإلقاء فیها، ضرورة أن الشرع فی تقنینه القوانین النفسیّة و الطریقیة، یراعی الجوانب المختلفة، فإذا لوحظت تلک الجوانب، و وقع بینها الکسر و الانکسار، یشرع قانونا مطابقا لما هو المصلحة الحاصلة من الکسر و الانکسار، فلا یکون بالنظر إلیه تفویت، و لا 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بالنظر إلی حال الآحاد و الأفراد تفویت و إلقاء، و لکن یجوز للشرع أن یراعی جانب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أن یراعی جانب الفرد، لما فیه الشر الکثیر بالقیاس إلی النوع، فخیر الکثیر بالنسبة إلی الفرد بفداء الشر الکثیر بالنسبة إلی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دارج و رائج بین العقلاء، و فی جمیع القوانین و الأعمال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الأفعال الجزئیة أیضا تراعی هذه الملاحظات، فضلا عن الأعمال العامة و ضرب القوانین الکلیة، فافهم و 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یدور ما فی بعض الأخبار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مسألة نجاسة العامة، من الأحکام المودعة لدی صاحب العصر عجل اللَّه تعالی فرجه </w:t>
      </w:r>
      <w:r>
        <w:rPr>
          <w:rStyle w:val="FootnoteAnchor"/>
          <w:rtl w:val="true"/>
        </w:rPr>
        <w:footnoteReference w:id="484"/>
      </w:r>
      <w:r>
        <w:rPr>
          <w:rFonts w:ascii="IRNazanin" w:hAnsi="IRNazanin" w:eastAsia="IRNazanin"/>
          <w:color w:val="111111"/>
          <w:sz w:val="28"/>
          <w:sz w:val="28"/>
          <w:szCs w:val="28"/>
          <w:rtl w:val="true"/>
          <w:lang w:bidi="fa-IR"/>
        </w:rPr>
        <w:t>، و نجاسة الحدید کانت فیها العسر</w:t>
      </w:r>
      <w:r>
        <w:rPr>
          <w:rStyle w:val="FootnoteAnchor"/>
          <w:rtl w:val="true"/>
        </w:rPr>
        <w:footnoteReference w:id="485"/>
      </w:r>
      <w:r>
        <w:rPr>
          <w:rFonts w:ascii="IRNazanin" w:hAnsi="IRNazanin" w:eastAsia="IRNazanin"/>
          <w:color w:val="111111"/>
          <w:sz w:val="28"/>
          <w:sz w:val="28"/>
          <w:szCs w:val="28"/>
          <w:rtl w:val="true"/>
          <w:lang w:bidi="fa-IR"/>
        </w:rPr>
        <w:t>، فاعتبر طهارته، و فی ذلک إعجاز و إخبار بالغیب، فإن الحدید فی العصر الجدید صار کثیر الابتلاء، و لم یکن هکذا فی العصور السالفة، کما لا یخفی، و غیر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أن هذا الوجه یرجع إلی عدم فعلیة الأحکام الواقعیة عند الخطأ، و أن ابن قبة استشکل علی هذا المعنی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تحریم الحلال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أنه مخالف لما هو المدعی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الاشتراک بین الأحکام الواقعیة لجمیع الطبقات من العالمین و الجاهلین، لکان وجها تاما خالیا من جمیع الإشکالات،</w:t>
      </w:r>
      <w:bookmarkStart w:id="391" w:name="pg13170_166382"/>
    </w:p>
    <w:p>
      <w:pPr>
        <w:pStyle w:val="BookText"/>
        <w:rPr/>
      </w:pPr>
      <w:bookmarkEnd w:id="391"/>
      <w:r>
        <w:rPr>
          <w:rFonts w:ascii="IRNazanin" w:hAnsi="IRNazanin" w:eastAsia="IRNazanin"/>
          <w:color w:val="111111"/>
          <w:sz w:val="28"/>
          <w:sz w:val="28"/>
          <w:szCs w:val="28"/>
          <w:rtl w:val="true"/>
          <w:lang w:bidi="fa-IR"/>
        </w:rPr>
        <w:t>و موافقا لطریقة العقلاء فی قوانینهم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هنا هو الجواب عن الإلقاء فی المفسدة و تفویت المصلحة، و لزوم الفساد الآخر أمر مفروغ عنه لا بد من أن یتصدی لجوابه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هو إشکال آخر و حیث آخر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کما لا یخفی، و لعله یمر علیک ما به تحل عقد المکاره فی ذیل البحث إن شاء اللَّه تعالی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624533_3244359995"/>
      <w:bookmarkStart w:id="393" w:name="_Toc146"/>
      <w:bookmarkEnd w:id="392"/>
      <w:r>
        <w:rPr>
          <w:rtl w:val="true"/>
        </w:rPr>
        <w:t>تذنیب</w:t>
      </w:r>
      <w:r>
        <w:rPr>
          <w:rtl w:val="true"/>
        </w:rPr>
        <w:t xml:space="preserve">: </w:t>
      </w:r>
      <w:r>
        <w:rPr>
          <w:rtl w:val="true"/>
        </w:rPr>
        <w:t>فی حل المشکلة بلحاظ الأصول المتصدیة لجعل الحکم أو رفعه</w:t>
      </w:r>
      <w:bookmarkEnd w:id="393"/>
    </w:p>
    <w:p>
      <w:pPr>
        <w:pStyle w:val="BookText"/>
        <w:rPr/>
      </w:pPr>
      <w:r>
        <w:rPr>
          <w:rFonts w:ascii="IRNazanin" w:hAnsi="IRNazanin" w:eastAsia="IRNazanin"/>
          <w:color w:val="111111"/>
          <w:sz w:val="28"/>
          <w:sz w:val="28"/>
          <w:szCs w:val="28"/>
          <w:rtl w:val="true"/>
          <w:lang w:bidi="fa-IR"/>
        </w:rPr>
        <w:t>هذا تمام الکلام فی الطرق و الأمارات و الأصول التی ثمرتها فی التعذیر و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الأصول المتصدیة لجعل الحکم فی ظرف الشک علی المشکوک، أو المتصدیة لرفع الحکم عن المجهول، و المنسی، و المغفول عنه و أمثاله، فیمکن حل المشکلة بالنسبة إلیها علی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النسبة بین العنوان الموضوع للأدلة الواقعیة و بین هذه العناوین، عموم من وجه، فتکون المسألة من صغریات باب الاجتماع و الامتناع، فلا تفویت، و لا إلقاء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النسبة عموم مطلق، أو تکون القضیة حینیة، فیشکل، للزوم إنکار الأحکام الفعلیة عند ما کان المشکوک و المجهول حراما و واجبا، فإن قاعدة الحل و حدیث الرفع </w:t>
      </w:r>
      <w:r>
        <w:rPr>
          <w:rStyle w:val="FootnoteAnchor"/>
          <w:rtl w:val="true"/>
        </w:rPr>
        <w:footnoteReference w:id="487"/>
      </w:r>
      <w:r>
        <w:rPr>
          <w:rFonts w:ascii="IRNazanin" w:hAnsi="IRNazanin" w:eastAsia="IRNazanin"/>
          <w:color w:val="111111"/>
          <w:sz w:val="28"/>
          <w:sz w:val="28"/>
          <w:szCs w:val="28"/>
          <w:rtl w:val="true"/>
          <w:lang w:bidi="fa-IR"/>
        </w:rPr>
        <w:t>، تستلزم خلو الواقع من الفعلیة و الإرادة الجدیة الزاجرة و الباعثة، کما عرفت فی الطرق و الأمارات و سائر الأصول المجعولة علی ضوئها،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نقض الغرض، ضرورة أن جعل الأحکام الواقعیة المطلقة علی عناوینها، ثم جعل ما یؤدی إلی خلافها أحیانا، من نقض الغرض الممتنع علیه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یتقوم نقض الغرض الممنوع فی حقه تعالی بجعل الحجیة، أو إیجاب العمل علی طبقها، أو تأسیس الأصل المنتهی إلی خلافها أحیانا، بل ذلک لازم الارتضاء و الإمضاء، فلو کان المولی ذا غرض فی إیجاب العناوین الواقعیة و تحریمها علی ما یریدها علی إطلاقها، فلا بد من إیجاب تحصیل العلم و الاحتیاط، فإذا رضی بخلاف ذلک، فهو ینافی تلک الإرادة الإیجابیة و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الفرار من ذلک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نقض الغرض یجوز عقلا، إذا کان لغرض آخر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إلا أنه یرجع إلی إنکار الفعلیة، و إنکار وجود الإرادة الحتمیة فی موارد عدم وصول الأمارة بالنسبة إلی بعضهم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بالنسبة إلی الکل، ضرورة إمکان عدم وصول حکم من الأحکام إلی المتأخرین عن الوحی بالمرة، و هذا خلاف ما هو مبنی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أو خلاف ما هو المفروض و المأمول الأقصی، و هو تصویر اشتراک الکل فی الأحکام، سواء کانوا عالمین، أو 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نرجو من اللَّه تعالی أن یوفقنا لحل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الجمع بین الحکم الظاهری و الواقعی فی الأمارات و الطرق و الأصول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طلب الضدین، و طلب الجمع بین ما لا یمکن جمعهما، و هو من طلب المحال الراجع إلی الطلب المحال، ضرورة أن إیجاب العمل بالطرق و الأصول المحرزة المنتهیة أحیانا إلی خلاف الواقع، و إیجاب الواقع علی ما هو علیه، یستلزم فی موارد الخطأ، أن یطلب المولی الملتفت و الحکیم العالم المتوجه، أن یجمع بین العمل بما یخالف الواقع و بین الواقع و لازمه، أن یأتی بصلاة الجمعة، و أن یترک</w:t>
      </w:r>
      <w:bookmarkStart w:id="394" w:name="pg13170_166384"/>
    </w:p>
    <w:p>
      <w:pPr>
        <w:pStyle w:val="BookText"/>
        <w:rPr/>
      </w:pPr>
      <w:bookmarkEnd w:id="394"/>
      <w:r>
        <w:rPr>
          <w:rFonts w:ascii="IRNazanin" w:hAnsi="IRNazanin" w:eastAsia="IRNazanin"/>
          <w:color w:val="111111"/>
          <w:sz w:val="28"/>
          <w:sz w:val="28"/>
          <w:szCs w:val="28"/>
          <w:rtl w:val="true"/>
          <w:lang w:bidi="fa-IR"/>
        </w:rPr>
        <w:t>الجمعة، فأن صلاة الجمعة واقعها المطلوب النفسانیّ، و ترکها المطلوب بإیجاب الأخذ بالطرق و الأمارات الناهضة علی حرمتها و وجوب ترکها، و لا یعقل الجمع بین الطلبین، و إن لم یکن فیهما فی مصب واحد اجتماع المتضادین، أو لا مضادة فی الأحکام رأسا، و لکن یلزم طلب المحال، و طلب ما لا یمکن، و هو فعل الصلاة و ترکها،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الغائلة لا تختص بالطرق و الأمارات، لاشتراک القطع معها فی کونه مجعولا و ممضی مثلها، و قد 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لو کان منجعلا، لاشترک معها فی المشکلة، حسب قیاس الإرادة التکوینیة و التشریعیة</w:t>
      </w:r>
      <w:r>
        <w:rPr>
          <w:rStyle w:val="FootnoteAnchor"/>
          <w:rtl w:val="true"/>
        </w:rPr>
        <w:footnoteReference w:id="488"/>
      </w:r>
      <w:r>
        <w:rPr>
          <w:rFonts w:ascii="IRNazanin" w:hAnsi="IRNazanin" w:eastAsia="IRNazanin"/>
          <w:color w:val="111111"/>
          <w:sz w:val="28"/>
          <w:sz w:val="28"/>
          <w:szCs w:val="28"/>
          <w:rtl w:val="true"/>
          <w:lang w:bidi="fa-IR"/>
        </w:rPr>
        <w:t>، ضرورة أن من یرید خلق صفة القطع المنتهی أحیانا إلی خلاف الواقع، کیف یتمکن من إرادة وجوب صلاة الجمعة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بد من حل هذه المعضلة بالنسبة إلی غیره، لا بد من حلها بالنسبة إلیه أیضا</w:t>
      </w:r>
      <w:r>
        <w:rPr>
          <w:rFonts w:eastAsia="IRNazanin" w:cs="IRNazanin"/>
          <w:color w:val="111111"/>
          <w:sz w:val="28"/>
          <w:szCs w:val="28"/>
          <w:rtl w:val="true"/>
          <w:lang w:bidi="fa-IR"/>
        </w:rPr>
        <w:t>.</w:t>
      </w:r>
    </w:p>
    <w:p>
      <w:pPr>
        <w:pStyle w:val="Heading6"/>
        <w:numPr>
          <w:ilvl w:val="5"/>
          <w:numId w:val="1"/>
        </w:numPr>
        <w:rPr/>
      </w:pPr>
      <w:bookmarkStart w:id="395" w:name="__RefHeading___Toc624535_3244359995"/>
      <w:bookmarkStart w:id="396" w:name="_Toc147"/>
      <w:bookmarkEnd w:id="395"/>
      <w:r>
        <w:rPr>
          <w:rtl w:val="true"/>
        </w:rPr>
        <w:t>بیان محذور جعل الأحکام مع علم الشارع باندراسها فیما بعد</w:t>
      </w:r>
      <w:bookmarkEnd w:id="396"/>
    </w:p>
    <w:p>
      <w:pPr>
        <w:pStyle w:val="BookText"/>
        <w:rPr/>
      </w:pPr>
      <w:r>
        <w:rPr>
          <w:rFonts w:ascii="IRNazanin" w:hAnsi="IRNazanin" w:eastAsia="IRNazanin"/>
          <w:color w:val="111111"/>
          <w:sz w:val="28"/>
          <w:sz w:val="28"/>
          <w:szCs w:val="28"/>
          <w:rtl w:val="true"/>
          <w:lang w:bidi="fa-IR"/>
        </w:rPr>
        <w:t>ثم إن الأحکام المشترک فیها الجاهل و العالم، أعم من الأحکام التی بین أیدینا التی ربما یصل إلیها طائفة، و ربما لا یصل إلیها أخری، و من الأحکام التی لم تصل إلینا، و اندرست من ابتداء الأمر، فإنها أیضا أحکام فعلیة علی عناوینها، و تشترک فیها الأمة، و لا یطلع علیها أحد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عندئذ یتولد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کیف یعقل جعل هذه الأحکام مع العلم باندراسها، و مع العلم بأن قطع القاطعین کلهم علی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فی موارد تخلف القطع مطلقا، لا یمکن ترشح الإرادة الجدیدة الإیجابیة أو التحریمیة، لأجل أن المقنن یجد أن الأمة غیر واصلة إلیه، و قاطعة بخلافه، کما لا یمکن ترشحها مع الارتضاء بإمضاء الأمارات المتخلفة أحیانا</w:t>
      </w:r>
      <w:r>
        <w:rPr>
          <w:rFonts w:eastAsia="IRNazanin" w:cs="IRNazanin"/>
          <w:color w:val="111111"/>
          <w:sz w:val="28"/>
          <w:szCs w:val="28"/>
          <w:rtl w:val="true"/>
          <w:lang w:bidi="fa-IR"/>
        </w:rPr>
        <w:t>.</w:t>
      </w:r>
      <w:bookmarkStart w:id="397" w:name="pg13170_166385"/>
    </w:p>
    <w:p>
      <w:pPr>
        <w:pStyle w:val="BookText"/>
        <w:rPr/>
      </w:pPr>
      <w:bookmarkEnd w:id="397"/>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تصویر الأحکام الفعلیة علی الإطلاق فی موارد الخطأ، و عدم صحة اشتراک الکل فیها، لا یختص بالصورة المعروفة فی کلماتهم، بل تشترک فیها هذه الصورة أیضا، فلا بد من حل المعضلة علی شتی خواصها</w:t>
      </w:r>
      <w:r>
        <w:rPr>
          <w:rFonts w:eastAsia="IRNazanin" w:cs="IRNazanin"/>
          <w:color w:val="111111"/>
          <w:sz w:val="28"/>
          <w:szCs w:val="28"/>
          <w:rtl w:val="true"/>
          <w:lang w:bidi="fa-IR"/>
        </w:rPr>
        <w:t>.</w:t>
      </w:r>
    </w:p>
    <w:p>
      <w:pPr>
        <w:pStyle w:val="Heading6"/>
        <w:numPr>
          <w:ilvl w:val="5"/>
          <w:numId w:val="1"/>
        </w:numPr>
        <w:rPr/>
      </w:pPr>
      <w:bookmarkStart w:id="398" w:name="__RefHeading___Toc624537_3244359995"/>
      <w:bookmarkStart w:id="399" w:name="_Toc148"/>
      <w:bookmarkEnd w:id="398"/>
      <w:r>
        <w:rPr>
          <w:rtl w:val="true"/>
        </w:rPr>
        <w:t>فذلکة البحث و عصاری الغائلة</w:t>
      </w:r>
      <w:bookmarkEnd w:id="399"/>
    </w:p>
    <w:p>
      <w:pPr>
        <w:pStyle w:val="BookText"/>
        <w:rPr/>
      </w:pPr>
      <w:r>
        <w:rPr>
          <w:rFonts w:ascii="IRNazanin" w:hAnsi="IRNazanin" w:eastAsia="IRNazanin"/>
          <w:color w:val="111111"/>
          <w:sz w:val="28"/>
          <w:sz w:val="28"/>
          <w:szCs w:val="28"/>
          <w:rtl w:val="true"/>
          <w:lang w:bidi="fa-IR"/>
        </w:rPr>
        <w:t>إن ترشح الإرادة الواقعیة الجدیة بالنسبة إلی الحکم الواقعی، و ترشح الإرادة الجدیة الأخری بالقیاس إلی إمضاء أو تأسیس ما یؤدی إلی خلاف الإرادة الأولی، مع الالتفات إلی التخلف المزبور، غیر معقول، ففی جمیع موارد الأمارات و الأصول لا یعقل ذلک، و یلزم باعتبار آخر و نظر ثان اجتماع النقیضین، فإن من إیجاب العمل بالطرق، و الارتضاء بإمضاء الأمارات، و جعل الحجیة،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لهذه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الإرادة الإیجابیة و التحریمیة النفسیّة الأولیة، فلازم الجمع بینهما وجودها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ارتفاع النقیضین ظاهر حدیث الرفع </w:t>
      </w:r>
      <w:r>
        <w:rPr>
          <w:rStyle w:val="FootnoteAnchor"/>
          <w:rtl w:val="true"/>
        </w:rPr>
        <w:footnoteReference w:id="489"/>
      </w:r>
      <w:r>
        <w:rPr>
          <w:rFonts w:ascii="IRNazanin" w:hAnsi="IRNazanin" w:eastAsia="IRNazanin"/>
          <w:color w:val="111111"/>
          <w:sz w:val="28"/>
          <w:sz w:val="28"/>
          <w:szCs w:val="28"/>
          <w:rtl w:val="true"/>
          <w:lang w:bidi="fa-IR"/>
        </w:rPr>
        <w:t>، فإن مقتضی الاشتراک وجود الإرادة التحریمیة بالنسبة إلی ملاک الجاهل، و مقتضی حدیث الرفع عدمها، فلا بد من حل ذلک، و لأجله اتخذ کل منهم مهربا و طریقا، و نحن نشیر إلی بعض الوجوه المستند إلیها لحل هذه الغائلة</w:t>
      </w:r>
      <w:r>
        <w:rPr>
          <w:rFonts w:eastAsia="IRNazanin" w:cs="IRNazanin"/>
          <w:color w:val="111111"/>
          <w:sz w:val="28"/>
          <w:szCs w:val="28"/>
          <w:rtl w:val="true"/>
          <w:lang w:bidi="fa-IR"/>
        </w:rPr>
        <w:t>.</w:t>
      </w:r>
    </w:p>
    <w:p>
      <w:pPr>
        <w:pStyle w:val="Heading6"/>
        <w:numPr>
          <w:ilvl w:val="5"/>
          <w:numId w:val="1"/>
        </w:numPr>
        <w:rPr/>
      </w:pPr>
      <w:bookmarkStart w:id="400" w:name="__RefHeading___Toc624539_3244359995"/>
      <w:bookmarkStart w:id="401" w:name="_Toc149"/>
      <w:bookmarkEnd w:id="400"/>
      <w:r>
        <w:rPr>
          <w:rtl w:val="true"/>
        </w:rPr>
        <w:t>أجوبة الأصحاب عن المشکلة و نقدها</w:t>
      </w:r>
      <w:bookmarkEnd w:id="40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الأجوبة الموجودة فی کتب الأصحاب، بین ما هو جواب عن جمیع موارد الإشکال، و ما هو جواب عن خصوص الأمارات و الطرق، و ما هو جواب عن خصوص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المشکلة بعد غیر منحلّة، و الغائلة بعد باقیة علی حالها، و نرجو اللَّه تعالی أن یوفّقنا لحلّها و کشف النقاب عن وجهها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الشیخ قدس سره فی رسالة التعادل و الترجیح </w:t>
      </w:r>
      <w:r>
        <w:rPr>
          <w:rStyle w:val="FootnoteAnchor"/>
          <w:rtl w:val="true"/>
        </w:rPr>
        <w:footnoteReference w:id="490"/>
      </w:r>
      <w:r>
        <w:rPr>
          <w:rFonts w:ascii="IRNazanin" w:hAnsi="IRNazanin" w:eastAsia="IRNazanin"/>
          <w:color w:val="111111"/>
          <w:sz w:val="28"/>
          <w:sz w:val="28"/>
          <w:szCs w:val="28"/>
          <w:rtl w:val="true"/>
          <w:lang w:bidi="fa-IR"/>
        </w:rPr>
        <w:t xml:space="preserve">، و هو الجواب الّذی حکاه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عن سیّده الفشارکی قدس سره مرتضیاً به، و نقله بإجماله فی التقریرات </w:t>
      </w:r>
      <w:r>
        <w:rPr>
          <w:rStyle w:val="FootnoteAnchor"/>
          <w:rtl w:val="true"/>
        </w:rPr>
        <w:footnoteReference w:id="492"/>
      </w:r>
      <w:r>
        <w:rPr>
          <w:rFonts w:ascii="IRNazanin" w:hAnsi="IRNazanin" w:eastAsia="IRNazanin"/>
          <w:color w:val="111111"/>
          <w:sz w:val="28"/>
          <w:sz w:val="28"/>
          <w:szCs w:val="28"/>
          <w:rtl w:val="true"/>
          <w:lang w:bidi="fa-IR"/>
        </w:rPr>
        <w:t xml:space="preserve">مناقشا فیه بما أُجیب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فلیراجع، و قد مرّ تفصیله فیما سبق فی ذیل إشکال اجتماع الضدّین و المثلین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العناوین الواقعیّة، موضوعة للأحکام الواقعیّة، و کون الشکّ فی الحکم موضوعا للأحکام الظاهریّة، غیر واف لحلّ المشکلة حتّی فی الأُصول کما مرّ</w:t>
      </w:r>
      <w:r>
        <w:rPr>
          <w:rStyle w:val="FootnoteAnchor"/>
          <w:rtl w:val="true"/>
        </w:rPr>
        <w:footnoteReference w:id="494"/>
      </w:r>
      <w:r>
        <w:rPr>
          <w:rFonts w:ascii="IRNazanin" w:hAnsi="IRNazanin" w:eastAsia="IRNazanin"/>
          <w:color w:val="111111"/>
          <w:sz w:val="28"/>
          <w:sz w:val="28"/>
          <w:szCs w:val="28"/>
          <w:rtl w:val="true"/>
          <w:lang w:bidi="fa-IR"/>
        </w:rPr>
        <w:t>، فضلا عن الأمارات، فإنّها لیست ذات أحکام حتّی یکون موضوعها الشکّ، أو موردها الشکّ،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 العراقی قدس سره انتقل من هذه المقالة إلی أنّ الشکّ حیثیّة تعلیلیّة لعروض الحکم الظاهریّ، و لأجلها تکون الذات ملحوظة فی الرتبتین، فتنحلّ المعضلة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تعدّد اللحاظ لا یکفی لحلّ الغائلة، و إلاّ یلزم جواز اجتماع السواد و البیاض</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اللحاظ یورث تعدّد الذات لمتعلّق الإرادة و الکراهة، غیر</w:t>
      </w:r>
    </w:p>
    <w:p>
      <w:pPr>
        <w:pStyle w:val="BookText"/>
        <w:rPr/>
      </w:pPr>
      <w:r>
        <w:rPr>
          <w:rFonts w:ascii="IRNazanin" w:hAnsi="IRNazanin" w:eastAsia="IRNazanin"/>
          <w:color w:val="111111"/>
          <w:sz w:val="28"/>
          <w:sz w:val="28"/>
          <w:szCs w:val="28"/>
          <w:rtl w:val="true"/>
          <w:lang w:bidi="fa-IR"/>
        </w:rPr>
        <w:t>صحیح، و إلاّ یلزم بتعدّده تعدّد الحبّ و البغض، فهل تری من نفسک أن تحبّ بالحبّین المنفصلین ذات ابنک، و الذات المعروضة لوصف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فالإرادة و الکراهة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ارتضاه الشیخ قدس سره هنا، و إجماله هو أنّ الأحکام الواقعیّة المأمور بتبلیغها السفراء، هی الأحکام الفعلیّة المشترک فیها جمیع المکلّفین، و هی الأحکام التی یکون الجاهل المقصّر غیر معذور بالنسبة إلیها، و الجاهل القاصر یکون معذورا بالقیاس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الجاهل المرکّب الّذی قامت عنده الأمارات الخاطئة، فهو أیضا بالنسبة إلیها معذور بالعذر الشرعیّ، و هو قیام الطرق و الأمارات المرخّصة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بترکها</w:t>
      </w:r>
      <w:r>
        <w:rPr>
          <w:rStyle w:val="FootnoteAnchor"/>
          <w:rtl w:val="true"/>
        </w:rPr>
        <w:footnoteReference w:id="496"/>
      </w:r>
      <w:r>
        <w:rPr>
          <w:rFonts w:ascii="IRNazanin" w:hAnsi="IRNazanin" w:eastAsia="IRNazanin"/>
          <w:color w:val="111111"/>
          <w:sz w:val="28"/>
          <w:sz w:val="28"/>
          <w:szCs w:val="28"/>
          <w:rtl w:val="true"/>
          <w:lang w:bidi="fa-IR"/>
        </w:rPr>
        <w:t>، انتهی ما هو حسب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ذلک یرجع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الشرع فی باب الطرق و الأمارات، لم یکن ذا تأسیس، و لا طلب إیجابیّ، أو إرادة إلزامیّة، بل الأحکام الفعلیّة ذات إرادة واقعیّة، و أمّا الأمارات فهی حجّة عقلائیّة ممضاة لدی الشرع، و تکون مثل القطع فی التعذیر و التنجیز، من غیر أن تکون الواقعیّات مقیّدة بوصولها، أو مشروطة بعدم قیام الطرق علی خلافها، فما هو منشأ الشبهة توهّم المناقضة، و طلب الضدّین، و نقض الغرض، و کلّ ذلک باطل حسب هذا التقریب </w:t>
      </w:r>
      <w:r>
        <w:rPr>
          <w:rStyle w:val="FootnoteAnchor"/>
          <w:rtl w:val="true"/>
        </w:rPr>
        <w:footnoteReference w:id="497"/>
      </w:r>
      <w:r>
        <w:rPr>
          <w:rFonts w:ascii="IRNazanin" w:hAnsi="IRNazanin" w:eastAsia="IRNazanin"/>
          <w:color w:val="111111"/>
          <w:sz w:val="28"/>
          <w:sz w:val="28"/>
          <w:szCs w:val="28"/>
          <w:rtl w:val="true"/>
          <w:lang w:bidi="fa-IR"/>
        </w:rPr>
        <w:t xml:space="preserve">، انتهی خلاصة کلامه بطوله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الحاشیة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إلیه یرجع ما فی تقریرات العلاّمة النائینی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الأمارة و الطرق، لیس إلاّ الوسطیّة فی الإثبات، و علی هذا لا یلزم محذور هنا، کما لا یلزم فی القطع المنجعل، و حیث إنّ جعل الوسطیّة فی الإثبات ممکن، و جعل الحجیّة مستقلّة صحیح و واقع، فلا یلزم تصویر الحکم التکلیفیّ حتّی ینتزع منه</w:t>
      </w:r>
    </w:p>
    <w:p>
      <w:pPr>
        <w:pStyle w:val="BookText"/>
        <w:rPr/>
      </w:pPr>
      <w:r>
        <w:rPr>
          <w:rFonts w:ascii="Amiri" w:hAnsi="Amiri" w:eastAsia="Amiri" w:cs="Amiri"/>
          <w:color w:val="111111"/>
          <w:sz w:val="28"/>
          <w:sz w:val="28"/>
          <w:szCs w:val="28"/>
          <w:rtl w:val="true"/>
          <w:lang w:bidi="ar-SA"/>
        </w:rPr>
        <w:t>الحجیّة</w:t>
      </w:r>
      <w:r>
        <w:rPr>
          <w:rStyle w:val="FootnoteAnchor"/>
          <w:rtl w:val="true"/>
        </w:rPr>
        <w:footnoteReference w:id="498"/>
      </w:r>
      <w:r>
        <w:rPr>
          <w:rFonts w:ascii="IRNazanin" w:hAnsi="IRNazanin" w:eastAsia="IRNazanin"/>
          <w:color w:val="111111"/>
          <w:sz w:val="28"/>
          <w:sz w:val="28"/>
          <w:szCs w:val="28"/>
          <w:rtl w:val="true"/>
          <w:lang w:bidi="fa-IR"/>
        </w:rPr>
        <w:t>، انتهی لبّ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المعضلة کانت ناشئة من أنّ إمضاء الطرق العقلائیّة، لا یعقل من العالم المتوجه إلی أطراف المسألة، و الملتفت إلی خطئها، إلاّ فی صورة التجاوز عن مقدار من واقعیّاته، و فی صورة الانصراف عن مقدار من أحکامه، و لازم ذلک عدم فعلیّة تلک الأحکام بالنسبة إلی موارد الخطأ، و هذا حتّی لو لم یکن من تقیید الواقع بالإصابة، و لا من اشتراط الواقع بعدم الخطأ، و لکنّه یلزم منه ذلک، فعلی هذا لا یمکن حفظ الفعلیّة و الواقعیّات، بالنسبة إلی الجاهلین المرکّبین القائم عندهم الطریق الخاطئ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الحجّیّة بعدم الردع الملازم للارتضاء، أو بالإمضاء، عین جعل الحجیّة التأسیسیّة لشی‌ء من الأشیاء، فإنّ فی هذا الجعل لیست إرادة إلزامیّة و بعث إلزامیّ، و لا طلب، بل هی من الأحکام الوضعیّة التی أثرها التنجیز و التعذیر، فإن أصابت الواقع فهی منجّزة، و إن لم تصب فهی معذّرة، فهی حجّة علی کلّ تقدیر، و لا تکون حجّیتها مقصورة بصورة الإصابة،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حصول الرضا القلبیّ و الارتضاء بذلک العمل الخارجیّ الرائج عند العقلاء مثلا مع التوجه المزبور، ینافی الإرادة الإلزامیّة، فإنّ الترخیص بذلک فی صورة الخطأ، یستلزم الترخیص بترک الواقعیّات، و لازمه انقلاب الواقعیّات التحریمیّة و الوجوبیّة إلی الکراهیّة و الندبیّة، فما فی کلام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الرخصة فی ترکه شرعا فی موارد الخطأ جائز</w:t>
      </w:r>
      <w:r>
        <w:rPr>
          <w:rStyle w:val="FootnoteAnchor"/>
          <w:rtl w:val="true"/>
        </w:rPr>
        <w:footnoteReference w:id="499"/>
      </w:r>
      <w:r>
        <w:rPr>
          <w:rFonts w:ascii="IRNazanin" w:hAnsi="IRNazanin" w:eastAsia="IRNazanin"/>
          <w:color w:val="111111"/>
          <w:sz w:val="28"/>
          <w:sz w:val="28"/>
          <w:szCs w:val="28"/>
          <w:rtl w:val="true"/>
          <w:lang w:bidi="fa-IR"/>
        </w:rPr>
        <w:t>، غیر صحیح</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القائلین بهذه المقالات فی حلّ الغائلة، غیر واصلین إلی مغزی المشکلة و لبّ الغائلة فی الجمع بین الأحکام الظاهریّة و الواقعیّة، فصرفوا أوقاتهم</w:t>
      </w:r>
      <w:bookmarkStart w:id="402" w:name="pg13170_166389"/>
    </w:p>
    <w:p>
      <w:pPr>
        <w:pStyle w:val="BookText"/>
        <w:rPr/>
      </w:pPr>
      <w:bookmarkEnd w:id="402"/>
      <w:r>
        <w:rPr>
          <w:rFonts w:ascii="IRNazanin" w:hAnsi="IRNazanin" w:eastAsia="IRNazanin"/>
          <w:color w:val="111111"/>
          <w:sz w:val="28"/>
          <w:sz w:val="28"/>
          <w:szCs w:val="28"/>
          <w:rtl w:val="true"/>
          <w:lang w:bidi="fa-IR"/>
        </w:rPr>
        <w:t>فی مسائل اجتماع الضدّین و المثلین، و أمثاله ممّا لا محذور فیه، و لم یبادروا إلی ما هو أُسّ المعضلة فی المقام، و اللَّه هو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العلامة المدقّق العراقی قدس سرهما</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لبّ مشکلة البحث</w:t>
      </w:r>
      <w:r>
        <w:rPr>
          <w:rFonts w:eastAsia="IRNazanin" w:cs="IRNazanin"/>
          <w:color w:val="111111"/>
          <w:sz w:val="28"/>
          <w:szCs w:val="28"/>
          <w:rtl w:val="true"/>
          <w:lang w:bidi="fa-IR"/>
        </w:rPr>
        <w:t>.</w:t>
      </w:r>
    </w:p>
    <w:p>
      <w:pPr>
        <w:pStyle w:val="Heading6"/>
        <w:numPr>
          <w:ilvl w:val="5"/>
          <w:numId w:val="1"/>
        </w:numPr>
        <w:rPr/>
      </w:pPr>
      <w:bookmarkStart w:id="403" w:name="__RefHeading___Toc624541_3244359995"/>
      <w:bookmarkStart w:id="404" w:name="_Toc150"/>
      <w:bookmarkEnd w:id="403"/>
      <w:r>
        <w:rPr>
          <w:rtl w:val="true"/>
        </w:rPr>
        <w:t>توهم</w:t>
      </w:r>
      <w:r>
        <w:rPr>
          <w:rtl w:val="true"/>
        </w:rPr>
        <w:t xml:space="preserve">: </w:t>
      </w:r>
      <w:r>
        <w:rPr>
          <w:rtl w:val="true"/>
        </w:rPr>
        <w:t>عدم إمکان جعل الحجیة مع الالتفات إلی خطأ الطریق</w:t>
      </w:r>
      <w:bookmarkEnd w:id="404"/>
    </w:p>
    <w:p>
      <w:pPr>
        <w:pStyle w:val="BookText"/>
        <w:rPr/>
      </w:pPr>
      <w:r>
        <w:rPr>
          <w:rFonts w:ascii="IRNazanin" w:hAnsi="IRNazanin" w:eastAsia="IRNazanin"/>
          <w:color w:val="111111"/>
          <w:sz w:val="28"/>
          <w:sz w:val="28"/>
          <w:szCs w:val="28"/>
          <w:rtl w:val="true"/>
          <w:lang w:bidi="fa-IR"/>
        </w:rPr>
        <w:t>لا یمکن الالتزام بالحکم الوضعیّ المتوقّف علی الرضا و الإمضاء، فی موارد الإرادة الإلزامیّة القائمة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التزموا بصحّة البیع وقت النداء، مع أنّه من المحرّمات، أو التزموا فی کثیر من المسائل بحرمة تکلیفیّة، أو کراهة شرعیّة، مع الصحّة الوضعیّة، و کیف یعقل ذلک مع أنّ الرضا بالإمضاء، یناقض إرادة إعدام الشی‌ء و ترکه و الزجر عنه و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بما لا تنحلّ به المشکلة، و لذلک ذکرنا فی هذه الموارد فی المکاسب المحرّمة</w:t>
      </w:r>
      <w:r>
        <w:rPr>
          <w:rStyle w:val="FootnoteAnchor"/>
          <w:rtl w:val="true"/>
        </w:rPr>
        <w:footnoteReference w:id="502"/>
      </w:r>
      <w:r>
        <w:rPr>
          <w:rFonts w:ascii="Amiri" w:hAnsi="Amiri" w:eastAsia="Amiri" w:cs="Amiri"/>
          <w:color w:val="111111"/>
          <w:sz w:val="28"/>
          <w:sz w:val="28"/>
          <w:szCs w:val="28"/>
          <w:rtl w:val="true"/>
          <w:lang w:bidi="ar-SA"/>
        </w:rPr>
        <w:t>، هذه الغائلة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هنا وجه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ما هو المحرّم هو المعنی الحدثیّ، کما فی تصویر المجسّمة، و ما هو الممضی هو المعنی الحاصل منه اعتبارا، الباقی عرفا، الممضی شرعا، و هو البیع، و لذلک التزموا بحرمة الإحداث فی التصویر، و إباحة الاقتناء و صحّة بیعه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فیما نحن فیه، فاعتبار الحجّیة لیس متوجّها إلی معنی یباین ما هو مورد الإرادة التحریمیّة و الإیجابیّة بالمرّة، ضرورة أنّ إمضاء الطریق الخاطئ من الملتفت، ترخیص و ارتضاء بترک المراد بتلک الإرادة قطعا و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الموارد و ما هو الممضی هو غیر مبغوض، لأنّه قد وجد، و ما هو المبغوض غیر ممضی، لأنّه بعد غیر موجود، و الإمضاء للمعدوم غیر معقول، کما لا یخفی و أمّا فیما نحن فیه فما هو الممضی هو اتباع الطرق و الأمارات، و جعل الحجیّة، و عدم الردع، و أمثال ذلک من العبارات المختلفة المرشدة إلی معنی وحدانیّ، و مقصود واحد، و هذا فی صورة الخطأ إمضاء فی عرض إمضاء الطرق، فإمضاء التخلّف عن الإرادة الواقعیّة، غیر معقول إلاّ عند عدم انحفاظ تلک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فی امتناع ذلک فقد غفل عن نکتة، تنحلّ بها تلک الشبهة بمراجعة وجدانه فی أموره و مرضاته، و بمراجعة القوانین العرفیّة، و المحاکم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حجّة علی کلّ تقدیر، و الحجّیة منوطة بالإمضاء و الارتضاء، و لا یعقل الارتضاء بالطریق المخطئ من الملتفت إلاّ بالقضاء علی إرادته الواقعیّة الإلزامیّة التحریمیّة، لا الإیجابیّة، فیکون الحکم الواقعیّ فی موارد الخطأ، غیر محفوظ علی واقعه، و إن کان الحکم الواقعیّ غیر مقیّد بالأمارة الواصلة، لجواز عقاب الجاهل المقصّر و المرکّب غیر الفاحص بالمقدار اللاّزم عن الأدلّة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حجیّة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اعتبار جمیع المعتبرات العقلائیّة فی المعاملات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الإمضاء و عدم الردع الکاشف عن الرضا، بل الردع مانع، و لذلک فی المعاملات الحادثة نقول بالصحّة و لو لم یکن إطلاق لفظیّ، ک أَوْفُوا بِالْعُقُودِ و نحوه </w:t>
      </w:r>
      <w:r>
        <w:rPr>
          <w:rStyle w:val="FootnoteAnchor"/>
          <w:rtl w:val="true"/>
        </w:rPr>
        <w:footnoteReference w:id="504"/>
      </w:r>
      <w:r>
        <w:rPr>
          <w:rFonts w:ascii="IRNazanin" w:hAnsi="IRNazanin" w:eastAsia="IRNazanin"/>
          <w:color w:val="111111"/>
          <w:sz w:val="28"/>
          <w:sz w:val="28"/>
          <w:szCs w:val="28"/>
          <w:rtl w:val="true"/>
          <w:lang w:bidi="fa-IR"/>
        </w:rPr>
        <w:t>، و علی هذا لا تهافت بین الأحکام</w:t>
      </w:r>
    </w:p>
    <w:p>
      <w:pPr>
        <w:pStyle w:val="BookText"/>
        <w:rPr/>
      </w:pPr>
      <w:r>
        <w:rPr>
          <w:rFonts w:ascii="IRNazanin" w:hAnsi="IRNazanin" w:eastAsia="IRNazanin"/>
          <w:color w:val="111111"/>
          <w:sz w:val="28"/>
          <w:sz w:val="28"/>
          <w:szCs w:val="28"/>
          <w:rtl w:val="true"/>
          <w:lang w:bidi="fa-IR"/>
        </w:rPr>
        <w:t>الواقعیّة و حجّیة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احتملنا ذلک فی المجلّد الأوّل </w:t>
      </w:r>
      <w:r>
        <w:rPr>
          <w:rStyle w:val="FootnoteAnchor"/>
          <w:rtl w:val="true"/>
        </w:rPr>
        <w:footnoteReference w:id="505"/>
      </w:r>
      <w:r>
        <w:rPr>
          <w:rFonts w:ascii="IRNazanin" w:hAnsi="IRNazanin" w:eastAsia="IRNazanin"/>
          <w:color w:val="111111"/>
          <w:sz w:val="28"/>
          <w:sz w:val="28"/>
          <w:szCs w:val="28"/>
          <w:rtl w:val="true"/>
          <w:lang w:bidi="fa-IR"/>
        </w:rPr>
        <w:t>، و قرّبه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درسه، و هو مختار بعض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سلّمنا تمامیّة هذا التقریب فی الطرق، فلا نسلّم ذلک فی الأصول التأسیسیّة التی تکون علی ضوء الطرق فی التعذیر و التنجیز، کالاستصحاب، بل و قاعدة الفراغ و التجاوز، کما هو الواضح بالضرورة، فلا تنحلّ بذلک المعضلة علی النحو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الالتزام بالأحکام الواقعیّة علی جمیع التقادیر إلاّ مع الردع عن الطرق الممکنة الردع، فإنّه إذا کان المقنّن و الشارع الأقدس، یری تبعیّة العقلاء لما ینتهی إلی خلاف مرامه، و کان ملتزما بمرامه علی کلّ تقدیر، فعلیه إعلان الردع و إعلامهم بذلک، فإذا لم یردع عنه یکشف عن عدم الالتزام المساوق لعدم الاشتراک، و هو خلاف الفرض، ضرورة أنّ الکلام بعد مفروغیّة اشتراک الکلّ فی التکالیف الفعلیّة و الإنشائیّة علی نهج واحد، من غیر اختلاف بینهم فی ذلک، فما کان حکما فعلیّا فهو بالنسبة إلی الکلّ فعلیّ، و ما کان إنشائیا و شأنیّا فهو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تحرّر منّا فساد المبنی فی المجلّد الأوّل </w:t>
      </w:r>
      <w:r>
        <w:rPr>
          <w:rStyle w:val="FootnoteAnchor"/>
          <w:rtl w:val="true"/>
        </w:rPr>
        <w:footnoteReference w:id="506"/>
      </w:r>
      <w:r>
        <w:rPr>
          <w:rFonts w:ascii="IRNazanin" w:hAnsi="IRNazanin" w:eastAsia="IRNazanin"/>
          <w:color w:val="111111"/>
          <w:sz w:val="28"/>
          <w:sz w:val="28"/>
          <w:szCs w:val="28"/>
          <w:rtl w:val="true"/>
          <w:lang w:bidi="fa-IR"/>
        </w:rPr>
        <w:t xml:space="preserve">و فی کتاب البیع </w:t>
      </w:r>
      <w:r>
        <w:rPr>
          <w:rStyle w:val="FootnoteAnchor"/>
          <w:rtl w:val="true"/>
        </w:rPr>
        <w:footnoteReference w:id="507"/>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إجماله أنّ للحکم مراتب أربعا أو خمسا، و ما هو المشترک هو الحکم الإنشائیّ، و ما هو المختصّ بالعالم و الجاهل المقصّر مثلا، هو البالغ مرتبة الفعلیّة و التنجیز، و أمّا فی</w:t>
      </w:r>
    </w:p>
    <w:p>
      <w:pPr>
        <w:pStyle w:val="BookText"/>
        <w:rPr/>
      </w:pPr>
      <w:r>
        <w:rPr>
          <w:rFonts w:ascii="IRNazanin" w:hAnsi="IRNazanin" w:eastAsia="IRNazanin"/>
          <w:color w:val="111111"/>
          <w:sz w:val="28"/>
          <w:sz w:val="28"/>
          <w:szCs w:val="28"/>
          <w:rtl w:val="true"/>
          <w:lang w:bidi="fa-IR"/>
        </w:rPr>
        <w:t>موارد الخطأ فلا إرادة إلزامیة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تفصیل مرامه، و المناقشات المتوجّهة إلیه، فتطلب من محالّ اخر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یظهر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 بعد ذاک و ذاک إلی إنکار الأحکام الفعلیّة علی التفسیر الّذی ذکره للفعلیّة و الإنشائیّة هنا</w:t>
      </w:r>
      <w:r>
        <w:rPr>
          <w:rStyle w:val="FootnoteAnchor"/>
          <w:rtl w:val="true"/>
        </w:rPr>
        <w:footnoteReference w:id="510"/>
      </w:r>
      <w:r>
        <w:rPr>
          <w:rFonts w:ascii="Amiri" w:hAnsi="Amiri" w:eastAsia="Amiri" w:cs="Amiri"/>
          <w:color w:val="111111"/>
          <w:sz w:val="28"/>
          <w:sz w:val="28"/>
          <w:szCs w:val="28"/>
          <w:rtl w:val="true"/>
          <w:lang w:bidi="ar-SA"/>
        </w:rPr>
        <w:t>، و قد مرّ منّا حوله البحث فی المجلّد الأوّل فی مباحث الضدّ</w:t>
      </w:r>
      <w:r>
        <w:rPr>
          <w:rStyle w:val="FootnoteAnchor"/>
          <w:rtl w:val="true"/>
        </w:rPr>
        <w:footnoteReference w:id="511"/>
      </w:r>
      <w:r>
        <w:rPr>
          <w:rFonts w:ascii="IRNazanin" w:hAnsi="IRNazanin" w:eastAsia="IRNazanin"/>
          <w:color w:val="111111"/>
          <w:sz w:val="28"/>
          <w:sz w:val="28"/>
          <w:szCs w:val="28"/>
          <w:rtl w:val="true"/>
          <w:lang w:bidi="fa-IR"/>
        </w:rPr>
        <w:t xml:space="preserve">، و فی مبحث اجتماع الأمر و النهی </w:t>
      </w:r>
      <w:r>
        <w:rPr>
          <w:rStyle w:val="FootnoteAnchor"/>
          <w:rtl w:val="true"/>
        </w:rPr>
        <w:footnoteReference w:id="51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التواتر المدّعی فی الأخبار الدالّة علی الاشتراک </w:t>
      </w:r>
      <w:r>
        <w:rPr>
          <w:rStyle w:val="FootnoteAnchor"/>
          <w:rtl w:val="true"/>
        </w:rPr>
        <w:footnoteReference w:id="513"/>
      </w:r>
      <w:r>
        <w:rPr>
          <w:rFonts w:ascii="IRNazanin" w:hAnsi="IRNazanin" w:eastAsia="IRNazanin"/>
          <w:color w:val="111111"/>
          <w:sz w:val="28"/>
          <w:sz w:val="28"/>
          <w:szCs w:val="28"/>
          <w:rtl w:val="true"/>
          <w:lang w:bidi="fa-IR"/>
        </w:rPr>
        <w:t>، لا بدّ و أن یکون فیما یستحقّ الجاهل المقصّر العقاب علیه، و أنّ الجاهل المقصّر و القاصر و المرکّب و البسیط واحد، و علی نهج فارد، و الإنشائیّة المشترکة لا یستحقّ علیها الجاهل المقصّر عقابا، و لا عتابا، و مثلها الشأنیّة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بالتفصیل بین الجاهل المقصّر و المرکّب القاصر، من الرجم بالغیب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صحّة تفسیره للإنشائیّة و الفعلیّة، مع أنّ من الأحکام قضایا مشروطة، و الشروط عنده ترجع إلی الهیئة</w:t>
      </w:r>
      <w:r>
        <w:rPr>
          <w:rStyle w:val="FootnoteAnchor"/>
          <w:rtl w:val="true"/>
        </w:rPr>
        <w:footnoteReference w:id="514"/>
      </w:r>
      <w:r>
        <w:rPr>
          <w:rFonts w:ascii="IRNazanin" w:hAnsi="IRNazanin" w:eastAsia="IRNazanin"/>
          <w:color w:val="111111"/>
          <w:sz w:val="28"/>
          <w:sz w:val="28"/>
          <w:szCs w:val="28"/>
          <w:rtl w:val="true"/>
          <w:lang w:bidi="fa-IR"/>
        </w:rPr>
        <w:t>، فتکون عنده تلک الأحکام فعلیّة، مع أنّها لیست فعلیّة حسب الاصطلاح، إلاّ علی القول برجوع الشرط إلی الموضوع أو المادّة</w:t>
      </w:r>
      <w:r>
        <w:rPr>
          <w:rStyle w:val="FootnoteAnchor"/>
          <w:rtl w:val="true"/>
        </w:rPr>
        <w:footnoteReference w:id="515"/>
      </w:r>
      <w:r>
        <w:rPr>
          <w:rFonts w:ascii="IRNazanin" w:hAnsi="IRNazanin" w:eastAsia="IRNazanin"/>
          <w:color w:val="111111"/>
          <w:sz w:val="28"/>
          <w:sz w:val="28"/>
          <w:szCs w:val="28"/>
          <w:rtl w:val="true"/>
          <w:lang w:bidi="fa-IR"/>
        </w:rPr>
        <w:t>،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ثلاثة أقسام من الأحکام، و الأمر إلی</w:t>
      </w:r>
      <w:bookmarkStart w:id="405" w:name="pg13170_166393"/>
    </w:p>
    <w:p>
      <w:pPr>
        <w:pStyle w:val="BookText"/>
        <w:rPr/>
      </w:pPr>
      <w:bookmarkEnd w:id="405"/>
      <w:r>
        <w:rPr>
          <w:rFonts w:ascii="Amiri" w:hAnsi="Amiri" w:eastAsia="Amiri" w:cs="Amiri"/>
          <w:color w:val="111111"/>
          <w:sz w:val="28"/>
          <w:sz w:val="28"/>
          <w:szCs w:val="28"/>
          <w:rtl w:val="true"/>
          <w:lang w:bidi="ar-SA"/>
        </w:rPr>
        <w:t xml:space="preserve">محلّه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تفسیره، لا یرجع مرامه إلاّ إلی إنکار الإرادة الإلزامیّة، کما صرّح بذلک </w:t>
      </w:r>
      <w:r>
        <w:rPr>
          <w:rStyle w:val="FootnoteAnchor"/>
          <w:rtl w:val="true"/>
        </w:rPr>
        <w:footnoteReference w:id="517"/>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بلغ الغایة القصوی من مرحلة الغائلة الموجودة بین إمضاء الطرق و فعلیّة الأحکام الواقعیّة، و لکنّه لم یتمکّن من حلّها کما تری</w:t>
      </w:r>
      <w:r>
        <w:rPr>
          <w:rFonts w:eastAsia="IRNazanin" w:cs="IRNazanin"/>
          <w:color w:val="111111"/>
          <w:sz w:val="28"/>
          <w:szCs w:val="28"/>
          <w:rtl w:val="true"/>
          <w:lang w:bidi="fa-IR"/>
        </w:rPr>
        <w:t>.</w:t>
      </w:r>
    </w:p>
    <w:p>
      <w:pPr>
        <w:pStyle w:val="Heading6"/>
        <w:numPr>
          <w:ilvl w:val="5"/>
          <w:numId w:val="1"/>
        </w:numPr>
        <w:rPr/>
      </w:pPr>
      <w:bookmarkStart w:id="406" w:name="__RefHeading___Toc624543_3244359995"/>
      <w:bookmarkStart w:id="407" w:name="_Toc151"/>
      <w:bookmarkEnd w:id="406"/>
      <w:r>
        <w:rPr>
          <w:rtl w:val="true"/>
        </w:rPr>
        <w:t>حلّ المشکلة عن طریق الخطابات القانونیّة</w:t>
      </w:r>
      <w:bookmarkEnd w:id="40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تبیّنت هذه الوجوه الرئیسة فی هذا المیدان، و اتضح أنّها لا تسمن و لا تغنی من جوع، وصلت نوبة البحث إلی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الممکن حلّ هذه الغائلة من ناحیة الخطابات القانونیّة، و إن خفی الأمر علی مؤسّسها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أنّ فی تصویر فعلیّة تکلیف العجزة و الجاهلین، إشکالا مضی فی المجلّد الثانی </w:t>
      </w:r>
      <w:r>
        <w:rPr>
          <w:rStyle w:val="FootnoteAnchor"/>
          <w:rtl w:val="true"/>
        </w:rPr>
        <w:footnoteReference w:id="518"/>
      </w:r>
      <w:r>
        <w:rPr>
          <w:rFonts w:ascii="IRNazanin" w:hAnsi="IRNazanin" w:eastAsia="IRNazanin"/>
          <w:color w:val="111111"/>
          <w:sz w:val="28"/>
          <w:sz w:val="28"/>
          <w:szCs w:val="28"/>
          <w:rtl w:val="true"/>
          <w:lang w:bidi="fa-IR"/>
        </w:rPr>
        <w:t>، و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الإشکال توهّم أنّ لکلّ واحد من هذه الأصناف و الطوائف، و لکلّ واحد من هذه العناوین، خطابا یختصّ بهم، و تکون الخطابات القانونیّة الکلّیة منحلّة إلی الخطابات الجزئیّة الشخصیّة، و عندئذ کیف یعقل مخاطبة العاجز بالخطاب الجدّی، أو الجاهل و الغافل بالخطاب الجدّی الفعلیّ، مع أنّ أکثر الأحکام الإسلامیّة العامّة، موجودة فی الکتاب و السنّة بصورة الخطاب، و الإجماع و الأخبار متواترة علی اشتراک الکلّ فی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تبیّن کیفیّة الخطابات القانونیّة العامّة و شرائطها، و تبیّن أن الخلط بینها و بین الشخصیّة، أوقعهم فی هذه المخمصة و المشکلة، و أنّ الخطاب القانونیّ</w:t>
      </w:r>
    </w:p>
    <w:p>
      <w:pPr>
        <w:pStyle w:val="BookText"/>
        <w:rPr/>
      </w:pPr>
      <w:r>
        <w:rPr>
          <w:rFonts w:ascii="IRNazanin" w:hAnsi="IRNazanin" w:eastAsia="IRNazanin"/>
          <w:color w:val="111111"/>
          <w:sz w:val="28"/>
          <w:sz w:val="28"/>
          <w:szCs w:val="28"/>
          <w:rtl w:val="true"/>
          <w:lang w:bidi="fa-IR"/>
        </w:rPr>
        <w:t xml:space="preserve">یحمّل التکالیف الفعلیّة علی کافّة الأنام، و لو کان الأفراد و الآحاد عاجزین ما داموا، و جاهلین ما عاشوا، اتضحت مادّة المغالطة و الغائلة، و أنّ الاشتراک ممکن، و تواتر الأخبار و الإجماع علی الاشتراک، لیس علی ما لا یعقل ثبوتا، بل هو علی ما یعقل، و واقع إثباتا بمراجعة القوانین العرفیّة فی مختلف المیادین، و تفصیله فی محلّه </w:t>
      </w:r>
      <w:r>
        <w:rPr>
          <w:rStyle w:val="FootnoteAnchor"/>
          <w:rtl w:val="true"/>
        </w:rPr>
        <w:footnoteReference w:id="519"/>
      </w:r>
      <w:r>
        <w:rPr>
          <w:rFonts w:ascii="IRNazanin" w:hAnsi="IRNazanin" w:eastAsia="IRNazanin"/>
          <w:color w:val="111111"/>
          <w:sz w:val="28"/>
          <w:sz w:val="28"/>
          <w:szCs w:val="28"/>
          <w:rtl w:val="true"/>
          <w:lang w:bidi="fa-IR"/>
        </w:rPr>
        <w:t>، و لا نعیده، حذرا من الإطالة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 إشکالا فی تصویر اشتراک جمیع الطوائف فی التکالیف، و مجرّد الإجماع و الأخبار لا یکفی، و لذلک التزم المتأخّرون فی باب العاجزین بخروجهم، و أنّ خطاب العاجز قبیح </w:t>
      </w:r>
      <w:r>
        <w:rPr>
          <w:rStyle w:val="FootnoteAnchor"/>
          <w:rtl w:val="true"/>
        </w:rPr>
        <w:footnoteReference w:id="520"/>
      </w:r>
      <w:r>
        <w:rPr>
          <w:rFonts w:ascii="IRNazanin" w:hAnsi="IRNazanin" w:eastAsia="IRNazanin"/>
          <w:color w:val="111111"/>
          <w:sz w:val="28"/>
          <w:sz w:val="28"/>
          <w:szCs w:val="28"/>
          <w:rtl w:val="true"/>
          <w:lang w:bidi="fa-IR"/>
        </w:rPr>
        <w:t xml:space="preserve">، و أردفنا العاجزین بالجاهلین، لأنّ خطاب الجاهل ممتنع، لأنّه غافل، و قد أقرّوا بامتناع خطاب الغافل، للزوم الخلف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حلّت المعضلة علی نهج واحد، ببیان واف و شاف فی محلّه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تبیّنت هذه المقدّمة الوجیزة، یظهر حلّ الغائلة فیما نحن فیه، فإنّ الشرع و المقنن، إن کان یترشّح منه الرضا و الإمضاء فی باب الأمارات و الطرق، و ما یشبهها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کالأصول المحرزة، و الأمارة التأسیسیّة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بالنسبة إلی خصوص صورة الخطأ، و کان ینحلّ قانون إمضاء الطرق و الأمارات و تلک الأصول، إلی الأحکام الطریقیّة الشخصیّة، ینقدح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یمکن أن یرتضی المولی بتطرّق خبر الواحد الخاطئ بالنسبة إلی زید، مع علمه بأنّ زیدا محکوم بوجوب صلاة الجمعة، فهل یعقل وجود تلک الإرادة الإلزامیّة الوجوبیّة، مع الارتضاء و إمضاء سلوکه ذلک الطریق المخطئ؟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انحلال هذا القانون إلی الإمضاءات و الارتضاءات الجزئیّة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الشخصیّة، یوجب هذه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المحافظة علی تلک القوانین الکلّیة علی نهج کلّی قانونیّ، و أنّ الإرادة تعلّقت بضرب القانون النفسیّ و الطریقیّ، فالنفسیّ عامّ یشمل الکلّ من غیر انحلال إلی الأشخاص، و هکذا الطریقیّ ففی مواقع الإصابة یکون الإمضاء و الارتضاء القانونیّ موجودا، و یکون الطریق حجّة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موارد الخطأ یکون الطریق حجّة معذّرة، و لا تختصّ الحجّیة بصورة الخطأ، أو بصورة الإصابة، بل الحجّیة مشترکة، و إلاّ فلا یکون حجّة و منجّزا و معذّرا، لأنّ التنجیز و التعذیر فرع ارتضاء الشریعة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تمام المشکلة ناشئة من ملاحظة الإرادة الشخصیّة فی ناحیة القانون النفسیّ، و ملاحظة الإمضاء الجزئیّ فی ناحیة القانون الطریقیّ، و حیث إنّ فی موارد الخطابات النفسیّة، یکون الناس مختلفین بحسب القدرة و العجز، و العلم و الجهل، و یکون الحکم فعلیّا بالنسبة إلی الکلّ، لعدم اختصاص الخطاب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مورد إمضاء الطرق العقلائیّة، تکون جمیع الطرق بالنسبة إلی کافّة الناس، ممضاة بإمضاء واحد، أو یکون کلّ واحد من الطرق مرضیَّ العمل، و ممضیّا بإمضاء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موارد الإصابة و الخطأ، لا یکون إمضاء و ارتضاء مخصوصا بهما، بل الطرق أو خبر الثقة بعنوانه ممضی و مورد الارتضاء، و عندئذ لا یلزم امتناع، لعدم الانحلال فی ناحیة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الانحلال الحکمیّ فهو لا یستعقب الإشکال، کما مرّ تفصیله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فإلی هنا بحمد اللَّه و له الشکر، حلّت الغائلة و المشکلة فی هذه العویصة التی لم تنحلّ إلی زماننا هذا بوجه لا یلزم منه التصرّف فی فعلیّة الأحکام</w:t>
      </w:r>
      <w:bookmarkStart w:id="408" w:name="pg13170_166396"/>
    </w:p>
    <w:p>
      <w:pPr>
        <w:pStyle w:val="BookText"/>
        <w:rPr/>
      </w:pPr>
      <w:bookmarkEnd w:id="408"/>
      <w:r>
        <w:rPr>
          <w:rFonts w:ascii="IRNazanin" w:hAnsi="IRNazanin" w:eastAsia="IRNazanin"/>
          <w:color w:val="111111"/>
          <w:sz w:val="28"/>
          <w:sz w:val="28"/>
          <w:szCs w:val="28"/>
          <w:rtl w:val="true"/>
          <w:lang w:bidi="fa-IR"/>
        </w:rPr>
        <w:t>الواقعیّة، کما عرفت</w:t>
      </w:r>
      <w:r>
        <w:rPr>
          <w:rFonts w:eastAsia="IRNazanin" w:cs="IRNazanin"/>
          <w:color w:val="111111"/>
          <w:sz w:val="28"/>
          <w:szCs w:val="28"/>
          <w:rtl w:val="true"/>
          <w:lang w:bidi="fa-IR"/>
        </w:rPr>
        <w:t>.</w:t>
      </w:r>
    </w:p>
    <w:p>
      <w:pPr>
        <w:pStyle w:val="Heading6"/>
        <w:numPr>
          <w:ilvl w:val="5"/>
          <w:numId w:val="1"/>
        </w:numPr>
        <w:rPr/>
      </w:pPr>
      <w:bookmarkStart w:id="409" w:name="__RefHeading___Toc624545_3244359995"/>
      <w:bookmarkStart w:id="410" w:name="_Toc152"/>
      <w:bookmarkEnd w:id="409"/>
      <w:r>
        <w:rPr>
          <w:rtl w:val="true"/>
        </w:rPr>
        <w:t>بقی شی‌ء و هو سبیل حلّ المشکلة بلحاظ المذاهب المختلفة فی باب الأمارات</w:t>
      </w:r>
      <w:bookmarkEnd w:id="410"/>
    </w:p>
    <w:p>
      <w:pPr>
        <w:pStyle w:val="BookText"/>
        <w:rPr/>
      </w:pPr>
      <w:r>
        <w:rPr>
          <w:rFonts w:ascii="IRNazanin" w:hAnsi="IRNazanin" w:eastAsia="IRNazanin"/>
          <w:color w:val="111111"/>
          <w:sz w:val="28"/>
          <w:sz w:val="28"/>
          <w:szCs w:val="28"/>
          <w:rtl w:val="true"/>
          <w:lang w:bidi="fa-IR"/>
        </w:rPr>
        <w:t>إنّ المذاهب فی باب الطرق و الأمارات العقلائیّة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الشرع أوجب العمل، أو التبعیّة لتلک الطرق، کما أوجب العمل بالاستصحاب مثلاً،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الشرع تصدّی لجعل الحجّیة لها، لأنّ هذه الأوامر قانونیّة، و هکذا ذلک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الشرع لم یتصدّ لذلک بالمرّة، و لکنّه أمضی ما علیه العقلاء، و سکت و لم یردع، فیعتبر لها الحجّیة من رضا الشرع بتلک الأعمال الخارجیّة، فلا قانون، و لا جامع، حتّی یکون هو العنوان الکلّی الواقع محطّ الإمضاء، أو الجعل، أو الأمر، فإنّه حینئذ لا تنحلّ المشکلة، لعدم قانون عامّ فی البین و الارتضاء بالجزئیات یورث الإشکال فی المسألة، و یظهر المناقضة التی ابتلوا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الأخبار و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مقتضی مفهوم آیة النبأ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هذه الطریقة علی النعت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الشرع العابر علی البناءات العرفیّة، یرتضی بتلک البناءات علی نهج کلّی، لا شخصیّ، فیکون ذلک مثل القانون العامّ غیر المنحلّ إلی الإرادات الجزئیّة، أو الرضایات الشخصیّة، فلا تخلط</w:t>
      </w:r>
      <w:r>
        <w:rPr>
          <w:rFonts w:eastAsia="IRNazanin" w:cs="IRNazanin"/>
          <w:color w:val="111111"/>
          <w:sz w:val="28"/>
          <w:szCs w:val="28"/>
          <w:rtl w:val="true"/>
          <w:lang w:bidi="fa-IR"/>
        </w:rPr>
        <w:t>.</w:t>
      </w:r>
    </w:p>
    <w:p>
      <w:pPr>
        <w:pStyle w:val="Heading6"/>
        <w:numPr>
          <w:ilvl w:val="5"/>
          <w:numId w:val="1"/>
        </w:numPr>
        <w:rPr/>
      </w:pPr>
      <w:bookmarkStart w:id="411" w:name="__RefHeading___Toc624547_3244359995"/>
      <w:bookmarkStart w:id="412" w:name="_Toc153"/>
      <w:bookmarkEnd w:id="411"/>
      <w:r>
        <w:rPr>
          <w:rtl w:val="true"/>
        </w:rPr>
        <w:t>تذنیب</w:t>
      </w:r>
      <w:r>
        <w:rPr>
          <w:rtl w:val="true"/>
        </w:rPr>
        <w:t xml:space="preserve">: </w:t>
      </w:r>
      <w:r>
        <w:rPr>
          <w:rtl w:val="true"/>
        </w:rPr>
        <w:t>فی حلّ المشکلة من ناحیة قاعدتی الفراغ و التجاوز</w:t>
      </w:r>
      <w:bookmarkEnd w:id="41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من ناحیة الاستصحاب، لأنّه عندنا و عند المحصّلین حجّة منجّزة عند الإصابة، و معذّرة عند الخطأ، و لا یلزم منه محذور و لو کان تأسیسا شرعیّا،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ناحیة قاعدتی التجاوز و الفراغ، فإن قلنا بالعزیمة فی موارد جریانهما</w:t>
      </w:r>
      <w:r>
        <w:rPr>
          <w:rStyle w:val="FootnoteAnchor"/>
          <w:rtl w:val="true"/>
        </w:rPr>
        <w:footnoteReference w:id="524"/>
      </w:r>
      <w:r>
        <w:rPr>
          <w:rFonts w:ascii="IRNazanin" w:hAnsi="IRNazanin" w:eastAsia="IRNazanin"/>
          <w:color w:val="111111"/>
          <w:sz w:val="28"/>
          <w:sz w:val="28"/>
          <w:szCs w:val="28"/>
          <w:rtl w:val="true"/>
          <w:lang w:bidi="fa-IR"/>
        </w:rPr>
        <w:t>، فلا محذور أیضا، لأنّ الشرع أوجب العمل علی طبقهما، فإن کان بحسب الواقع قد أتی بالجزء فلا محذور، و إن لم یکن آتیا به یکون عذرا، مع بقاء الجزئیّة و الشرطیّة علی حالهما، و ذلک قضاء لقانونیّة المسألة، و عدم انحلال التأسیس إلی الخطابات الشخصیّة حتّی یلزم التهافت بین القول بالجزئیّة المطلقة، و القول بالإمضاء و المضیّ و عدم الاعتناء عند الدخول فی الغیر و الفراغ من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قلنا بالرخصة</w:t>
      </w:r>
      <w:r>
        <w:rPr>
          <w:rStyle w:val="FootnoteAnchor"/>
          <w:rtl w:val="true"/>
        </w:rPr>
        <w:footnoteReference w:id="525"/>
      </w:r>
      <w:r>
        <w:rPr>
          <w:rFonts w:ascii="IRNazanin" w:hAnsi="IRNazanin" w:eastAsia="IRNazanin"/>
          <w:color w:val="111111"/>
          <w:sz w:val="28"/>
          <w:sz w:val="28"/>
          <w:szCs w:val="28"/>
          <w:rtl w:val="true"/>
          <w:lang w:bidi="fa-IR"/>
        </w:rPr>
        <w:t>، فإن قلنا بالرخصة مطلقا حتّی فی موارد الأرکان، فیلزم المحذور بین مبطلیّة الرکوع الزائد، و بین تجویز الإتیان به فی مورد الشکّ و الرضا بالإتیان به، فإنّه لا یعقل ذلک أیضا کما مرّ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تنحلّ المشکلة أیضا، لأجل أنّ مبطلیّة الرکوع حکم قانونیّ، و المضیّ فی قاعدة التجاوز أیضا قانونیّ، و یمکن ترشّح جعل المبطلیّة للرکوع علی الإطلاق، بحسب الحکم الواقعیّ، و الرضا بالعود إلی الإتیان بالمشکوک فیه بعنوانه، و النسبة بین القانونین عموم من وجه فی جمیع هذه الموارد، فیصحّ ترشّح الجدّ علی هذه العناوین التی بینها العموم من وجه، و ذلک لا لأجل اندراج المسألة فی باب الاجتماع و الامتناع، بل لأجل أنّ النسبة بینهما إذا کانت عموما مطلقا، یلزم التهافت، و یلزم التصرّف فی الأعمّ، کما سیظهر الکلام فی ذیل المقام عند البحث عن أصالة الحلّ و الطهارة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الرخصة مخصوصة بموارد غیر الأرکان، کما علیه جلّ</w:t>
      </w:r>
      <w:bookmarkStart w:id="413" w:name="pg13170_166398"/>
    </w:p>
    <w:p>
      <w:pPr>
        <w:pStyle w:val="BookText"/>
        <w:rPr/>
      </w:pPr>
      <w:bookmarkEnd w:id="413"/>
      <w:r>
        <w:rPr>
          <w:rFonts w:ascii="IRNazanin" w:hAnsi="IRNazanin" w:eastAsia="IRNazanin"/>
          <w:color w:val="111111"/>
          <w:sz w:val="28"/>
          <w:sz w:val="28"/>
          <w:szCs w:val="28"/>
          <w:rtl w:val="true"/>
          <w:lang w:bidi="fa-IR"/>
        </w:rPr>
        <w:t>الأصحاب رحمهم اللَّه فلا محذور،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بالمبطلیّة المطلقة، و الجزئیّة و الشرطیّة المطلقة، لا ینافی جعل القاعدة و أصالة الصّحة، و ما توهّموه لعدم التنافی فی أمثال المقام، خال من التحصیل و التحقیق جدّاً، کما تبیّن فی محلّه</w:t>
      </w:r>
      <w:r>
        <w:rPr>
          <w:rFonts w:eastAsia="IRNazanin" w:cs="IRNazanin"/>
          <w:color w:val="111111"/>
          <w:sz w:val="28"/>
          <w:szCs w:val="28"/>
          <w:rtl w:val="true"/>
          <w:lang w:bidi="fa-IR"/>
        </w:rPr>
        <w:t>.</w:t>
      </w:r>
    </w:p>
    <w:p>
      <w:pPr>
        <w:pStyle w:val="Heading6"/>
        <w:numPr>
          <w:ilvl w:val="5"/>
          <w:numId w:val="1"/>
        </w:numPr>
        <w:rPr/>
      </w:pPr>
      <w:bookmarkStart w:id="414" w:name="__RefHeading___Toc624549_3244359995"/>
      <w:bookmarkStart w:id="415" w:name="_Toc154"/>
      <w:bookmarkEnd w:id="414"/>
      <w:r>
        <w:rPr>
          <w:rtl w:val="true"/>
        </w:rPr>
        <w:t>ذنابة</w:t>
      </w:r>
      <w:r>
        <w:rPr>
          <w:rtl w:val="true"/>
        </w:rPr>
        <w:t xml:space="preserve">: </w:t>
      </w:r>
      <w:r>
        <w:rPr>
          <w:rtl w:val="true"/>
        </w:rPr>
        <w:t>فی حلّ المشکلة من ناحیة قواعد الحلّ و الطهارة و البراءة</w:t>
      </w:r>
      <w:bookmarkEnd w:id="415"/>
    </w:p>
    <w:p>
      <w:pPr>
        <w:pStyle w:val="BookText"/>
        <w:rPr/>
      </w:pPr>
      <w:r>
        <w:rPr>
          <w:rFonts w:ascii="IRNazanin" w:hAnsi="IRNazanin" w:eastAsia="IRNazanin"/>
          <w:color w:val="111111"/>
          <w:sz w:val="28"/>
          <w:sz w:val="28"/>
          <w:szCs w:val="28"/>
          <w:rtl w:val="true"/>
          <w:lang w:bidi="fa-IR"/>
        </w:rPr>
        <w:t>فی موارد قاعدتی الحلّ و الطهارة، لا یمکن الفرار من المعرکة إلاّ إذا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النسبة بینها و بین الأحکام الواقعیّة عموم من وجه، و هکذا فی مورد حدیث الرفع، فإنّ الجمع بینها و بین الواقعیّات مع المحافظة علیها، و الالتزام بأنّها فعلیّات بالنسبة إلی الکلّ علی نهج واحد، سواء صارت منجّزة، أم لم تصر منجّزة، فکما أنّ المقصّر محکوم بها و یعاقب، کذلک الجاهل المرکّب محکوم بها، و لا یعاقب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بینها و بین القواعد الثلاث، غیر ممکن إلاّ علی الوجه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لجدّ أولادی و شیخ مشایخنا قدس سره الارتضاء بهذا الوجه </w:t>
      </w:r>
      <w:r>
        <w:rPr>
          <w:rStyle w:val="FootnoteAnchor"/>
          <w:rtl w:val="true"/>
        </w:rPr>
        <w:footnoteReference w:id="527"/>
      </w:r>
      <w:r>
        <w:rPr>
          <w:rFonts w:ascii="IRNazanin" w:hAnsi="IRNazanin" w:eastAsia="IRNazanin"/>
          <w:color w:val="111111"/>
          <w:sz w:val="28"/>
          <w:sz w:val="28"/>
          <w:szCs w:val="28"/>
          <w:rtl w:val="true"/>
          <w:lang w:bidi="fa-IR"/>
        </w:rPr>
        <w:t>، و یظهر منه أنّه یتمّ فی باب الطرق و الأمارات، و هو خال من التحصیل، ضرورة أنّه فی باب الطرق و الأمارات، لیس الشکّ موضوعا لحکم، حتّی یلزم منه العموم من وجه المفید فی المقام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مثل قاعدة الحلّ و الطهارة و حدیث البراءة، یمکن ذلک، و لکنّه خلاف الظاهر من أدلّتها، و لا سیّما حدیث الرفع فإنّه ظاهر فی أنّ ما لا یعلمون هو المرفوع، و هو الحکم إذا کان مجهولا، فیلزم عدم اشتراک العالم و الجاهل فی الحکم</w:t>
      </w:r>
    </w:p>
    <w:p>
      <w:pPr>
        <w:pStyle w:val="BookText"/>
        <w:rPr/>
      </w:pPr>
      <w:r>
        <w:rPr>
          <w:rFonts w:ascii="IRNazanin" w:hAnsi="IRNazanin" w:eastAsia="IRNazanin"/>
          <w:color w:val="111111"/>
          <w:sz w:val="28"/>
          <w:sz w:val="28"/>
          <w:szCs w:val="28"/>
          <w:rtl w:val="true"/>
          <w:lang w:bidi="fa-IR"/>
        </w:rPr>
        <w:t>إلاّ الجاهل المقصّر، فإنّ حدیث الرفع لا یشمله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یدور حلّ الغائلة بین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النسبة عموم من وجه، فإنّه حینئذ تنحفظ الواقعیّات، علی إشکال فیه محرّر منّا فی أواخر مباحث القطع </w:t>
      </w:r>
      <w:r>
        <w:rPr>
          <w:rStyle w:val="FootnoteAnchor"/>
          <w:rtl w:val="true"/>
        </w:rPr>
        <w:footnoteReference w:id="528"/>
      </w:r>
      <w:r>
        <w:rPr>
          <w:rFonts w:ascii="IRNazanin" w:hAnsi="IRNazanin" w:eastAsia="IRNazanin"/>
          <w:color w:val="111111"/>
          <w:sz w:val="28"/>
          <w:sz w:val="28"/>
          <w:szCs w:val="28"/>
          <w:rtl w:val="true"/>
          <w:lang w:bidi="fa-IR"/>
        </w:rPr>
        <w:t>، و بین الالتزام بتجاوز الشرع عن واقعیّاته فی موارد جعل الحلّیّة و الطهارة و حدیث الرفع، لأجل اقتضاء الأدلّة ذلک حسب الظاهر، فإن تمّ إجماع أو تواتر الأخبار علی الاشتراک فی هذه المرحلة، فالأوّل متعیّن، و إلاّ فالأخذ بالثانی أقرب إلی ذوق العرف و فهم العقلاء،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التفصیل بین الأحکام الإنشائیّة و الشأنیّة، و الفعلیّة المنجّزة،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الالتزام بأنّ المشترک هو الثانیّ </w:t>
      </w:r>
      <w:r>
        <w:rPr>
          <w:rStyle w:val="FootnoteAnchor"/>
          <w:rtl w:val="true"/>
        </w:rPr>
        <w:footnoteReference w:id="529"/>
      </w:r>
      <w:r>
        <w:rPr>
          <w:rFonts w:ascii="Amiri" w:hAnsi="Amiri" w:eastAsia="Amiri" w:cs="Amiri"/>
          <w:color w:val="111111"/>
          <w:sz w:val="28"/>
          <w:sz w:val="28"/>
          <w:szCs w:val="28"/>
          <w:rtl w:val="true"/>
          <w:lang w:bidi="ar-SA"/>
        </w:rPr>
        <w:t>، فلا یرجع إلی محصّل، لما تحرّر منّا فی محلّه من معنی الشأنیّة و الفعلیّة</w:t>
      </w:r>
      <w:r>
        <w:rPr>
          <w:rStyle w:val="FootnoteAnchor"/>
          <w:rtl w:val="true"/>
        </w:rPr>
        <w:footnoteReference w:id="530"/>
      </w:r>
      <w:r>
        <w:rPr>
          <w:rFonts w:ascii="IRNazanin" w:hAnsi="IRNazanin" w:eastAsia="IRNazanin"/>
          <w:color w:val="111111"/>
          <w:sz w:val="28"/>
          <w:sz w:val="28"/>
          <w:szCs w:val="28"/>
          <w:rtl w:val="true"/>
          <w:lang w:bidi="fa-IR"/>
        </w:rPr>
        <w:t>، و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هو المشترک و المدّعی علیه الإجماع و تواتر الأخبار، هو الحکم الموجب لعقاب الجاهل المقصّر</w:t>
      </w:r>
      <w:r>
        <w:rPr>
          <w:rStyle w:val="FootnoteAnchor"/>
          <w:rtl w:val="true"/>
        </w:rPr>
        <w:footnoteReference w:id="531"/>
      </w:r>
      <w:r>
        <w:rPr>
          <w:rFonts w:ascii="IRNazanin" w:hAnsi="IRNazanin" w:eastAsia="IRNazanin"/>
          <w:color w:val="111111"/>
          <w:sz w:val="28"/>
          <w:sz w:val="28"/>
          <w:szCs w:val="28"/>
          <w:rtl w:val="true"/>
          <w:lang w:bidi="fa-IR"/>
        </w:rPr>
        <w:t xml:space="preserve">، فیکون فعلیّا بمعنی واقع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أیضا فعلیّ بالقیاس إلی الجاهل المرکّب القائم عنده الطریق، و لکنّه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لو فرضنا ثبوتا تصویر المراتب الثلاث للحکم بعد خروج الاقتضاء و التنجز عنه، فلا دلیل علیه إثباتا، و لا مشابه له بین الأحکام القانونیّة العرفیّة، و لا الأحکام الشخصیّة بین الموالی و العبید، کما تری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المستفاد من هذه الأدلّة الظاهریّة، إن کان مورده متعلّق الأحکام الواقعیّة، فلا یعقل حلّ المعضلة بوجه من الوجوه حتّی بالخطابات القانونیّة،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سرّ حل المشکلة بها، تحت کون مورد</w:t>
      </w:r>
      <w:bookmarkStart w:id="416" w:name="pg13170_166400"/>
    </w:p>
    <w:p>
      <w:pPr>
        <w:pStyle w:val="BookText"/>
        <w:rPr/>
      </w:pPr>
      <w:bookmarkEnd w:id="416"/>
      <w:r>
        <w:rPr>
          <w:rFonts w:ascii="IRNazanin" w:hAnsi="IRNazanin" w:eastAsia="IRNazanin"/>
          <w:color w:val="111111"/>
          <w:sz w:val="28"/>
          <w:sz w:val="28"/>
          <w:szCs w:val="28"/>
          <w:rtl w:val="true"/>
          <w:lang w:bidi="fa-IR"/>
        </w:rPr>
        <w:t xml:space="preserve">الإمضاء فیها، معنی لا یلازم المتعلّقات للأحکام الواقعیّة، بل هو أعمّ، فإنّ مورد الأمر الطریقیّ أعمّ من الإصابة و اللاإصابة، و مورد الأمر النفسیّ أیضا أعمّ من إقامة الطریق علیه، و عدمها، و أعمّ من کون الطریق عقلائیا، أو عقلیّا، و هذا هو مرادنا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کلامنا السالف </w:t>
      </w:r>
      <w:r>
        <w:rPr>
          <w:rStyle w:val="FootnoteAnchor"/>
          <w:rtl w:val="true"/>
        </w:rPr>
        <w:footnoteReference w:id="532"/>
      </w:r>
      <w:r>
        <w:rPr>
          <w:rFonts w:ascii="IRNazanin" w:hAnsi="IRNazanin" w:eastAsia="IRNazanin"/>
          <w:color w:val="111111"/>
          <w:sz w:val="28"/>
          <w:sz w:val="28"/>
          <w:szCs w:val="28"/>
          <w:rtl w:val="true"/>
          <w:lang w:bidi="fa-IR"/>
        </w:rPr>
        <w:t>، فافهم،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إن أمکن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 المرخّص فیه أیضا أعمّ من العناوین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إلاّ فلا ینحلّ الإشکال بالخطابات القانونیّة، و لا بالجعل القانونیّ، کجعل الحلیّة و الطهارة و المرفوعیّة، و اللَّه هو الموفّق المؤیّد</w:t>
      </w:r>
      <w:r>
        <w:rPr>
          <w:rFonts w:eastAsia="IRNazanin" w:cs="IRNazanin"/>
          <w:color w:val="111111"/>
          <w:sz w:val="28"/>
          <w:szCs w:val="28"/>
          <w:rtl w:val="true"/>
          <w:lang w:bidi="fa-IR"/>
        </w:rPr>
        <w:t>.</w:t>
      </w:r>
    </w:p>
    <w:p>
      <w:pPr>
        <w:pStyle w:val="Heading6"/>
        <w:numPr>
          <w:ilvl w:val="5"/>
          <w:numId w:val="1"/>
        </w:numPr>
        <w:rPr/>
      </w:pPr>
      <w:bookmarkStart w:id="417" w:name="__RefHeading___Toc624551_3244359995"/>
      <w:bookmarkStart w:id="418" w:name="_Toc155"/>
      <w:bookmarkEnd w:id="417"/>
      <w:r>
        <w:rPr>
          <w:rtl w:val="true"/>
        </w:rPr>
        <w:t>بقی شی‌ء</w:t>
      </w:r>
      <w:r>
        <w:rPr>
          <w:rtl w:val="true"/>
        </w:rPr>
        <w:t xml:space="preserve">: </w:t>
      </w:r>
      <w:r>
        <w:rPr>
          <w:rtl w:val="true"/>
        </w:rPr>
        <w:t>فی حلّ المشکلة من ناحیة القطع</w:t>
      </w:r>
      <w:bookmarkEnd w:id="418"/>
    </w:p>
    <w:p>
      <w:pPr>
        <w:pStyle w:val="BookText"/>
        <w:rPr/>
      </w:pPr>
      <w:r>
        <w:rPr>
          <w:rFonts w:ascii="IRNazanin" w:hAnsi="IRNazanin" w:eastAsia="IRNazanin"/>
          <w:color w:val="111111"/>
          <w:sz w:val="28"/>
          <w:sz w:val="28"/>
          <w:szCs w:val="28"/>
          <w:rtl w:val="true"/>
          <w:lang w:bidi="fa-IR"/>
        </w:rPr>
        <w:t>قد أشرنا فی مطاوی بحوثنا إلی أنّ مشکلة اجتماع الحکم الظاهریّ و الواقعیّ، تسری إلی موارد القطع و لو کانت حجّیّة ذاتیّة</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تنحلّ هذه المشکلة من ناحیة کیفیّة ترشّح الإرادة الإلزامیّة فی موارد یعلم المقنن بأنّ القاطع قطعه علی خلاف الواقع، فإنّه من الجهل المرکّب، و قد مضی إمکان کونه محکوما بالحکم الفعلیّ القانونیّ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ناحیة کیفیّة تعلّق الإرادة التکوینیّة بإیجاد صفة القطع، المنتهی إلی خلاف المراد بالإرادة التشریعیّة، و المنتهی إلی عدم إمکان ترشّح الإرادة الباعثیّة، فهو أیضا ینحلّ بهذه المسألة و قانونیّة الخطاب، لأنّه فی موارد ضرب القانون لا یلاحظ حالات الأفراد، و لذلک و لو کان العجز مستندا إلیه تعالی، أو جهل المکلّف مستندا إلیه، یصحّ کونه مکلّفا بالتکلیف التشریعیّ القانونیّ، فلاحظ و اغتنم</w:t>
      </w:r>
      <w:r>
        <w:rPr>
          <w:rFonts w:eastAsia="IRNazanin" w:cs="IRNazanin"/>
          <w:color w:val="111111"/>
          <w:sz w:val="28"/>
          <w:szCs w:val="28"/>
          <w:rtl w:val="true"/>
          <w:lang w:bidi="fa-IR"/>
        </w:rPr>
        <w:t>.</w:t>
      </w:r>
      <w:bookmarkStart w:id="419" w:name="pg13170_166401"/>
    </w:p>
    <w:p>
      <w:pPr>
        <w:pStyle w:val="Heading6"/>
        <w:numPr>
          <w:ilvl w:val="5"/>
          <w:numId w:val="1"/>
        </w:numPr>
        <w:rPr/>
      </w:pPr>
      <w:bookmarkStart w:id="420" w:name="__RefHeading___Toc624553_3244359995"/>
      <w:bookmarkStart w:id="421" w:name="_Toc156"/>
      <w:bookmarkEnd w:id="419"/>
      <w:bookmarkEnd w:id="420"/>
      <w:r>
        <w:rPr>
          <w:rtl w:val="true"/>
        </w:rPr>
        <w:t>بقی أمر آخر</w:t>
      </w:r>
      <w:r>
        <w:rPr>
          <w:rtl w:val="true"/>
        </w:rPr>
        <w:t xml:space="preserve">: </w:t>
      </w:r>
      <w:r>
        <w:rPr>
          <w:rtl w:val="true"/>
        </w:rPr>
        <w:t>و هو حلّ مشکلة فعلیّة الأحکام المندرسة</w:t>
      </w:r>
      <w:bookmarkEnd w:id="421"/>
    </w:p>
    <w:p>
      <w:pPr>
        <w:pStyle w:val="BookText"/>
        <w:rPr/>
      </w:pPr>
      <w:r>
        <w:rPr>
          <w:rFonts w:ascii="IRNazanin" w:hAnsi="IRNazanin" w:eastAsia="IRNazanin"/>
          <w:color w:val="111111"/>
          <w:sz w:val="28"/>
          <w:sz w:val="28"/>
          <w:szCs w:val="28"/>
          <w:rtl w:val="true"/>
          <w:lang w:bidi="fa-IR"/>
        </w:rPr>
        <w:t>قد مضی فی خلال 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الأحکام الفعلیّة ما أبلغه المبلِّغ صلی اللَّه علیه و آله و سلم </w:t>
      </w:r>
      <w:r>
        <w:rPr>
          <w:rStyle w:val="FootnoteAnchor"/>
          <w:rtl w:val="true"/>
        </w:rPr>
        <w:footnoteReference w:id="535"/>
      </w:r>
      <w:r>
        <w:rPr>
          <w:rFonts w:ascii="IRNazanin" w:hAnsi="IRNazanin" w:eastAsia="IRNazanin"/>
          <w:color w:val="111111"/>
          <w:sz w:val="28"/>
          <w:sz w:val="28"/>
          <w:szCs w:val="28"/>
          <w:rtl w:val="true"/>
          <w:lang w:bidi="fa-IR"/>
        </w:rPr>
        <w:t>و لکنّه لأجل الحوادث الکونیّة دفن و اضمحلّ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أمر فعلیّتها، لامتناع ترشّح الإرادة و البعث و الزجر من العالم بتلک الحوادث، و بقاء القانون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تنحلّ هذه المعضلة أیضا، لأنّ الحکم قانونیّ، و لا یخصّ بزمان دون زمان، فربّما فی عصر الحجّة عجّل اللَّه تعالی فرجه یبرز ذلک القانون، و یطّلع المکلّفین علیه، و کونه فی معرض العمل فی ذلک العصر، یکفی لبعث الأمّة کلّها نحو العمل به، فیکون فعلیّا بالنسبة إلینا، إلاّ أنّا معذورون فی التخلّف عنه، و اللَّه الهادی</w:t>
      </w:r>
      <w:r>
        <w:rPr>
          <w:rFonts w:eastAsia="IRNazanin" w:cs="IRNazanin"/>
          <w:color w:val="111111"/>
          <w:sz w:val="28"/>
          <w:szCs w:val="28"/>
          <w:rtl w:val="true"/>
          <w:lang w:bidi="fa-IR"/>
        </w:rPr>
        <w:t>.</w:t>
      </w:r>
    </w:p>
    <w:p>
      <w:pPr>
        <w:pStyle w:val="Heading6"/>
        <w:numPr>
          <w:ilvl w:val="5"/>
          <w:numId w:val="1"/>
        </w:numPr>
        <w:rPr/>
      </w:pPr>
      <w:bookmarkStart w:id="422" w:name="__RefHeading___Toc624555_3244359995"/>
      <w:bookmarkStart w:id="423" w:name="_Toc157"/>
      <w:bookmarkEnd w:id="422"/>
      <w:r>
        <w:rPr>
          <w:rtl w:val="true"/>
        </w:rPr>
        <w:t>إیقاظ</w:t>
      </w:r>
      <w:r>
        <w:rPr>
          <w:rtl w:val="true"/>
        </w:rPr>
        <w:t xml:space="preserve">: </w:t>
      </w:r>
      <w:r>
        <w:rPr>
          <w:rtl w:val="true"/>
        </w:rPr>
        <w:t>حول حلّ المشکلة من ناحیة اعتبار التکالیف دیونا علی العهدة</w:t>
      </w:r>
      <w:bookmarkEnd w:id="423"/>
    </w:p>
    <w:p>
      <w:pPr>
        <w:pStyle w:val="BookText"/>
        <w:rPr/>
      </w:pPr>
      <w:r>
        <w:rPr>
          <w:rFonts w:ascii="IRNazanin" w:hAnsi="IRNazanin" w:eastAsia="IRNazanin"/>
          <w:color w:val="111111"/>
          <w:sz w:val="28"/>
          <w:sz w:val="28"/>
          <w:szCs w:val="28"/>
          <w:rtl w:val="true"/>
          <w:lang w:bidi="fa-IR"/>
        </w:rPr>
        <w:t xml:space="preserve">ربّما یتخیّل أنّ حقیقة التکلیف، لیست إلاّ اعتبار اشتغال الذمّة بالطبیعة، و الواجبات لیست إلاّ فی عهدة المکلّفین، و هکذا فی ناحیة الترک </w:t>
      </w:r>
      <w:r>
        <w:rPr>
          <w:rStyle w:val="FootnoteAnchor"/>
          <w:rtl w:val="true"/>
        </w:rPr>
        <w:footnoteReference w:id="536"/>
      </w:r>
      <w:r>
        <w:rPr>
          <w:rFonts w:ascii="IRNazanin" w:hAnsi="IRNazanin" w:eastAsia="IRNazanin"/>
          <w:color w:val="111111"/>
          <w:sz w:val="28"/>
          <w:sz w:val="28"/>
          <w:szCs w:val="28"/>
          <w:rtl w:val="true"/>
          <w:lang w:bidi="fa-IR"/>
        </w:rPr>
        <w:t>، 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لزوم اجتماع المثلین، و لا الضدّین، و لا المفاسد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المعضلة الرئیسة، فإنّه لا منع من کون الصلاة مثلا علی عهدة المکلّف، کالدیون الوضعیّة، و مع ذلک یرخّص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ترخیص الأخذ بالطرق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لزوم الإفراغ</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ناحیة الأصول، فإنّ الذمّة مشغولة بترک الخمر دینا، و هذا لا ینافی الترخیص فی ارتکاب الخمر، فإنّ ما هو الدین هو ترک الخمر، و هذا أمر وضعی،</w:t>
      </w:r>
    </w:p>
    <w:p>
      <w:pPr>
        <w:pStyle w:val="BookText"/>
        <w:rPr/>
      </w:pPr>
      <w:r>
        <w:rPr>
          <w:rFonts w:ascii="IRNazanin" w:hAnsi="IRNazanin" w:eastAsia="IRNazanin"/>
          <w:color w:val="111111"/>
          <w:sz w:val="28"/>
          <w:sz w:val="28"/>
          <w:szCs w:val="28"/>
          <w:rtl w:val="true"/>
          <w:lang w:bidi="fa-IR"/>
        </w:rPr>
        <w:t>و ما هو المرخّص فیه هو فعلها و شربها، و هو إذن، و لا تنافی بین تلک الوضعیّات الحاصلة من الإرادة و هذه، الإذنیّات المتحصّلة من التسهیل و الرضا بالارتکاب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المصائب، و قد أشرنا فیما سبق إلی أنّ الفقیه الیزدی رحمه اللَّه و إن التزم بأنّ الواجبات دیون بدلیل آخر، لا بنفس الأدلّة الأوّلیّة</w:t>
      </w:r>
      <w:r>
        <w:rPr>
          <w:rStyle w:val="FootnoteAnchor"/>
          <w:rtl w:val="true"/>
        </w:rPr>
        <w:footnoteReference w:id="537"/>
      </w:r>
      <w:r>
        <w:rPr>
          <w:rFonts w:ascii="IRNazanin" w:hAnsi="IRNazanin" w:eastAsia="IRNazanin"/>
          <w:color w:val="111111"/>
          <w:sz w:val="28"/>
          <w:sz w:val="28"/>
          <w:szCs w:val="28"/>
          <w:rtl w:val="true"/>
          <w:lang w:bidi="fa-IR"/>
        </w:rPr>
        <w:t xml:space="preserve">، و العلاّمة الحائری و إن أشار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اشتغال الذمّة فی مسألة تنجیز العلم الإجمالیّ </w:t>
      </w:r>
      <w:r>
        <w:rPr>
          <w:rStyle w:val="FootnoteAnchor"/>
          <w:rtl w:val="true"/>
        </w:rPr>
        <w:footnoteReference w:id="538"/>
      </w:r>
      <w:r>
        <w:rPr>
          <w:rFonts w:ascii="IRNazanin" w:hAnsi="IRNazanin" w:eastAsia="IRNazanin"/>
          <w:color w:val="111111"/>
          <w:sz w:val="28"/>
          <w:sz w:val="28"/>
          <w:szCs w:val="28"/>
          <w:rtl w:val="true"/>
          <w:lang w:bidi="fa-IR"/>
        </w:rPr>
        <w:t>،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تمامیّته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تنحلّ به المعضلة بالضرورة، ضرورة أنّ اعتبار الوضع علی العهدة باعتبار لزوم الإفراغ، و لو رخّص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درک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الإفراغ، یلزم منه لغویّة اعتبارها فی الذمّة، و هو مشکل 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محلّه أنّ هذه المقالة ترجع إلی الدور، أو التسلسل </w:t>
      </w:r>
      <w:r>
        <w:rPr>
          <w:rStyle w:val="FootnoteAnchor"/>
          <w:rtl w:val="true"/>
        </w:rPr>
        <w:footnoteReference w:id="539"/>
      </w:r>
      <w:r>
        <w:rPr>
          <w:rFonts w:ascii="IRNazanin" w:hAnsi="IRNazanin" w:eastAsia="IRNazanin"/>
          <w:color w:val="111111"/>
          <w:sz w:val="28"/>
          <w:sz w:val="28"/>
          <w:szCs w:val="28"/>
          <w:rtl w:val="true"/>
          <w:lang w:bidi="fa-IR"/>
        </w:rPr>
        <w:t xml:space="preserve">، و لا تنحلّ بها المعضلات هنا، و لو انحلّت المعضلات الأولی فلا تنحلّ به المعضلة الرئیسة، کما أشرنا إلیه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واقع الأمر هنا هو أنّ الإلزام الواقعیّ دین، و الترخیص ظاهریّ، و لا تنافی بینهما بحسب الواقع و حال المولی، و لا بحسب حال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بحسب الواقع و حال المولی، فلاختلافهما فی المتعلّق،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حال العبد، فلأنّه إن وصل إلیه الواقع فهو، و إن لم یصل إلیه الواقع فیکون فی سعة، فلا تحیّر، و لا ابتلاء له بالنسبة إلی الضدّین و المتخالفین</w:t>
      </w:r>
      <w:bookmarkStart w:id="424" w:name="pg13170_166403"/>
    </w:p>
    <w:p>
      <w:pPr>
        <w:pStyle w:val="BookText"/>
        <w:rPr/>
      </w:pPr>
      <w:bookmarkEnd w:id="424"/>
      <w:r>
        <w:rPr>
          <w:rFonts w:ascii="IRNazanin" w:hAnsi="IRNazanin" w:eastAsia="IRNazanin"/>
          <w:color w:val="111111"/>
          <w:sz w:val="28"/>
          <w:sz w:val="28"/>
          <w:szCs w:val="28"/>
          <w:rtl w:val="true"/>
          <w:lang w:bidi="fa-IR"/>
        </w:rPr>
        <w:t>جمعا، حتّی لا یتمکّن من الامتثال، کما قال بذلک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غایة الإجمال، و هو أنّ اختلاف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الحکم واقعیّا و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لحلّ الغائلة</w:t>
      </w:r>
      <w:r>
        <w:rPr>
          <w:rStyle w:val="FootnoteAnchor"/>
          <w:rtl w:val="true"/>
        </w:rPr>
        <w:footnoteReference w:id="542"/>
      </w:r>
      <w:r>
        <w:rPr>
          <w:rFonts w:ascii="IRNazanin" w:hAnsi="IRNazanin" w:eastAsia="IRNazanin"/>
          <w:color w:val="111111"/>
          <w:sz w:val="28"/>
          <w:sz w:val="28"/>
          <w:szCs w:val="28"/>
          <w:rtl w:val="true"/>
          <w:lang w:bidi="fa-IR"/>
        </w:rPr>
        <w:t>، فی غیر محلّه، و بعید عن المقالة المشار إلیها أوّلا، کما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غیر صحیح فی حدّ نفسه، لأنّ تمام المناقشة فی ناحیة المولی و الواقع، و أنّه کیف یمکن أن ینادی المولی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تجب علیک الصلاة، و علی عهدتک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إنّک فی سعة من العمل بروایة الثقة الکذائیّة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یعلم أنّها تنتهی إلی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کیف یعقل أن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الکذائیّة حرام علیک، و علی عهدتک ترکها، و أنت فی سعة من ارتکابها عند الشکّ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یعقل اجتماع هذین الأمرین فی نفس واحدة، و اللَّه هو الموفّق المؤیّد</w:t>
      </w:r>
      <w:r>
        <w:rPr>
          <w:rFonts w:eastAsia="IRNazanin" w:cs="IRNazanin"/>
          <w:color w:val="111111"/>
          <w:sz w:val="28"/>
          <w:szCs w:val="28"/>
          <w:rtl w:val="true"/>
          <w:lang w:bidi="fa-IR"/>
        </w:rPr>
        <w:t>.</w:t>
      </w:r>
    </w:p>
    <w:p>
      <w:pPr>
        <w:pStyle w:val="Heading4"/>
        <w:numPr>
          <w:ilvl w:val="3"/>
          <w:numId w:val="1"/>
        </w:numPr>
        <w:rPr/>
      </w:pPr>
      <w:bookmarkStart w:id="425" w:name="__RefHeading___Toc624557_3244359995"/>
      <w:bookmarkStart w:id="426" w:name="_Toc158"/>
      <w:bookmarkEnd w:id="425"/>
      <w:r>
        <w:rPr>
          <w:rtl w:val="true"/>
        </w:rPr>
        <w:t>الجهة الرابعة</w:t>
      </w:r>
      <w:r>
        <w:rPr>
          <w:rtl w:val="true"/>
        </w:rPr>
        <w:t xml:space="preserve">: </w:t>
      </w:r>
      <w:r>
        <w:rPr>
          <w:rtl w:val="true"/>
        </w:rPr>
        <w:t>حول تأسیس الأصل</w:t>
      </w:r>
      <w:bookmarkEnd w:id="426"/>
    </w:p>
    <w:p>
      <w:pPr>
        <w:pStyle w:val="Heading5"/>
        <w:numPr>
          <w:ilvl w:val="4"/>
          <w:numId w:val="1"/>
        </w:numPr>
        <w:rPr/>
      </w:pPr>
      <w:bookmarkStart w:id="427" w:name="__RefHeading___Toc624559_3244359995"/>
      <w:bookmarkStart w:id="428" w:name="_Toc159"/>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و تمام الکلام فیه یستدعی البحث فی مقامات</w:t>
      </w:r>
      <w:r>
        <w:rPr>
          <w:rFonts w:eastAsia="IRNazanin" w:cs="IRNazanin"/>
          <w:color w:val="111111"/>
          <w:sz w:val="28"/>
          <w:szCs w:val="28"/>
          <w:rtl w:val="true"/>
          <w:lang w:bidi="fa-IR"/>
        </w:rPr>
        <w:t>:</w:t>
      </w:r>
    </w:p>
    <w:p>
      <w:pPr>
        <w:pStyle w:val="Heading5"/>
        <w:numPr>
          <w:ilvl w:val="4"/>
          <w:numId w:val="1"/>
        </w:numPr>
        <w:rPr/>
      </w:pPr>
      <w:bookmarkStart w:id="429" w:name="__RefHeading___Toc624561_3244359995"/>
      <w:bookmarkStart w:id="430" w:name="_Toc160"/>
      <w:bookmarkEnd w:id="429"/>
      <w:r>
        <w:rPr>
          <w:rtl w:val="true"/>
        </w:rPr>
        <w:t>المقام الأول</w:t>
      </w:r>
      <w:r>
        <w:rPr>
          <w:rtl w:val="true"/>
        </w:rPr>
        <w:t xml:space="preserve">: </w:t>
      </w:r>
      <w:r>
        <w:rPr>
          <w:rtl w:val="true"/>
        </w:rPr>
        <w:t>حول تمکّن الشارع من الردع عن الأمارات و عدمه</w:t>
      </w:r>
      <w:bookmarkEnd w:id="430"/>
    </w:p>
    <w:p>
      <w:pPr>
        <w:pStyle w:val="Heading6"/>
        <w:numPr>
          <w:ilvl w:val="5"/>
          <w:numId w:val="1"/>
        </w:numPr>
        <w:rPr/>
      </w:pPr>
      <w:bookmarkStart w:id="431" w:name="__RefHeading___Toc624563_3244359995"/>
      <w:bookmarkStart w:id="432" w:name="_Toc161"/>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هل الشرع یتمکّن من أن یردع عن الطرق و الأمارات، و هل یعقل ذلک؟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أنّه کما لا یعقل الردع عن القطع، للزوم المحاذیر المذکورة فی محلّه من الخلف و غیره </w:t>
      </w:r>
      <w:r>
        <w:rPr>
          <w:rStyle w:val="FootnoteAnchor"/>
          <w:rtl w:val="true"/>
        </w:rPr>
        <w:footnoteReference w:id="543"/>
      </w:r>
      <w:r>
        <w:rPr>
          <w:rFonts w:ascii="IRNazanin" w:hAnsi="IRNazanin" w:eastAsia="IRNazanin"/>
          <w:color w:val="111111"/>
          <w:sz w:val="28"/>
          <w:sz w:val="28"/>
          <w:szCs w:val="28"/>
          <w:rtl w:val="true"/>
          <w:lang w:bidi="fa-IR"/>
        </w:rPr>
        <w:t>، کذلک لا یعقل الردع عن الطرق و الأمارات العقلائیّة، فلا یبقی مورد للشکّ فی الحجّیّة، بل تصیر جمیع الطرق و الأمارات العقلائیّة الشائعة حجّة قطعیّة،</w:t>
      </w:r>
    </w:p>
    <w:p>
      <w:pPr>
        <w:pStyle w:val="BookText"/>
        <w:rPr/>
      </w:pPr>
      <w:r>
        <w:rPr>
          <w:rFonts w:ascii="IRNazanin" w:hAnsi="IRNazanin" w:eastAsia="IRNazanin"/>
          <w:color w:val="111111"/>
          <w:sz w:val="28"/>
          <w:sz w:val="28"/>
          <w:szCs w:val="28"/>
          <w:rtl w:val="true"/>
          <w:lang w:bidi="fa-IR"/>
        </w:rPr>
        <w:t>و لا أصل حتّی یحتاج فی الخروج عنه إلی الأدلّة الخاصّة؟</w:t>
      </w:r>
    </w:p>
    <w:p>
      <w:pPr>
        <w:pStyle w:val="BookText"/>
        <w:rPr/>
      </w:pPr>
      <w:r>
        <w:rPr>
          <w:rFonts w:ascii="IRNazanin" w:hAnsi="IRNazanin" w:eastAsia="IRNazanin"/>
          <w:color w:val="111111"/>
          <w:sz w:val="28"/>
          <w:sz w:val="28"/>
          <w:szCs w:val="28"/>
          <w:rtl w:val="true"/>
          <w:lang w:bidi="fa-IR"/>
        </w:rPr>
        <w:t>نعم، ما لا یکون طریقا عقلائیّا کالقیاس، أو لا یکون طریقا شائعا کالجفر و الرمل و الحساب، یمکن الردع عنه، لعدم ترتّب المفاسد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الإشارة إلی بعض المفاسد المترتّبة علی الردع عنها المنتهی إلی امتناعه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تبدیل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للإشارة إلی أنّ هذه المادّة، لیست من الموادّ الثلاث المعتبرة فی المنطق و العلوم العقلیّة، و لذلک تری صحّة درج المسألة فی حدود القدرة،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المانعة عن تمکّن الشرع من ذلک، لزوم الاختلال فی النظام، و هو غیر جائز عقلا و شرعا، ضرورة أنّ المنع عن العمل بالظواهر و أخبار الآحاد، یکفی لتعطیل الأمور و الأسواق، فیکون الإسلام دین الهرج و المرج، و دین الوحشیّة و البربریّة، و لازم ذلک نقض غرضه، و هو التوسّع فی البلاد، و نشر المعارف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بقلّة العلم، و ندرة حصول الیقین بالأحکام، و ممنوعیّة الاحتیاط التامّ، لرجوعها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قیس الردع عن هذه الأمارات إلی ما هو المقصود فی الشرع، و المأمول للشریعة، و أنّ هذه الأمور ممّا لا یخضع لها الشرع بالضرورة، یلزم منه امتناع وصوله إلی الردع عنها، و هذا هو الخلف الممنوع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عنها یستلزم القبیح، و هو ممتنع علیه تعالی، فیمتنع الردع عنها، و هذا بعینه مثل الردع عن القطع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الردع عن حجیّة القطع ممتنع بذاته، لأنّ الحجّیّة ذاتیّة له، فاسد،</w:t>
      </w:r>
    </w:p>
    <w:p>
      <w:pPr>
        <w:pStyle w:val="BookText"/>
        <w:rPr/>
      </w:pPr>
      <w:r>
        <w:rPr>
          <w:rFonts w:ascii="IRNazanin" w:hAnsi="IRNazanin" w:eastAsia="IRNazanin"/>
          <w:color w:val="111111"/>
          <w:sz w:val="28"/>
          <w:sz w:val="28"/>
          <w:szCs w:val="28"/>
          <w:rtl w:val="true"/>
          <w:lang w:bidi="fa-IR"/>
        </w:rPr>
        <w:t xml:space="preserve">لما مرّ فی مباحثه من تفصیله </w:t>
      </w:r>
      <w:r>
        <w:rPr>
          <w:rStyle w:val="FootnoteAnchor"/>
          <w:rtl w:val="true"/>
        </w:rPr>
        <w:footnoteReference w:id="54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الردع عنها لا یعقل إلاّ بالأدلّة الوضعیّة، و بالدلالات العقلائیّة التی تعدّ من الظواهر، و لا یتمکّن من إیصال الردع إلاّ بوسائط، و لا یعقل أن یعتبر تعدّد الواسطة و أن یعتبر البیّنة، إلاّ بالظواهر التی یرید المنع عن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و الردع غیر ممکن أن یصل إلیه، فإذن لا معنی للشکّ فی حجّیّة الأمارات العقلائیّة حتّی نحتاج إلی الأدلّة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بالتبعیض فی باب تحصیل العلم، و بالتبعیض فی الاحتیاط أیضا، فغیر راجع إلی محصّل، لأنّ ذلک ممّا لا یمکن إلاّ بالوسائط و الظواهر العقلائیّة، لأنّ إیصال الأحکام لا یمکن إلاّ بذلک، فإنّه بالإیصال یمکن الاحتیاط بعضا أو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الردع عن القطع لو استلزم الامتناع الذاتیّ و الردع عنها، یستلزم الامتناع الوقوعیّ، بل الذاتیّ، و لکنّهما مشترکان فی الامتناع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مسلک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سلکناه من إمکان الردع فی الجملة، فیکون القطع مثلها فی هذه المرحلة أیضا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شبهة فیه هو حجّیّة الخبر و الظاهر فی الجملة، و الردع عنها علی الإطلاق حتّی و لو لم یستلزم الامتناع، و لکنّه یستلزم مما لا یجوز للشرع الالتزام به، بل قد یستلزم الامتناع، للزوم القبح علیه تعالی، و هو ممتنع، و بناء علیه یکون للشکّ فی الحجّیّة محلّ، فإنّ مورد البحث هو حجّیّة مطلق خبر الثقة، و هکذا فی باب الظواهر، من غیر تقید بحصول الوثوق الشخصیّ منها و من الظواهر، و هذا المقدار کاف للحاجة إلی تنقیح الأصل فی المسألة</w:t>
      </w:r>
      <w:r>
        <w:rPr>
          <w:rFonts w:eastAsia="IRNazanin" w:cs="IRNazanin"/>
          <w:color w:val="111111"/>
          <w:sz w:val="28"/>
          <w:szCs w:val="28"/>
          <w:rtl w:val="true"/>
          <w:lang w:bidi="fa-IR"/>
        </w:rPr>
        <w:t>.</w:t>
      </w:r>
      <w:bookmarkStart w:id="433" w:name="pg13170_166406"/>
    </w:p>
    <w:p>
      <w:pPr>
        <w:pStyle w:val="BookText"/>
        <w:rPr/>
      </w:pPr>
      <w:bookmarkEnd w:id="433"/>
      <w:r>
        <w:rPr>
          <w:rFonts w:ascii="IRNazanin" w:hAnsi="IRNazanin" w:eastAsia="IRNazanin"/>
          <w:color w:val="111111"/>
          <w:sz w:val="28"/>
          <w:sz w:val="28"/>
          <w:szCs w:val="28"/>
          <w:rtl w:val="true"/>
          <w:lang w:bidi="fa-IR"/>
        </w:rPr>
        <w:t>و توهّم لزوم الاختلال، أو عدم تمکّن المولی من إیصال الردع حتّی بالنسبة إلی مطلق الخبر و الظاهر، غیر واقع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حکی عن بعض الأصحاب فی قبال 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التعبّد</w:t>
      </w:r>
      <w:r>
        <w:rPr>
          <w:rStyle w:val="FootnoteAnchor"/>
          <w:rtl w:val="true"/>
        </w:rPr>
        <w:footnoteReference w:id="545"/>
      </w:r>
      <w:r>
        <w:rPr>
          <w:rFonts w:ascii="IRNazanin" w:hAnsi="IRNazanin" w:eastAsia="IRNazanin"/>
          <w:color w:val="111111"/>
          <w:sz w:val="28"/>
          <w:sz w:val="28"/>
          <w:szCs w:val="28"/>
          <w:rtl w:val="true"/>
          <w:lang w:bidi="fa-IR"/>
        </w:rPr>
        <w:t>، إن کان یرجع إلی الوجوب فی الجملة فحسن، و أمّا لو رجع إلی وجوب التعبّد بمطلق خبر الثقة و سائر الأمارات العقلائیّة، فلا یتمّ</w:t>
      </w:r>
      <w:r>
        <w:rPr>
          <w:rFonts w:eastAsia="IRNazanin" w:cs="IRNazanin"/>
          <w:color w:val="111111"/>
          <w:sz w:val="28"/>
          <w:szCs w:val="28"/>
          <w:rtl w:val="true"/>
          <w:lang w:bidi="fa-IR"/>
        </w:rPr>
        <w:t>.</w:t>
      </w:r>
    </w:p>
    <w:p>
      <w:pPr>
        <w:pStyle w:val="Heading6"/>
        <w:numPr>
          <w:ilvl w:val="5"/>
          <w:numId w:val="1"/>
        </w:numPr>
        <w:rPr/>
      </w:pPr>
      <w:bookmarkStart w:id="434" w:name="__RefHeading___Toc624565_3244359995"/>
      <w:bookmarkStart w:id="435" w:name="_Toc162"/>
      <w:bookmarkEnd w:id="434"/>
      <w:r>
        <w:rPr>
          <w:rtl w:val="true"/>
        </w:rPr>
        <w:t>تذنیب</w:t>
      </w:r>
      <w:r>
        <w:rPr>
          <w:rtl w:val="true"/>
        </w:rPr>
        <w:t xml:space="preserve">: </w:t>
      </w:r>
      <w:r>
        <w:rPr>
          <w:rtl w:val="true"/>
        </w:rPr>
        <w:t>حول عدم تأسیس الأصل عند الشکّ فی الحجّیة</w:t>
      </w:r>
      <w:bookmarkEnd w:id="435"/>
    </w:p>
    <w:p>
      <w:pPr>
        <w:pStyle w:val="Heading6"/>
        <w:numPr>
          <w:ilvl w:val="5"/>
          <w:numId w:val="1"/>
        </w:numPr>
        <w:rPr/>
      </w:pPr>
      <w:bookmarkStart w:id="436" w:name="__RefHeading___Toc624567_3244359995"/>
      <w:bookmarkStart w:id="437" w:name="_Toc163"/>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لا معنی لتأسیس الأصل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حجّیة شی‌ء، یکون المرجع أصالة عدم الحجّیة، و ذلک لأنّ الشکّ فی الحجّیة، یساوق القطع بعدم الحجّیة، فلا أصل حتّی یکون مستندا عند الشکّ، کسائر الموارد التی یؤسّس فیها الأصل للمرجعیّة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الحجّیة، مساوقا للقطع بعدم الحجّیة، فکیف یمکن الخروج عن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القطع بعدم الحجّیة، لا یمکن ردعه و التصرّف فیه کسائر المواضع، مع أنّ المراد تنقیح الأصل، و إخراج الموارد الخاصّة عن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أنّ الشکّ فی الحجّیة، هل یساوق القطع بالعدم، أم 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أنه علی تقدیر التساوق، کما یظهر من جمع منهم، هل یمکن الخروج منه، أم لا؟</w:t>
      </w:r>
      <w:bookmarkStart w:id="438" w:name="pg13170_166407"/>
    </w:p>
    <w:p>
      <w:pPr>
        <w:pStyle w:val="BookText"/>
        <w:rPr/>
      </w:pPr>
      <w:bookmarkEnd w:id="438"/>
      <w:r>
        <w:rPr>
          <w:rFonts w:ascii="IRNazanin" w:hAnsi="IRNazanin" w:eastAsia="IRNazanin"/>
          <w:color w:val="111111"/>
          <w:sz w:val="28"/>
          <w:sz w:val="28"/>
          <w:szCs w:val="28"/>
          <w:rtl w:val="true"/>
          <w:lang w:bidi="fa-IR"/>
        </w:rPr>
        <w:t>فهنا بحثان</w:t>
      </w:r>
      <w:r>
        <w:rPr>
          <w:rFonts w:eastAsia="IRNazanin" w:cs="IRNazanin"/>
          <w:color w:val="111111"/>
          <w:sz w:val="28"/>
          <w:szCs w:val="28"/>
          <w:rtl w:val="true"/>
          <w:lang w:bidi="fa-IR"/>
        </w:rPr>
        <w:t>:</w:t>
      </w:r>
    </w:p>
    <w:p>
      <w:pPr>
        <w:pStyle w:val="Heading6"/>
        <w:numPr>
          <w:ilvl w:val="5"/>
          <w:numId w:val="1"/>
        </w:numPr>
        <w:rPr/>
      </w:pPr>
      <w:bookmarkStart w:id="439" w:name="__RefHeading___Toc624569_3244359995"/>
      <w:bookmarkStart w:id="440" w:name="_Toc164"/>
      <w:bookmarkEnd w:id="439"/>
      <w:r>
        <w:rPr>
          <w:rtl w:val="true"/>
        </w:rPr>
        <w:t>البحث الأوّل</w:t>
      </w:r>
      <w:r>
        <w:rPr>
          <w:rtl w:val="true"/>
        </w:rPr>
        <w:t xml:space="preserve">: </w:t>
      </w:r>
      <w:r>
        <w:rPr>
          <w:rtl w:val="true"/>
        </w:rPr>
        <w:t>فی أنّ الشکّ فی الحجّیة یساوق القطع بعدمها</w:t>
      </w:r>
      <w:bookmarkEnd w:id="440"/>
    </w:p>
    <w:p>
      <w:pPr>
        <w:pStyle w:val="BookText"/>
        <w:rPr/>
      </w:pPr>
      <w:r>
        <w:rPr>
          <w:rFonts w:ascii="IRNazanin" w:hAnsi="IRNazanin" w:eastAsia="IRNazanin"/>
          <w:color w:val="111111"/>
          <w:sz w:val="28"/>
          <w:sz w:val="28"/>
          <w:szCs w:val="28"/>
          <w:rtl w:val="true"/>
          <w:lang w:bidi="fa-IR"/>
        </w:rPr>
        <w:t>و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أنّ الشرع هل اعتبر الأمارة الکذائیّة، و جعلها حجّة، أم لا؟ هو شکّ صحیح، و لا یساوق الحجّیة، کما هو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خارج عن مفروض الکلام، و هو الشکّ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مفروض البحث، فالحقّ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هی القابلیّة للاحتجاج بالفعل، و أنّ الحجّة هی الأقیسة المنطقیّة، أو العقلائیّة الراجعة إلی تلک الأقیسة فی الحقیقة، فلا یکون الشکّ فیها إلاّ راجعا إلی العلم بعدم صحّة الاحتجاج به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هی الوسطیّة فی الإثبات </w:t>
      </w:r>
      <w:r>
        <w:rPr>
          <w:rStyle w:val="FootnoteAnchor"/>
          <w:rtl w:val="true"/>
        </w:rPr>
        <w:footnoteReference w:id="546"/>
      </w:r>
      <w:r>
        <w:rPr>
          <w:rFonts w:ascii="IRNazanin" w:hAnsi="IRNazanin" w:eastAsia="IRNazanin"/>
          <w:color w:val="111111"/>
          <w:sz w:val="28"/>
          <w:sz w:val="28"/>
          <w:szCs w:val="28"/>
          <w:rtl w:val="true"/>
          <w:lang w:bidi="fa-IR"/>
        </w:rPr>
        <w:t xml:space="preserve">، أو ما یحتجّ به علی الخصم </w:t>
      </w:r>
      <w:r>
        <w:rPr>
          <w:rStyle w:val="FootnoteAnchor"/>
          <w:rtl w:val="true"/>
        </w:rPr>
        <w:footnoteReference w:id="547"/>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تبرهن علیه فی المنطق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بل حقیقة الحجّة هی الواسطة المتکرّرة بین الصغری و الکبری، و إطلاقها علی مجموع موادّ القیاس بالتوسّع و المجاز</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جمیع الاحتجاجات العقلائیّة، لا بدّ و أن ترجع إلی تلک الأقیسة المنطقیّة، مثلا إذا احتجّ المولی علی العبد بالظواهر، أو احتجّ العبد علی المولی بالخبر الموثوق به، فکلّ ذلک یرجع إلی الشکل الأوّل،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الکذائیّ قام علیه الظاهر، و کلّ ما قام علیه الظاهر یجب الأخذ به، فالوجوب الکذائیّ 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فی محلّه أنّ الحجّة بالحمل الأوّلی، لیست واسطة فی الإثبات، و لا متکرّرة بین الصغری و الکبری، بل الحجّة هی المعنی المتکرّر بالحمل الشائع، الّذی به یثبت الأکبر للأصغر</w:t>
      </w:r>
      <w:r>
        <w:rPr>
          <w:rStyle w:val="FootnoteAnchor"/>
          <w:rtl w:val="true"/>
        </w:rPr>
        <w:footnoteReference w:id="549"/>
      </w:r>
      <w:r>
        <w:rPr>
          <w:rFonts w:ascii="IRNazanin" w:hAnsi="IRNazanin" w:eastAsia="IRNazanin"/>
          <w:color w:val="111111"/>
          <w:sz w:val="28"/>
          <w:sz w:val="28"/>
          <w:szCs w:val="28"/>
          <w:rtl w:val="true"/>
          <w:lang w:bidi="fa-IR"/>
        </w:rPr>
        <w:t>، و هذا أمر واحد شائع فی جمیع العلوم الحقیقیّة و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الأمارات العقلائیّة، فهو أیضا یرجع إلی توسّطها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الواقعیّات و تنجیزها، أو تعذیر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إمکان تشکیل الشکل الأوّل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ظاهر، و الظاهر حجّة، فهو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بل النافع إثبات أنّ ما قام علیه الظاهر، هو الواجب أخذه، و الواجب اتباعه عقلا، و وجوب الجمعة یکون کذلک بعد قیام خبر الثقة و الظاهر علیه،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تفصیله فی محلّه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یتشکّل الشکل الأوّل، و تتم الحجّة بالحمل الشائع، و لا یتمّ القیاس المشتمل علیها بالحمل الأوّلی، مثلا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الجمعة محتمل بالاحتمال قبل الفحص، و کلّ محتمل بهذا الاحتمال متنجّز و واجب اتباعه، فوجوب الجمعة متنجّز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نظیره علی وجه تکون الکبری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احتمال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تبیّن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هنا، یظهر أنّ الشکّ فیها إن کان بعد الفحص و عدم الظفر بها، فلازمه القطع بعدم تمامیّة الحجّة من المولی علی العبد، و تمامیّة حجّة العبد علی المولی،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یساوق القطع بالعدم فی الجملة، کما أشرنا إلیه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فیها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شکّ فی حجّیة إخبار ذی الید بالقبلة،</w:t>
      </w:r>
    </w:p>
    <w:p>
      <w:pPr>
        <w:pStyle w:val="BookText"/>
        <w:rPr/>
      </w:pPr>
      <w:r>
        <w:rPr>
          <w:rFonts w:ascii="IRNazanin" w:hAnsi="IRNazanin" w:eastAsia="IRNazanin"/>
          <w:color w:val="111111"/>
          <w:sz w:val="28"/>
          <w:sz w:val="28"/>
          <w:szCs w:val="28"/>
          <w:rtl w:val="true"/>
          <w:lang w:bidi="fa-IR"/>
        </w:rPr>
        <w:t>أو النجاسة و الطهارة، أو شکّ فی حجّیة قول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یساوق القطع بالعدم، و إلاّ لانسد باب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العناوین النوعیّة، تکون ذات أحوال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العلم بها، و حالة العلم بعدمها، و حالة الشکّ فیها، و لیست مثل الشکّ و الیقین، حتّی لا یتصوّر الحالة الثالثة بالنسبة إلیهما، حتّی یکون الشکّ فیهما عین العلم بعدمهما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قبل الفحص و الاحتمال قبل المراجعة، ینجّز الواقع، فالشکّ فی الحجّیة یساوق فی هذه الصورة القطع بإتمام الحجّة، و لا أثر للوجود الواقعیّ لأمارة القائمة علی حجّیة قول اللغویّ و غیره، فلا حالة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الاحتمال ینجّز الواقع، و لذلک لو کان یظفر بأمارة خاطئة، لا یصحّ التمسّک بها، و یصح العقاب علی الواقع، و لکنّ ذلک لا ینافی الشکّ فی الحجّیة، و الشکّ فی أنّ خبر ذی الید، حجّة شرعا، أم لا، بحیث لو ظفر به أحد یصحّ الأخذ به، و یتمّ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من تساوق الشکّ فی الحجّیة مع القطع بعدم الحجّیة، غیر صحیح إلاّ فی الجملة، و عندئذ یصحّ أن یتمسّک بالأصل، و یحرّر علی عدم الحجّیة، بوجه یخرج عنه بالدلیل، و لا یکون لازمه الردع عن القطع، کما لا یخفی، فتأمّل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الحجّیة، یساوق القطع بعدم الحجّیة حتّی فی صورة الشکّ فیها قبل الفحص، فلا یمنع ذلک من تجویز الخروج عنها بالدلیل، لأنّه عند قیام الدلیل یرتفع الموضوع، و هو الشکّ فی الحجّیة، و کأنّه یصیر من قبیل التصرّف فی المقطوع، لا القطع، و یصیر الاستثناء منقطعا، و تصبح النتیجة،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الحجّیة یساوق القطع بعدمها، و فی مورد قول اللغویّ لا شکّ فی حجّیته،</w:t>
      </w:r>
      <w:bookmarkStart w:id="441" w:name="pg13170_166410"/>
    </w:p>
    <w:p>
      <w:pPr>
        <w:pStyle w:val="BookText"/>
        <w:rPr/>
      </w:pPr>
      <w:bookmarkEnd w:id="441"/>
      <w:r>
        <w:rPr>
          <w:rFonts w:ascii="IRNazanin" w:hAnsi="IRNazanin" w:eastAsia="IRNazanin"/>
          <w:color w:val="111111"/>
          <w:sz w:val="28"/>
          <w:sz w:val="28"/>
          <w:szCs w:val="28"/>
          <w:rtl w:val="true"/>
          <w:lang w:bidi="fa-IR"/>
        </w:rPr>
        <w:t>و هکذا فی کلّ مورد قام الدلیل علی حجّیته، و لیس هذا من الردع عن القطع، و سیمرّ علیک تمام البحث</w:t>
      </w:r>
      <w:r>
        <w:rPr>
          <w:rFonts w:eastAsia="IRNazanin" w:cs="IRNazanin"/>
          <w:color w:val="111111"/>
          <w:sz w:val="28"/>
          <w:szCs w:val="28"/>
          <w:rtl w:val="true"/>
          <w:lang w:bidi="fa-IR"/>
        </w:rPr>
        <w:t>.</w:t>
      </w:r>
    </w:p>
    <w:p>
      <w:pPr>
        <w:pStyle w:val="Heading6"/>
        <w:numPr>
          <w:ilvl w:val="5"/>
          <w:numId w:val="1"/>
        </w:numPr>
        <w:rPr/>
      </w:pPr>
      <w:bookmarkStart w:id="442" w:name="__RefHeading___Toc624571_3244359995"/>
      <w:bookmarkStart w:id="443" w:name="_Toc165"/>
      <w:bookmarkEnd w:id="442"/>
      <w:r>
        <w:rPr>
          <w:rtl w:val="true"/>
        </w:rPr>
        <w:t>البحث الثانی</w:t>
      </w:r>
      <w:r>
        <w:rPr>
          <w:rtl w:val="true"/>
        </w:rPr>
        <w:t xml:space="preserve">: </w:t>
      </w:r>
      <w:r>
        <w:rPr>
          <w:rtl w:val="true"/>
        </w:rPr>
        <w:t>فی الخروج عن التساوق</w:t>
      </w:r>
      <w:bookmarkEnd w:id="443"/>
    </w:p>
    <w:p>
      <w:pPr>
        <w:pStyle w:val="BookText"/>
        <w:rPr/>
      </w:pPr>
      <w:r>
        <w:rPr>
          <w:rFonts w:ascii="IRNazanin" w:hAnsi="IRNazanin" w:eastAsia="IRNazanin"/>
          <w:color w:val="111111"/>
          <w:sz w:val="28"/>
          <w:sz w:val="28"/>
          <w:szCs w:val="28"/>
          <w:rtl w:val="true"/>
          <w:lang w:bidi="fa-IR"/>
        </w:rPr>
        <w:t>فعلی هذا، تبیّن البحث الثانی أیضا، و تحصّل إمکان البحث علی النهج المتعارف فی سائر المواضع التی یحرّر فیها الأصل و القاعدة للمرجعیّة، فلیتأمّل</w:t>
      </w:r>
      <w:r>
        <w:rPr>
          <w:rFonts w:eastAsia="IRNazanin" w:cs="IRNazanin"/>
          <w:color w:val="111111"/>
          <w:sz w:val="28"/>
          <w:szCs w:val="28"/>
          <w:rtl w:val="true"/>
          <w:lang w:bidi="fa-IR"/>
        </w:rPr>
        <w:t>.</w:t>
      </w:r>
    </w:p>
    <w:p>
      <w:pPr>
        <w:pStyle w:val="Heading5"/>
        <w:numPr>
          <w:ilvl w:val="4"/>
          <w:numId w:val="1"/>
        </w:numPr>
        <w:rPr/>
      </w:pPr>
      <w:bookmarkStart w:id="444" w:name="__RefHeading___Toc624573_3244359995"/>
      <w:bookmarkStart w:id="445" w:name="_Toc166"/>
      <w:bookmarkEnd w:id="444"/>
      <w:r>
        <w:rPr>
          <w:rtl w:val="true"/>
        </w:rPr>
        <w:t>المقام الثانی</w:t>
      </w:r>
      <w:r>
        <w:rPr>
          <w:rtl w:val="true"/>
        </w:rPr>
        <w:t xml:space="preserve">: </w:t>
      </w:r>
      <w:r>
        <w:rPr>
          <w:rtl w:val="true"/>
        </w:rPr>
        <w:t>حول آثار الحجّیة</w:t>
      </w:r>
      <w:bookmarkEnd w:id="445"/>
    </w:p>
    <w:p>
      <w:pPr>
        <w:pStyle w:val="Heading6"/>
        <w:numPr>
          <w:ilvl w:val="5"/>
          <w:numId w:val="1"/>
        </w:numPr>
        <w:rPr/>
      </w:pPr>
      <w:bookmarkStart w:id="446" w:name="__RefHeading___Toc624575_3244359995"/>
      <w:bookmarkStart w:id="447" w:name="_Toc167"/>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إنّ من آثار الحجّیة التنجیز و التعذیر فی خصوص حجّیة الأمارات، و ما یحدو حدوها، و من آثارها جواز الإفتاء، و القضاء، و الحکم، و الإخبار، و الإسناد إلی صاحب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آثارها الإتیان بالمؤدّی علی أنّه حکم اللَّه، و من الإسلام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الآثار ثابتة لما شکّ فی حجّیته مطلقا، أو منتفیة عمّا یشکّ فی حجّیته، أم هی مختلفة،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إثباتها،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هذه المسألة، نشیر إلی مسألة مفروغ منها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القدر المتیقّن من آثار الحجّیة الثابتة للأمارات و أشباهها، هو التنجیز و التعذیر، و هذا أمر مشترک فیه القطع، و الاحتمال قبل الفحص، و الاحتمال مطلقا فی الشبهات المهتم بها، و الظّن علی الانسداد، بناء علی ما هو الحقّ من کونه حجّة بعد تمامیّة المقدّمات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الإخبار و الإفتاء و التدیّن و التعبّد العملیّ، فهو محلّ مناقشة، و ذلک لأنّ ما هو الثابت شرعا فی باب الطرق و الأمارات العقلائیّة، لیس أمرا أزید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الشرع تدخّل فیها بإتمام کشفها، و إلغاء احتمال الخلاف فیها</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هویّة مؤدّاها مع الواقع</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العلم النظامیّ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العبارات التی یغترّ بها الفضلاء، فضلا عن المحصّلین، کلّه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لتجویز الإفتاء و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الآثار الواضحة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الدلیل، فما یجوز الإخبار عنه هو الإخبار عن تمامیّة الحجّة، و الإفتاء بتمامیّتها، و الإتیان بمؤدّاها، حذرا من الخلاف و المخالفة، من دون أن یتعبّد بمؤدّاها، و یتدیّن بمضامینها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غیر فرق بین أقسام الأمارات، فکما لا یجوز ذلک کلّه بالنسبة إلی مؤدّی مظنون الصدور، کذلک لا یصحّ بالنسبة إلی مقطوع الصدور و مظنون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لمن حصل القطع بالحکم یجوز ذلک کلّه، بناء علی امتناع الردع عنه، و عدم احتیاجه إلی الإمضاء فی الحجّیة، کما هو مرام الکلّ، إلاّ ما عرفت منّا فی محلّه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تلازم بین الحجّیة و بین هذه الآثار، لأجل ما أشرنا إلیه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إنکار الملازمة بینهما، لأجل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الظنّ علی الحکومة حجّة، و لا یترتّب علیه الآثار</w:t>
      </w:r>
      <w:r>
        <w:rPr>
          <w:rStyle w:val="FootnoteAnchor"/>
          <w:rtl w:val="true"/>
        </w:rPr>
        <w:footnoteReference w:id="555"/>
      </w:r>
      <w:r>
        <w:rPr>
          <w:rFonts w:ascii="IRNazanin" w:hAnsi="IRNazanin" w:eastAsia="IRNazanin"/>
          <w:color w:val="111111"/>
          <w:sz w:val="28"/>
          <w:sz w:val="28"/>
          <w:szCs w:val="28"/>
          <w:rtl w:val="true"/>
          <w:lang w:bidi="fa-IR"/>
        </w:rPr>
        <w:t>، أو لأجل أنّ الاحتمال قبل الفحص حجّة، و لا یترتّب علیه ذلک،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مناقشة فی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لیس بحجّة، هل یلازم انتفاء الآثار و لو لم تکن الحجّة ملازمة لها، أم لا؟ و ما هو النافع هو الأوّل،</w:t>
      </w:r>
    </w:p>
    <w:p>
      <w:pPr>
        <w:pStyle w:val="BookText"/>
        <w:rPr/>
      </w:pPr>
      <w:r>
        <w:rPr>
          <w:rFonts w:ascii="IRNazanin" w:hAnsi="IRNazanin" w:eastAsia="IRNazanin"/>
          <w:color w:val="111111"/>
          <w:sz w:val="28"/>
          <w:sz w:val="28"/>
          <w:szCs w:val="28"/>
          <w:rtl w:val="true"/>
          <w:lang w:bidi="fa-IR"/>
        </w:rPr>
        <w:t xml:space="preserve">کما سیأتی تحقیقه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منّا فی مباحث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الأقوال فی مسألة دلالة الأمر علی الوجوب، هو القول بأنّ الأمر لا یکون إلاّ حجّة محتاجة إلی الجواب، و إذا قصد المأمور عصیان الأمر، تجوز المؤاخذة علی ذلک، و لا یقبح العقاب، و عندئذ یجب عقلا أن یسدّ العبد جمیع أبواب احتمال العقاب، حتّی یستیقن بامتناع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المقالة، ترجع إلی إنکار صحّة الإفتاء علی طبق الأمر و النهی، و هکذا الإخبار، مع أنّ سیرة السلف و الخلف علی جواز الإفتاء علی طبقهما، من غیر حاجة إلی الأدلّة الخاصّة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البناءات العقلائیّة فی باب الأمارات و الطرق، لا تنقص عن بنائهم فی باب القطع، فإنّه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العادة النوعیّة، و حسب الموازین الغالبة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الأمارات الوثوق و الاطمئنان بالمؤدّی و الأحکام، و عندئذ یجوز الإخبار و سائر الآثار، لأنّ حجّیّة الأمارات فی الحقیقة باعتبار انکشاف الواقعیّات بها نوعا و غالبا، أو بناء و عادة، و لذلک نجد أنّ القوم یسندون المؤدّیات إلی موالیهم العرفیّین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الأخبار الخاصّة من الحثّ علی الإفتاء</w:t>
      </w:r>
      <w:r>
        <w:rPr>
          <w:rStyle w:val="FootnoteAnchor"/>
          <w:rtl w:val="true"/>
        </w:rPr>
        <w:footnoteReference w:id="558"/>
      </w:r>
      <w:r>
        <w:rPr>
          <w:rFonts w:ascii="IRNazanin" w:hAnsi="IRNazanin" w:eastAsia="IRNazanin"/>
          <w:color w:val="111111"/>
          <w:sz w:val="28"/>
          <w:sz w:val="28"/>
          <w:szCs w:val="28"/>
          <w:rtl w:val="true"/>
          <w:lang w:bidi="fa-IR"/>
        </w:rPr>
        <w:t>، لیس أمرا جدیدا وراء اعتبار الطرق و الأمارات العقلائیّة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انکشاف الخلاف فی کثیر من الأمارات و الطرق، لیس بالغا إلی حدّ یعدّ ذلک بناء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یبعد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الکشف و الوثوق بالخارجیّات فی موارد قیام الطرق و الأمارات، لیست واضحة، بل کلّ ذلک</w:t>
      </w:r>
    </w:p>
    <w:p>
      <w:pPr>
        <w:pStyle w:val="BookText"/>
        <w:rPr/>
      </w:pPr>
      <w:r>
        <w:rPr>
          <w:rFonts w:ascii="IRNazanin" w:hAnsi="IRNazanin" w:eastAsia="IRNazanin"/>
          <w:color w:val="111111"/>
          <w:sz w:val="28"/>
          <w:sz w:val="28"/>
          <w:szCs w:val="28"/>
          <w:rtl w:val="true"/>
          <w:lang w:bidi="fa-IR"/>
        </w:rPr>
        <w:t>بناءات عادیّة حصلت أحیانا فی الزمن الأوّل، لأجل الکشف الغالبیّ، و أمّا الیوم فهو مجرّد بناء، و هکذا فی عصر الأئمّة علیهم السلام و لکن مع ذلک فبناؤهم علی الإفتاء و الإخبار و التدیّن، و هذا یکفی لحلّ هذه العویصة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المحرّم فی باب الإفتاء هو الإفتاء بغیر علم، و فی باب الإخبار و الإسناد هو الإخبار بلا حجّة، و هکذا فی مسألة التدیّن و التعبّد، و إذا کانت الطرق حجّة شرعیّة ممضاة، تکون حاکمة علی الأدلّة الناهیة عن القول بغیر علم، 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الأدلّة هو الحجّة، کما تحرّر فی محلّه </w:t>
      </w:r>
      <w:r>
        <w:rPr>
          <w:rStyle w:val="FootnoteAnchor"/>
          <w:rtl w:val="true"/>
        </w:rPr>
        <w:footnoteReference w:id="559"/>
      </w:r>
      <w:r>
        <w:rPr>
          <w:rFonts w:ascii="IRNazanin" w:hAnsi="IRNazanin" w:eastAsia="IRNazanin"/>
          <w:color w:val="111111"/>
          <w:sz w:val="28"/>
          <w:sz w:val="28"/>
          <w:szCs w:val="28"/>
          <w:rtl w:val="true"/>
          <w:lang w:bidi="fa-IR"/>
        </w:rPr>
        <w:t>، و القول أیضا أعمّ من الإفتاء و غیره، فهو متین، و لکنّه لا یتمّ إلاّ فی مسألة الإفتاء بغیر علم، و أمّا الإخبار بغیر حجّة و علم، أو التدیّن بدونه، فلم یوجد منه أثر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الإخبار، غیر مسموعة، لأنّ المراد من ذلک هو الإفتاء بغیر علم، لا التقوّلات الیومیّة السوقیّة، فإنّه لو کان محرّما، فلا بدّ من أن یکون لأجل دلیل آخر، کما تحرّر فی محلّه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هذه الآثار بالنسبة إلی الطرق و الأمارات، من قبیل إنکار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 الانقیاد من آثار الحجّیّة، فهو بمعزل عن التحقیق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بأس بعد التجری منها، لاحتمال کون عنوانه أو الفعل، محرّما مثلا، و إلاّ فحسب التحقیق لا أثر له أیضا، کما لا یخفی، و الأمر سهل،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لا ینجو عن المناقشة، و اللَّه هو المستعان</w:t>
      </w:r>
      <w:r>
        <w:rPr>
          <w:rFonts w:eastAsia="IRNazanin" w:cs="IRNazanin"/>
          <w:color w:val="111111"/>
          <w:sz w:val="28"/>
          <w:szCs w:val="28"/>
          <w:rtl w:val="true"/>
          <w:lang w:bidi="fa-IR"/>
        </w:rPr>
        <w:t>.</w:t>
      </w:r>
      <w:bookmarkStart w:id="448" w:name="pg13170_166414"/>
    </w:p>
    <w:p>
      <w:pPr>
        <w:pStyle w:val="Heading6"/>
        <w:numPr>
          <w:ilvl w:val="5"/>
          <w:numId w:val="1"/>
        </w:numPr>
        <w:rPr/>
      </w:pPr>
      <w:bookmarkStart w:id="449" w:name="__RefHeading___Toc624577_3244359995"/>
      <w:bookmarkStart w:id="450" w:name="_Toc168"/>
      <w:bookmarkEnd w:id="448"/>
      <w:bookmarkEnd w:id="449"/>
      <w:r>
        <w:rPr>
          <w:rtl w:val="true"/>
        </w:rPr>
        <w:t>حکم الآثار بالنسبة إلی الأمارة مشکوکة الاعتبار</w:t>
      </w:r>
      <w:bookmarkEnd w:id="450"/>
    </w:p>
    <w:p>
      <w:pPr>
        <w:pStyle w:val="BookText"/>
        <w:rPr/>
      </w:pPr>
      <w:r>
        <w:rPr>
          <w:rFonts w:ascii="IRNazanin" w:hAnsi="IRNazanin" w:eastAsia="IRNazanin"/>
          <w:color w:val="111111"/>
          <w:sz w:val="28"/>
          <w:sz w:val="28"/>
          <w:szCs w:val="28"/>
          <w:rtl w:val="true"/>
          <w:lang w:bidi="fa-IR"/>
        </w:rPr>
        <w:t>إذا تحصّلت هذه المسألة، فلتکن علی ذکر بالنسبة إلی ما هو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هذه الآثار هل هی منتفیة عن الأمارة المشکوک اعتبارها، أم لا، أو الأمارة المقطوع عدم اعتبارها،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فیها یرجع إلی القطع بعدمها؟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الآثار العقلائیّة کالتعذیر و التنجیز، فواضح انتفاؤها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الإفتاء و الإخبار و الإسناد، فغیر واضح، و ذلک لأنّه یرجع إلی الشبهة الموضوعیّة، الجاریة فیها أصول الحلّ و البراءة، ضرورة أنّ احتمال کون الإفتاء المزبور، مطابقا للواقع، و احتمال کون الإخبار صادقا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حرمة التعبّد عملا بمؤدّاها، علی وجه لا یکون من الإتیان الرجائیّ و الاحتیاط، فهی أیضا واضحة، لأنّه من التشریع و الابتداع، ضرورة أنّ ما هو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عقد القلب علی ما لا یعتقد، أو علی ما یعتقد خلافه، فإنّه غیر معقول بالضرورة، فإنّ مع الشکّ القلبیّ الوجدانیّ، أو مع العلم بعدم کونه من الشرع، لا یتمکّن من عقد القلب و الاعتقاد بأنّه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یتمکّن من إبراز العمل علی وجه یعتقد الآخرون أنّه یتدیّن به، و یرید بذلک العمل إفادة أنّه متدیّن به، و هذا هو المحرّم من التشریع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وجه إمکان تحریم الإفتاء فی مورد الحجّة المشکوک فیها، لأنّه من التشریع بهذا المعنی، و هو من التقوّل بغیر علم، المستدلّ علیه بالکتاب، و السنّة، و العقل، و الإجماع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الإسناد إلیه تعالی، أو إلی أحد المعصومین علیهم السلام فی غیر الأمور</w:t>
      </w:r>
      <w:bookmarkStart w:id="451" w:name="pg13170_166415"/>
    </w:p>
    <w:p>
      <w:pPr>
        <w:pStyle w:val="BookText"/>
        <w:rPr/>
      </w:pPr>
      <w:bookmarkEnd w:id="451"/>
      <w:r>
        <w:rPr>
          <w:rFonts w:ascii="IRNazanin" w:hAnsi="IRNazanin" w:eastAsia="IRNazanin"/>
          <w:color w:val="111111"/>
          <w:sz w:val="28"/>
          <w:sz w:val="28"/>
          <w:szCs w:val="28"/>
          <w:rtl w:val="true"/>
          <w:lang w:bidi="fa-IR"/>
        </w:rPr>
        <w:t xml:space="preserve">التشریعیّة و الأخبار، فتحریمهما مشکل جدّاً، و تفصیله فی کتاب الصوم </w:t>
      </w:r>
      <w:r>
        <w:rPr>
          <w:rStyle w:val="FootnoteAnchor"/>
          <w:rtl w:val="true"/>
        </w:rPr>
        <w:footnoteReference w:id="564"/>
      </w:r>
      <w:r>
        <w:rPr>
          <w:rFonts w:ascii="IRNazanin" w:hAnsi="IRNazanin" w:eastAsia="IRNazanin"/>
          <w:color w:val="111111"/>
          <w:sz w:val="28"/>
          <w:sz w:val="28"/>
          <w:szCs w:val="28"/>
          <w:rtl w:val="true"/>
          <w:lang w:bidi="fa-IR"/>
        </w:rPr>
        <w:t>، و فی المکاسب المحرّمة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 و الکذب مطابقة الکلام للواقع و عدمها، و فی صورة الشکّ تجری البراءة، کسائر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بغیر علم و لو کان حراما،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التشریع و الابتداع، دون الأمور العادیّة،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إیهام العموم </w:t>
      </w:r>
      <w:r>
        <w:rPr>
          <w:rStyle w:val="FootnoteAnchor"/>
          <w:rtl w:val="true"/>
        </w:rPr>
        <w:footnoteReference w:id="566"/>
      </w:r>
      <w:r>
        <w:rPr>
          <w:rFonts w:ascii="Amiri" w:hAnsi="Amiri" w:eastAsia="Amiri" w:cs="Amiri"/>
          <w:color w:val="111111"/>
          <w:sz w:val="28"/>
          <w:sz w:val="28"/>
          <w:szCs w:val="28"/>
          <w:rtl w:val="true"/>
          <w:lang w:bidi="ar-SA"/>
        </w:rPr>
        <w:t>، غیر تامّ،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و الإخبار، یلازم الإفتاء فیما هو المهمّ بالبحث فی المقام، فلو حرم الإفتاء لأجل أنّه من القول بغیر العلم، یحرم العنوانان الآخران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لعدم تمامیّة ما عندهم التفکیک بین الآثار فی غیر ما هو المهمّ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فی المسائل الشرعیّة، یتصوّر الإخبار و الإسناد من غیر أن یکونا إفتاء، فإنّ العامی ربّما یسند إلی اللَّه تعالی، و لا یعدّ ذلک إفتاء، و یخبر عن حرمة شرب التبغ بمجرّد السماع من العامی الآخر، من غیر کونه أیضا إفتاء، فالإفتاء إمّا إنشاء، أو إخبار خاصّ، کما لا یخفی</w:t>
      </w:r>
      <w:r>
        <w:rPr>
          <w:rFonts w:eastAsia="IRNazanin" w:cs="IRNazanin"/>
          <w:color w:val="111111"/>
          <w:sz w:val="28"/>
          <w:szCs w:val="28"/>
          <w:rtl w:val="true"/>
          <w:lang w:bidi="fa-IR"/>
        </w:rPr>
        <w:t>.</w:t>
      </w:r>
    </w:p>
    <w:p>
      <w:pPr>
        <w:pStyle w:val="Heading6"/>
        <w:numPr>
          <w:ilvl w:val="5"/>
          <w:numId w:val="1"/>
        </w:numPr>
        <w:rPr/>
      </w:pPr>
      <w:bookmarkStart w:id="452" w:name="__RefHeading___Toc624579_3244359995"/>
      <w:bookmarkStart w:id="453" w:name="_Toc169"/>
      <w:bookmarkEnd w:id="452"/>
      <w:r>
        <w:rPr>
          <w:rtl w:val="true"/>
        </w:rPr>
        <w:t>إیقاظ</w:t>
      </w:r>
      <w:r>
        <w:rPr>
          <w:rtl w:val="true"/>
        </w:rPr>
        <w:t xml:space="preserve">: </w:t>
      </w:r>
      <w:r>
        <w:rPr>
          <w:rtl w:val="true"/>
        </w:rPr>
        <w:t>فی تقسیم جواز الإسناد إلی واقعی و ظاهری</w:t>
      </w:r>
      <w:bookmarkEnd w:id="453"/>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الإخبار و الإسناد الّذی هو من آثار الحجّیّة، هو الجواز الواقعیّ، و الجواز الثابت لهما فی موارد الشکّ فی وجود الحجّة، هو الجواز الظاهریّ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جواز الإخبار و الإسناد، یمکن منعه فی موارد الشکّ فی الصدق</w:t>
      </w:r>
      <w:bookmarkStart w:id="454" w:name="pg13170_166416"/>
    </w:p>
    <w:p>
      <w:pPr>
        <w:pStyle w:val="BookText"/>
        <w:rPr/>
      </w:pPr>
      <w:bookmarkEnd w:id="454"/>
      <w:r>
        <w:rPr>
          <w:rFonts w:ascii="IRNazanin" w:hAnsi="IRNazanin" w:eastAsia="IRNazanin"/>
          <w:color w:val="111111"/>
          <w:sz w:val="28"/>
          <w:sz w:val="28"/>
          <w:szCs w:val="28"/>
          <w:rtl w:val="true"/>
          <w:lang w:bidi="fa-IR"/>
        </w:rPr>
        <w:t>و الکذب،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غیر تامّ، و تحریره خروج عمّا هو أساس البحث فی المقام، و من شاء فلیراجع ما حرّرناه فی محالّه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الشکّ فی الحجّیة، لا تنتفی جمیع آثار الحجّیة، علی إشکال فیه کما أشیر إلیه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توهّم الملازمة الثبوتیّة بین الحجّیة و تلک الآثار، کما یظهر من العلاّمة النائینی قدس سره </w:t>
      </w:r>
      <w:r>
        <w:rPr>
          <w:rStyle w:val="FootnoteAnchor"/>
          <w:rtl w:val="true"/>
        </w:rPr>
        <w:footnoteReference w:id="569"/>
      </w:r>
      <w:r>
        <w:rPr>
          <w:rFonts w:ascii="IRNazanin" w:hAnsi="IRNazanin" w:eastAsia="IRNazanin"/>
          <w:color w:val="111111"/>
          <w:sz w:val="28"/>
          <w:sz w:val="28"/>
          <w:szCs w:val="28"/>
          <w:rtl w:val="true"/>
          <w:lang w:bidi="fa-IR"/>
        </w:rPr>
        <w:t>غیر تامّ، کما أنّ توهّم انتفاء الآثار عند انتفاء الحجّیة، أیضا غیر تامّ، إلاّ علی الوجه الأخیر</w:t>
      </w:r>
      <w:r>
        <w:rPr>
          <w:rFonts w:eastAsia="IRNazanin" w:cs="IRNazanin"/>
          <w:color w:val="111111"/>
          <w:sz w:val="28"/>
          <w:szCs w:val="28"/>
          <w:rtl w:val="true"/>
          <w:lang w:bidi="fa-IR"/>
        </w:rPr>
        <w:t>.</w:t>
      </w:r>
    </w:p>
    <w:p>
      <w:pPr>
        <w:pStyle w:val="Heading6"/>
        <w:numPr>
          <w:ilvl w:val="5"/>
          <w:numId w:val="1"/>
        </w:numPr>
        <w:rPr/>
      </w:pPr>
      <w:bookmarkStart w:id="455" w:name="__RefHeading___Toc624581_3244359995"/>
      <w:bookmarkStart w:id="456" w:name="_Toc170"/>
      <w:bookmarkEnd w:id="455"/>
      <w:r>
        <w:rPr>
          <w:rtl w:val="true"/>
        </w:rPr>
        <w:t>تتمیم</w:t>
      </w:r>
      <w:r>
        <w:rPr>
          <w:rtl w:val="true"/>
        </w:rPr>
        <w:t xml:space="preserve">: </w:t>
      </w:r>
      <w:r>
        <w:rPr>
          <w:rtl w:val="true"/>
        </w:rPr>
        <w:t>فی دعوی اختصاص جواز الإسناد بالأمارات</w:t>
      </w:r>
      <w:bookmarkEnd w:id="456"/>
    </w:p>
    <w:p>
      <w:pPr>
        <w:pStyle w:val="BookText"/>
        <w:rPr/>
      </w:pPr>
      <w:r>
        <w:rPr>
          <w:rFonts w:ascii="IRNazanin" w:hAnsi="IRNazanin" w:eastAsia="IRNazanin"/>
          <w:color w:val="111111"/>
          <w:sz w:val="28"/>
          <w:sz w:val="28"/>
          <w:szCs w:val="28"/>
          <w:rtl w:val="true"/>
          <w:lang w:bidi="fa-IR"/>
        </w:rPr>
        <w:t xml:space="preserve">قد عرفت وجه المناقشة فی حرمة الإخبار و الإسناد غیر الراجع إلی الإفتاء بغیر علم </w:t>
      </w:r>
      <w:r>
        <w:rPr>
          <w:rStyle w:val="FootnoteAnchor"/>
          <w:rtl w:val="true"/>
        </w:rPr>
        <w:footnoteReference w:id="570"/>
      </w:r>
      <w:r>
        <w:rPr>
          <w:rFonts w:ascii="IRNazanin" w:hAnsi="IRNazanin" w:eastAsia="IRNazanin"/>
          <w:color w:val="111111"/>
          <w:sz w:val="28"/>
          <w:sz w:val="28"/>
          <w:szCs w:val="28"/>
          <w:rtl w:val="true"/>
          <w:lang w:bidi="fa-IR"/>
        </w:rPr>
        <w:t>، و أیضا تبیّن وجه المناقشة فی جواز الإفتاء و الإخبار و الإسناد فی صورة ثبوت الحجّیة مع جوابها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الإخبار و الإسناد من آثار الحجّیة فی باب الطرق، لا لمطلق الحجّة، لأن کون الحجّة معذّرة بالنسبة إلی مورد التخلّف عن الواقع، یلازم کونها معذّرة بالنسبة إلی الإخبار و الإسناد اللّذین یکونان خطأ أیضا، فإذا ثبتت حجّیة خبر الثقة و الظاهر، فکما یجوز الإفتاء علی طبقه، و التدیّن به، و یکون عذرا عند الخطأ، کذلک یجوز الإخبار و الإسناد، و یعدّ عذرا فی صورة الخطأ، من غیر حاجة إلی التمسّک بالبناءات العقلائیّة، أو الإدراکات العرفیّة</w:t>
      </w:r>
      <w:bookmarkStart w:id="457" w:name="pg13170_166417"/>
    </w:p>
    <w:p>
      <w:pPr>
        <w:pStyle w:val="BookText"/>
        <w:rPr/>
      </w:pPr>
      <w:bookmarkEnd w:id="457"/>
      <w:r>
        <w:rPr>
          <w:rFonts w:ascii="IRNazanin" w:hAnsi="IRNazanin" w:eastAsia="IRNazanin"/>
          <w:color w:val="111111"/>
          <w:sz w:val="28"/>
          <w:sz w:val="28"/>
          <w:szCs w:val="28"/>
          <w:rtl w:val="true"/>
          <w:lang w:bidi="fa-IR"/>
        </w:rPr>
        <w:t>المستندة إلی الکشف النوعیّ عن مرادات المولی، و لا إلی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الأمارات حاکمة علی أدلّة التقوّل بغیر علم، بإحدی الوجوه المحرّرة للحکومة التی أشرنا إلیها، من کونها علما تعبّدا، أو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فتکون 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معذّریتها، کونها قائمة علی جواز الإخبار و الإسناد علی نحو دلالة المطابقة، بل یکفی معذّریتها فی مدلولها المطابقی لمعذّریتها عن هذه الآثار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الآثار لها، فی غیر محلّه، ضرورة أنّ الإخبار الکاذب حرام، و إسناد الشی‌ء إلی المقدّسین محرّم، فلو کانت الأمارة قائمة علی أنّ إسماعیل علیه السلام ولد سنة کذا، یجوز الإخبار و الإسناد و لو لم یکن فی دلالتها المطابقیّة أثر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دلیل علی حجّیتها بالنسبة إلی هذه الآثار الطارئة، و یکفی انصراف أدلّة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مثلها و لا، یعدّ مثل ذلک من الآثار العقلائیّة،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الانصراف عن مثلها فی المثال، لا تقتضی صحّة الشکّ فی حجّیتها، بالنسبة إلی الإخبار و الإسناد فی خصوص الأمارة القائمة علی الأحکام المترتّبة علیها الآثار العملیّة، فلیتدبّر جیّدا</w:t>
      </w:r>
      <w:r>
        <w:rPr>
          <w:rFonts w:eastAsia="IRNazanin" w:cs="IRNazanin"/>
          <w:color w:val="111111"/>
          <w:sz w:val="28"/>
          <w:szCs w:val="28"/>
          <w:rtl w:val="true"/>
          <w:lang w:bidi="fa-IR"/>
        </w:rPr>
        <w:t>.</w:t>
      </w:r>
    </w:p>
    <w:p>
      <w:pPr>
        <w:pStyle w:val="Heading6"/>
        <w:numPr>
          <w:ilvl w:val="5"/>
          <w:numId w:val="1"/>
        </w:numPr>
        <w:rPr/>
      </w:pPr>
      <w:bookmarkStart w:id="458" w:name="__RefHeading___Toc624583_3244359995"/>
      <w:bookmarkStart w:id="459" w:name="_Toc171"/>
      <w:bookmarkEnd w:id="458"/>
      <w:r>
        <w:rPr>
          <w:rtl w:val="true"/>
        </w:rPr>
        <w:t>تذنیب</w:t>
      </w:r>
      <w:bookmarkEnd w:id="45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کلّ ما یکون حجّة، موضوعا لترتیب جمیع الآثار الثابتة لأمثال الأمارات و الأصول المحرزة، کما لیس کلّ ما لا یکون حجّة قطعا، أو یکون مشکوک الحجّیة، موضوعا لعدم ترتّب الآثار بانتفاء جمیع الأحکام عنه حسب الصناعة، و إن یشکل الحکم بذلک، کما یظهر من مطاوی ما ذکرناه</w:t>
      </w:r>
      <w:r>
        <w:rPr>
          <w:rFonts w:eastAsia="IRNazanin" w:cs="IRNazanin"/>
          <w:color w:val="111111"/>
          <w:sz w:val="28"/>
          <w:szCs w:val="28"/>
          <w:rtl w:val="true"/>
          <w:lang w:bidi="fa-IR"/>
        </w:rPr>
        <w:t>.</w:t>
      </w:r>
      <w:bookmarkStart w:id="460" w:name="pg13170_166418"/>
    </w:p>
    <w:p>
      <w:pPr>
        <w:pStyle w:val="Heading5"/>
        <w:numPr>
          <w:ilvl w:val="4"/>
          <w:numId w:val="1"/>
        </w:numPr>
        <w:rPr/>
      </w:pPr>
      <w:bookmarkStart w:id="461" w:name="__RefHeading___Toc624585_3244359995"/>
      <w:bookmarkStart w:id="462" w:name="_Toc172"/>
      <w:bookmarkEnd w:id="460"/>
      <w:bookmarkEnd w:id="461"/>
      <w:r>
        <w:rPr>
          <w:rtl w:val="true"/>
        </w:rPr>
        <w:t>المقام الثالث</w:t>
      </w:r>
      <w:r>
        <w:rPr>
          <w:rtl w:val="true"/>
        </w:rPr>
        <w:t xml:space="preserve">: </w:t>
      </w:r>
      <w:r>
        <w:rPr>
          <w:rtl w:val="true"/>
        </w:rPr>
        <w:t>فی تقاریب تحریر الأصل</w:t>
      </w:r>
      <w:bookmarkEnd w:id="462"/>
    </w:p>
    <w:p>
      <w:pPr>
        <w:pStyle w:val="Heading6"/>
        <w:numPr>
          <w:ilvl w:val="5"/>
          <w:numId w:val="1"/>
        </w:numPr>
        <w:rPr/>
      </w:pPr>
      <w:bookmarkStart w:id="463" w:name="__RefHeading___Toc624587_3244359995"/>
      <w:bookmarkStart w:id="464" w:name="_Toc173"/>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و قد عرفت تصویر الشکّ فی الحجّیة من غیر کونه مساوقا لعدم الحجّیة</w:t>
      </w:r>
      <w:r>
        <w:rPr>
          <w:rStyle w:val="FootnoteAnchor"/>
          <w:rtl w:val="true"/>
        </w:rPr>
        <w:footnoteReference w:id="572"/>
      </w:r>
      <w:r>
        <w:rPr>
          <w:rFonts w:ascii="IRNazanin" w:hAnsi="IRNazanin" w:eastAsia="IRNazanin"/>
          <w:color w:val="111111"/>
          <w:sz w:val="28"/>
          <w:sz w:val="28"/>
          <w:szCs w:val="28"/>
          <w:rtl w:val="true"/>
          <w:lang w:bidi="fa-IR"/>
        </w:rPr>
        <w:t>، فإنّ ما هو الحجّة شرعا بحسب الواقع، مشکوک الحجّیة قبل الفحص، و لا یکون هذا الشکّ مساوقا للقطع بعدمها، و یکون الواقع حجّة إذا اقتحم فی خلافه، لا الشکّ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فإلیک تحریر الأصل بتقاریب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إجماله أنّ لحرمة العمل و التعبّد، یکفی نفس الشکّ فی الحجّیة، فلا مورد لاستصحاب عدم الحجّیة، لما لا یترتّب علی الإحراز الاستصحابیّ أثر عملیّ، و قد تحرّر اشتراط الأثر فی التعبّد به </w:t>
      </w:r>
      <w:r>
        <w:rPr>
          <w:rStyle w:val="FootnoteAnchor"/>
          <w:rtl w:val="true"/>
        </w:rPr>
        <w:footnoteReference w:id="573"/>
      </w:r>
      <w:r>
        <w:rPr>
          <w:rFonts w:ascii="Amiri" w:hAnsi="Amiri" w:eastAsia="Amiri" w:cs="Amiri"/>
          <w:color w:val="111111"/>
          <w:sz w:val="28"/>
          <w:sz w:val="28"/>
          <w:szCs w:val="28"/>
          <w:rtl w:val="true"/>
          <w:lang w:bidi="ar-SA"/>
        </w:rPr>
        <w:t>، انتهی ملخّص مرامه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الآثار الثابتة للحجّیة، منتفیة عن مشکوک الحجّیة من غیر لزوم إحراز عدم حجّیته واقعا، لأنّ الواقع لا أثر له یخصّه، فمشکوک الحجّیة مشتبه المصداق، و آثار الحجّیة لا تترتّب علی المصداق المشتبه، فإذا کان جواز التعبّد و التدیّن من آثار الحجّة، فما دام لم تثبت حجّیة شی‌ء لا یثبت الجواز، فیکون ممنوعا ترتّب تلک الآثار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حرمة التعبّد بالمشکوک، فللأدلّة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و السنّة، و الإجماع، و العقل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البحث الأصولیّ و یناسب المقام، إثبات انتفاء آثار الحجّة عن</w:t>
      </w:r>
    </w:p>
    <w:p>
      <w:pPr>
        <w:pStyle w:val="BookText"/>
        <w:rPr/>
      </w:pPr>
      <w:r>
        <w:rPr>
          <w:rFonts w:ascii="IRNazanin" w:hAnsi="IRNazanin" w:eastAsia="IRNazanin"/>
          <w:color w:val="111111"/>
          <w:sz w:val="28"/>
          <w:sz w:val="28"/>
          <w:szCs w:val="28"/>
          <w:rtl w:val="true"/>
          <w:lang w:bidi="fa-IR"/>
        </w:rPr>
        <w:t>مشکوک الحجّیة من غیر الحاجة إلی الإحراز الواقعیّ، و أمّا حرمة التعبّد بمشکوک الحجّیة، فهی مسألة أخری فی محلّ آخر لا تلیق بالمقام، و ما استدلّ به من الأدلّة الأربعة</w:t>
      </w:r>
      <w:r>
        <w:rPr>
          <w:rStyle w:val="FootnoteAnchor"/>
          <w:rtl w:val="true"/>
        </w:rPr>
        <w:footnoteReference w:id="574"/>
      </w:r>
      <w:r>
        <w:rPr>
          <w:rFonts w:ascii="IRNazanin" w:hAnsi="IRNazanin" w:eastAsia="IRNazanin"/>
          <w:color w:val="111111"/>
          <w:sz w:val="28"/>
          <w:sz w:val="28"/>
          <w:szCs w:val="28"/>
          <w:rtl w:val="true"/>
          <w:lang w:bidi="fa-IR"/>
        </w:rPr>
        <w:t xml:space="preserve">ممنوع، و قد مرّ شطر من الکلام حوله فی المقام السابق </w:t>
      </w:r>
      <w:r>
        <w:rPr>
          <w:rStyle w:val="FootnoteAnchor"/>
          <w:rtl w:val="true"/>
        </w:rPr>
        <w:footnoteReference w:id="575"/>
      </w:r>
      <w:r>
        <w:rPr>
          <w:rFonts w:ascii="IRNazanin" w:hAnsi="IRNazanin" w:eastAsia="IRNazanin"/>
          <w:color w:val="111111"/>
          <w:sz w:val="28"/>
          <w:sz w:val="28"/>
          <w:szCs w:val="28"/>
          <w:rtl w:val="true"/>
          <w:lang w:bidi="fa-IR"/>
        </w:rPr>
        <w:t>، و تفصیله فی مباحث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یتوجّه إلیه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بأنّ کفایة الشکّ لانتفاء الآثار، أو لترتّب الحرمة، کما یقتضی عدم جواز التمسّک بالاستصحاب، إذ لا أثر لإحراز الواقع به، کذلک یقتضی عدم جواز التعبّد بالأمارة القائمة علی عدم حجّیة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قیام الأمارة رافع الموضوع، و هو الشکّ فی الحجّیة، بخلاف الاستصحاب</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غیر تامّ، لما تحرّر أنّ رافعیّتها للموضوع، فرع ثبوت أنّ الشرع تمّم جهة الکشف، و ألغی احتمال الخلاف، و ادعی أنّ الطرق و الأمارات علم، و قد تحرّر مرارا فساد هذه المقالات طرّا، و لا یکون فی الآثار الواصلة منه أثر أصلا، فالشکّ فی الحجّیة موجود، و لیس ملغی فی نظر الشارع، فالتعبّد بالأمارة أیضا لغو، لما لا أثر فیه، کما لا یخفی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نظره قدّس سرّه إلی أنّ الشکّ الّذی هو تمام الموضوع، هو الشکّ بعد الفحص، و إلاّ فلا تصل النوبة إلی الاستصحاب، و لا یکون الشکّ قبل الفحص تمام الموضوع بالضرورة، فعلی هذا إذا فحص عن الأدلّة، و وجدت الأمارة علی عدم حجّیة القیاس مثلا، فلا یکون هذا الشکّ تمام الموضوع، لأنّ من قیوده</w:t>
      </w:r>
    </w:p>
    <w:p>
      <w:pPr>
        <w:pStyle w:val="BookText"/>
        <w:rPr/>
      </w:pPr>
      <w:r>
        <w:rPr>
          <w:rFonts w:ascii="IRNazanin" w:hAnsi="IRNazanin" w:eastAsia="IRNazanin"/>
          <w:color w:val="111111"/>
          <w:sz w:val="28"/>
          <w:sz w:val="28"/>
          <w:szCs w:val="28"/>
          <w:rtl w:val="true"/>
          <w:lang w:bidi="fa-IR"/>
        </w:rPr>
        <w:t>عدم الوصول إلی الخبر الناهض علی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توجد أمارة یکون الشکّ تمام الموضوع، و لا حاجة إلی الإحراز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أیضا غیر مفید، فافهم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اللغویّة الواجبة الاجتناب هی لغویّة ذات الدلیل، و تمام مضمون الحجّة و الروایة، دون اللغویّة الحاصلة من الإطلاق، کما تحرّر تفصیله مرارا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حکومة استصحاب عدم الإتیان بالجزء المشکوک فیه علی قاعدة التجاوز، فلا بدّ للفرار من اللغویّة من الالتزام بتقدّمها علیه استثناء، و أمّا حکومة الاستصحاب السببیّ علی المسبّبی، فأمر مفروغ منها فی کلامهم، مع أنّ الاستصحاب المسبّبی لا أثر له إلاّ المحکومیّة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القاعدة التی ضربت لحال الشکّ فی الحجّیة، تکون محکومة باستصحاب عدم الحجّیة، بناء علی جریانه فی ذاته، و لا یتوقّع الأثر لهذا الاستصحاب بعد ثبوت الإطلاق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عندنا جمیع الأصول الحکمیّة وضعیّة کانت أو 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جاریة، و تفصیله فی الاستصحاب </w:t>
      </w:r>
      <w:r>
        <w:rPr>
          <w:rStyle w:val="FootnoteAnchor"/>
          <w:rtl w:val="true"/>
        </w:rPr>
        <w:footnoteReference w:id="579"/>
      </w:r>
      <w:r>
        <w:rPr>
          <w:rFonts w:ascii="IRNazanin" w:hAnsi="IRNazanin" w:eastAsia="IRNazanin"/>
          <w:color w:val="111111"/>
          <w:sz w:val="28"/>
          <w:sz w:val="28"/>
          <w:szCs w:val="28"/>
          <w:rtl w:val="true"/>
          <w:lang w:bidi="fa-IR"/>
        </w:rPr>
        <w:t>، و عندئذ تصل النوبة إلی القاعدة المضروبة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جاریة هنا مطلقا، للزوم لغویّة القاعدة، فهو فی غیر</w:t>
      </w:r>
    </w:p>
    <w:p>
      <w:pPr>
        <w:pStyle w:val="BookText"/>
        <w:rPr/>
      </w:pPr>
      <w:r>
        <w:rPr>
          <w:rFonts w:ascii="IRNazanin" w:hAnsi="IRNazanin" w:eastAsia="IRNazanin"/>
          <w:color w:val="111111"/>
          <w:sz w:val="28"/>
          <w:sz w:val="28"/>
          <w:szCs w:val="28"/>
          <w:rtl w:val="true"/>
          <w:lang w:bidi="fa-IR"/>
        </w:rPr>
        <w:t>محلّه، لأنّها قاعدة اختلاقیّة، لا شرعیّة،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جریان الاستصحاب المزبور ذاتا، یکون مقتضی کون الشبهات الحکمیّة الکلّیة قدرا متیقّنا من حدیث الرفع </w:t>
      </w:r>
      <w:r>
        <w:rPr>
          <w:rStyle w:val="FootnoteAnchor"/>
          <w:rtl w:val="true"/>
        </w:rPr>
        <w:footnoteReference w:id="580"/>
      </w:r>
      <w:r>
        <w:rPr>
          <w:rFonts w:ascii="IRNazanin" w:hAnsi="IRNazanin" w:eastAsia="IRNazanin"/>
          <w:color w:val="111111"/>
          <w:sz w:val="28"/>
          <w:sz w:val="28"/>
          <w:szCs w:val="28"/>
          <w:rtl w:val="true"/>
          <w:lang w:bidi="fa-IR"/>
        </w:rPr>
        <w:t>، کون المرجع فی صورة الشکّ فی الوجوب و الحجّیة، البراءة الشرعیّة، و لو کان استصحاب عدم الوجوب و الحرمة و سائر الوضعیّات المشکوک فیها، مجری الاستصحاب، تلزم لغویّة حدیث الرفع بوجه یجب الفرار منها،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جریان حدیث الرفع فی المقام، لما لا امتنان فی رفعها، غیر صحیح، لأنّه مضافا إلی أنّ الامتنان لیس علّة، أنّ الحجّیة ربّما تکون منجّزة، فرفعها فیه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ما تحرّر منّا، تبیّن وجه فساد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بأنّ الحجّیة و اللاحجیّة أثر</w:t>
      </w:r>
      <w:r>
        <w:rPr>
          <w:rStyle w:val="FootnoteAnchor"/>
          <w:rtl w:val="true"/>
        </w:rPr>
        <w:footnoteReference w:id="581"/>
      </w:r>
      <w:r>
        <w:rPr>
          <w:rFonts w:ascii="Amiri" w:hAnsi="Amiri" w:eastAsia="Amiri" w:cs="Amiri"/>
          <w:color w:val="111111"/>
          <w:sz w:val="28"/>
          <w:sz w:val="28"/>
          <w:szCs w:val="28"/>
          <w:rtl w:val="true"/>
          <w:lang w:bidi="ar-SA"/>
        </w:rPr>
        <w:t xml:space="preserve">، و ما فی تقریرات العلاّمة النائینیّ رحمه اللَّه </w:t>
      </w:r>
      <w:r>
        <w:rPr>
          <w:rStyle w:val="FootnoteAnchor"/>
          <w:rtl w:val="true"/>
        </w:rPr>
        <w:footnoteReference w:id="582"/>
      </w:r>
      <w:r>
        <w:rPr>
          <w:rFonts w:ascii="IRNazanin" w:hAnsi="IRNazanin" w:eastAsia="IRNazanin"/>
          <w:color w:val="111111"/>
          <w:sz w:val="28"/>
          <w:sz w:val="28"/>
          <w:szCs w:val="28"/>
          <w:rtl w:val="true"/>
          <w:lang w:bidi="fa-IR"/>
        </w:rPr>
        <w:t>من إطالة الکلام حول هذه المسألة، مریدا به إثبات عدم جریان الاستصحاب، مع ما فیه من المناقضات غیر اللازم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وجه عدم جریان الاستصحاب فی المقام فی ذیل التقریب الآتی إن شاء اللَّه تعالی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لغویّة فی البین، فإنّ مشکوک الحجّیة لا یستند عدم حجّیته إلی الشرع، بخلاف ما إذا أحرز بالاستصحاب عدم حجّیته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التعبّد و التدیّن تترتّب علی مشکوک الحجّیة، للأدلّة، و أمّا جواز إسناد لا حجّیته إلی الشرع، فممنوع إلاّ فی صورة قیام الأمارة أو الاستصحاب</w:t>
      </w:r>
      <w:r>
        <w:rPr>
          <w:rFonts w:eastAsia="IRNazanin" w:cs="IRNazanin"/>
          <w:color w:val="111111"/>
          <w:sz w:val="28"/>
          <w:szCs w:val="28"/>
          <w:rtl w:val="true"/>
          <w:lang w:bidi="fa-IR"/>
        </w:rPr>
        <w:t>.</w:t>
      </w:r>
      <w:bookmarkStart w:id="465" w:name="pg13170_166422"/>
    </w:p>
    <w:p>
      <w:pPr>
        <w:pStyle w:val="BookText"/>
        <w:rPr/>
      </w:pPr>
      <w:bookmarkEnd w:id="465"/>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حجّیة القیاس، یصحّ أن یسند لا حجّیته إلی الشرع، بخلاف الاستحسان، فإنّه و إن یحرم التعبّد بمؤدّی الاستحسان، و یحرم الإفتاء علی طبقه، و لکن لا یصحّ إسناد لا حجّیته إلی الشرع إلاّ باقتضاء من الدلیل الشرعیّ، فلو جری استصحاب عدم کون الاستحسان حجّة یصحّ، و إلاّ فلا</w:t>
      </w:r>
      <w:r>
        <w:rPr>
          <w:rFonts w:eastAsia="IRNazanin" w:cs="IRNazanin"/>
          <w:color w:val="111111"/>
          <w:sz w:val="28"/>
          <w:szCs w:val="28"/>
          <w:rtl w:val="true"/>
          <w:lang w:bidi="fa-IR"/>
        </w:rPr>
        <w:t>.</w:t>
      </w:r>
    </w:p>
    <w:p>
      <w:pPr>
        <w:pStyle w:val="Heading6"/>
        <w:numPr>
          <w:ilvl w:val="5"/>
          <w:numId w:val="1"/>
        </w:numPr>
        <w:rPr/>
      </w:pPr>
      <w:bookmarkStart w:id="466" w:name="__RefHeading___Toc624589_3244359995"/>
      <w:bookmarkStart w:id="467" w:name="_Toc174"/>
      <w:bookmarkEnd w:id="466"/>
      <w:r>
        <w:rPr>
          <w:rtl w:val="true"/>
        </w:rPr>
        <w:t>فذلکة الکلام</w:t>
      </w:r>
      <w:bookmarkEnd w:id="467"/>
    </w:p>
    <w:p>
      <w:pPr>
        <w:pStyle w:val="BookText"/>
        <w:rPr/>
      </w:pPr>
      <w:r>
        <w:rPr>
          <w:rFonts w:ascii="IRNazanin" w:hAnsi="IRNazanin" w:eastAsia="IRNazanin"/>
          <w:color w:val="111111"/>
          <w:sz w:val="28"/>
          <w:sz w:val="28"/>
          <w:szCs w:val="28"/>
          <w:rtl w:val="true"/>
          <w:lang w:bidi="fa-IR"/>
        </w:rPr>
        <w:t>إنّ تحریر الأصل بالتمسّک بالقاعدة المضروبة لحال الشکّ، غیر تامّ إلاّ علی القول بعدم جریان استصحاب عدم الحجّیة، و تحریره بالاستصحاب المزبور غیر تامّ، لما تحرّر منّا من عدم جریان أمثال هذه الاستصحابات الأزلیّة فی الشبهات الحکمیّة ذاتا، لما لا حالة سابقة لعدم الوجوب و عدم الحجّیة</w:t>
      </w:r>
      <w:r>
        <w:rPr>
          <w:rStyle w:val="FootnoteAnchor"/>
          <w:rtl w:val="true"/>
        </w:rPr>
        <w:footnoteReference w:id="584"/>
      </w:r>
      <w:r>
        <w:rPr>
          <w:rFonts w:ascii="IRNazanin" w:hAnsi="IRNazanin" w:eastAsia="IRNazanin"/>
          <w:color w:val="111111"/>
          <w:sz w:val="28"/>
          <w:sz w:val="28"/>
          <w:szCs w:val="28"/>
          <w:rtl w:val="true"/>
          <w:lang w:bidi="fa-IR"/>
        </w:rPr>
        <w:t xml:space="preserve">، ضرورة أنّ الإرادة التشریعیّة الإلهیّة أزلیّة، إمّا متعلّقة بالحجّیة، أو لا تتعلّق بها بعد ذلک فیما لا یزال، لامتناع حدوث إرادته التکوینیّة و التشریعیّة، علی ما تحرّر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المضروبة لحال الشکّ، إن رجعت إلی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انتفاء آثار الحجّیة عن المشکوکة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أقلّ إشکالا 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حرمة التعبّد و التدیّن و الإخبار و الإسناد</w:t>
      </w:r>
      <w:r>
        <w:rPr>
          <w:rStyle w:val="FootnoteAnchor"/>
          <w:rtl w:val="true"/>
        </w:rPr>
        <w:footnoteReference w:id="586"/>
      </w:r>
      <w:r>
        <w:rPr>
          <w:rFonts w:ascii="IRNazanin" w:hAnsi="IRNazanin" w:eastAsia="IRNazanin"/>
          <w:color w:val="111111"/>
          <w:sz w:val="28"/>
          <w:sz w:val="28"/>
          <w:szCs w:val="28"/>
          <w:rtl w:val="true"/>
          <w:lang w:bidi="fa-IR"/>
        </w:rPr>
        <w:t>، فإنّ ما ثبت بحکم العقل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الکتاب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حرمة التشریع القولیّ أو العملیّ بوجه مضی </w:t>
      </w:r>
      <w:r>
        <w:rPr>
          <w:rStyle w:val="FootnoteAnchor"/>
          <w:rtl w:val="true"/>
        </w:rPr>
        <w:footnoteReference w:id="587"/>
      </w:r>
      <w:r>
        <w:rPr>
          <w:rFonts w:ascii="IRNazanin" w:hAnsi="IRNazanin" w:eastAsia="IRNazanin"/>
          <w:color w:val="111111"/>
          <w:sz w:val="28"/>
          <w:sz w:val="28"/>
          <w:szCs w:val="28"/>
          <w:rtl w:val="true"/>
          <w:lang w:bidi="fa-IR"/>
        </w:rPr>
        <w:t xml:space="preserve">، و أمّا حرمة الإخبار و الإسناد فلا، و قد عرفت تفصیله فی المقام السابق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الشکّ فی الحجّیة، لا یجوز التمسّک بالأخبار المانعة عن</w:t>
      </w:r>
    </w:p>
    <w:p>
      <w:pPr>
        <w:pStyle w:val="BookText"/>
        <w:rPr/>
      </w:pPr>
      <w:r>
        <w:rPr>
          <w:rFonts w:ascii="IRNazanin" w:hAnsi="IRNazanin" w:eastAsia="IRNazanin"/>
          <w:color w:val="111111"/>
          <w:sz w:val="28"/>
          <w:sz w:val="28"/>
          <w:szCs w:val="28"/>
          <w:rtl w:val="true"/>
          <w:lang w:bidi="fa-IR"/>
        </w:rPr>
        <w:t>العمل بغیر العلم، و لا التقوّل بغیر العلم، لأنّه من الشبهة الموضوعیّة لنفس تلک الأدلّة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أدلّة حجّیة الأمارات و الأصول، حاکمة علی تلک الأدلّة، کما هو خیرة الأکثر فی خصوص الأمارات، و فی مثل الاستصحاب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الشبهة المصداقیّة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مخصّصة لها</w:t>
      </w:r>
      <w:r>
        <w:rPr>
          <w:rStyle w:val="FootnoteAnchor"/>
          <w:rtl w:val="true"/>
        </w:rPr>
        <w:footnoteReference w:id="590"/>
      </w:r>
      <w:r>
        <w:rPr>
          <w:rFonts w:ascii="IRNazanin" w:hAnsi="IRNazanin" w:eastAsia="IRNazanin"/>
          <w:color w:val="111111"/>
          <w:sz w:val="28"/>
          <w:sz w:val="28"/>
          <w:szCs w:val="28"/>
          <w:rtl w:val="true"/>
          <w:lang w:bidi="fa-IR"/>
        </w:rPr>
        <w:t>، ضرورة أنّ العمل بتلک الحجج و التقوّل علی طبقها، جائز کما مرّ</w:t>
      </w:r>
      <w:r>
        <w:rPr>
          <w:rStyle w:val="FootnoteAnchor"/>
          <w:rtl w:val="true"/>
        </w:rPr>
        <w:footnoteReference w:id="591"/>
      </w:r>
      <w:r>
        <w:rPr>
          <w:rFonts w:ascii="IRNazanin" w:hAnsi="IRNazanin" w:eastAsia="IRNazanin"/>
          <w:color w:val="111111"/>
          <w:sz w:val="28"/>
          <w:sz w:val="28"/>
          <w:szCs w:val="28"/>
          <w:rtl w:val="true"/>
          <w:lang w:bidi="fa-IR"/>
        </w:rPr>
        <w:t>، فتکون مخصّصة لأدلّة المنع، و إذا شکّ فی حجّیة شی‌ء، یکون من الشبهة المصداقیّة لتلک الإطلاقات، و من الشبهة الموضوعیّة لدلیل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قبیل الأوّل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بورود أدلّة الحجّیة علی تلک الأدلّة،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لتحریم العمل و القول تلک الأدلّة المانعة،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تحریم العمل و التعبّد بمجرّد الشکّ </w:t>
      </w:r>
      <w:r>
        <w:rPr>
          <w:rStyle w:val="FootnoteAnchor"/>
          <w:rtl w:val="true"/>
        </w:rPr>
        <w:footnoteReference w:id="592"/>
      </w:r>
      <w:r>
        <w:rPr>
          <w:rFonts w:ascii="IRNazanin" w:hAnsi="IRNazanin" w:eastAsia="IRNazanin"/>
          <w:color w:val="111111"/>
          <w:sz w:val="28"/>
          <w:sz w:val="28"/>
          <w:szCs w:val="28"/>
          <w:rtl w:val="true"/>
          <w:lang w:bidi="fa-IR"/>
        </w:rPr>
        <w:t>، غیر صحیح حسب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بغیر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بغیر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حال الشکّ، و القول حال الشکّ و الجهل بالحجّیة، فإنّ من السنّة 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فتکون تلک الأدلّة المانعة متعرّضة لحال الشکّ و الجهالة، لا لأمر و عنوان یکون له الواقع المتصوّر فیه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و المشکوک فیه، حتّی تندرج المسألة فی معرکة التمسّک بالعامّ فی الشبهة الموضوعیّة، أو المصداقیّة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تمسّکهم فی هذا المقام بالعقل المدرک لقبح التشریع الّذی هو فی حال الجهالة، أو العلم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تلک الأدلّة، حتّی یکون مشکوک الحجّة من الشبهة المصداقیّة، بل الخارج حکومة أو تخصیصا عناوین الطرق و الأمارات و ما شابهها، و إذا شکّ فی حجّیة القیاس، یکون من الشکّ فی التخصیص، و إرجاع العناوین الکثیرة الخارجة إلی العنوان الواحد، فیه مفاسد، و منها ذلک،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منع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الشبهات المصداقیّة، ممّا یکذّبه البرهان و الوجدان، و علیه البناءات العقلائیّة، و لا سیّما فی القوانین الکلیّة العامّة التی ربّما ضربت لأمثال ذلک، و تفصیله فی محلّه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یجری استصحاب عدم الحجّیة کان لتنقیح موضوع تلک الأدلّة به وجه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علی تقدیر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المحرّم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بغیر العلم، و المتعبّد و الإسناد و الاستناد لغیر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بأنّ التمسّک بتلک الأدلّة فی موارد الشکّ لو لم یکن جائزا، للزمت لغویّتها مع کثرتها، غیر واقع فی محلّه، و المهمّ ما عرفت من فساد مبنی هذا الإشکال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لیعذرنی إخوانی علی الخروج عن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الحجّیة إذا کان قبل الفحص، یکون من الشکّ فی وصول ما هو الحجّة واقعا، و یصحّ الاحتجاج به، و لذلک لیس هذا الشکّ مورد البحث</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تمسّکهم بالاستصحاب الّذی لا یجری إلاّ بعد الفحص، لإمکان ورود الدلیل علی حجّیة ما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محلّ لجریانه مع وجود الحجّة</w:t>
      </w:r>
    </w:p>
    <w:p>
      <w:pPr>
        <w:pStyle w:val="BookText"/>
        <w:rPr/>
      </w:pPr>
      <w:r>
        <w:rPr>
          <w:rFonts w:ascii="IRNazanin" w:hAnsi="IRNazanin" w:eastAsia="IRNazanin"/>
          <w:color w:val="111111"/>
          <w:sz w:val="28"/>
          <w:sz w:val="28"/>
          <w:szCs w:val="28"/>
          <w:rtl w:val="true"/>
          <w:lang w:bidi="fa-IR"/>
        </w:rPr>
        <w:t>الموافقة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الشکّ بعد الفحص، فمع الظفر علی ما یدلّ علی حجّیة المشکوک،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عثر علی ما یدلّ علی عدم حجّیته کما مرّ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أشرنا إلی ذلک لدفع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بعدم جریان الاستصحاب بعد القاعدة، یختصّ بذلک، و لا تشترک معه الأمارة القائمة علی عدم الحجّیة، و إلاّ یلزم جریان الاستصحاب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القاعدة هو عدم العثور علی ما یدلّ علی الحجّة و اللاحجّة، و أمّا مع العثور علی أحد طرفی المسألة فلا محطّ لها، لأنّ القاعدة لیست إلاّ إدراک العقل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فحص و لم یطّلع علی ما یدلّ علی الحجّیة و اللاحجّیّة، و لم یظفر علیه،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بحسب الواقع غیر وارد فیه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الخبر صادرا غیر واصل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بحث، و إنّما البحث فی الصورة الثانیة، فإنّ ما هو الحجّة بحسب الخبر غیر الواصل، هل یکون حجّة فعلیّة، أم لا؟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للحجّیة مرحلتان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الثبوت و الإثبات، و مرحلة الفعلیّة و التنجیز، کسائر الأحکام الإلهیّة؟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الحجّة أمرها دائر بین الفعلیّة و اللافعلیّة، فیکون الشکّ فی الحجّیة، مساوقا للقطع بعدم الحجّیة،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یصلح للاحتجاج به، و هو حسب المفروض لا یصلح عند کافّة العقول بالنسبة إلی من لم یعثر علیه، و لا یکون حجّة للمولی علی العبد، و لا العکس، فلا وجه بعد ذلک للشکّ فی الحجّیة حتّی</w:t>
      </w:r>
    </w:p>
    <w:p>
      <w:pPr>
        <w:pStyle w:val="BookText"/>
        <w:rPr/>
      </w:pPr>
      <w:r>
        <w:rPr>
          <w:rFonts w:ascii="IRNazanin" w:hAnsi="IRNazanin" w:eastAsia="IRNazanin"/>
          <w:color w:val="111111"/>
          <w:sz w:val="28"/>
          <w:sz w:val="28"/>
          <w:szCs w:val="28"/>
          <w:rtl w:val="true"/>
          <w:lang w:bidi="fa-IR"/>
        </w:rPr>
        <w:t>یستصحب؟</w:t>
      </w:r>
    </w:p>
    <w:p>
      <w:pPr>
        <w:pStyle w:val="BookText"/>
        <w:rPr/>
      </w:pPr>
      <w:r>
        <w:rPr>
          <w:rFonts w:ascii="IRNazanin" w:hAnsi="IRNazanin" w:eastAsia="IRNazanin"/>
          <w:color w:val="111111"/>
          <w:sz w:val="28"/>
          <w:sz w:val="28"/>
          <w:szCs w:val="28"/>
          <w:rtl w:val="true"/>
          <w:lang w:bidi="fa-IR"/>
        </w:rPr>
        <w:t xml:space="preserve">و هذا ما هو المشار إلیه فی کلامنا السابق </w:t>
      </w:r>
      <w:r>
        <w:rPr>
          <w:rStyle w:val="FootnoteAnchor"/>
          <w:rtl w:val="true"/>
        </w:rPr>
        <w:footnoteReference w:id="597"/>
      </w:r>
      <w:r>
        <w:rPr>
          <w:rFonts w:ascii="IRNazanin" w:hAnsi="IRNazanin" w:eastAsia="IRNazanin"/>
          <w:color w:val="111111"/>
          <w:sz w:val="28"/>
          <w:sz w:val="28"/>
          <w:szCs w:val="28"/>
          <w:rtl w:val="true"/>
          <w:lang w:bidi="fa-IR"/>
        </w:rPr>
        <w:t>و وعدنا به إشکالا علی الاستصحاب، فرکن الاستصحاب منتف جدّاً و إلیه یرجع کلام جملة من المحصّلین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الشکّ فی الحجّیة، عین القطع بعدم الحجّیة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ذکرنا یظهر ضعف ما فی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فی تحریر محطّ البحث، و فی تقریرات العلاّمة النائینیّ قدس سره </w:t>
      </w:r>
      <w:r>
        <w:rPr>
          <w:rStyle w:val="FootnoteAnchor"/>
          <w:rtl w:val="true"/>
        </w:rPr>
        <w:footnoteReference w:id="600"/>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هذا، یجوز إسناد عدم الحجّیة إلی الشرع، لأنّ ما هو المقطوع عدم حجّیته، أی هو مقطوع عند الشرع أنّه لیس بحجّة، قضاء لحقّ القطع و العلم بعدم الحجّیة، فإذا شکّ فی حجّیة إخبار ذی الید یصحّ الإخبار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حجّة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للقطع بعدم الحجّیة و هکذا، فتأمّل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انتفاء آثار الحجّیة عن مشکوک الحجّیة، یقطع بعدم حجّیته، و یترتّب علیه آثار عدم الحجّیة، من حرمة التعبّد، و الإسناد و الاستناد، و لا تصل النوبة إلی ما مرّ فی ذیل التقریبین الماضیین</w:t>
      </w:r>
      <w:r>
        <w:rPr>
          <w:rFonts w:eastAsia="IRNazanin" w:cs="IRNazanin"/>
          <w:color w:val="111111"/>
          <w:sz w:val="28"/>
          <w:szCs w:val="28"/>
          <w:rtl w:val="true"/>
          <w:lang w:bidi="fa-IR"/>
        </w:rPr>
        <w:t>.</w:t>
      </w:r>
      <w:bookmarkStart w:id="468" w:name="pg13170_166427"/>
    </w:p>
    <w:p>
      <w:pPr>
        <w:pStyle w:val="Heading6"/>
        <w:numPr>
          <w:ilvl w:val="5"/>
          <w:numId w:val="1"/>
        </w:numPr>
        <w:rPr/>
      </w:pPr>
      <w:bookmarkStart w:id="469" w:name="__RefHeading___Toc624591_3244359995"/>
      <w:bookmarkStart w:id="470" w:name="_Toc175"/>
      <w:bookmarkEnd w:id="468"/>
      <w:bookmarkEnd w:id="469"/>
      <w:r>
        <w:rPr>
          <w:rtl w:val="true"/>
        </w:rPr>
        <w:t>تنبیه</w:t>
      </w:r>
      <w:r>
        <w:rPr>
          <w:rtl w:val="true"/>
        </w:rPr>
        <w:t xml:space="preserve">: </w:t>
      </w:r>
      <w:r>
        <w:rPr>
          <w:rtl w:val="true"/>
        </w:rPr>
        <w:t>فیه تقاریب أخر لمساوقة الشکّ فی الحجّیة مع القطع بعدمها</w:t>
      </w:r>
      <w:bookmarkEnd w:id="470"/>
    </w:p>
    <w:p>
      <w:pPr>
        <w:pStyle w:val="BookText"/>
        <w:rPr/>
      </w:pPr>
      <w:r>
        <w:rPr>
          <w:rFonts w:ascii="IRNazanin" w:hAnsi="IRNazanin" w:eastAsia="IRNazanin"/>
          <w:color w:val="111111"/>
          <w:sz w:val="28"/>
          <w:sz w:val="28"/>
          <w:szCs w:val="28"/>
          <w:rtl w:val="true"/>
          <w:lang w:bidi="fa-IR"/>
        </w:rPr>
        <w:t>هذا تقریبنا لمساوقة الشکّ فی الحجّیة مع القطع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العلاّمتین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الخراسانیّ، و الأصفهانی قدس سرهما وجه آخر</w:t>
      </w:r>
      <w:r>
        <w:rPr>
          <w:rStyle w:val="FootnoteAnchor"/>
          <w:rtl w:val="true"/>
        </w:rPr>
        <w:footnoteReference w:id="602"/>
      </w:r>
      <w:r>
        <w:rPr>
          <w:rFonts w:ascii="IRNazanin" w:hAnsi="IRNazanin" w:eastAsia="IRNazanin"/>
          <w:color w:val="111111"/>
          <w:sz w:val="28"/>
          <w:sz w:val="28"/>
          <w:szCs w:val="28"/>
          <w:rtl w:val="true"/>
          <w:lang w:bidi="fa-IR"/>
        </w:rPr>
        <w:t>و لو لم یرتض به الثانی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من انتفاء آثار الحجّیة، یستکشف حال الموضوع، و هو الحجّیة، و اللاحجّیة، فیقطع بعدم الحجّیة بالبرهان الإنّی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آثار الحجّیة عن مشکوک الحجّة واضح، لأنّ الکبریات تحتاج إلی الصغریات حتّی یترتّب علیها آثارها بالضرورة، و هذا من القضایا التی قیاساتها معها، و أمّا الملازمة بین انتفاء الآثار و عدم الحجّیة الواقعیّة، فیحتاج إلی بیان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آثار العلم عن مشکوک العلم قطعیّ، بمعنی عدم تنجّزها، و لکنّ ذلک لا ینافی کونه عالما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بعدم ثبوتها له واقعا، فأیضا لا یلزم انتفاء کونه عالما،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ضمّ إلیه المقدّمة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انتفاء الآثار عن مثل الحجّیة التی لا واقعیّة لها بعد الفحص و عدم الظفر بها، یلازم انتفاء الحجّیة، یتمّ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یظهر ما فی حاشیة العلاّمة المحشّی قدس سره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الآثار و الأحکام، لا یستلزم انتفاء المؤثّر فی مسألتنا، لعدم السببیّة و المسببیّة فی البین، فما هو المهمّ هو أنّ الحجّیة لیست إلاّ التنجیز و التعذیر، فإذا کانا منتفیین عند الشکّ فلا حجّة قطعا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التنجیز و التعذیر لیسا حکمین، و لا أثرین، بل هما 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الإجمال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 بهما فی مقام التفصیل،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یمکن توجیه تقریب الشیخ قدس سره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أیضا ناظر إلی أنّ من آثار اللاحجّة، یستکشف عدم الحجّیة، فإنّ حرمة الإسناد و الاستناد إذا ثبتت حال الشکّ فی الحجّیة، فلازمها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الظنّ حال الانسداد حجّة، و هکذا الاحتمال قبل الفحص فی الشبهات الحکمیّة، و مطلقا فی الشبهات المهتمّ بها، و فی موارد العلم الإجمالیّ، قابلة للدفع، ضرورة أنّ المقصود هی الملازمة بین ما یکون حجّة علمیّة و طریقا عرفیّا واقعا أو ادعاء، و بین هذه الآثار، فإذا انتفت انتفت الحجّیة، أو إذا ترتّب ضدّ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حرمة الإسناد و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عدم الحجّیة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محمول کلام الشیخ رحمه اللَّه أیضا مناسبا للمسألة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فی ذیل البحث دفع بدیع لهذه النقوض إن شاء اللَّه تعالی </w:t>
      </w:r>
      <w:r>
        <w:rPr>
          <w:rStyle w:val="FootnoteAnchor"/>
          <w:rtl w:val="true"/>
        </w:rPr>
        <w:footnoteReference w:id="605"/>
      </w:r>
      <w:r>
        <w:rPr>
          <w:rFonts w:ascii="IRNazanin" w:hAnsi="IRNazanin" w:eastAsia="IRNazanin"/>
          <w:color w:val="111111"/>
          <w:sz w:val="28"/>
          <w:sz w:val="28"/>
          <w:szCs w:val="28"/>
          <w:rtl w:val="true"/>
          <w:lang w:bidi="fa-IR"/>
        </w:rPr>
        <w:t>، فإنّ حجّیة الاحتمال قبل الفحص، و فی الشبهات المهتمّ بها، و فی موارد العلم الإجمالیّ، ممنوعة مطلقا، بل العبد لا بدّ من أن یحرز امتناع عقابه تعالی، و فی هذه الصور لا محرز عقلا، و لا یحرز العذر القطعیّ فی قبال التخلّف الاحتمالیّ، أو القطعیّ، فاغتنم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هنا یظهر الفرق بین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فإنّ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استکشف عدم الحجّیة، لأجل ترتّب آثار ضدّ الحجّة، فیکون مشکوک الحجّة غیر حجّة شرعا، و یصحّ إسناده إلی الشرع أیضا،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استکشف عدم الحجّیة من انتفاء آثار الحجّیة، مع الغضّ عن حجّیة مثل الظنّ و الاحتمال أحیانا، لما عرفت</w:t>
      </w:r>
    </w:p>
    <w:p>
      <w:pPr>
        <w:pStyle w:val="BookText"/>
        <w:rPr/>
      </w:pPr>
      <w:r>
        <w:rPr>
          <w:rFonts w:ascii="IRNazanin" w:hAnsi="IRNazanin" w:eastAsia="IRNazanin"/>
          <w:color w:val="111111"/>
          <w:sz w:val="28"/>
          <w:sz w:val="28"/>
          <w:szCs w:val="28"/>
          <w:rtl w:val="true"/>
          <w:lang w:bidi="fa-IR"/>
        </w:rPr>
        <w:t>ما فیه سابقا</w:t>
      </w:r>
      <w:r>
        <w:rPr>
          <w:rStyle w:val="FootnoteAnchor"/>
          <w:rtl w:val="true"/>
        </w:rPr>
        <w:footnoteReference w:id="607"/>
      </w:r>
      <w:r>
        <w:rPr>
          <w:rFonts w:ascii="IRNazanin" w:hAnsi="IRNazanin" w:eastAsia="IRNazanin"/>
          <w:color w:val="111111"/>
          <w:sz w:val="28"/>
          <w:sz w:val="28"/>
          <w:szCs w:val="28"/>
          <w:rtl w:val="true"/>
          <w:lang w:bidi="fa-IR"/>
        </w:rPr>
        <w:t>و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الظنّ غلط قطعا، أو صحیح و یترتّب علیه آثارها، کما هو الأقرب عندنا، خلافا لما یستظهر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فالنقض به فی غیر محلّه،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وجوها لتقریب المساوقة بین الشکّ فی الحجّیة، و القطع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فیها مساوقا للقطع، فکما لا معنی للاستصحاب کما مرّ</w:t>
      </w:r>
      <w:r>
        <w:rPr>
          <w:rStyle w:val="FootnoteAnchor"/>
          <w:rtl w:val="true"/>
        </w:rPr>
        <w:footnoteReference w:id="609"/>
      </w:r>
      <w:r>
        <w:rPr>
          <w:rFonts w:ascii="IRNazanin" w:hAnsi="IRNazanin" w:eastAsia="IRNazanin"/>
          <w:color w:val="111111"/>
          <w:sz w:val="28"/>
          <w:sz w:val="28"/>
          <w:szCs w:val="28"/>
          <w:rtl w:val="true"/>
          <w:lang w:bidi="fa-IR"/>
        </w:rPr>
        <w:t>، لا وجه لصدور الأخبار الناهیة عن مثل القیاس أیضا، لأنّ فی موردها یکون الشکّ معتبرا، و إلاّ تلزم اللغویّة، لاستناد المردوعیّة إلی القطع، لا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یتقوّم اعتبار الخبر بالشکّ فی المورد، و لذلک ربّما تصدر الأخبار فی موارد الضروریّات، کالصلوات الخمس، و رکعاتها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اللغویّة، فهو 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فی طول القطع، و أنّ العمل یستند إلیه، لا إلیها، و أنّها أقیمت مقام القطع فی الطریقیّة، و لکنه باطل عاطل، کما تحرّر</w:t>
      </w:r>
      <w:r>
        <w:rPr>
          <w:rStyle w:val="FootnoteAnchor"/>
          <w:rtl w:val="true"/>
        </w:rPr>
        <w:footnoteReference w:id="610"/>
      </w:r>
      <w:r>
        <w:rPr>
          <w:rFonts w:ascii="IRNazanin" w:hAnsi="IRNazanin" w:eastAsia="IRNazanin"/>
          <w:color w:val="111111"/>
          <w:sz w:val="28"/>
          <w:sz w:val="28"/>
          <w:szCs w:val="28"/>
          <w:rtl w:val="true"/>
          <w:lang w:bidi="fa-IR"/>
        </w:rPr>
        <w:t>، فإذا کان العمل بالنسبة إلی کلّ واحد قابلا للاستناد، لا تلزم اللغویّة، فالأخبار الرادعة عن حجّیة القیاس، تؤکّد القطع بعدم حجّیتها، و بالعکس، لعرضیّة أماریّة الکلّ فی محیط العقل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ذلک بالأخبار الکثیرة الواردة فی موضوع واحد، فافهم و اغتنم</w:t>
      </w:r>
      <w:r>
        <w:rPr>
          <w:rFonts w:eastAsia="IRNazanin" w:cs="IRNazanin"/>
          <w:color w:val="111111"/>
          <w:sz w:val="28"/>
          <w:szCs w:val="28"/>
          <w:rtl w:val="true"/>
          <w:lang w:bidi="fa-IR"/>
        </w:rPr>
        <w:t>.</w:t>
      </w:r>
      <w:bookmarkStart w:id="471" w:name="pg13170_166430"/>
    </w:p>
    <w:p>
      <w:pPr>
        <w:pStyle w:val="Heading6"/>
        <w:numPr>
          <w:ilvl w:val="5"/>
          <w:numId w:val="1"/>
        </w:numPr>
        <w:rPr/>
      </w:pPr>
      <w:bookmarkStart w:id="472" w:name="__RefHeading___Toc624593_3244359995"/>
      <w:bookmarkStart w:id="473" w:name="_Toc176"/>
      <w:bookmarkEnd w:id="471"/>
      <w:bookmarkEnd w:id="472"/>
      <w:r>
        <w:rPr>
          <w:rtl w:val="true"/>
        </w:rPr>
        <w:t>الإیراد علی حدیث المساوقة</w:t>
      </w:r>
      <w:bookmarkEnd w:id="4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حدیث المساوقة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الوجه الأوّل الّذی أشیر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مشایخنا، و جدّ أولادنا قدس سره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ملاحظة حال الأفراد و المقایسة بالآحاد، فإنّه ربّما یعثر واحد علی ما یدلّ علی حجّیة شی‌ء، و لا یعثر الآخر علیه، فإذا کان الأمر کذلک، یکون حجّة بالقیاس إلی الأوّل، دون الثانی، و ذلک لأنّ اعتبار الحجّیة بالنسبة إلی غیر العاثر الواصل، لغو قطعیّ، و لا أثر له لما لا یصحّ الاحتجاج به، فلا یکون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الطریقیّة و النفسیّة کلّها قانونیّة، لا جزئیّة و شخصیّة، فلا یلاحظ فیها حال الأشخاص و الآحاد بحسب الوصول و عدمه، بل الوصول فی الجملة یکفی لاعتبار حجّیة الخبر الموثوق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أو العقلاء یعتبرون لکلّ واحد من الأخبار حجّیته، و یلاحظون کلّ خبر فی ذاته بالنسبة إلی وصوله و عدم وصوله، فاسد جدّاً، بل الملحوظ معنی کلّی، و هو أنّ الخبر الموثوق به أو خبر الثقة حجّة تأسیسا، أو إمضاء، فإذا صدر مثلا من الشرع خبر علی أنّ إخبار ذی الید حجّة، فلا وجه للشکّ فی حجّیته، لأنّ کلّ خبر حجّة، و لیس الوصول شرطا عامّا لکلّ خبر، بل الوصول فی الجملة شرط لاعتبار الحجّیة، و هو حاصل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یعتبر مثلا حجّیة خبر الثقة، و هذا أمر واقعیّ، و فی مرحلة الاعتبار و الجعل لا یلاحظ فیه الحالات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تصل حجّیة خبر الثقة بالمرّة فی جمیع الأعصار و الأمصار، یعدّ هذا من القانون غیر القابل للإجراء، الراجع إلی امتناع اعتباره ثبوتا، و أمّا إذا کانت</w:t>
      </w:r>
    </w:p>
    <w:p>
      <w:pPr>
        <w:pStyle w:val="BookText"/>
        <w:rPr/>
      </w:pPr>
      <w:r>
        <w:rPr>
          <w:rFonts w:ascii="IRNazanin" w:hAnsi="IRNazanin" w:eastAsia="IRNazanin"/>
          <w:color w:val="111111"/>
          <w:sz w:val="28"/>
          <w:sz w:val="28"/>
          <w:szCs w:val="28"/>
          <w:rtl w:val="true"/>
          <w:lang w:bidi="fa-IR"/>
        </w:rPr>
        <w:t>واصلة فیکون حجّة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اطلاع فرد علی هذا القانون العامّ، فلا یضرّ بحجّیته، و لکن الجهل بها، و عدم وصولها إلیه، و عدم الاطلاع علیها، یعدّ عذرا له فیما إذا کانت قائمة علی تکلیف لو اطلع علیها لکان التکلیف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معذور حینئذ بالنسبة إلی مؤدّی الحجّة، لا نفسها، إذ لیست مطلوبیّتها نفسیّة، بل هی طریقیّة، فما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الوصول شرط الحجّیة مطلقا</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غیر صحیح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حرّر، للزم معذوریّة من 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الظهر، أو الجمعة، و ترک الجمعة، و کان إذا یرجع إلی الأدلّة یتبیّن له عدم وجوبها، و لکن کان ذلک خلاف الواقع، و أنّ الواقع وجوب الجمعة، فإنّه مع ترکه تکلیفا واقعیّا منجّزا بالعلم الإجمالیّ، یکون معذورا، لصحّة احتجاجه بتلک الأدلّة التی لو کان یراجعها یعتقد عدم وجوبها، مع أنّ الضرورة تقضی بخلافه، فیعلم منه أنّ الحجّة ما یحتجّ به فعلا، و الوصول شرط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تکن تلک الروایة و الأمارة حجّة، للزم أن لا تکون حجّة قبل الفحص، لعدم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قبل الفحص من الوصول عند العقلاء، فیما إذا ترک التکلیف الواقعیّ القائمة علیه الأمارة الموجودة فی الکتاب و السنّة، و لا یکون معذورا بالنسبة إلی ترک التکلیف الإلزامیّ، لکان فی مفروض الکلام أیضا معذورا، لأنّ تلک الأمارة أیضا من الواصل عرفا و عند العقلاء، و التفکیک بین الأمرین من التحکّم و التهکّم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هذه الصورة تلک الأمارة حجّة فعلیّة، ففی الصورة الأولی أیضا هی حجّة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الوصول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وصولا واقعا، کان الأمر کذلک فی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قبل الفحص حجّة لا الروایة، فی غیر محلّه کما مرّ، و إلاّ تلزم لغویّة حجّیة الأمارة و الأخبار الموجودة،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الحجّة بعد العثور علی الروایة نفسها، بل و قبله، و کون الشکّ قبل الفحص حجّة غیر صحیح، و تفصیله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الجهل قبل الفحص لیس عذرا، ضرورة أنّ الخبر الموجود فی محالّه المحرّرة، واصل إلیه، فلیتدبّر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مرّ من منجّزیة الشکّ قبل الفحص، کما فی کلام العلاّمة الأراکیّ رحمه اللَّه هنا</w:t>
      </w:r>
      <w:r>
        <w:rPr>
          <w:rStyle w:val="FootnoteAnchor"/>
          <w:rtl w:val="true"/>
        </w:rPr>
        <w:footnoteReference w:id="613"/>
      </w:r>
      <w:r>
        <w:rPr>
          <w:rFonts w:ascii="IRNazanin" w:hAnsi="IRNazanin" w:eastAsia="IRNazanin"/>
          <w:color w:val="111111"/>
          <w:sz w:val="28"/>
          <w:sz w:val="28"/>
          <w:szCs w:val="28"/>
          <w:rtl w:val="true"/>
          <w:lang w:bidi="fa-IR"/>
        </w:rPr>
        <w:t>، و منجّزیة الشکّ فی الشبهات المهتمّ بها، کما مرّ فی کلامنا</w:t>
      </w:r>
      <w:r>
        <w:rPr>
          <w:rStyle w:val="FootnoteAnchor"/>
          <w:rtl w:val="true"/>
        </w:rPr>
        <w:footnoteReference w:id="614"/>
      </w:r>
      <w:r>
        <w:rPr>
          <w:rFonts w:ascii="IRNazanin" w:hAnsi="IRNazanin" w:eastAsia="IRNazanin"/>
          <w:color w:val="111111"/>
          <w:sz w:val="28"/>
          <w:sz w:val="28"/>
          <w:szCs w:val="28"/>
          <w:rtl w:val="true"/>
          <w:lang w:bidi="fa-IR"/>
        </w:rPr>
        <w:t>، فی غیر محلّه، بل کلّ ذلک یرجع إلی عدم معذّریة الجهل فی هذه المواقف، بل و هکذا فی أطراف العلم الإجمالیّ، لا یکون الجهل المقرون بالعلم عذرا، ضرورة أنّ اللاّزم إثبات امتناع العقاب علیه تعالی، و مع الاحتمال لا یجوز التخلّف،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 الالتزام بحجّیة الأمارة واقعا، و عدم شرطیّة الوصول الکلیّ لحجّیتها، و فی المثال المزبور لأجل وجود الحجّة الأسبق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تنکر حجّیة الأمارة بحکم العقلاء تخصیصا، فلا تنافی بین الأمرین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الأمارة التی وصلت إلی زید حجّة شرعیّة، و هی بشخصها لیست حجّة بالنسبة إلی عمرو، لعدم عثوره علیها، فیکون فی الشرع اعتبار الحجّیة، دائرا مدار وصول الخبر و عدم وصوله، بعیدة إنصافا، فإنّ المنساق من البناءات هی حجّیة خبر الواحد فی الشرع، و حجّیة الظاهر، و لکلّ واحد منهما واقعیّة، ربّما تتبیّن، و ربّما تتخلّف، و فی الصورة الثانیة یکون العبد معذورا بالنسبة إلی مؤدّاها، و اللَّه ولیّ الهدایة</w:t>
      </w:r>
      <w:r>
        <w:rPr>
          <w:rFonts w:eastAsia="IRNazanin" w:cs="IRNazanin"/>
          <w:color w:val="111111"/>
          <w:sz w:val="28"/>
          <w:szCs w:val="28"/>
          <w:rtl w:val="true"/>
          <w:lang w:bidi="fa-IR"/>
        </w:rPr>
        <w:t>.</w:t>
      </w:r>
      <w:bookmarkStart w:id="474" w:name="pg13170_166433"/>
    </w:p>
    <w:p>
      <w:pPr>
        <w:pStyle w:val="Heading6"/>
        <w:numPr>
          <w:ilvl w:val="5"/>
          <w:numId w:val="1"/>
        </w:numPr>
        <w:rPr/>
      </w:pPr>
      <w:bookmarkStart w:id="475" w:name="__RefHeading___Toc624595_3244359995"/>
      <w:bookmarkStart w:id="476" w:name="_Toc177"/>
      <w:bookmarkEnd w:id="474"/>
      <w:bookmarkEnd w:id="475"/>
      <w:r>
        <w:rPr>
          <w:rtl w:val="true"/>
        </w:rPr>
        <w:t>فذلکة البحث</w:t>
      </w:r>
      <w:bookmarkEnd w:id="476"/>
    </w:p>
    <w:p>
      <w:pPr>
        <w:pStyle w:val="BookText"/>
        <w:rPr/>
      </w:pPr>
      <w:r>
        <w:rPr>
          <w:rFonts w:ascii="IRNazanin" w:hAnsi="IRNazanin" w:eastAsia="IRNazanin"/>
          <w:color w:val="111111"/>
          <w:sz w:val="28"/>
          <w:sz w:val="28"/>
          <w:szCs w:val="28"/>
          <w:rtl w:val="true"/>
          <w:lang w:bidi="fa-IR"/>
        </w:rPr>
        <w:t>إنّ التمسّک باستصحاب عدم الحجّیة، و التمسّک بقاعدة المساوقة، غیر راجع إلی محصّل، فتبقی القاعدة المضروبة لحال الشکّ المنتجة لانتفاء آثار الحجّیة، کالتنجیز و 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انتفاء جواز الإسناد و الاستناد، فهو بحث خارج عن المسألة الأصولیّة، و علی ما قرّبناه لصیرورتها أصولیّة، تکون نافعة، لما عرفت من تمامیّة الملازمة بین الانتفاء المزبور و اللاحجّیة الواقعیّة، علی مذهب القوم فی تفسیرها</w:t>
      </w:r>
      <w:r>
        <w:rPr>
          <w:rStyle w:val="FootnoteAnchor"/>
          <w:rtl w:val="true"/>
        </w:rPr>
        <w:footnoteReference w:id="615"/>
      </w:r>
      <w:r>
        <w:rPr>
          <w:rFonts w:ascii="IRNazanin" w:hAnsi="IRNazanin" w:eastAsia="IRNazanin"/>
          <w:color w:val="111111"/>
          <w:sz w:val="28"/>
          <w:sz w:val="28"/>
          <w:szCs w:val="28"/>
          <w:rtl w:val="true"/>
          <w:lang w:bidi="fa-IR"/>
        </w:rPr>
        <w:t>، و أمّا علی ما عرفت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کلّ تقدیر فی موارد الشکّ فی الحجّیة، لا یجوز ترتیب آثار الحجّیة علی مؤدّاها، و لا تترتّب آثارها علیه بالضرورة، و إنّما الاختلاف فی المسألة علما و 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بجریان استصحاب عدم الحجّیة، یجوز إسناد هذا العدم إلی الشرع،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إطالة البحث حول الآیة و السنّة و الإجماع، لتحریم الإسناد و الاستناد فی موارد الشکّ، فهی 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غیر واضح سبیلها، و السنّة واضحة فی حرمة التقوّل و الإسناد و الاستناد المنتهی إلی الإسناد عملا، و لکنّها ربّما ترشد إلی حکم العقل بممنوعیّته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الممنوعیّة العقلیّة ثابتة فی الجملة، و مقتضی إطلاق تلک الأدلّة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الممنوعیّة العقلیّة، لا تورث استحقاق العقوبة، لإمکان ترخیص</w:t>
      </w:r>
    </w:p>
    <w:p>
      <w:pPr>
        <w:pStyle w:val="BookText"/>
        <w:rPr/>
      </w:pPr>
      <w:r>
        <w:rPr>
          <w:rFonts w:ascii="IRNazanin" w:hAnsi="IRNazanin" w:eastAsia="IRNazanin"/>
          <w:color w:val="111111"/>
          <w:sz w:val="28"/>
          <w:sz w:val="28"/>
          <w:szCs w:val="28"/>
          <w:rtl w:val="true"/>
          <w:lang w:bidi="fa-IR"/>
        </w:rPr>
        <w:t xml:space="preserve">الشرع علی خلافه إلاّ فی بعض الموارد الخاصّة، و قد حرّرنا المسألة من هذه الجهة فی بحوث التجرّی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هناک تقاریب اخر للأصل، إلاّ أنّها لا ترجع إلی مهمّ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خرجنا عن طور الکلام فی المقام، لما فیه من الدقائق العلمیّة، مع بعض الفوائد الفقهیّة، و اللَّه العالم بالحقائق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تبیّنت هذه الجهات، حان وقت مباحث المسألة</w:t>
      </w:r>
      <w:r>
        <w:rPr>
          <w:rFonts w:eastAsia="IRNazanin" w:cs="IRNazanin"/>
          <w:color w:val="111111"/>
          <w:sz w:val="28"/>
          <w:szCs w:val="28"/>
          <w:rtl w:val="true"/>
          <w:lang w:bidi="fa-IR"/>
        </w:rPr>
        <w:t>.</w:t>
      </w:r>
      <w:bookmarkStart w:id="477" w:name="pg13170_166436"/>
    </w:p>
    <w:p>
      <w:pPr>
        <w:pStyle w:val="Heading3"/>
        <w:numPr>
          <w:ilvl w:val="2"/>
          <w:numId w:val="1"/>
        </w:numPr>
        <w:rPr/>
      </w:pPr>
      <w:bookmarkStart w:id="478" w:name="__RefHeading___Toc624597_3244359995"/>
      <w:bookmarkStart w:id="479" w:name="_Toc178"/>
      <w:bookmarkEnd w:id="477"/>
      <w:bookmarkEnd w:id="478"/>
      <w:r>
        <w:rPr>
          <w:rtl w:val="true"/>
        </w:rPr>
        <w:t>المبحث الأوّل فی الظواهر</w:t>
      </w:r>
      <w:bookmarkEnd w:id="47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624599_3244359995"/>
      <w:bookmarkStart w:id="481" w:name="_Toc179"/>
      <w:bookmarkEnd w:id="480"/>
      <w:r>
        <w:rPr>
          <w:rtl w:val="true"/>
        </w:rPr>
        <w:t>اشارة</w:t>
      </w:r>
      <w:bookmarkStart w:id="482" w:name="pg13170_166438"/>
      <w:bookmarkEnd w:id="481"/>
    </w:p>
    <w:p>
      <w:pPr>
        <w:pStyle w:val="BookText"/>
        <w:rPr/>
      </w:pPr>
      <w:bookmarkEnd w:id="482"/>
      <w:r>
        <w:rPr>
          <w:rFonts w:ascii="IRNazanin" w:hAnsi="IRNazanin" w:eastAsia="IRNazanin"/>
          <w:color w:val="111111"/>
          <w:sz w:val="28"/>
          <w:sz w:val="28"/>
          <w:szCs w:val="28"/>
          <w:rtl w:val="true"/>
          <w:lang w:bidi="fa-IR"/>
        </w:rPr>
        <w:t>و ینبغی قبل الخوض فیها، من تحریر بعض ما یتعلّق بمطلق الظنون الخاصّة، أو خصوص الظواهر</w:t>
      </w:r>
      <w:r>
        <w:rPr>
          <w:rFonts w:eastAsia="IRNazanin" w:cs="IRNazanin"/>
          <w:color w:val="111111"/>
          <w:sz w:val="28"/>
          <w:szCs w:val="28"/>
          <w:rtl w:val="true"/>
          <w:lang w:bidi="fa-IR"/>
        </w:rPr>
        <w:t>:</w:t>
      </w:r>
    </w:p>
    <w:p>
      <w:pPr>
        <w:pStyle w:val="Heading4"/>
        <w:numPr>
          <w:ilvl w:val="3"/>
          <w:numId w:val="1"/>
        </w:numPr>
        <w:rPr/>
      </w:pPr>
      <w:bookmarkStart w:id="483" w:name="__RefHeading___Toc624601_3244359995"/>
      <w:bookmarkStart w:id="484" w:name="_Toc180"/>
      <w:bookmarkEnd w:id="483"/>
      <w:r>
        <w:rPr>
          <w:rtl w:val="true"/>
        </w:rPr>
        <w:t>أحدها</w:t>
      </w:r>
      <w:r>
        <w:rPr>
          <w:rtl w:val="true"/>
        </w:rPr>
        <w:t xml:space="preserve">: </w:t>
      </w:r>
      <w:r>
        <w:rPr>
          <w:rtl w:val="true"/>
        </w:rPr>
        <w:t>فی عدم البحث عن حجیة الظواهر بعنوانها</w:t>
      </w:r>
      <w:bookmarkEnd w:id="484"/>
    </w:p>
    <w:p>
      <w:pPr>
        <w:pStyle w:val="Heading5"/>
        <w:numPr>
          <w:ilvl w:val="4"/>
          <w:numId w:val="1"/>
        </w:numPr>
        <w:rPr/>
      </w:pPr>
      <w:bookmarkStart w:id="485" w:name="__RefHeading___Toc624603_3244359995"/>
      <w:bookmarkStart w:id="486" w:name="_Toc181"/>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الحجّة عند العقلاء، هو القطع، و الاطمئنان و الوثوق، و أمّا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کالظواهر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الأسباب المورثة لهذه الحجج، و لیست هی حجّة إلاّ بالتسامح و بالعرض، و ذلک لأنّ کاشفیّة هذه الأمور و أماریّتها للواقع، غیر معقولة، لعدم السنخیّة بینها و بین الواقع، بخلاف الصور التی تحصل بسببیّتها فی نفوس العرف و العقلاء، فإنّها کواشف عن الواقعیّات، 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الحجّة هو الاطمئنان الشخصیّ و الوثوق، لا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کان من العقلاء، لا یشکّ بعد قیام خبر الثقة، و الظاهر،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الأمارات الکلّیة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بعض الأحیان، و یکون خطورا بالبال، و یعدّ من الشکّ غیر المستقرّ غیر النافی للاطمئنان و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للشکّ منشأ عقلائیّ، لقیام القرینة، أو ما یصلح للقرینیّة، فلا یکون حجّة واقعا، أی لا یحصل الوثوق و الاطمئنان و العلم العادیّ النظامیّ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رجع شکّه إلی غیر هذا الأمر، فهو ملحق بالوسوسة و الشیطنة، و صاحبه یلحق بالآخرین فی لزوم التبعیّة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أرید من الحجّیة النوعیّة ذلک فلا</w:t>
      </w:r>
    </w:p>
    <w:p>
      <w:pPr>
        <w:pStyle w:val="BookText"/>
        <w:rPr/>
      </w:pPr>
      <w:r>
        <w:rPr>
          <w:rFonts w:ascii="Amiri" w:hAnsi="Amiri" w:eastAsia="Amiri" w:cs="Amiri"/>
          <w:color w:val="111111"/>
          <w:sz w:val="28"/>
          <w:sz w:val="28"/>
          <w:szCs w:val="28"/>
          <w:rtl w:val="true"/>
          <w:lang w:bidi="ar-SA"/>
        </w:rPr>
        <w:t>مشاحّة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هو یهمّنا إثبات أنّ مسألة حجّیة الظواهر و إخبار الثقة، ممّا لا ترجع إلی محصّل فی الواقع، و أنّ ما هو الحجّة واقعا هی المعانی الحاصلة منها، المغفول عنها فی محیط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حجّیة هذه الأمور، معناه حجّیتها سواء حصل منها الوثوق، أم لا، أو إثبات حجیّتها و لو حصل منها الظنّ بالخلاف، أو حصل الظنّ بالخلاف من أمر آخر، غیر راجع إلی محصّل، أو غیر مناف لما ذکرناه، کما هو الواضح، ضرورة أنّ دعوانا عدم حصول الشکّ و لا الظنّ بالخلاف، بل یحصل منها الوثوق و العلم العادیّ طبعا، و من لم یحصل له ذلک فإمّا یکون لمنشإ عقلائیّ مصدّق عند العقلاء، فلنا إنکار حجّیتها، و من یدّعیه مجازف فی القول، لعدم إطلاق یقتضیها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 یکون له المنشأ، فلا یکون من العقلاء، و یلحق بهم فی لزوم التبعیّة لهم فی هذه الصورة، فتصیر النتیجة واحدة،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 بین أبناء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حجّیة هذه الأمور، لأجل الکشف النوعیّ الغالبیّ، و للإصابة الأکثریّة</w:t>
      </w:r>
      <w:r>
        <w:rPr>
          <w:rStyle w:val="FootnoteAnchor"/>
          <w:rtl w:val="true"/>
        </w:rPr>
        <w:footnoteReference w:id="617"/>
      </w:r>
      <w:r>
        <w:rPr>
          <w:rFonts w:ascii="IRNazanin" w:hAnsi="IRNazanin" w:eastAsia="IRNazanin"/>
          <w:color w:val="111111"/>
          <w:sz w:val="28"/>
          <w:sz w:val="28"/>
          <w:szCs w:val="28"/>
          <w:rtl w:val="true"/>
          <w:lang w:bidi="fa-IR"/>
        </w:rPr>
        <w:t>، یرجع إلی تعبّد من العقلاء بهذه القاعدة، و إلی تدیّن من غیر المتدیّنین بأمر وراء الأمور العقلائیّة، و هذا من الأمور غیر الواقعیّة، و قد أوضحناه فیما توهّموه أصلا عقلائیّا، فإنّ الأصول العقلائیّة اختراعات مدرسیّة تحمیلیّة علیهم، و ما هو الموجود عندهم لیس إلاّ العلم و الوثوق بالواقع و نفس الأمر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تبویب هذا المقصد إلی أبواب، و تقسیم الظنون الخاصّة إلی أقسام، و البحث عن کلّ قسم علی حدة، من الغفلة عن حقیقة الأمر، و أنّ الاطمئنان</w:t>
      </w:r>
      <w:bookmarkStart w:id="487" w:name="pg13170_166440"/>
    </w:p>
    <w:p>
      <w:pPr>
        <w:pStyle w:val="BookText"/>
        <w:rPr/>
      </w:pPr>
      <w:bookmarkEnd w:id="487"/>
      <w:r>
        <w:rPr>
          <w:rFonts w:ascii="IRNazanin" w:hAnsi="IRNazanin" w:eastAsia="IRNazanin"/>
          <w:color w:val="111111"/>
          <w:sz w:val="28"/>
          <w:sz w:val="28"/>
          <w:szCs w:val="28"/>
          <w:rtl w:val="true"/>
          <w:lang w:bidi="fa-IR"/>
        </w:rPr>
        <w:t>و الوثوق و القطع حجّة، و إنّما الکلام فی الأسباب المنتهیة إلیها، فکما أنّ القطع حجّة من أی سبب حصل إلاّ من الأسباب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إمکان نفی الحجّیة عنه مطلقاً</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الوثوق و الاطمئنان حجّة عقلائیّة، إلاّ أنّه یحتاج إلی الإمضاء، و للشرع الردع عن ظواهر ما أو غیرها، أو تقیید السبب بأمور شرعیّة مثلاً، کما فی تقیید خبر الثقة بالإمامیّ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حجّیة هذه الأسباب بعناوینها الذاتیّة استقلالا، فهی بمعزل عن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یتمحّض البحث فی أنّ الشرع ردع عن هذه الأسباب، أو لم یمض تلک العلل،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کتاب الظنّ، یرجع إلی أنّ الوثوق و العلم العادیّ، حجّة عقلائیّة کالقطع، و إنّما البحث فی أنّ الشرع تدخّل فی هذا الأمر، برفض الوثوق الحاصل من ظاهر الکتاب، أم لا، و هذا فی الحقیقة یرجع أیضا إلی عدم حصول الوثوق منه، بعد إقامة القرینة علی المنع عن الأخذ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الوثوق یحصل من الخطابات غیر المقصود إفهامها، أم لا، فیکون بحثا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أساس البحث الّذی علیه بناء أصحابنا من الابتداء إلی عصرنا</w:t>
      </w:r>
      <w:r>
        <w:rPr>
          <w:rFonts w:eastAsia="IRNazanin" w:cs="IRNazanin"/>
          <w:color w:val="111111"/>
          <w:sz w:val="28"/>
          <w:szCs w:val="28"/>
          <w:rtl w:val="true"/>
          <w:lang w:bidi="fa-IR"/>
        </w:rPr>
        <w:t>.</w:t>
      </w:r>
    </w:p>
    <w:p>
      <w:pPr>
        <w:pStyle w:val="Heading5"/>
        <w:numPr>
          <w:ilvl w:val="4"/>
          <w:numId w:val="1"/>
        </w:numPr>
        <w:rPr/>
      </w:pPr>
      <w:bookmarkStart w:id="488" w:name="__RefHeading___Toc624605_3244359995"/>
      <w:bookmarkStart w:id="489" w:name="_Toc182"/>
      <w:bookmarkEnd w:id="488"/>
      <w:r>
        <w:rPr>
          <w:rtl w:val="true"/>
        </w:rPr>
        <w:t>المحتملات فی الطرق</w:t>
      </w:r>
      <w:bookmarkEnd w:id="4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الاحتمالات فی مسألة الأمارات و الطرق العقلائیّة ثلاثة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المشهور، و اشتهر بین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کالظهور و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بعنوانیهما الذاتیّین، و تکون الکاشفیّة عن</w:t>
      </w:r>
    </w:p>
    <w:p>
      <w:pPr>
        <w:pStyle w:val="BookText"/>
        <w:rPr/>
      </w:pPr>
      <w:r>
        <w:rPr>
          <w:rFonts w:ascii="IRNazanin" w:hAnsi="IRNazanin" w:eastAsia="IRNazanin"/>
          <w:color w:val="111111"/>
          <w:sz w:val="28"/>
          <w:sz w:val="28"/>
          <w:szCs w:val="28"/>
          <w:rtl w:val="true"/>
          <w:lang w:bidi="fa-IR"/>
        </w:rPr>
        <w:t>الواقع نکتة و حکمة الحجّیة، و لیست الحجّیة دائرة مدارها</w:t>
      </w:r>
      <w:r>
        <w:rPr>
          <w:rStyle w:val="FootnoteAnchor"/>
          <w:rtl w:val="true"/>
        </w:rPr>
        <w:footnoteReference w:id="619"/>
      </w:r>
      <w:r>
        <w:rPr>
          <w:rFonts w:ascii="IRNazanin" w:hAnsi="IRNazanin" w:eastAsia="IRNazanin"/>
          <w:color w:val="111111"/>
          <w:sz w:val="28"/>
          <w:sz w:val="28"/>
          <w:szCs w:val="28"/>
          <w:rtl w:val="true"/>
          <w:lang w:bidi="fa-IR"/>
        </w:rPr>
        <w:t>، و لأجل ذلک اختاروا حجّیتها حتّی فی صورة الظنّ الشخصیّ المخالف، و سیأتی دلیلها و وجها عند التعرّض لذات المسألة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قوّیناه فی الأزمنة الأولی، و قد ذکرناه هنا، و أنّ الحجّیة مخصوصة بالوثوق و الاطمئنان الحاصل من تلک الأسباب، و لو لم یحصل عقیب قیام الظهور و الخبر الموثوق به، وثوق و علم عادیّ، فلا بدّ له من منشأ، فإن کان منشأه الأمر العقلائیّ فهو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منشأه غیر عقلائیّ، فلا یعتنی به، و یلحق بالآخرین بحکم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قام ظهور علی أمر، مع اقترانه بما یصلح للقرینیّة عند العقلاء، فلا حجّیة، و فی غیر هذه الصورة تکون الصورة العلمیّة الحاصلة من هذه الأسباب حجّة، و هی تحصل عادة کحصول القطع وراء الإبصار و الاستماع و غیر ذلک، و قلیلا ما لا یحصل القطع للإنسان، باحتمال الخطأ فی الباصرة و السامعة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للشرع جعل الحجّیة لذات الظهور و لخبر الثقة علی الإطلاق، فإن ثبت ذلک فهو المتّبع، کما له الردع عن حجّیة الوثوق الحاصل من السبب الخاصّ، کظهور الکتاب و غیره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الأمارات العقلائیّة و الظنون الخاصّة، لیست دائرة مدار الوثوق، و لا مرهونة بالکاشفیّة الغالبیّة و الإصابة الأکثریّة، الموجبة للوثوق النوعیّ و الاطمئنان الأکثریّ، بل هی عبارة عن بناءات عقلائیّة محضة، و التزامات عرفیّة فقط، فلو کان فی أوّل حدوث هذه البناءات وجه للحجّیة، أو کانت الحجّیة لأجل الملازمة الکلّیة بین حصول الوثوق الشخصیّ و بین هذه الأمارات، و لکن فی عصرنا</w:t>
      </w:r>
    </w:p>
    <w:p>
      <w:pPr>
        <w:pStyle w:val="BookText"/>
        <w:rPr/>
      </w:pPr>
      <w:r>
        <w:rPr>
          <w:rFonts w:ascii="IRNazanin" w:hAnsi="IRNazanin" w:eastAsia="IRNazanin"/>
          <w:color w:val="111111"/>
          <w:sz w:val="28"/>
          <w:sz w:val="28"/>
          <w:szCs w:val="28"/>
          <w:rtl w:val="true"/>
          <w:lang w:bidi="fa-IR"/>
        </w:rPr>
        <w:t>لیس إلاّ مجرّد الالتزام العقلائیّ و البناء العملیّ من غیر مراعاة الأمور الاخر وراء ذلک، إلاّ إذا حصل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تلک البناءات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رجعنا فی عصرنا الوسائط النقلیّة المتعارفة التی تؤدّی کثیرا إلی الأخطار المهلکة، نجد أنّه لا وثوق شخصیّ و لا علم و لا اطمئنان بالوصول إلی المقصود، و لکن بناء الناس علی ذلک، و ما هذا إلاّ لأجل الاعتیاد من غیر اشتراط العمل بالوثوق، مع أنّ العلقة کبیرة جدّاً بالنسبة إلی النفوس و الأرواح، التی تکبّدت خسائر کثیرة فی الاصطدامات الخارجیّة من ناحیة هذه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بناؤهم علی العمل بالظواهر و أخبار الثقات من غیر النّظر إلی الکشف النوعیّ و الغالبیّ و الإصابة الأکثریّة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النظام فی العالم الاجتماعیّ و المعیشة الاجتماعیّة، لا یرتبط و لا یقوم إلاّ بذلک، و إلیه أشیر فی بعض روایاتنا فی مقام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فهذه الأسرار الاخر ألجأتهم إلی الالتزامات المذکورة، و البناءات العملیّة، و لو فرضنا أنّه لو لم یحصل الوثوق النوعیّ و الاطمئنان الغالبیّ من تلک الأمارات، للزم ترکهم العمل بها، و للزم الاختلال و الهرج و المرج فی معاشهم و معادهم، و هم مع ذلک ملتزمون بذلک، فهو غیر صحیح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لیس إلاّ مجرّد البناء و الالتزام، و لا بدّ من الفحص عن حدود تدخّل الشرع فی ذلک إمضاء و ردعا، لإمکانه فی الجملة، کما مضی وجه امتناعه فی ذیل حدیث إمکان التعبّد بالظنّ </w:t>
      </w:r>
      <w:r>
        <w:rPr>
          <w:rStyle w:val="FootnoteAnchor"/>
          <w:rtl w:val="true"/>
        </w:rPr>
        <w:footnoteReference w:id="62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الأقرب من أفق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الأوّل غیر سدید، ضرورة أنّه کثیرا ما لا یحصل الوثوق الشخصیّ لأجل وجود القرائن الجزئیّة، أو لأجل عدم</w:t>
      </w:r>
    </w:p>
    <w:p>
      <w:pPr>
        <w:pStyle w:val="BookText"/>
        <w:rPr/>
      </w:pPr>
      <w:r>
        <w:rPr>
          <w:rFonts w:ascii="IRNazanin" w:hAnsi="IRNazanin" w:eastAsia="IRNazanin"/>
          <w:color w:val="111111"/>
          <w:sz w:val="28"/>
          <w:sz w:val="28"/>
          <w:szCs w:val="28"/>
          <w:rtl w:val="true"/>
          <w:lang w:bidi="fa-IR"/>
        </w:rPr>
        <w:t>الاطلاع علی حال المتکلّم، من أنّه یتکلّم و سیکون کلامه مردّدا بین الهزل و الجدّ، أو هو جدّ و لا هزل فیه، أو بالعکس، فإذا لم یکن العبد واقفا علیه، لا یحصل منه الوثوق، و لا یجوز له القعود فی قبال أمره و نهیه، و هکذا فی الأشباه و النّظائر، فربّما لا یحصل الوثوق الشخصیّ من الظاهر، لأجل القرینة الخاصّة الجزئیّة، و هو أمر کثیر الدور حسب اختلاف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الحجّیة صفة العلم </w:t>
      </w:r>
      <w:r>
        <w:rPr>
          <w:rStyle w:val="FootnoteAnchor"/>
          <w:rtl w:val="true"/>
        </w:rPr>
        <w:footnoteReference w:id="623"/>
      </w:r>
      <w:r>
        <w:rPr>
          <w:rFonts w:ascii="IRNazanin" w:hAnsi="IRNazanin" w:eastAsia="IRNazanin"/>
          <w:color w:val="111111"/>
          <w:sz w:val="28"/>
          <w:sz w:val="28"/>
          <w:szCs w:val="28"/>
          <w:rtl w:val="true"/>
          <w:lang w:bidi="fa-IR"/>
        </w:rPr>
        <w:t>، فهو غیر تامّ، لإمکان جعل الاحتمال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الکاشفیّة و الطریقیّة و الأماریّة، صفة العلم، و اتصاف الکلام بالأماریة فیه نوع من المجازیّة، لأنّ الأماریّة لیست بالوضع و الجعالة،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الملازمة بین ما هو الحجّة العقلائیّة، و ما هو الکاشف و الطریق الطبیعیّ العقلائیّ، ممنوع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فهو و إن کان متینا، إلاّ أنّه مخصوص بعصر حدوث هذه الطرق و الأمارات، و فی العصر الأوّل البسیط فیه معاش الناس، و سیاستهم المنزلیّة، و الدولیّة، و الدینیّة، و أمّا فی عصرنا فالوجه الثالث یکون أقرب إلی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بالالتزام بدخالة الکاشفیّة النوعیّة الموجودة فی الجملة أیضا، لأجل أنّه إذا بلغ الأمارة و الطریق إلی حدّ السقوط عن الکشف، لا یعتنی بها، إلاّ أنّه فی ناحیة الاعتماد علیها، لا یلاحظ فیها نسبة الکشف و الإصابة إلی الخطأ بالضرورة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مراجعة الأدلّة إثباتا، و أنّ الشرع هل أمضی هذه الأمارات الخاصّة المستثناة من الأصل المزبور، أم لا، و هل ردع منها شیئا، أو اعتبر فیها قیدا، أم اعتبر التوسعة فیها؟ فلاحظ و تدبر</w:t>
      </w:r>
      <w:r>
        <w:rPr>
          <w:rFonts w:eastAsia="IRNazanin" w:cs="IRNazanin"/>
          <w:color w:val="111111"/>
          <w:sz w:val="28"/>
          <w:szCs w:val="28"/>
          <w:rtl w:val="true"/>
          <w:lang w:bidi="fa-IR"/>
        </w:rPr>
        <w:t>.</w:t>
      </w:r>
      <w:bookmarkStart w:id="490" w:name="pg13170_166444"/>
    </w:p>
    <w:p>
      <w:pPr>
        <w:pStyle w:val="Heading4"/>
        <w:numPr>
          <w:ilvl w:val="3"/>
          <w:numId w:val="1"/>
        </w:numPr>
        <w:rPr/>
      </w:pPr>
      <w:bookmarkStart w:id="491" w:name="__RefHeading___Toc624607_3244359995"/>
      <w:bookmarkStart w:id="492" w:name="_Toc183"/>
      <w:bookmarkEnd w:id="490"/>
      <w:bookmarkEnd w:id="491"/>
      <w:r>
        <w:rPr>
          <w:rtl w:val="true"/>
        </w:rPr>
        <w:t>ثانیها</w:t>
      </w:r>
      <w:r>
        <w:rPr>
          <w:rtl w:val="true"/>
        </w:rPr>
        <w:t xml:space="preserve">: </w:t>
      </w:r>
      <w:r>
        <w:rPr>
          <w:rtl w:val="true"/>
        </w:rPr>
        <w:t>فی تحریر محطّ النزاع فی مسألة حجّیة الظواهر</w:t>
      </w:r>
      <w:bookmarkEnd w:id="492"/>
    </w:p>
    <w:p>
      <w:pPr>
        <w:pStyle w:val="BookText"/>
        <w:rPr/>
      </w:pPr>
      <w:r>
        <w:rPr>
          <w:rFonts w:ascii="IRNazanin" w:hAnsi="IRNazanin" w:eastAsia="IRNazanin"/>
          <w:color w:val="111111"/>
          <w:sz w:val="28"/>
          <w:sz w:val="28"/>
          <w:szCs w:val="28"/>
          <w:rtl w:val="true"/>
          <w:lang w:bidi="fa-IR"/>
        </w:rPr>
        <w:t>اعلم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مراجعة المسألة تعطی أنّه لا یوجد مخالف فی أصل المسألة، و کأنّ نزاع حجّیة الظواهر لیس کبرویّا، بل هو نزاع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جهة خاصّة، کحجّیة ظواهر الکتاب و السنّة فی خصوص المقصودین بالإفهام، و المخالف هو المحقّق القمّی قدس سره حیث ناقش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انعقاد الظهور للقضیّة بالنسبة إلی غیر المقصودین بالإفهام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خصوص ظواهر الکتاب، و قد اشتهر عن الأخباریّین إنکارها، لعدم ثبوت الظهور له حسبما یکون دلیلا لهم، أو یمکن أن یستند إلیه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للقائل بحجّیة خبر الواحد المقرون بالقرینة، أن یقول بحجّیة الظاهر المقرون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الکلام إن رجع إلی اشتراط الحجّیة بالوثوق، و تکون دائرة مداره، فلا بدّ و أن یرجع إلی ما ذکرناه فی الأمر الأوّل، و قد عرفت أنّ بناء العقلاء لیس ناهضا علیه </w:t>
      </w:r>
      <w:r>
        <w:rPr>
          <w:rStyle w:val="FootnoteAnchor"/>
          <w:rtl w:val="true"/>
        </w:rPr>
        <w:footnoteReference w:id="626"/>
      </w:r>
      <w:r>
        <w:rPr>
          <w:rFonts w:ascii="IRNazanin" w:hAnsi="IRNazanin" w:eastAsia="IRNazanin"/>
          <w:color w:val="111111"/>
          <w:sz w:val="28"/>
          <w:sz w:val="28"/>
          <w:szCs w:val="28"/>
          <w:rtl w:val="true"/>
          <w:lang w:bidi="fa-IR"/>
        </w:rPr>
        <w:t>و علی المدّعی إقامة الدلیل علی الشرط المزبور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القدر المتیقّن من بناء العقلاء، فی غیر محلّه،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أنّه کلام بلا بیّنة، و مقال بلا برهان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منه اشتراط انضمام القرینة النوعیّة شرعا، أو عند العقلاء، فهو أیضا بلا قائل، و لا یقوم علیه الدلیل، و سیظهر وجه حجّیة الظواهر إثباتا علی وجه أوسع</w:t>
      </w:r>
    </w:p>
    <w:p>
      <w:pPr>
        <w:pStyle w:val="BookText"/>
        <w:rPr/>
      </w:pPr>
      <w:r>
        <w:rPr>
          <w:rFonts w:ascii="IRNazanin" w:hAnsi="IRNazanin" w:eastAsia="IRNazanin"/>
          <w:color w:val="111111"/>
          <w:sz w:val="28"/>
          <w:sz w:val="28"/>
          <w:szCs w:val="28"/>
          <w:rtl w:val="true"/>
          <w:lang w:bidi="fa-IR"/>
        </w:rPr>
        <w:t xml:space="preserve">من ذلک إن شاء اللَّه تعالی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هذا المقام حول حجّیة الظواهر، و حول أنّ حجّة المولی علی العبد، تامّة إذا قام عنده ظهور لکلام مولاه، و یکون الظاهر حجّة، للعبد عند المخالفة للواقع، من غیر النّظر إلی کشف مرادات المولی، و من غیر وجوب اتباع الظاهر فی تعیین مراده، کما هو الظاهر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Style w:val="FootnoteAnchor"/>
          <w:rtl w:val="true"/>
        </w:rPr>
        <w:footnoteReference w:id="628"/>
      </w:r>
      <w:r>
        <w:rPr>
          <w:rFonts w:ascii="IRNazanin" w:hAnsi="IRNazanin" w:eastAsia="IRNazanin"/>
          <w:color w:val="111111"/>
          <w:sz w:val="28"/>
          <w:sz w:val="28"/>
          <w:szCs w:val="28"/>
          <w:rtl w:val="true"/>
          <w:lang w:bidi="fa-IR"/>
        </w:rPr>
        <w:t>، فإنّه خلط بین مسألة جواز الإفتاء علی طبق الظواهر، و بین مسألة حجّیة الظاهر، فإنّ مسألة الإفتاء علی طبق الأمارات و الظواهر، منوط بانکشاف رأی المولی، و مراده الجدّی و الواقعیّ، و أمّا حدیث حجّیة الظاهر، فهی لیست إلاّ بمعنی تمامیّة حجّة المولی علی العبد، بوصول کلامه الظاهر فی معنی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نبالی بالملازمة العادیّة و النوعیّة بین الظاهر و ما هو المراد، و لکن الحیثیّة الذاتیّة لتمامیّة الحجّیة، هی انعقاد الظهور إثباتا، و لذلک تری ذهاب القوم إلی الحجّیة و لو کان الظنّ الشخصیّ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بالبحث هنا، إثبات انقطاع عذر العبد بعد قیام الظهور،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الظاهر هو المراد الجدّی، أم لم نقل به،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حجّیة الظاهر منوطة بکون الظاهر علی وجه لو کان مرادا، لکان عذر العبد منقطعا، فلا یتوقّف علی کشف المراد 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محطّ النزاع هو حجّیة الظاهر، و الظهور المقصود هو الوصف القائم للکلام التامّ الصادر الملقی، إلی الأمّة مثلا، و ما هو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الکلام التامّ بعد تمامیّة قیوده إذا کان ظاهرا فی معناه، یکون حجّة، أم لا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فالظهور التصدیقیّ مورد البحث، دون المعانی و الظهورات الناقصة المستندة</w:t>
      </w:r>
      <w:bookmarkStart w:id="493" w:name="pg13170_166446"/>
    </w:p>
    <w:p>
      <w:pPr>
        <w:pStyle w:val="BookText"/>
        <w:rPr/>
      </w:pPr>
      <w:bookmarkEnd w:id="493"/>
      <w:r>
        <w:rPr>
          <w:rFonts w:ascii="IRNazanin" w:hAnsi="IRNazanin" w:eastAsia="IRNazanin"/>
          <w:color w:val="111111"/>
          <w:sz w:val="28"/>
          <w:sz w:val="28"/>
          <w:szCs w:val="28"/>
          <w:rtl w:val="true"/>
          <w:lang w:bidi="fa-IR"/>
        </w:rPr>
        <w:t xml:space="preserve">إلی المعانی الأفرادیّة، التی تشخیصها موکول إلی الأمور الاخر، کحجّیة قول اللغویّ، و أصالة عدم النقل، و اتحاد العرفین فی المعانی الأفرادیّة، و أصالة الحقیقة، و عدم القرینة، و غیر ذلک ممّا یرتبط بالظهورات الأفرادیّة، أو تشخیص کیفیّة الاستعمال، فإنّ کلّ ذلک أجنبیّ عمّا نحن فیه، فإنّ من مخالفة القمّی و الأخباریّین </w:t>
      </w:r>
      <w:r>
        <w:rPr>
          <w:rStyle w:val="FootnoteAnchor"/>
          <w:rtl w:val="true"/>
        </w:rPr>
        <w:footnoteReference w:id="629"/>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هو فی معنی تصدیقیّ، و ظهور ثابت مفروغ منه للکلام، و من استناد القوم إلی البناءات العقلائیّة، أیضا یتبیّن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فالبحث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الأصول الراجعة إلی تشخیص المعانی الأفرادیّة، 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الأصول الراجعة إلی تشخیص المعنی التصدیقیّ، و ظهور الکلام، و کیفیّة الاستعمال، غیر صحیح، ضرورة أنّ البحث لیس فیما به ینعقد به الظهور، بل البحث حول أنّ الظهور الموجود حجّة،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هذان البحثان من المبادئ لمسألتنا، و لیسا داخلین فیها، فما تری من الخلط فی کلام الأصحاب،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أعمّ من الظهورات الموجودة فی الکتاب و السنّة، و الظهورات الحاصلة فی الوصایا و الإنشاءات و الأوقاف و الأقاریر، فإنّ الفقیه یبتلی بها أیضا</w:t>
      </w:r>
      <w:r>
        <w:rPr>
          <w:rFonts w:eastAsia="IRNazanin" w:cs="IRNazanin"/>
          <w:color w:val="111111"/>
          <w:sz w:val="28"/>
          <w:szCs w:val="28"/>
          <w:rtl w:val="true"/>
          <w:lang w:bidi="fa-IR"/>
        </w:rPr>
        <w:t>.</w:t>
      </w:r>
    </w:p>
    <w:p>
      <w:pPr>
        <w:pStyle w:val="Heading4"/>
        <w:numPr>
          <w:ilvl w:val="3"/>
          <w:numId w:val="1"/>
        </w:numPr>
        <w:rPr/>
      </w:pPr>
      <w:bookmarkStart w:id="494" w:name="__RefHeading___Toc624609_3244359995"/>
      <w:bookmarkStart w:id="495" w:name="_Toc184"/>
      <w:bookmarkEnd w:id="494"/>
      <w:r>
        <w:rPr>
          <w:rtl w:val="true"/>
        </w:rPr>
        <w:t>ثالثها</w:t>
      </w:r>
      <w:r>
        <w:rPr>
          <w:rtl w:val="true"/>
        </w:rPr>
        <w:t xml:space="preserve">: </w:t>
      </w:r>
      <w:r>
        <w:rPr>
          <w:rtl w:val="true"/>
        </w:rPr>
        <w:t>فی بیان مقدّمات انعقاد الظهور التصدیقی</w:t>
      </w:r>
      <w:bookmarkEnd w:id="495"/>
    </w:p>
    <w:p>
      <w:pPr>
        <w:pStyle w:val="Heading5"/>
        <w:numPr>
          <w:ilvl w:val="4"/>
          <w:numId w:val="1"/>
        </w:numPr>
        <w:rPr/>
      </w:pPr>
      <w:bookmarkStart w:id="496" w:name="__RefHeading___Toc624611_3244359995"/>
      <w:bookmarkStart w:id="497" w:name="_Toc185"/>
      <w:bookmarkEnd w:id="496"/>
      <w:r>
        <w:rPr>
          <w:rtl w:val="true"/>
        </w:rPr>
        <w:t>اشارة</w:t>
      </w:r>
      <w:bookmarkEnd w:id="49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بالإشارة إلی الأمور التی بها ینعقد الظهور التصدیقیّ للکلام، حتّی یصیر البحث هنا نافعا و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بالوضع، سواء حصل من التبادر و الاطلاع الخاصّ، أم بأصالة اتحاد العرفین و عدم النقل و الاستصحاب القهقری، أو لقول اللغویّ، بناء علی القول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یحتاج إلی العلم بالموادّ، لا بدّ من العلم بالهیئات التامّة و الناقصة، فإنّ لکلّ منها وضعا خاصّا نوعیّا، أو شخصیّا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بالاستعمال، و أنّه حقیقیّ أو مجازیّ، کنائیّ أو استعاریّ، فإنّه إذا حصل ذلک فلا مورد للرجوع إلی أصالة الحقیقة، أو أصالة عدم القرینة، و عدم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 ذلک، و أنّه هل أرید منه المعنی الحقیقیّ، أم المجازیّ لو کان له المعنی المجازیّ؟ فالحقّ أنّ حدیث أصالة الحقیقة فی قبال المجاز، و استعمال اللفظ فی غیر ما وضع له، لا أصل لها، لما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جمیع الاستعمالات المجازیّة، تکون من استعمال اللفظ فی ما وضع له بحسب الإرادة الاستعمالیّة، و حدیث استعمال اللفظ فی غیر ما وضع له، باطل عاطل جدّاً، سواء فیه المجاز المرسل، و الکنایات، و الاستعارات، فلا شکّ فیه حتّی یرجع إلی الأصل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مذهب الحقّ فی هذه المرحلة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المشهور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الحقیقة لا أصل لها، لأنّ الاستعمال المجازیّ أمر عقلائیّ، دائر فی جمیع مراحل الحیاة، حتّی فی الاستعمالات القرآنیّة، بل و فی السنّة النبویّة، و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الاستعمال أعمّ من الحقیقة، و لا یکون دلیلا علیها</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هنا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المتکلّم الحکیم المرید من الکلام إیفاء المرام، و تحقیق الآمال فی الأنام، لا بدّ له من ذکر القرینة عند إرادة المجاز، و حیث هی غیر موجودة، فیعلم منه إرادة المعنی الحقیقیّ، فرارا من نقض المرام، و من التخلّف عن دیدن الناس و العقلاء فی المحاورات و المراسلات و المکالمات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وجود القرینة حین الإلقاء، و لم تصل إلینا، لکثرة الدوافع، یدفعه 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یرجع تمسّک القوم بأصالة عدم القرینة فی هذه المرحلة، و قد صرّح الشیخ برجوع أصالة عدم التخصیص و التقیید إلیه أیضا عند الشکّ فی وجودهما</w:t>
      </w:r>
      <w:r>
        <w:rPr>
          <w:rStyle w:val="FootnoteAnchor"/>
          <w:rtl w:val="true"/>
        </w:rPr>
        <w:footnoteReference w:id="632"/>
      </w:r>
      <w:r>
        <w:rPr>
          <w:rFonts w:ascii="IRNazanin" w:hAnsi="IRNazanin" w:eastAsia="IRNazanin"/>
          <w:color w:val="111111"/>
          <w:sz w:val="28"/>
          <w:sz w:val="28"/>
          <w:szCs w:val="28"/>
          <w:rtl w:val="true"/>
          <w:lang w:bidi="fa-IR"/>
        </w:rPr>
        <w:t>، فالمستند أصل عدمیّ واحد، و هو 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أنّه علی المبنی المشهور یشکل الأمر، لأنّ أصالة عدم القرینة إن کان معناها أصل عدم الاستناد إلی القرینة، فهو لیس معنی عقلائیّا، لکثرة الاستناد إلی القرائن فی المجازات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مستندا إلیها لوصل، فیعلم منه عدم الاستناد، لأنّ ذلک یرجع إلی أصالة عدم النقیصة بعد وصول أصل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الاستناد إلی القرینة المنفصلة، أمّا لجواز التأخیر عن وقت الحاجة، أو لعدم بلوغ الحاجة بالتأخیر، کما هو کذلک فی العامّ المتأخّر عنه المخصّص، و المطلق مثله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ما هو الأمر العقلائیّ هو أنّ الاستعمال حقیقیّ، و لا مجاز، و إرادة المعنی الآخر من اللفظ، تحتاج إلی القرینة، و هی مفقودة، فیکون المراد الجدّی معناه الظاهر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الّذی یکثر 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أنّه أرید منه معناه</w:t>
      </w:r>
      <w:bookmarkStart w:id="498" w:name="pg13170_166449"/>
    </w:p>
    <w:p>
      <w:pPr>
        <w:pStyle w:val="BookText"/>
        <w:rPr/>
      </w:pPr>
      <w:bookmarkEnd w:id="498"/>
      <w:r>
        <w:rPr>
          <w:rFonts w:ascii="IRNazanin" w:hAnsi="IRNazanin" w:eastAsia="IRNazanin"/>
          <w:color w:val="111111"/>
          <w:sz w:val="28"/>
          <w:sz w:val="28"/>
          <w:szCs w:val="28"/>
          <w:rtl w:val="true"/>
          <w:lang w:bidi="fa-IR"/>
        </w:rPr>
        <w:t>المطابقی، أو الکنائیّ، فإنّه لو لا القرینة الحالیّة و المقالیّة، یحمل علی المطابقی، بعد کون الاستعمال علی کلّ تقدیر حقیقیّا، لأنّ ذلک هو بناء العقلاء، و أمّا إذا فرض أنّ الاستعمال یحتمل کونه مجازیّا، فأصالة عدم القرینة لا تفید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لا یختلف بحسب حکم العقلاء، و فی مرحلة الاحتجاج و المخاصمة، و لا یعتنون باحتمال وجود القرینة غیر الواصلة و لو کان الاستعمال المجازیّ کثیرا، و موانع وصول القرائن أیضا کثیرة، و إلاّ للزم المنع عن تمامیّة الحجّة حتّی علی المبنی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عن الأصل العقلائیّ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لأنّ المعنی الظاهر منه، هو استصحاب عدم وجود القرینة، أو أصالة عدم الحاجة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عدل عنه العلاّمة الخراسانیّ، و 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الظهور</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و هو أیضا علی مسلکه فی باب المجازات </w:t>
      </w:r>
      <w:r>
        <w:rPr>
          <w:rStyle w:val="FootnoteAnchor"/>
          <w:rtl w:val="true"/>
        </w:rPr>
        <w:footnoteReference w:id="634"/>
      </w:r>
      <w:r>
        <w:rPr>
          <w:rFonts w:ascii="IRNazanin" w:hAnsi="IRNazanin" w:eastAsia="IRNazanin"/>
          <w:color w:val="111111"/>
          <w:sz w:val="28"/>
          <w:sz w:val="28"/>
          <w:szCs w:val="28"/>
          <w:rtl w:val="true"/>
          <w:lang w:bidi="fa-IR"/>
        </w:rPr>
        <w:t xml:space="preserve">غیر کاف، لاحتیاج الکلام أوّلا إلی إثبات کونه من الاستعمال الحقیقیّ، ثمّ إلی أنّ ما هو ظاهر الاستعمال مورد الجدّ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الجدّ</w:t>
      </w:r>
      <w:r>
        <w:rPr>
          <w:rFonts w:eastAsia="IRNazanin" w:cs="IRNazanin"/>
          <w:color w:val="111111"/>
          <w:sz w:val="28"/>
          <w:szCs w:val="28"/>
          <w:rtl w:val="true"/>
          <w:lang w:bidi="fa-IR"/>
        </w:rPr>
        <w:t>».</w:t>
      </w:r>
    </w:p>
    <w:p>
      <w:pPr>
        <w:pStyle w:val="Heading5"/>
        <w:numPr>
          <w:ilvl w:val="4"/>
          <w:numId w:val="1"/>
        </w:numPr>
        <w:rPr/>
      </w:pPr>
      <w:bookmarkStart w:id="499" w:name="__RefHeading___Toc624613_3244359995"/>
      <w:bookmarkStart w:id="500" w:name="_Toc186"/>
      <w:bookmarkEnd w:id="499"/>
      <w:r>
        <w:rPr>
          <w:rtl w:val="true"/>
        </w:rPr>
        <w:t>تنقیح و توضیح</w:t>
      </w:r>
      <w:r>
        <w:rPr>
          <w:rtl w:val="true"/>
        </w:rPr>
        <w:t xml:space="preserve">: </w:t>
      </w:r>
      <w:r>
        <w:rPr>
          <w:rtl w:val="true"/>
        </w:rPr>
        <w:t>فی بیان المراحل الثلاث التی یتوقف علیها الظهور التام للکلام</w:t>
      </w:r>
      <w:bookmarkEnd w:id="500"/>
    </w:p>
    <w:p>
      <w:pPr>
        <w:pStyle w:val="BookText"/>
        <w:rPr/>
      </w:pPr>
      <w:r>
        <w:rPr>
          <w:rFonts w:ascii="IRNazanin" w:hAnsi="IRNazanin" w:eastAsia="IRNazanin"/>
          <w:color w:val="111111"/>
          <w:sz w:val="28"/>
          <w:sz w:val="28"/>
          <w:szCs w:val="28"/>
          <w:rtl w:val="true"/>
          <w:lang w:bidi="fa-IR"/>
        </w:rPr>
        <w:t>قد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توصیف الکلام بالظهور التامّ، یتوقّف علی طیّ مراحل ثلاث</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الاطلاع علی المعانی الأفرادیّة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فهم أنّ الاستعمال حقیقیّ أو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المرحلة مسلکان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 إن کان بمعنی استعمال اللفظ فی غیر ما وضع له، فلا بدّ من طیّ هذه المرحلة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المجاز و الحقیقة، مشترکین فی أنّ الألفاظ علی کلّ تقدیر مستعملة فی الموضوع له، کما هو المسلک المحرّر فی محلّه </w:t>
      </w:r>
      <w:r>
        <w:rPr>
          <w:rStyle w:val="FootnoteAnchor"/>
          <w:rtl w:val="true"/>
        </w:rPr>
        <w:footnoteReference w:id="635"/>
      </w:r>
      <w:r>
        <w:rPr>
          <w:rFonts w:ascii="IRNazanin" w:hAnsi="IRNazanin" w:eastAsia="IRNazanin"/>
          <w:color w:val="111111"/>
          <w:sz w:val="28"/>
          <w:sz w:val="28"/>
          <w:szCs w:val="28"/>
          <w:rtl w:val="true"/>
          <w:lang w:bidi="fa-IR"/>
        </w:rPr>
        <w:t>، فلا حاجة إلی طیّها، و تصل النوبة بعد ذلک إلی المرحلة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ذکرنا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کون اللفظ مستعملا فی الموضوع له بأصالة الحقیقة، أو بأصالة عدم القرینة، أو بأصالة الظهور، غیر ممکن، و غیر سدید، ضرورة أنّ أصالة الحقیقة لیست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عدم القرینة لا معنی لها، لأنّ غایة ما یقال لتحریرها و تقریبها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المتکلّم لم یذکر القرینة، و هو غیر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الظهور أجنبیّة عن هذه المرحلة، و مربوطة بالمرحلة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أصل یستفاد منه أنّ الاستعمال حقیقیّ، إلاّ أنّ قضیّة کون المتکلّم فی مقام الإفادة، و أنّه حکیم غیر لاغ فی الکلام، و غیر ناقض للمرام، کون الإخلال بالقرینة مضرّا بذلک، فمن عدم وصول القرینة یستکشف کون الاستعمال فیما وضع 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إلی وجه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یکون الاتکال علی القرینة المنفصلة، و قد منع الموانع الطبیعیّة عن وصولها، کما منعت عن وصول طائفة من الأخبار و الأحادیث إلینا، فلا یلزم نقض الغرض من ناحیة المولی و المتکلّم، بل الغرض منقوض من ناحیة الأمور الخارجیّة الخارجة عن الاختیار حسب الطبع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ذکر القرینة المنفصلة علی أنّ الاستعمال فی غیر ما وضع له، خلاف البناء العقلائیّ، و بذلک یحصل الفرق بین المخصّص و المقیّد، و بین القرینة علی المجاز و الاستعمال فی غیر ما وضع له، ضرورة أنّ دأب المقنّنین علی ذکر المخصّصات و المقیّدات، و هذا لا منع منه، لعدم کون العامّ مجازا بهما، بخلاف ما هو المفروض فی الاستعمالات المجازیّة، و استعمال الألفاظ فی غیر ما وضعت له، فإنّه لا بدّ من ذکر القرینة المتّصلة، لأنّ الاتکاء علی المنفصلة، خروج عن عادة المتکلّمین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ذلک فیما إذا اقتضت الحاجة، و کان قد بلغ وقتها، و حان أمدها، و إلاّ فلا منع من استعمال الألفاظ فی غیر ما وضعت له فی رسالة أرسلها إلی عبیده، و حیث لم یبلغ وقت الحاجة بوصولها إلیهم، کان بناؤه علی إرسال القرائن منفصلة، فأرسلها، و لکنّ الموانع و السیل و الریاح منعت من وصولها، فلا یلزم الإخلال بالغرض من ناحیة، و یجوز له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أنّ الألفاظ الموجودة، مستعملة فیما وضعت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اشتهار المجاز بالمعنی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لا بأصالة الحقیقة التی اتکل علیها المشهور، و لا بأصالة عدم القرینة التی اعتمد علیها الشیخ رحمه اللَّه </w:t>
      </w:r>
      <w:r>
        <w:rPr>
          <w:rStyle w:val="FootnoteAnchor"/>
          <w:rtl w:val="true"/>
        </w:rPr>
        <w:footnoteReference w:id="636"/>
      </w:r>
      <w:r>
        <w:rPr>
          <w:rFonts w:ascii="IRNazanin" w:hAnsi="IRNazanin" w:eastAsia="IRNazanin"/>
          <w:color w:val="111111"/>
          <w:sz w:val="28"/>
          <w:sz w:val="28"/>
          <w:szCs w:val="28"/>
          <w:rtl w:val="true"/>
          <w:lang w:bidi="fa-IR"/>
        </w:rPr>
        <w:t xml:space="preserve">و لا بأصالة الظهور التی ذکرها المتأخّرون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الأراکیّ و النائینیّ رحمهم اللَّه و غیرهم </w:t>
      </w:r>
      <w:r>
        <w:rPr>
          <w:rStyle w:val="FootnoteAnchor"/>
          <w:rtl w:val="true"/>
        </w:rPr>
        <w:footnoteReference w:id="637"/>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مصباح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أصالة عدم القرینة، هی البناء علی الاستعمال فی الموضوع له إذا کان فی الکلام ما یصلح للقرینیّة، مع أنّه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إجراء أصالة الحقیقة هنا مبنیّ علی أنّها أصل تعبّدی، و هو باطل عاطل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بأنّ الاستعمال فی کلّ مورد، یکون فیما وضع له فهو، و إلاّ فلا یمکن کشف کون الاستعمال فیما وضع له، و عندئذ لا یبقی مورد لأصالة التطابق، و الجدّ، و أصالة الظهور، لأنّها فرع کون الاستعمال حقیقیّا و فیما وضع له، و فرع استکشاف الإرادة الاستعمالیّة، فإنّه إن استکشف الإرادة الاستعمالیّة، تصل النوبة إلی تطبیق الحقیقة و الجدّیة علیها، و إلاّ فلا، لإمکان کون الإرادة الاستعمالیّة مجازیّة،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إشکال آخر علی الشیخ و أتباعه رحمهم اللَّه فإنّ مسألة أصالة عدم التخصیص و عدم التقیید عند الشکّ، أجنبیّة عن هذه المرحلة، و داخلة فی المرحلة الآتیة، لأنّ الاستعمال هناک فیما وضع له، کما تحرّر فی محلّه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و العویصة، کما تتوجّه إلی المشهور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المجاز استعمال اللفظ فی غیر ما وضع له، تتوجّه إلی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المجاز هو عدم کون المراد الاستعمالی، جدّیا فی جمیع الاستعمالات، و أنّ اللفظ المستعمل فیما وضع له، مجاز و قنطرة إلی المرام الجدّی و المقصود الواقعیّ، إمّا بالادعاء، أو بانتقال المخاطب إلیه، و التفصیل فی محله </w:t>
      </w:r>
      <w:r>
        <w:rPr>
          <w:rStyle w:val="FootnoteAnchor"/>
          <w:rtl w:val="true"/>
        </w:rPr>
        <w:footnoteReference w:id="639"/>
      </w:r>
      <w:r>
        <w:rPr>
          <w:rFonts w:ascii="IRNazanin" w:hAnsi="IRNazanin" w:eastAsia="IRNazanin"/>
          <w:color w:val="111111"/>
          <w:sz w:val="28"/>
          <w:sz w:val="28"/>
          <w:szCs w:val="28"/>
          <w:rtl w:val="true"/>
          <w:lang w:bidi="fa-IR"/>
        </w:rPr>
        <w:t>، و ذلک لأنّ من الممکن أن یتّکل المتکلّم علی القرینة المنفصلة بالنسبة إلی هذا المسلک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استکشاف الإرادة الاستعمالیّة، یکون الأصل العقلائیّ علی تطابق الجدّ و الاستعمال، فعلی مسلکنا لا قصور فی المقتضی، و هو أنّ الألفاظ مستعملة فیما هو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کون المعنی غیر مقصود بالذات، فهو مدفوع بالأصل المزبور الآتی تحقیقه فی المرحلة الآتیة إن شاء اللَّه تعالی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مسلکهم، فلا یستکشف المراد الاستعمالیّ، و أنّه إرادة الاستعمال</w:t>
      </w:r>
    </w:p>
    <w:p>
      <w:pPr>
        <w:pStyle w:val="BookText"/>
        <w:rPr/>
      </w:pPr>
      <w:r>
        <w:rPr>
          <w:rFonts w:ascii="IRNazanin" w:hAnsi="IRNazanin" w:eastAsia="IRNazanin"/>
          <w:color w:val="111111"/>
          <w:sz w:val="28"/>
          <w:sz w:val="28"/>
          <w:szCs w:val="28"/>
          <w:rtl w:val="true"/>
          <w:lang w:bidi="fa-IR"/>
        </w:rPr>
        <w:t>المجازیّ و فی غیر ما وضع له، أم إرادة المعنی الموضوع له، فیکون من الشکّ فی المقتضی، و قد مرّ عدم وجود أصل یحرز به المقتضی، فلا تصل النوبة إلی أصالة الجدّ و الطباق،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البناء علی أنّ ما هو المراد فی الإرادة الاستعمالیّة، هو المراد واقعا و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صفة الاستعمال، و هو استعمال اللفظ فی الموضوع له، و بعد کشف هذه الصفة فرضا بإحدی الأصول الممکنة، فلا بدّ من سدّ الاحتمال الآخر، و هو ثالث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استعمل اللفظ فی الموضوع له، و لکن لیس المقصود هذا المعنی، بل المتکلّم بصدد الأمر الآخر، فیکون الأمر مثلا للتعجیز و التمرین و الامتحان، فلا تجب الإطاعة مثلا، أو یکون الأمر تقیّة، أو هنا مصلحة فی نفس الإلقاء و الاستعمال، و ینسدّ هذا الاحتمال بأصالة الجدّ و التطابق بین المرادین،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الأصل کما یجری بعد کشف حال الاستعمال الحقیقیّ، نحتاج إلیه فیما إذا أقیمت القرینة علی المجاز،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بأسد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فرضنا أنّ اللفظ مستعمل فی غیر ما هو الموضوع له، فلا بدّ من الالتزام بالإطاعة، نظرا إلی الأصل المزبور، فهذه المرحلة ممّا لا بدّ منها علی کلّ تقدیر، ففی صورة الشکّ فی وجود القرینة یجری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وجه المناقشة، و أنّ الإشکال الّذی وجّهناه علی مقالة المشهور، یأتی هنا بجوابه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إحراز عدم القرینة، بل یکفی الشکّ فی وجود القرینة، فما تمسّک به الشیخ رحمه اللَّه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عدم القرینة</w:t>
      </w:r>
      <w:r>
        <w:rPr>
          <w:rStyle w:val="FootnoteAnchor"/>
          <w:rtl w:val="true"/>
        </w:rPr>
        <w:footnoteReference w:id="640"/>
      </w:r>
      <w:r>
        <w:rPr>
          <w:rFonts w:ascii="IRNazanin" w:hAnsi="IRNazanin" w:eastAsia="IRNazanin"/>
          <w:color w:val="111111"/>
          <w:sz w:val="28"/>
          <w:sz w:val="28"/>
          <w:szCs w:val="28"/>
          <w:rtl w:val="true"/>
          <w:lang w:bidi="fa-IR"/>
        </w:rPr>
        <w:t>، فی غیر محلّه فی هذه المرحلة أیضا</w:t>
      </w:r>
      <w:r>
        <w:rPr>
          <w:rFonts w:eastAsia="IRNazanin" w:cs="IRNazanin"/>
          <w:color w:val="111111"/>
          <w:sz w:val="28"/>
          <w:szCs w:val="28"/>
          <w:rtl w:val="true"/>
          <w:lang w:bidi="fa-IR"/>
        </w:rPr>
        <w:t>.</w:t>
      </w:r>
      <w:bookmarkStart w:id="501" w:name="pg13170_166454"/>
    </w:p>
    <w:p>
      <w:pPr>
        <w:pStyle w:val="Heading5"/>
        <w:numPr>
          <w:ilvl w:val="4"/>
          <w:numId w:val="1"/>
        </w:numPr>
        <w:rPr/>
      </w:pPr>
      <w:bookmarkStart w:id="502" w:name="__RefHeading___Toc624615_3244359995"/>
      <w:bookmarkStart w:id="503" w:name="_Toc187"/>
      <w:bookmarkEnd w:id="501"/>
      <w:bookmarkEnd w:id="502"/>
      <w:r>
        <w:rPr>
          <w:rtl w:val="true"/>
        </w:rPr>
        <w:t>بقی شی‌ء</w:t>
      </w:r>
      <w:r>
        <w:rPr>
          <w:rtl w:val="true"/>
        </w:rPr>
        <w:t xml:space="preserve">: </w:t>
      </w:r>
      <w:r>
        <w:rPr>
          <w:rtl w:val="true"/>
        </w:rPr>
        <w:t>فی أنّه متی یجب إحراز اتحاد المرادین الحقیقی و الاستعمالی</w:t>
      </w:r>
      <w:bookmarkEnd w:id="503"/>
    </w:p>
    <w:p>
      <w:pPr>
        <w:pStyle w:val="BookText"/>
        <w:rPr/>
      </w:pPr>
      <w:r>
        <w:rPr>
          <w:rFonts w:ascii="IRNazanin" w:hAnsi="IRNazanin" w:eastAsia="IRNazanin"/>
          <w:color w:val="111111"/>
          <w:sz w:val="28"/>
          <w:sz w:val="28"/>
          <w:szCs w:val="28"/>
          <w:rtl w:val="true"/>
          <w:lang w:bidi="fa-IR"/>
        </w:rPr>
        <w:t>قضیّة ما تحرّر فی محطّ النزاع، أنّه لا تتوقّف حجّیة الظاهر علی کشف اتحاد المراد الحقیقیّ و الاستعمالیّ، بل لو کان الکلام بحیث ینبغی و یصحّ أن یراد جدّاً، یکون حجّة علی ما یأتی باحتمال الاتحاد المزبور، فلا بدّ من إحراز عدم الاتحاد لجواز القعود فی قبال الأمر و النهی، و العامّ 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الإفتاء علی طبق هذا الکلام منوط بالکشف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المرحلة ممّا لیس یلزم طیّها لحجّیة المراد الاستعمالیّ علی الوجه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طیّ هذه المرحلة، بمعنی أنّه بعد الفراغ من الاستعمال،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الحکم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القعود فی قبال الکلام الواصل بمجرّد احتمال تعدّد المرادین، بل لا بدّ لجواز القعود من إحراز عدم إرادة المراد الاستعمالیّ حقیقة، و إذا لم یحرز تجب الإطاعة، لتمامیّة الحجّة</w:t>
      </w:r>
      <w:r>
        <w:rPr>
          <w:rFonts w:eastAsia="IRNazanin" w:cs="IRNazanin"/>
          <w:color w:val="111111"/>
          <w:sz w:val="28"/>
          <w:szCs w:val="28"/>
          <w:rtl w:val="true"/>
          <w:lang w:bidi="fa-IR"/>
        </w:rPr>
        <w:t>.</w:t>
      </w:r>
    </w:p>
    <w:p>
      <w:pPr>
        <w:pStyle w:val="Heading4"/>
        <w:numPr>
          <w:ilvl w:val="3"/>
          <w:numId w:val="1"/>
        </w:numPr>
        <w:rPr/>
      </w:pPr>
      <w:bookmarkStart w:id="504" w:name="__RefHeading___Toc624617_3244359995"/>
      <w:bookmarkStart w:id="505" w:name="_Toc188"/>
      <w:bookmarkEnd w:id="504"/>
      <w:r>
        <w:rPr>
          <w:rtl w:val="true"/>
        </w:rPr>
        <w:t>لزوم البحث عن حجیّة الظهور بعد حصول المراحل الثلاث السابقة</w:t>
      </w:r>
      <w:bookmarkEnd w:id="505"/>
    </w:p>
    <w:p>
      <w:pPr>
        <w:pStyle w:val="BookText"/>
        <w:rPr/>
      </w:pPr>
      <w:r>
        <w:rPr>
          <w:rFonts w:ascii="IRNazanin" w:hAnsi="IRNazanin" w:eastAsia="IRNazanin"/>
          <w:color w:val="111111"/>
          <w:sz w:val="28"/>
          <w:sz w:val="28"/>
          <w:szCs w:val="28"/>
          <w:rtl w:val="true"/>
          <w:lang w:bidi="fa-IR"/>
        </w:rPr>
        <w:t>إذا عرفت هذه المراحل الثلاث، و انعقد للکلام الواصل ظهور، تصل نوبة البحث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للبحث عن الحجّیة بعد ذلک، لأنّها حینئذ لا بدّ و أن تکون قطعیّة و ضروریّة، فی غیر محله، لأنّ ثبوت الظهور لا یلازم الحجّیة، لإمکان ردع الشرع، فیکون ما هو الظاهر عند العقلاء، غیر حجّة شرعا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الأصولیّ هو البحث عن حجّیة الظواهر، فلا بدّ هناک من ظاهر حتّی یقع محطّ البحث، و الظهور صفة لا تنعقد للکلام إلاّ بعد جریان</w:t>
      </w:r>
    </w:p>
    <w:p>
      <w:pPr>
        <w:pStyle w:val="BookText"/>
        <w:rPr/>
      </w:pPr>
      <w:r>
        <w:rPr>
          <w:rFonts w:ascii="IRNazanin" w:hAnsi="IRNazanin" w:eastAsia="IRNazanin"/>
          <w:color w:val="111111"/>
          <w:sz w:val="28"/>
          <w:sz w:val="28"/>
          <w:szCs w:val="28"/>
          <w:rtl w:val="true"/>
          <w:lang w:bidi="fa-IR"/>
        </w:rPr>
        <w:t>الأصول المزبورة، و مجرّد کون الاستعمال فی الموضوع له، لا یلازم کون الکلام ظاهرا، فلا بدّ من جریان أصالة الجدّ 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الکلام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لا بدّ من أن یصلح الکلام لإرادة المعنی منه جدّاً، حتّی یوصف بالظهور، و بعد ذلک یقع البحث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تقریرات العلاّمة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التصریح بخلاف ذلک </w:t>
      </w:r>
      <w:r>
        <w:rPr>
          <w:rStyle w:val="FootnoteAnchor"/>
          <w:rtl w:val="true"/>
        </w:rPr>
        <w:footnoteReference w:id="641"/>
      </w:r>
      <w:r>
        <w:rPr>
          <w:rFonts w:ascii="IRNazanin" w:hAnsi="IRNazanin" w:eastAsia="IRNazanin"/>
          <w:color w:val="111111"/>
          <w:sz w:val="28"/>
          <w:sz w:val="28"/>
          <w:szCs w:val="28"/>
          <w:rtl w:val="true"/>
          <w:lang w:bidi="fa-IR"/>
        </w:rPr>
        <w:t xml:space="preserve">، بل و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المقصود بالبحث هو إثبات تطابق المرادین، و إثبات الاتحاد بین الإرادتین فی هذا المقام، و هو مقام الباحث الأصولیّ</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غیر صحیح، لأنّ بحث الأصولیّ بحث کبرویّ بعد الفراغ من الظاهر، و توصیف الکلام به، لا صغرویّ،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تتوجّه الشبهة المذکورة، و تندفع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الظاهر بعد جریان الأصول المزبورة، یلازم الحجّیة العقلائیّة، و لا یمکن أن یقع محطّ النقض و الإبرام عند العقلاء، و توصیف الکلام بالظهور یوجب انتهاء البحث إلی الاعتراف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غیر کاف، لأنّ ما هو الحجّة عرفا یمکن أن لا یکون حجّة شرعا، لإمکان الردع و عدم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تکون المسألة کبرویّة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من الشرع دلیل علی عدم الحجّیة، فهو فی حکم القرینة علی عدم اتحاد المرادین، فیلزم عدم حصول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ظواهر الکتاب و السنّة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مطلق الظواهر، 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الظهور المنعقد یلازم</w:t>
      </w:r>
      <w:bookmarkStart w:id="506" w:name="pg13170_166456"/>
    </w:p>
    <w:p>
      <w:pPr>
        <w:pStyle w:val="BookText"/>
        <w:rPr/>
      </w:pPr>
      <w:bookmarkEnd w:id="506"/>
      <w:r>
        <w:rPr>
          <w:rFonts w:ascii="IRNazanin" w:hAnsi="IRNazanin" w:eastAsia="IRNazanin"/>
          <w:color w:val="111111"/>
          <w:sz w:val="28"/>
          <w:sz w:val="28"/>
          <w:szCs w:val="28"/>
          <w:rtl w:val="true"/>
          <w:lang w:bidi="fa-IR"/>
        </w:rPr>
        <w:t>الحجّیة، فإنکارها لا یمکن عند العقلاء إلاّ بإنکار الصغری، فاغتنم</w:t>
      </w:r>
      <w:r>
        <w:rPr>
          <w:rFonts w:eastAsia="IRNazanin" w:cs="IRNazanin"/>
          <w:color w:val="111111"/>
          <w:sz w:val="28"/>
          <w:szCs w:val="28"/>
          <w:rtl w:val="true"/>
          <w:lang w:bidi="fa-IR"/>
        </w:rPr>
        <w:t>.</w:t>
      </w:r>
    </w:p>
    <w:p>
      <w:pPr>
        <w:pStyle w:val="Heading4"/>
        <w:numPr>
          <w:ilvl w:val="3"/>
          <w:numId w:val="1"/>
        </w:numPr>
        <w:rPr/>
      </w:pPr>
      <w:bookmarkStart w:id="507" w:name="__RefHeading___Toc624619_3244359995"/>
      <w:bookmarkStart w:id="508" w:name="_Toc189"/>
      <w:bookmarkEnd w:id="507"/>
      <w:r>
        <w:rPr>
          <w:rtl w:val="true"/>
        </w:rPr>
        <w:t>ثبوت الحجیة الذاتیّة للظواهر</w:t>
      </w:r>
      <w:bookmarkEnd w:id="508"/>
    </w:p>
    <w:p>
      <w:pPr>
        <w:pStyle w:val="BookText"/>
        <w:rPr/>
      </w:pPr>
      <w:r>
        <w:rPr>
          <w:rFonts w:ascii="IRNazanin" w:hAnsi="IRNazanin" w:eastAsia="IRNazanin"/>
          <w:color w:val="111111"/>
          <w:sz w:val="28"/>
          <w:sz w:val="28"/>
          <w:szCs w:val="28"/>
          <w:rtl w:val="true"/>
          <w:lang w:bidi="fa-IR"/>
        </w:rPr>
        <w:t>إذا تبیّن ذلک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حجّیة الظواهر بالمرّة، فی حکم الامتناع، و قد مرّ منّا وجهه فی ذیل کلام ابن قبة</w:t>
      </w:r>
      <w:r>
        <w:rPr>
          <w:rStyle w:val="FootnoteAnchor"/>
          <w:rtl w:val="true"/>
        </w:rPr>
        <w:footnoteReference w:id="643"/>
      </w:r>
      <w:r>
        <w:rPr>
          <w:rFonts w:ascii="IRNazanin" w:hAnsi="IRNazanin" w:eastAsia="IRNazanin"/>
          <w:color w:val="111111"/>
          <w:sz w:val="28"/>
          <w:sz w:val="28"/>
          <w:szCs w:val="28"/>
          <w:rtl w:val="true"/>
          <w:lang w:bidi="fa-IR"/>
        </w:rPr>
        <w:t>، و علیه لا نحتاج إلی الإمضاء الآخر، کما اشتهر ذلک فی القطع، و أنّه حجّة ذاتا، فحجّیة الظواهر فی الجملة ذاتیّة، حسب مصطلحهم فی حجّیة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لحجّیتها بالدلیل اللفظیّ، فهو من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بالسیرة، فهو غیر محتاج إلیه بعد ضروریّتها العقلیّة، الراجعة إلی أنّ نفی حجّیتها، یوجب الاختلال الّذی یفرّ منه الشرع قطعا، و هذا هو السند الأقوی من السیرة، فأصل حجّیة الظواهر فی الجملة، کما تکون ذاتیّة بالمعنی الّذی مرّ، لیست محلّ الخلاف 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إمکان الاستدلال بالدلیل اللفظیّ المقرون بالقرینة لحجّیة الظاهر غیر المقرون، فهو و إن کان صحیحا، و لکنّه مجرّد فرض، لأنّ التفصیل بین ذی القرینة و غیرها، لم یعهد من أحد،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یتوجّه إلی التمسّک بالسیرة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ذلک إمکان ردع الشرع عن تلک السیرة، و هو محلّ منع، لأنّ ردعها لا یمکن إلاّ باللفظ المشکوکة حجّیته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الردع عن التواتر الموجب للقطع بعدم حجّیة الظواهر، و هذا یکفی لأن یکشف من عدمه ارتضاء الشرع بها،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w:t>
      </w:r>
      <w:bookmarkStart w:id="509" w:name="pg13170_166457"/>
    </w:p>
    <w:p>
      <w:pPr>
        <w:pStyle w:val="BookText"/>
        <w:rPr/>
      </w:pPr>
      <w:bookmarkEnd w:id="509"/>
      <w:r>
        <w:rPr>
          <w:rFonts w:ascii="IRNazanin" w:hAnsi="IRNazanin" w:eastAsia="IRNazanin"/>
          <w:color w:val="111111"/>
          <w:sz w:val="28"/>
          <w:sz w:val="28"/>
          <w:szCs w:val="28"/>
          <w:rtl w:val="true"/>
          <w:lang w:bidi="fa-IR"/>
        </w:rPr>
        <w:t>الکلام فی حجّیة الظواهر فی الجملة، فی مقابل السلب الکلیّ</w:t>
      </w:r>
      <w:r>
        <w:rPr>
          <w:rFonts w:eastAsia="IRNazanin" w:cs="IRNazanin"/>
          <w:color w:val="111111"/>
          <w:sz w:val="28"/>
          <w:szCs w:val="28"/>
          <w:rtl w:val="true"/>
          <w:lang w:bidi="fa-IR"/>
        </w:rPr>
        <w:t>.</w:t>
      </w:r>
    </w:p>
    <w:p>
      <w:pPr>
        <w:pStyle w:val="Heading4"/>
        <w:numPr>
          <w:ilvl w:val="3"/>
          <w:numId w:val="1"/>
        </w:numPr>
        <w:rPr/>
      </w:pPr>
      <w:bookmarkStart w:id="510" w:name="__RefHeading___Toc624621_3244359995"/>
      <w:bookmarkStart w:id="511" w:name="_Toc190"/>
      <w:bookmarkEnd w:id="510"/>
      <w:r>
        <w:rPr>
          <w:rtl w:val="true"/>
        </w:rPr>
        <w:t>تتمیم</w:t>
      </w:r>
      <w:r>
        <w:rPr>
          <w:rtl w:val="true"/>
        </w:rPr>
        <w:t xml:space="preserve">: </w:t>
      </w:r>
      <w:r>
        <w:rPr>
          <w:rtl w:val="true"/>
        </w:rPr>
        <w:t>فی بطلان التمسک علی حجّیة الظواهر بالروایات المستشهدة بالکتاب</w:t>
      </w:r>
      <w:bookmarkEnd w:id="511"/>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بطائفة من الآیات فی طائفة من الروایات، دلیل علی حجّیة مطلق الظواهر، و لا أقلّ من ظواهر الکتاب، أو ظواهر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اختصاص الحجّیة بظاهر تلک الآیات غریب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یمکن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الاحتجاج أعمّ من الحقیقة، کالاستعمال، ضرورة أنّ فی الأخبار ممّا یحتجّ بالآیة إلزاما للخصم، کالاستدلال بآیة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Style w:val="FootnoteAnchor"/>
          <w:rtl w:val="true"/>
        </w:rPr>
        <w:footnoteReference w:id="644"/>
      </w:r>
      <w:r>
        <w:rPr>
          <w:rFonts w:ascii="IRNazanin" w:hAnsi="IRNazanin" w:eastAsia="IRNazanin"/>
          <w:color w:val="111111"/>
          <w:sz w:val="28"/>
          <w:sz w:val="28"/>
          <w:szCs w:val="28"/>
          <w:rtl w:val="true"/>
          <w:lang w:bidi="fa-IR"/>
        </w:rPr>
        <w:t>فلا تخلط، و کن علی بصیرة من أمرک</w:t>
      </w:r>
      <w:r>
        <w:rPr>
          <w:rFonts w:eastAsia="IRNazanin" w:cs="IRNazanin"/>
          <w:color w:val="111111"/>
          <w:sz w:val="28"/>
          <w:szCs w:val="28"/>
          <w:rtl w:val="true"/>
          <w:lang w:bidi="fa-IR"/>
        </w:rPr>
        <w:t>.</w:t>
      </w:r>
      <w:bookmarkStart w:id="512" w:name="pg13170_166458"/>
    </w:p>
    <w:p>
      <w:pPr>
        <w:pStyle w:val="Heading4"/>
        <w:numPr>
          <w:ilvl w:val="3"/>
          <w:numId w:val="1"/>
        </w:numPr>
        <w:rPr/>
      </w:pPr>
      <w:bookmarkStart w:id="513" w:name="__RefHeading___Toc624623_3244359995"/>
      <w:bookmarkStart w:id="514" w:name="_Toc191"/>
      <w:bookmarkEnd w:id="512"/>
      <w:bookmarkEnd w:id="513"/>
      <w:r>
        <w:rPr>
          <w:rtl w:val="true"/>
        </w:rPr>
        <w:t>شبهات و حلول</w:t>
      </w:r>
      <w:bookmarkEnd w:id="514"/>
    </w:p>
    <w:p>
      <w:pPr>
        <w:pStyle w:val="Heading5"/>
        <w:numPr>
          <w:ilvl w:val="4"/>
          <w:numId w:val="1"/>
        </w:numPr>
        <w:rPr/>
      </w:pPr>
      <w:bookmarkStart w:id="515" w:name="__RefHeading___Toc624625_3244359995"/>
      <w:bookmarkStart w:id="516" w:name="_Toc192"/>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بقی فی المقام شبهات لا بدّ من الإشارة إلیها</w:t>
      </w:r>
      <w:r>
        <w:rPr>
          <w:rFonts w:eastAsia="IRNazanin" w:cs="IRNazanin"/>
          <w:color w:val="111111"/>
          <w:sz w:val="28"/>
          <w:szCs w:val="28"/>
          <w:rtl w:val="true"/>
          <w:lang w:bidi="fa-IR"/>
        </w:rPr>
        <w:t>:</w:t>
      </w:r>
    </w:p>
    <w:p>
      <w:pPr>
        <w:pStyle w:val="Heading5"/>
        <w:numPr>
          <w:ilvl w:val="4"/>
          <w:numId w:val="1"/>
        </w:numPr>
        <w:rPr/>
      </w:pPr>
      <w:bookmarkStart w:id="517" w:name="__RefHeading___Toc624627_3244359995"/>
      <w:bookmarkStart w:id="518" w:name="_Toc193"/>
      <w:bookmarkEnd w:id="517"/>
      <w:r>
        <w:rPr>
          <w:rtl w:val="true"/>
        </w:rPr>
        <w:t>الشبهة الأولی</w:t>
      </w:r>
      <w:r>
        <w:rPr>
          <w:rtl w:val="true"/>
        </w:rPr>
        <w:t xml:space="preserve">: </w:t>
      </w:r>
      <w:r>
        <w:rPr>
          <w:rtl w:val="true"/>
        </w:rPr>
        <w:t>فی اختصاص حجّیة الظواهر بحصول الوثوق أو الظن بالوفاق</w:t>
      </w:r>
      <w:bookmarkEnd w:id="518"/>
    </w:p>
    <w:p>
      <w:pPr>
        <w:pStyle w:val="BookText"/>
        <w:rPr/>
      </w:pPr>
      <w:r>
        <w:rPr>
          <w:rFonts w:ascii="IRNazanin" w:hAnsi="IRNazanin" w:eastAsia="IRNazanin"/>
          <w:color w:val="111111"/>
          <w:sz w:val="28"/>
          <w:sz w:val="28"/>
          <w:szCs w:val="28"/>
          <w:rtl w:val="true"/>
          <w:lang w:bidi="fa-IR"/>
        </w:rPr>
        <w:t>أنّ المفاسد المذکورة تندفع بحجّیة الظواهر الخاصّة، و هی الظواهر المورثة للوثوق و الاطمئنان، و لا أقلّ من کون الحجّیة، مقصورة بما إذا کانت موجبة للظنّ بالوفاق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یستلزم الخلف، لأنّ لازمه إنکار حجّیتها رأسا، ضرورة أنّ ما هو الحجّة حینئذ واقعا هو الوثوق و الظنّ، دون الظاهر، غیر مضرّ، لأنّ للشرع مثلا الردع عن الوثوق الحاصل من الظاهر، و هکذا الظنّ، و عند ذلک تکون الظواهر حجّة، سواء أرید منها أنّ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أو أنّ السبب و هو الظاهر حجّة، فإنّ الأمر حینئذ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أنّ البناءات العرفیّة و العقلائیّة و الالتزامات الشرعیّة و المتشرّعیّة، تکون أعمّ، فإنّ الاحتجاجات الموجودة بین أیدینا و بین الموالی و العبید، لا تنحصر بما ذکر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القدر المتیقّن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لا یعتبر انکشاف المراد الجدّی فی صحّة الاحتجاج، بل صلاحیة الکلام لکونه مرادا جدّاً، کافیة لقطع اللجاج، و صحّة الاحتجاج، و لا یعتبر عند ذلک الاطمئنان بصلاحیة الکلام لذلک، أو الظنّ بها، بل</w:t>
      </w:r>
      <w:bookmarkStart w:id="519" w:name="pg13170_166459"/>
    </w:p>
    <w:p>
      <w:pPr>
        <w:pStyle w:val="BookText"/>
        <w:rPr/>
      </w:pPr>
      <w:bookmarkEnd w:id="519"/>
      <w:r>
        <w:rPr>
          <w:rFonts w:ascii="IRNazanin" w:hAnsi="IRNazanin" w:eastAsia="IRNazanin"/>
          <w:color w:val="111111"/>
          <w:sz w:val="28"/>
          <w:sz w:val="28"/>
          <w:szCs w:val="28"/>
          <w:rtl w:val="true"/>
          <w:lang w:bidi="fa-IR"/>
        </w:rPr>
        <w:t>ما دام لم یثبت سقوط الکلام عن الصلاحیة المذکورة، یصحّ الرکون إلیه للمولی و الاحتجاج به، و لا یعدّ ذلک من العقاب بلا بیان</w:t>
      </w:r>
      <w:r>
        <w:rPr>
          <w:rFonts w:eastAsia="IRNazanin" w:cs="IRNazanin"/>
          <w:color w:val="111111"/>
          <w:sz w:val="28"/>
          <w:szCs w:val="28"/>
          <w:rtl w:val="true"/>
          <w:lang w:bidi="fa-IR"/>
        </w:rPr>
        <w:t>.</w:t>
      </w:r>
    </w:p>
    <w:p>
      <w:pPr>
        <w:pStyle w:val="Heading5"/>
        <w:numPr>
          <w:ilvl w:val="4"/>
          <w:numId w:val="1"/>
        </w:numPr>
        <w:rPr/>
      </w:pPr>
      <w:bookmarkStart w:id="520" w:name="__RefHeading___Toc624629_3244359995"/>
      <w:bookmarkStart w:id="521" w:name="_Toc194"/>
      <w:bookmarkEnd w:id="520"/>
      <w:r>
        <w:rPr>
          <w:rtl w:val="true"/>
        </w:rPr>
        <w:t>الشبهة الثانیة</w:t>
      </w:r>
      <w:r>
        <w:rPr>
          <w:rtl w:val="true"/>
        </w:rPr>
        <w:t xml:space="preserve">: </w:t>
      </w:r>
      <w:r>
        <w:rPr>
          <w:rtl w:val="true"/>
        </w:rPr>
        <w:t>فی انتفاء الحجّیة مع الظن بالخلاف</w:t>
      </w:r>
      <w:bookmarkEnd w:id="521"/>
    </w:p>
    <w:p>
      <w:pPr>
        <w:pStyle w:val="BookText"/>
        <w:rPr/>
      </w:pPr>
      <w:r>
        <w:rPr>
          <w:rFonts w:ascii="IRNazanin" w:hAnsi="IRNazanin" w:eastAsia="IRNazanin"/>
          <w:color w:val="111111"/>
          <w:sz w:val="28"/>
          <w:sz w:val="28"/>
          <w:szCs w:val="28"/>
          <w:rtl w:val="true"/>
          <w:lang w:bidi="fa-IR"/>
        </w:rPr>
        <w:t>أنّ حصول الظنّ بالخلاف، یورث سقوط الکلام عن الاحتجاج، و ذلک لأنّ الظنّ لا یحصل إلاّ بمبدإ خارجیّ، و لأجل قرینة خاصّة، أو عامّة، و عند ذلک یعدّ الکلام مقرونا بالقرینة الصالحة لسقوطه عن الصلاحیة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من الشکّ فی بناء العقلاء، فیشکّ فی الحجّیة مستندا إلی المناشئ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الکلام بمجرّد الظنّ بالخلاف، غیر قابلة للإنکار، بل الوثوق و الاطمئنان الناشئ من الأسباب المردوعة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کالجفر، و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الظنّ أیضا، ضرورة أنّ البیان الّذی علی المولی، حاصل و واصل بوصول الخبر و الآیة و الروایة، فتکون الحجّة تامّة، إلاّ إذا أحرز ما یقوم علی خلافه، أو کان ما یوجب الظنّ بالخلاف، من المناشئ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یفصّل بین صورتی استناد الظنّ إلی المبدأ و المنشأ العقلائیّ، و ما یستند إلی المناشئ غیر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الشکّ فیما هو المنشأ، لا بدّ من الالتزام بتمامیّة البیان بالضرورة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العقاب علی المولی لا یحصل، و إمکان عقابه لا ینسدّ إلاّ فی صورة قیام القرینة الصالحة لإسقاط الکلام عن صلاحیة کونه مرادا جدّاً، و ذلک فیما إذا اقترن بما یصلح للقرینیّة، کالأمر عقیب الحظر، و أمثاله ممّا یکون متعارفا فی المراسلات بین الأقوام و الموالی و العبید، دون الأمور الاخر التی ربّما ترجع إلی اختلاف الناس مزاجا، أو اختلافهم روحا و عقیدة، فإنّ حصول الظنّ بالخلاف، ربّما یستند إلی أمثال هذه المسائل، فلا تخلط</w:t>
      </w:r>
      <w:r>
        <w:rPr>
          <w:rFonts w:eastAsia="IRNazanin" w:cs="IRNazanin"/>
          <w:color w:val="111111"/>
          <w:sz w:val="28"/>
          <w:szCs w:val="28"/>
          <w:rtl w:val="true"/>
          <w:lang w:bidi="fa-IR"/>
        </w:rPr>
        <w:t>.</w:t>
      </w:r>
      <w:bookmarkStart w:id="522" w:name="pg13170_166460"/>
    </w:p>
    <w:p>
      <w:pPr>
        <w:pStyle w:val="Heading5"/>
        <w:numPr>
          <w:ilvl w:val="4"/>
          <w:numId w:val="1"/>
        </w:numPr>
        <w:rPr/>
      </w:pPr>
      <w:bookmarkStart w:id="523" w:name="__RefHeading___Toc624631_3244359995"/>
      <w:bookmarkStart w:id="524" w:name="_Toc195"/>
      <w:bookmarkEnd w:id="522"/>
      <w:bookmarkEnd w:id="523"/>
      <w:r>
        <w:rPr>
          <w:rtl w:val="true"/>
        </w:rPr>
        <w:t>الشبهة الثالثة</w:t>
      </w:r>
      <w:r>
        <w:rPr>
          <w:rtl w:val="true"/>
        </w:rPr>
        <w:t xml:space="preserve">: </w:t>
      </w:r>
      <w:r>
        <w:rPr>
          <w:rtl w:val="true"/>
        </w:rPr>
        <w:t>فی التفصیل بین المقصودین بالإفهام و غیرهم</w:t>
      </w:r>
      <w:bookmarkEnd w:id="524"/>
    </w:p>
    <w:p>
      <w:pPr>
        <w:pStyle w:val="Heading6"/>
        <w:numPr>
          <w:ilvl w:val="5"/>
          <w:numId w:val="1"/>
        </w:numPr>
        <w:rPr/>
      </w:pPr>
      <w:bookmarkStart w:id="525" w:name="__RefHeading___Toc624633_3244359995"/>
      <w:bookmarkStart w:id="526" w:name="_Toc196"/>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 xml:space="preserve">حکی </w:t>
      </w:r>
      <w:r>
        <w:rPr>
          <w:rStyle w:val="FootnoteAnchor"/>
          <w:rtl w:val="true"/>
        </w:rPr>
        <w:footnoteReference w:id="645"/>
      </w:r>
      <w:r>
        <w:rPr>
          <w:rFonts w:ascii="IRNazanin" w:hAnsi="IRNazanin" w:eastAsia="IRNazanin"/>
          <w:color w:val="111111"/>
          <w:sz w:val="28"/>
          <w:sz w:val="28"/>
          <w:szCs w:val="28"/>
          <w:rtl w:val="true"/>
          <w:lang w:bidi="fa-IR"/>
        </w:rPr>
        <w:t>عن المحقق القمّی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حجّیة الظواهر مخصوصة بمن قصد إفهامه، دون من لم یقصد الإفهام بالکلام</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یحضرنی الآن کتابه رحمه اللَّه إلاّ أنّ محتملات مرامه، بین ما یرجع إلی المناقشة فی حجّیة الظواهر علی الإطلاق فی خصوص غیر المقصودین بالإفهام و الخطاب، و بین ما یرجع إلی المناقشة فی خصوص الکتاب و السنّة، مریدا به انسداد باب العلمیّ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المفروض عنده عدم فرض اختصاص المخاطب بالحکم، فإنّه واضح عدم حجّیة الکلام بالنسبة إلی غیره، فیکون المفروض أعمّیة مراد المولی، و اشتراک الکلّ فی الحکم، و عندئذ فإلی م یرجع محصّل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لنا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أرید أنّ غیر المقصودین و المقصودین، مشترکون فی الحکم، إلاّ أنّ المواجهة و المخاطبة، حیث تکون مع أمثال المعاصرین الحاضرین مجلس الوحی و الحدیث، فإذا اطلع غیر المواجه علی مفاد الکتاب و السنّة، یکون غیر حجّة، لعدم کونه مقصودا بالخطاب و الإفهام حین الصدور، و لو کان الحکم مشترکا، و الدستور عامّا، فهل هذا المحقّق أراد ذلک، کما یظهر من جواب المستشکلین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البناءات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 بعید عنه و عن ظاهر بعض ما ینسب إلیه، فعلیه یظهر أنّه رحمه اللَّه یرید إنکار أمر آخر، کما سیظهر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کلامه إرجاع أصالة الظهور و عدم القرینة إلی أصالة عدم الغفلة، و هذا الأصل لا یجری بالنسبة إلی غیر المقصودین و المخاطبین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أصالة عدم الغفلة غیر صحیحة، و ما هو الصحیح لیس إلاّ أصالة صلاحیة الکلام لکونه مراداً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الغفلة إذا جرت بالنسبة إلی المخاطب المقصود، یکون الکلام بعد العلم بالاشتراک، موضوعَ حکم العقلاء بنفوذه و حجّیته بالنسبة إلی غیره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 نظره أیضا لیس إلی ذلک، حتّی یلزم علیه القول بالتفصیل الکلّی بین الظواهر فی الأقاریر و غیرها، حتّی یتوجّه إلیه ما وجّه إلیه فی کتب القوم، کی یکون المستمع من وراء حجاب، غیرَ حجّة بالنسبة إلیه الکلام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ناظر إلی مشکلة فی محیط الشرع الإسلامیّ البعید عصر صدور الآیات و الأخبار عنّا، و أنّ الأحکام کثیراً ما تکون مقرونة بالقرائن الحالیّة الحافّة، و المقالیّة المنفصلة الغیر المحفوظة أصلاً، لعدم انحفاظ کثیر منها، أو لعدم وصول طائفة غیر یسیرة منها إلینا، فیکون باب العلمیّ منسدّاً، و کثیراً ما یتّفق أنّ الحکم المستفاد من الآیة، یختلف مع الحکم المستفاد منها بعد المراجعة إلی جهة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بناءً علی هذا أنّ نیتجة هذه المقالة، المناقشة فی حجّیة الظواهر من الکتاب و السنّة بالنسبة إلی المکلّفین جمیعاً فی عصرنا، و ما یشبه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الحقیقة یرجع إلی اختصاص الخطابات بالحاضرین، و هو مسألة أُخری محرّرة فی العامّ و الخاصّ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المسألة عقلیّة، و هی أنّ خطاب المعدومین مثلاً محال، و هذه المسألة عرفیّة، و هی أخصّ منها، لأنّ لازمها المناقشة فی حجّیة الظواهر فی العصر الأوّل بالنسبة إلی الموجودین أیضا، فضلاً عن المعدومین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انسداد باب العلمیّ بهذه المقالة، و یقول بحجّیة الظنّ المطلق، کما هو رأیه المشهور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تقسیم المکلّفین إلی المقصودین بالإفهام، و غیرهم، غیر صحیح، لما تحرّر من قانونیّة الخطابات الإسلامیّة، فیکون الجمیع مقصودین بالخطاب و الإفهام، حاضرین کانوا، أو غائبین، معدومین کانوا، أو موجودین، و تفصیله یطلب من محلّه </w:t>
      </w:r>
      <w:r>
        <w:rPr>
          <w:rStyle w:val="FootnoteAnchor"/>
          <w:rtl w:val="true"/>
        </w:rPr>
        <w:footnoteReference w:id="649"/>
      </w:r>
      <w:r>
        <w:rPr>
          <w:rFonts w:ascii="IRNazanin" w:hAnsi="IRNazanin" w:eastAsia="IRNazanin"/>
          <w:color w:val="111111"/>
          <w:sz w:val="28"/>
          <w:sz w:val="28"/>
          <w:szCs w:val="28"/>
          <w:rtl w:val="true"/>
          <w:lang w:bidi="fa-IR"/>
        </w:rPr>
        <w:t>فلو کان هذه القسمة أساس رأیه أو دخیلة فی رأیه رحمه اللَّه لکان فسادها کافیا فی فساد مبناه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الّذی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تاریخ أسباب نزول القرآن، و أسباب صدور الأحادیث النبویّة و الأخبار و الروایات، غیر واضح، و غیر متبیّن، فإنّ الاستظهارات و الظهورات تختلف باختلافها، فهو کلام صحیح و متین، إلاّ أنّه لا یصل إلی أن یصح إنکار صلاحیة الکلام الواصل إلینا للحجّیة، فإنّ سقوطه عن الصلاحیة، مرهون بالوثوق و الاطمئنان بوجود القرینة الحالیّة غیر المذکورة المتّصلة، أو القرینة المقالیّة المنفصلة غیر الواصلة إلینا، و هذا أمر لا یمکن الإذعان له و لو علمنا إجمالا بذلک، فإنّ العلم الإجمالیّ فی هذه الدائرة الکبیرة، لا یورث سقوط هذا الأصل العقلائیّ، و تفصیله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القرینة الحالیّة الدخیلة فی الحکم لو کانت موجودة، فلا بدّ للثقات الرّواة من التذکیر بها، و إلاّ تلزم خیانتهم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أسباب النزول و إظلام تاریخ التنزیل و لو کان من المصائب التی لا یدفعها شی‌ء، إلاّ أنّ کونه مضرّا بحجّیة الظواهر الموجودة ممنوع، لأن اختلاف الآیات باختلاف الأسباب، لیس فی جهة 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خصوصیّة موارد النزول، لا 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النوع بالنسبة إلی الموارد الموجودة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انقلابا فی الظهور، و لا تخصیصا بتلک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 و الکبری ممنوعتان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وجود من لا یخصّ بالإفهام</w:t>
      </w:r>
      <w:r>
        <w:rPr>
          <w:rFonts w:eastAsia="IRNazanin" w:cs="IRNazanin"/>
          <w:color w:val="111111"/>
          <w:sz w:val="28"/>
          <w:szCs w:val="28"/>
          <w:rtl w:val="true"/>
          <w:lang w:bidi="fa-IR"/>
        </w:rPr>
        <w:t>.</w:t>
      </w:r>
      <w:bookmarkStart w:id="527" w:name="pg13170_166463"/>
    </w:p>
    <w:p>
      <w:pPr>
        <w:pStyle w:val="BookText"/>
        <w:rPr/>
      </w:pPr>
      <w:bookmarkEnd w:id="527"/>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تمامیّة ما یتوهّم إضراره بصلاحیة الکلام للاحتجاج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یری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بإطلاق بناء العقلاء، دفعا لما أفاده المحقّق المذکور</w:t>
      </w:r>
      <w:r>
        <w:rPr>
          <w:rStyle w:val="FootnoteAnchor"/>
          <w:rtl w:val="true"/>
        </w:rPr>
        <w:footnoteReference w:id="650"/>
      </w:r>
      <w:r>
        <w:rPr>
          <w:rFonts w:ascii="IRNazanin" w:hAnsi="IRNazanin" w:eastAsia="IRNazanin"/>
          <w:color w:val="111111"/>
          <w:sz w:val="28"/>
          <w:sz w:val="28"/>
          <w:szCs w:val="28"/>
          <w:rtl w:val="true"/>
          <w:lang w:bidi="fa-IR"/>
        </w:rPr>
        <w:t>، فهو فاسد، لأنّ مجرّد کونه من البناء العقلائیّ لا یکفی، للاحتیاج إلی البناء العقلائیّ الممضی و المرتضی، و هو لا یحصل إلاّ فیما کان بناؤهم شائعا، و بمرأی و مسمع من الشرع، و هذا الأمر لیس کذلک، لأنّ احتجاج الشیعة بالکتاب و السنّة، ما کان شائعا عقلائیّا فیما إذا کان تقسیم المقصود بالإفهام و غیر المقصود بالإفهام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الکلّ مقصودا بالإفهام فالاحتجاج شائع، فیکون ممضی، لعدم وصول ردع عنه، کما سیتبیّن إن شاء اللَّه تعالی</w:t>
      </w:r>
      <w:r>
        <w:rPr>
          <w:rFonts w:eastAsia="IRNazanin" w:cs="IRNazanin"/>
          <w:color w:val="111111"/>
          <w:sz w:val="28"/>
          <w:szCs w:val="28"/>
          <w:rtl w:val="true"/>
          <w:lang w:bidi="fa-IR"/>
        </w:rPr>
        <w:t>.</w:t>
      </w:r>
    </w:p>
    <w:p>
      <w:pPr>
        <w:pStyle w:val="Heading6"/>
        <w:numPr>
          <w:ilvl w:val="5"/>
          <w:numId w:val="1"/>
        </w:numPr>
        <w:rPr/>
      </w:pPr>
      <w:bookmarkStart w:id="528" w:name="__RefHeading___Toc624635_3244359995"/>
      <w:bookmarkStart w:id="529" w:name="_Toc197"/>
      <w:bookmarkEnd w:id="528"/>
      <w:r>
        <w:rPr>
          <w:rtl w:val="true"/>
        </w:rPr>
        <w:t>بقی شی‌ء</w:t>
      </w:r>
      <w:r>
        <w:rPr>
          <w:rtl w:val="true"/>
        </w:rPr>
        <w:t xml:space="preserve">: </w:t>
      </w:r>
      <w:r>
        <w:rPr>
          <w:rtl w:val="true"/>
        </w:rPr>
        <w:t>و هو وجه للاختصاص بمن قصد إفهامه مع جوابه</w:t>
      </w:r>
      <w:bookmarkEnd w:id="529"/>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حجّة بالنسبة إلی المقصودین، و أمّا غیرهم فإن کانوا عالمین بالحکم و الشرکة، فما هو الحجّة هو العلم بالمراد، و بعد العلم بالمراد لا معنی لجریان أصالة الظهور و الجدّ، إذ لا شکّ،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المفروض اختصاصهم بذلک الحکم، فلا معنی أیضا لحجّیته بالنسبة إلی غیر المقصودین بالضرورة، کما لا تکون آیة الحجّ حجّة بالنسبة إلی الفقراء، لأنّ موضوعها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 المقصودین شاکّین، فلا أصل یقتضی شرکتهم مع المقصودین فی مفاد الکلام المزبور، فنفی حجّیة الظواهر بالنسبة إلی غیر المقصودین، لأجل احتمال اختصاص مفادها بهم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لا دافع عن هذه الشبهة إلاّ ما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القسمة إلی المقصودین</w:t>
      </w:r>
      <w:bookmarkStart w:id="530" w:name="pg13170_166464"/>
    </w:p>
    <w:p>
      <w:pPr>
        <w:pStyle w:val="BookText"/>
        <w:rPr/>
      </w:pPr>
      <w:bookmarkEnd w:id="530"/>
      <w:r>
        <w:rPr>
          <w:rFonts w:ascii="IRNazanin" w:hAnsi="IRNazanin" w:eastAsia="IRNazanin"/>
          <w:color w:val="111111"/>
          <w:sz w:val="28"/>
          <w:sz w:val="28"/>
          <w:szCs w:val="28"/>
          <w:rtl w:val="true"/>
          <w:lang w:bidi="fa-IR"/>
        </w:rPr>
        <w:t>و غیر المقصودین، ناشئة عن توهّم اختصاص الخطاب بالحاضرین مجلس الحدیث و الوحی، و قد عرفت بما لا مزید علیه اشتراک الکلّ فی هذه الجهة، فافهم و اغتنم</w:t>
      </w:r>
      <w:r>
        <w:rPr>
          <w:rFonts w:eastAsia="IRNazanin" w:cs="IRNazanin"/>
          <w:color w:val="111111"/>
          <w:sz w:val="28"/>
          <w:szCs w:val="28"/>
          <w:rtl w:val="true"/>
          <w:lang w:bidi="fa-IR"/>
        </w:rPr>
        <w:t>.</w:t>
      </w:r>
    </w:p>
    <w:p>
      <w:pPr>
        <w:pStyle w:val="Heading5"/>
        <w:numPr>
          <w:ilvl w:val="4"/>
          <w:numId w:val="1"/>
        </w:numPr>
        <w:rPr/>
      </w:pPr>
      <w:bookmarkStart w:id="531" w:name="__RefHeading___Toc624637_3244359995"/>
      <w:bookmarkStart w:id="532" w:name="_Toc198"/>
      <w:bookmarkEnd w:id="531"/>
      <w:r>
        <w:rPr>
          <w:rtl w:val="true"/>
        </w:rPr>
        <w:t>الشبهة الرابعة</w:t>
      </w:r>
      <w:r>
        <w:rPr>
          <w:rtl w:val="true"/>
        </w:rPr>
        <w:t xml:space="preserve">: </w:t>
      </w:r>
      <w:r>
        <w:rPr>
          <w:rtl w:val="true"/>
        </w:rPr>
        <w:t>فی منع الأخباریین لحجیة ظواهر الکتاب</w:t>
      </w:r>
      <w:bookmarkEnd w:id="532"/>
    </w:p>
    <w:p>
      <w:pPr>
        <w:pStyle w:val="Heading6"/>
        <w:numPr>
          <w:ilvl w:val="5"/>
          <w:numId w:val="1"/>
        </w:numPr>
        <w:rPr/>
      </w:pPr>
      <w:bookmarkStart w:id="533" w:name="__RefHeading___Toc624639_3244359995"/>
      <w:bookmarkStart w:id="534" w:name="_Toc199"/>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حکی عن جمع من الأخباریّین منع حجّیة ظواهر الکتاب خاصّة</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نفی حجّیة الظواهر، یرجع إلی إنکار تمامیّة المبادئ الدخیلة فی انعقاد الظهور</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قد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الوجوه المتمسّک بها، بین ما یرجع إلی إنکار الظهور ذاتا، أو عرضا، أو إلی إنکار الحجّیة، بتخیّل أنّ مثل العلم الإجمالیّ بالتحریف و أمثاله من الأوّل، و الأخبار الناهیة من الثانی، غیر سدید جدّاً، ضرورة أنّ العلم الإجمالیّ یمنع من جریان أصالة الجدّ، و لا یخلّ بالاستعمال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النهی عن الرجوع إلی الکتاب، یضرّ بالأصل المزبور، و إلاّ فمع جریانه لا سبیل لمنع الحجّیة، إلاّ إذا کانت الحجّیة محتاجة إلی الإمضاء، و لم یحصل الإمضاء، لعدم انکشاف ردع الشرع عنها، و أمّا لو انکشف الردع عن الظواهر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کظواهر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کالقرینة اللفظیّة علی عدم تطابق الجدّ و الاستعمال، فیما یتفاهم منه بدوا، و لغة و ترکیبا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 من الإمامیّة إلی هذه المقالة، و قد تعرّض لها أساطین الفنّ، و ذکروا الوجوه المستدلّ بها بأجوبتها بما لا مزید علیها، إلاّ أنّا نشیر إلیها، رعایة للأدب، و إفادة لتلخیص البحث</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العلوم الإجمالیّة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بالتحریف، و العلم الإجمالیّ بوجود المتشابه، و العلم الإجمالیّ بوجود المخصّصات و المقیّدات</w:t>
      </w:r>
    </w:p>
    <w:p>
      <w:pPr>
        <w:pStyle w:val="BookText"/>
        <w:rPr/>
      </w:pPr>
      <w:r>
        <w:rPr>
          <w:rFonts w:ascii="IRNazanin" w:hAnsi="IRNazanin" w:eastAsia="IRNazanin"/>
          <w:color w:val="111111"/>
          <w:sz w:val="28"/>
          <w:sz w:val="28"/>
          <w:szCs w:val="28"/>
          <w:rtl w:val="true"/>
          <w:lang w:bidi="fa-IR"/>
        </w:rPr>
        <w:t>و القرائن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الأصل العقلائیّ اللازم لتشخیص الظاهر،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حجّة و منجّز، أم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یقاس المقام بمسألة المنع عن جریان الأصول العملیّة فی أطراف العلم الإجمالیّ، کما فی کلام العلاّمة النائینیّ و بعض آخر</w:t>
      </w:r>
      <w:r>
        <w:rPr>
          <w:rStyle w:val="FootnoteAnchor"/>
          <w:rtl w:val="true"/>
        </w:rPr>
        <w:footnoteReference w:id="653"/>
      </w:r>
      <w:r>
        <w:rPr>
          <w:rFonts w:ascii="IRNazanin" w:hAnsi="IRNazanin" w:eastAsia="IRNazanin"/>
          <w:color w:val="111111"/>
          <w:sz w:val="28"/>
          <w:sz w:val="28"/>
          <w:szCs w:val="28"/>
          <w:rtl w:val="true"/>
          <w:lang w:bidi="fa-IR"/>
        </w:rPr>
        <w:t>، ضرورة أنّ وجود القرائن الکثیرة و التحریف و التشابه، یضرّ بأصالة الجدّ و التطابق، و لا أقلّ من الشکّ فی بناء العقلاء الکافی لعدم تمامیّة الظهور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الطائفتین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الناظرة إلی اختصاص فهم القرآن بمن خوطب به، الرادعة لمثل أبی حنیفة و قتادة عن الإفتاء به </w:t>
      </w:r>
      <w:r>
        <w:rPr>
          <w:rStyle w:val="FootnoteAnchor"/>
          <w:rtl w:val="true"/>
        </w:rPr>
        <w:footnoteReference w:id="654"/>
      </w:r>
      <w:r>
        <w:rPr>
          <w:rFonts w:ascii="IRNazanin" w:hAnsi="IRNazanin" w:eastAsia="IRNazanin"/>
          <w:color w:val="111111"/>
          <w:sz w:val="28"/>
          <w:sz w:val="28"/>
          <w:szCs w:val="28"/>
          <w:rtl w:val="true"/>
          <w:lang w:bidi="fa-IR"/>
        </w:rPr>
        <w:t xml:space="preserve">، و إلی أنّ القرآن فیه ما لا یصل إلی أوکاره أفکار الأوحدیّین، فضلا عن الخواصّ أو العوامّ، و الطائفة الناظرة إلی المنع عن تفسیر القرآن، البالغة علی 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مائتین و خمسین روایة</w:t>
      </w:r>
      <w:r>
        <w:rPr>
          <w:rStyle w:val="FootnoteAnchor"/>
          <w:rtl w:val="true"/>
        </w:rPr>
        <w:footnoteReference w:id="655"/>
      </w:r>
      <w:r>
        <w:rPr>
          <w:rFonts w:ascii="IRNazanin" w:hAnsi="IRNazanin" w:eastAsia="IRNazanin"/>
          <w:color w:val="111111"/>
          <w:sz w:val="28"/>
          <w:sz w:val="28"/>
          <w:szCs w:val="28"/>
          <w:rtl w:val="true"/>
          <w:lang w:bidi="fa-IR"/>
        </w:rPr>
        <w:t>،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هاتین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الرجوع إلی الکتاب و اتباع ظواهره، فلا بدّ من الجابر لها، و هی الأحادیث الصادرة عن أهل بیت العصمة و الطهارة، علیهم أفضل الصلوات و التحیّات، و لو لا ذلک لکانت الأمّة الإمامیّة ملتحقة بطائفة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المناقشة فی 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نصدّق التحریف أوّلا، و علی تقدیره فلا نصدّقه فی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بورود الأخبار الکثیرة البالغة حدّ التواتر، مع ذهاب جمع من الإمامیّة إلیها،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الکتاب المنزّل هو القرآن الّذی جمعه الأمیر علیه السلام المشتمل علی جمیع ما أنزل بترتیب ما نزل</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فیلزم الإخلال بالظهور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التحریف بالنقیصة،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التحریف بالتقدیم و التأخیر، الموجب لاختلاف الظهور قطعا، و لا وجه لما اشتهر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التحریف لو کان، فهو فی غیر آیات الأحکام</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إنکار أصل التحریف ممکن، و لکنّه ممنوع لوجود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أنّها معارضة بما یدلّ علی أنّ الأئمة علیهم السلام بصدد إرجاع الأمّة إلی الکتاب فی موارد کثیرة، کما فی مسألة عرض الأخبار علیه </w:t>
      </w:r>
      <w:r>
        <w:rPr>
          <w:rStyle w:val="FootnoteAnchor"/>
          <w:rtl w:val="true"/>
        </w:rPr>
        <w:footnoteReference w:id="658"/>
      </w:r>
      <w:r>
        <w:rPr>
          <w:rFonts w:ascii="IRNazanin" w:hAnsi="IRNazanin" w:eastAsia="IRNazanin"/>
          <w:color w:val="111111"/>
          <w:sz w:val="28"/>
          <w:sz w:val="28"/>
          <w:szCs w:val="28"/>
          <w:rtl w:val="true"/>
          <w:lang w:bidi="fa-IR"/>
        </w:rPr>
        <w:t xml:space="preserve">، و تحریم الشرط المخالف للکتاب </w:t>
      </w:r>
      <w:r>
        <w:rPr>
          <w:rStyle w:val="FootnoteAnchor"/>
          <w:rtl w:val="true"/>
        </w:rPr>
        <w:footnoteReference w:id="659"/>
      </w:r>
      <w:r>
        <w:rPr>
          <w:rFonts w:ascii="IRNazanin" w:hAnsi="IRNazanin" w:eastAsia="IRNazanin"/>
          <w:color w:val="111111"/>
          <w:sz w:val="28"/>
          <w:sz w:val="28"/>
          <w:szCs w:val="28"/>
          <w:rtl w:val="true"/>
          <w:lang w:bidi="fa-IR"/>
        </w:rPr>
        <w:t xml:space="preserve">، و الإیماء إلی أنّ الإمساس بالمرارة یفهم من کتاب اللَّه </w:t>
      </w:r>
      <w:r>
        <w:rPr>
          <w:rStyle w:val="FootnoteAnchor"/>
          <w:rtl w:val="true"/>
        </w:rPr>
        <w:footnoteReference w:id="660"/>
      </w:r>
      <w:r>
        <w:rPr>
          <w:rFonts w:ascii="IRNazanin" w:hAnsi="IRNazanin" w:eastAsia="IRNazanin"/>
          <w:color w:val="111111"/>
          <w:sz w:val="28"/>
          <w:sz w:val="28"/>
          <w:szCs w:val="28"/>
          <w:rtl w:val="true"/>
          <w:lang w:bidi="fa-IR"/>
        </w:rPr>
        <w:t xml:space="preserve">، و المسح ببعض الرّأس یفهم،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فإنّ هذه الأمور فی عصر الصادقین علیهما السلام و تکون منصرفة إلی الکتاب الموجد بین أیدی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بیان أحکام اللَّه لازم علیهم، و أمّا تعیین الصغری، و أنّ ما بین أیدینا هو الکتاب النازل، و لا زائد، و لا ناقص، فهو أمر آخر تنفیه أخبار التحریف، فما فی کتب أصحابنا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بهذه الطوائف و بهذه الموارد طرّا و کلاّ، غیر موافق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إبطال مقالة الأخباریین بإبطال التحریف، و أمّا لو تنزّلنا عنه فلا وجه لاختصاص التحریف بغیر آیات الأحکام، لأنّ دلیل التحریف أعمّ، و أنّ الاختصاص المذکور مجرّد تخیّل بلا وجه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وجه لتخیّل المعارضة بین ما یدلّ علی التحریف، و ما یدلّ علی الإرجاع إلی کتاب اللَّه، لعدم التعارض بینهما، ضرورة أنّ الأخبار الأولی شارحة للثانیة، و أنّ الأخبار الثانیة متعرّضة للحکم الواقعیّ، و هو عرض الأخبار علی</w:t>
      </w:r>
      <w:bookmarkStart w:id="535" w:name="pg13170_166467"/>
    </w:p>
    <w:p>
      <w:pPr>
        <w:pStyle w:val="BookText"/>
        <w:rPr/>
      </w:pPr>
      <w:bookmarkEnd w:id="535"/>
      <w:r>
        <w:rPr>
          <w:rFonts w:ascii="IRNazanin" w:hAnsi="IRNazanin" w:eastAsia="IRNazanin"/>
          <w:color w:val="111111"/>
          <w:sz w:val="28"/>
          <w:sz w:val="28"/>
          <w:szCs w:val="28"/>
          <w:rtl w:val="true"/>
          <w:lang w:bidi="fa-IR"/>
        </w:rPr>
        <w:t>الکتاب مثلا، و أمّا أنّ الکتاب ما ذا، و أنّه هو الّذی بین أیدینا، أم هو الموجود عندهم علی زعم الأخباریّین؟ فتلک الأخبار ساکتة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هی منصرفة إلی أنّ ما هو الحاضر هو الکتاب، و لکنّه انصراف یمنع بتلک الأخبار الشارحة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ضعف التمسّک بالأخبار الدالّة علی قراءة السورة التامّة فی الفرائض </w:t>
      </w:r>
      <w:r>
        <w:rPr>
          <w:rStyle w:val="FootnoteAnchor"/>
          <w:rtl w:val="true"/>
        </w:rPr>
        <w:footnoteReference w:id="662"/>
      </w:r>
      <w:r>
        <w:rPr>
          <w:rFonts w:ascii="IRNazanin" w:hAnsi="IRNazanin" w:eastAsia="IRNazanin"/>
          <w:color w:val="111111"/>
          <w:sz w:val="28"/>
          <w:sz w:val="28"/>
          <w:szCs w:val="28"/>
          <w:rtl w:val="true"/>
          <w:lang w:bidi="fa-IR"/>
        </w:rPr>
        <w:t xml:space="preserve">، و الأخبار الناطقة بالتبعیض إلی خمس فی صلاة الآیات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بیان حکم اللَّه الواقعیّ، من غیر النّظر إلی ما هو الکتاب صغری و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جهة التقیّة من العامّة المنکرین للتحریف،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أیضا یظهر وجه المناقشة فی الأخبار الآمرة بقراءة السور المعیّنة فی الصلوات المندوبة، فإنّ الأمر بقراءة سورة الجمعة فی صلاة الجمعة، لا یدلّ علی أنّ ما هو سورة الجمعة هی التی بین أیدینا،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الطوائف من الأخبار کثیرة جدّاً، فینحصر إبطال طریقتهم فی باب التحریف فی إنکارها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المشکل إقناع الأخباریّین، لأنهم یرون حجّیة الأخبار الدالّة علی التحریف، من غیر أن یلاحظوا جانب السند و الصدور، و من غیر أن یعتنوا بالإعراض و الإجماع</w:t>
      </w:r>
      <w:r>
        <w:rPr>
          <w:rFonts w:eastAsia="IRNazanin" w:cs="IRNazanin"/>
          <w:color w:val="111111"/>
          <w:sz w:val="28"/>
          <w:szCs w:val="28"/>
          <w:rtl w:val="true"/>
          <w:lang w:bidi="fa-IR"/>
        </w:rPr>
        <w:t>.</w:t>
      </w:r>
    </w:p>
    <w:p>
      <w:pPr>
        <w:pStyle w:val="Heading6"/>
        <w:numPr>
          <w:ilvl w:val="5"/>
          <w:numId w:val="1"/>
        </w:numPr>
        <w:rPr/>
      </w:pPr>
      <w:bookmarkStart w:id="536" w:name="__RefHeading___Toc624641_3244359995"/>
      <w:bookmarkStart w:id="537" w:name="_Toc200"/>
      <w:bookmarkEnd w:id="536"/>
      <w:r>
        <w:rPr>
          <w:rtl w:val="true"/>
        </w:rPr>
        <w:t>بقی شی‌ء</w:t>
      </w:r>
      <w:r>
        <w:rPr>
          <w:rtl w:val="true"/>
        </w:rPr>
        <w:t xml:space="preserve">: </w:t>
      </w:r>
      <w:r>
        <w:rPr>
          <w:rtl w:val="true"/>
        </w:rPr>
        <w:t>حول بعض أدلّة حفظ الکتاب و تحریفه</w:t>
      </w:r>
      <w:bookmarkEnd w:id="53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ربّما یتمسّک بآیة الحفظ إِنَّا نَحْنُ نَزَّلْنَا الذِّکْرَ وَ إِنَّا لَهُ لَحافِظُونَ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بآیة عدم إتیانه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إتمام الاستدلال، منوط بمقدّمات یصعب 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بالقرآن علی عدم التحریف من الدور، لاحتمال التحریف فی الآیتین،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التحریف المقصود إنکاره هنا، هو التحریف بالنقیصة، و التحریف بالتقدیم و التأخیر، و علی هذا یشکل التمسّک بالآیتین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مقدّماته إثبات عدم التحریف المزبور، مع أنّ الاستدلال فرع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هو القرآن، و هو لا یثبت إلاّ بالاستدلال بالآیة السابقة، و هکذا الثانیة، فراجع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القطع بعدم التحریف من المجازفة، لعدم إمکان ذلک بعد التوجّه إلی أطراف القضیّة، و الاستناد للتحریف بالأخبار الموجودة، غیر صحیح، لعدم تمامیّة إسناد جمع منها، و عدم دلالة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الدواعی لجعل تلک الأخبار کانت کثیرة، نظرا إلی هتک حرمة آل الرسول صلوات الله علیهم بین المسلمین أحیانا من قبل سلاطین الجور، و أنّهم علیهم السلام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الکتاب الإلهیّ محرّف، کالتوراة و الإنجیل، و أنّ الرجوع إلیه ممنوع، فیکون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بالرجوع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ضائعین،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أهل السنّة، و هی العترة،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الخاصّة، و هو الکتاب، فإنّ ما هو الأحسن و الأصوب کون الکتاب الموجود بین أیدینا، هو الکتاب المنزّل من غیر فرق، و أنّ الترتیب المزبور ترتیب إلهی و لو کان الاختلاف فی الإنزال یقضی علی خلافه، و لکن ربّما کان القرآن نازلا علی هذا النظام دفعة، أو تدریجا، إلاّ أنّه قد تکرّر نزول السور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الأقوم سندا، و الأحسن رکونا، و هو یوجب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الأمیر علیه السلام فی تلک السنوات و الأصحاب الخواصّ فی العصر الأوّل، لم یبرزوا التحریف، و لم یذکروا ذلک من المثالب و مطاعن الثلاثة، أو الأخیر منهم، و لم یعهد من أعداء المسلمین الإشارة إلی ذلک، و لم یسلّوا سیوفهم من الأغماد علیهم، مع أنّه لو کان لبان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تدلّ علی عدم التحریف روایات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الاستشهادات التأریخیّة ناهضة علیه، کقصّة عدم تمسّک أهل البیت بالآیات المشتملة علی الولایة التی هی المحرّفة عند الأخباریّین، و لا سیّما الصدّیقة الکبری سیّدة النساء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لا تورث القطع، و لا نحتاج إلیها فی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ادعاء القطع بعدم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ذهاب جمهور العامّة إلی نسخ التلاوة</w:t>
      </w:r>
      <w:r>
        <w:rPr>
          <w:rStyle w:val="FootnoteAnchor"/>
          <w:rtl w:val="true"/>
        </w:rPr>
        <w:footnoteReference w:id="666"/>
      </w:r>
      <w:r>
        <w:rPr>
          <w:rFonts w:ascii="IRNazanin" w:hAnsi="IRNazanin" w:eastAsia="IRNazanin"/>
          <w:color w:val="111111"/>
          <w:sz w:val="28"/>
          <w:sz w:val="28"/>
          <w:szCs w:val="28"/>
          <w:rtl w:val="true"/>
          <w:lang w:bidi="fa-IR"/>
        </w:rPr>
        <w:t xml:space="preserve">، و هو فی الحقیقة یرجع إلی التحریف بالنقیصة، و مع رعایة أنّ القطع بعدم تحریف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حاصل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مجرّد دعوی بلا بیّنة و برهان، فیکفینا الوثوق و الاطمئنان العقلائیّ بعدم التحریف، فإنّ صناعة الخطابة تنهض علی عدم التحریف، بخلاف صناعة البرهان، و لا یحصل من الخطابة القطع إلاّ لبعض النفوس الخاصّة،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قضیّة الأصل، هو احتیاج عدم التحریف إلی الدلیل، لأنّ الکتاب کان منتشرا فی بدو الإسلام بالضرورة، فاجتماع جمیع أجزائه، و جمیع ما أوحی إلیه صلی اللَّه علیه و آله و سلم بین الدفّتین، یحتاج إلی التقریب و الدلیل، بخلاف التحریف، لأنّ من معانیه عدم اجتماعها بینهما، و لا أقلّ من الشکّ فی الاجتماع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الثقلین، یدلّ علی أنّ القرآن کان فی عصره صلی اللَّه علیه و آله و سلم کتابا بین الدفّتین،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نافعة،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و إطلاقه و انصرافه إلی ما هو المنصرف إلیه فی العصر الحاضر، من الحوادث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 نافذ إلاّ شرطا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اللَّه، و لذلک یشمل حکم الرسول صلی اللَّه علیه و آله و سلم فلا تخلط</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من هذه الجملات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الوثوق بعدم التحریف، قریب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تعرّضه علیه السلام للإشارة إلی تحریفه فی جمع عثمان، أو الجمع الأسبق، کان لجهة أمر أهمّ، فإنّ فی ذلک تضییعا للحقّ الثابت له فی غدیر خم، و لو کان یقول بدلالة الکتاب و آیاته، لکان فیه فرصة لأعدائه حتّی یسلّوا سیوفهم علیه، کما سلّوا لعنهم اللَّه تعالی لعنا وبیلا، و عذّبهم عذابا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اللتیّا و التی، عدم التحریف مورد الاطمئنان و الوثوق، فتکون الظواهر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 احتمال النقیصة لا یکفی، لأنّ تبادل الآیات بحسب المواضع و السور، یضرّ بالظهور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دعوی أنّ القرآن نزل جملة، و نزل نجوما، و النزول الأوّل علی هذه الکیفیّة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غیر تامّة، کما تحرّر منّا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التفاسیر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المهمّ الوثوق بعدم تحریف الآیات و لو کانت السور غیر منظّمة علی النظام الإلهیّ، و هذا أمر لا یبعد بعد الرجوع إلی الکتب الموجودة بین أیدینا، و الصحائف الحاضرة من مصاحف مختلفة، کمصحف علیّ علیه السلام و مصحف ابن عبّاس، و ابن مسعود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هذا التحریف، أقوی من انتفاء التحریف بالنقیصة، و عندئذ تکون آیات سورة البقرة و سورة کذا و کذا، مستقرّة الظهور، و احتمال القرائن المنفصلة مدفوع، و العلم بالنقیصة لا تثبت به صلاحیة النقیصة لقرینیّة الموجود بین أیدینا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نحتاج فی الاستدلال بالقرآن الموجود إلی إثبات عدم النقیصة، لأنّ النقصان لا بدّ و أن یرجع إلی نقصان سورة، لا آیة من السور الموجودة،</w:t>
      </w:r>
      <w:bookmarkStart w:id="538" w:name="pg13170_166471"/>
    </w:p>
    <w:p>
      <w:pPr>
        <w:pStyle w:val="BookText"/>
        <w:rPr/>
      </w:pPr>
      <w:bookmarkEnd w:id="538"/>
      <w:r>
        <w:rPr>
          <w:rFonts w:ascii="IRNazanin" w:hAnsi="IRNazanin" w:eastAsia="IRNazanin"/>
          <w:color w:val="111111"/>
          <w:sz w:val="28"/>
          <w:sz w:val="28"/>
          <w:szCs w:val="28"/>
          <w:rtl w:val="true"/>
          <w:lang w:bidi="fa-IR"/>
        </w:rPr>
        <w:t>لاتفاق الکلّ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 الموجودة فی أخبار العامّة التی تدلّ علی نسخها، و أنّها منسوخة من الکتاب، فهی غیر معلوم کونها من السورة المستقلّة، أو من هذه السور، فلا یضرّ بالظهور، لرجوعه إلی القرینة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کونها متّصلة، منفیّ بأصالة عدم النقیصة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الرجوع إلی تلک الأخبار، یورث القطع بأنّها آیات اختلاقیّة من العرب الجاهلین بالأدب، فراجع</w:t>
      </w:r>
      <w:r>
        <w:rPr>
          <w:rFonts w:eastAsia="IRNazanin" w:cs="IRNazanin"/>
          <w:color w:val="111111"/>
          <w:sz w:val="28"/>
          <w:szCs w:val="28"/>
          <w:rtl w:val="true"/>
          <w:lang w:bidi="fa-IR"/>
        </w:rPr>
        <w:t>.</w:t>
      </w:r>
    </w:p>
    <w:p>
      <w:pPr>
        <w:pStyle w:val="Heading6"/>
        <w:numPr>
          <w:ilvl w:val="5"/>
          <w:numId w:val="1"/>
        </w:numPr>
        <w:rPr/>
      </w:pPr>
      <w:bookmarkStart w:id="539" w:name="__RefHeading___Toc624643_3244359995"/>
      <w:bookmarkStart w:id="540" w:name="_Toc201"/>
      <w:bookmarkEnd w:id="539"/>
      <w:r>
        <w:rPr>
          <w:rtl w:val="true"/>
        </w:rPr>
        <w:t>تذنیب</w:t>
      </w:r>
      <w:r>
        <w:rPr>
          <w:rtl w:val="true"/>
        </w:rPr>
        <w:t xml:space="preserve">: </w:t>
      </w:r>
      <w:r>
        <w:rPr>
          <w:rtl w:val="true"/>
        </w:rPr>
        <w:t>حول عصر کتابة القرآن المجید</w:t>
      </w:r>
      <w:bookmarkEnd w:id="540"/>
    </w:p>
    <w:p>
      <w:pPr>
        <w:pStyle w:val="BookText"/>
        <w:rPr/>
      </w:pPr>
      <w:r>
        <w:rPr>
          <w:rFonts w:ascii="IRNazanin" w:hAnsi="IRNazanin" w:eastAsia="IRNazanin"/>
          <w:color w:val="111111"/>
          <w:sz w:val="28"/>
          <w:sz w:val="28"/>
          <w:szCs w:val="28"/>
          <w:rtl w:val="true"/>
          <w:lang w:bidi="fa-IR"/>
        </w:rPr>
        <w:t>اختلفت المآثیر فی عصر تدوین الکتاب إلی مضامین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ذلک کان فی عهده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تدوینه کان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کان فی عصر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کان فی عصر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کان فی عصر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جهات کثیرة مختلفة من حیث الجامع، و من حیث شرط الجمع، کشهادة شاهدین، و أحیانا شهادة واحد، فیکون الصدور بدلیل حجّیة الخبر و الشهادة، فلا قطع به، و لازمه أنّه لا یکون مقطوع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یشهد علی أنّ تاریخ القرآن مضطرب جدّاً، و الاطلاع علی واقع الأمر ممّا لا یکاد یحصل للمنصف الملاحظ أطراف القضیّة و خصوصیّات الأمر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هو المحصول من شتی التحصیلات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الموجود بین أیدینا هو کتاب اللَّه، و لیست سورة منه زائدة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زیادة یسیرة فهو غیر بعید، و لا یضرّ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یهمّنا أن یکون الجمع فی العهد الحقّ، أم فی العهد الباطل، بعد</w:t>
      </w:r>
      <w:bookmarkStart w:id="541" w:name="pg13170_166472"/>
    </w:p>
    <w:p>
      <w:pPr>
        <w:pStyle w:val="BookText"/>
        <w:rPr/>
      </w:pPr>
      <w:bookmarkEnd w:id="541"/>
      <w:r>
        <w:rPr>
          <w:rFonts w:ascii="IRNazanin" w:hAnsi="IRNazanin" w:eastAsia="IRNazanin"/>
          <w:color w:val="111111"/>
          <w:sz w:val="28"/>
          <w:sz w:val="28"/>
          <w:szCs w:val="28"/>
          <w:rtl w:val="true"/>
          <w:lang w:bidi="fa-IR"/>
        </w:rPr>
        <w:t>اتفاق الأمّة ظاهرا علی أنّ السور الموجودة، لا تزید و لا 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نقیصة القرآن بحذف بعض السور منها و ضیاعها، و کونه عند الحجّة عجل اللَّه تعالی فرجه الشریف فهی و لو کانت ممکنة، و غیر صحیح دعوی القطع الوجدانیّ بعدمها، و لکنّها بعیدة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الوثوق و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الموجود بین أیدینا هو النازل فقط، صحیحة وجدانا، و لا سیّما بعد دلالة بعض الأخبار الآحاد الصحیحة علی عدم التحریف فی الجملة، و من شاء فعلیه الرجوع إلی المفصّلات فی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حجّیة الظواهر قویّة جدّاً، لعدم تمامیّة الشبهة من ناحیة التحریف المفسّر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یشهد علی عدم التحریف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الأخبار المنتشرة بین أیدینا المشتملة علی الآیات القرآنیّة، تعطی أنّ الموجود بین أیدینا هو النازل، لاتفاق تلک الآیات مع ما بین أیدینا، و هذا کثیر جدّاً فی المسائل الفقهیّة و الأخلاقیّة و الاعتقادیّة</w:t>
      </w:r>
      <w:r>
        <w:rPr>
          <w:rFonts w:eastAsia="IRNazanin" w:cs="IRNazanin"/>
          <w:color w:val="111111"/>
          <w:sz w:val="28"/>
          <w:szCs w:val="28"/>
          <w:rtl w:val="true"/>
          <w:lang w:bidi="fa-IR"/>
        </w:rPr>
        <w:t>.</w:t>
      </w:r>
    </w:p>
    <w:p>
      <w:pPr>
        <w:pStyle w:val="Heading6"/>
        <w:numPr>
          <w:ilvl w:val="5"/>
          <w:numId w:val="1"/>
        </w:numPr>
        <w:rPr/>
      </w:pPr>
      <w:bookmarkStart w:id="542" w:name="__RefHeading___Toc624645_3244359995"/>
      <w:bookmarkStart w:id="543" w:name="_Toc202"/>
      <w:bookmarkEnd w:id="542"/>
      <w:r>
        <w:rPr>
          <w:rtl w:val="true"/>
        </w:rPr>
        <w:t>بقی شی‌ء</w:t>
      </w:r>
      <w:r>
        <w:rPr>
          <w:rtl w:val="true"/>
        </w:rPr>
        <w:t xml:space="preserve">: </w:t>
      </w:r>
      <w:r>
        <w:rPr>
          <w:rtl w:val="true"/>
        </w:rPr>
        <w:t>حول عدم إضرار العلم الإجمالی بالتحریف</w:t>
      </w:r>
      <w:bookmarkEnd w:id="54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الإخلال بالحجّیة علی فرض وقوع التحریف، مرهون بالعلم الإجمالیّ بسقوط القرینة المستقلّة،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ضائعة، أو محفوظة بین الدفّتین، أو لأجل سقوط القرینة المنفصلة، أو المشترکة بین الاتصال و الانفصال، و إذا کان ذلک معلوما، فکما لا یعالج الإنسان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بسقوط جملة منه، کذلک الأمر هنا، و کما لا یصحّ عند العقلاء إسناد مضمون الکتاب إلی مؤلّفه، إذا علم بضیاع طائفة منه منتشرة فیه، کذلک الأمر هنا، فالإفتاء علی طبق الکتاب و الاحتجاج به غیر جائز، لعدم مساعدة العقلاء علیه بعد عدم قیام الأدلّة</w:t>
      </w:r>
    </w:p>
    <w:p>
      <w:pPr>
        <w:pStyle w:val="BookText"/>
        <w:rPr/>
      </w:pPr>
      <w:r>
        <w:rPr>
          <w:rFonts w:ascii="IRNazanin" w:hAnsi="IRNazanin" w:eastAsia="IRNazanin"/>
          <w:color w:val="111111"/>
          <w:sz w:val="28"/>
          <w:sz w:val="28"/>
          <w:szCs w:val="28"/>
          <w:rtl w:val="true"/>
          <w:lang w:bidi="fa-IR"/>
        </w:rPr>
        <w:t>اللفظیّة علی حجّیة الکتاب، حتّی تکون هی المرجع بإطلاقها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تبیّن فیما مضی أنّ الخلط بین صلاحیة الکلام للاحتجاج، و بین صلاحیة الکلام للإفتاء، غیر صحیح </w:t>
      </w:r>
      <w:r>
        <w:rPr>
          <w:rStyle w:val="FootnoteAnchor"/>
          <w:rtl w:val="true"/>
        </w:rPr>
        <w:footnoteReference w:id="668"/>
      </w:r>
      <w:r>
        <w:rPr>
          <w:rFonts w:ascii="IRNazanin" w:hAnsi="IRNazanin" w:eastAsia="IRNazanin"/>
          <w:color w:val="111111"/>
          <w:sz w:val="28"/>
          <w:sz w:val="28"/>
          <w:szCs w:val="28"/>
          <w:rtl w:val="true"/>
          <w:lang w:bidi="fa-IR"/>
        </w:rPr>
        <w:t>، فإنّ صحّة نسبة المضمون و الإفتاء مشکلة، و لکن جواز القعود فی قبال الکلام التامّ الظاهر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احتمال کون إحدی الآیات الضائعة و غیر المحفوظة صالحة للقرینیّة علی خلاف هذا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نعلم بأنّ فی ذیل آیة الوفاء بالعقود</w:t>
      </w:r>
      <w:r>
        <w:rPr>
          <w:rStyle w:val="FootnoteAnchor"/>
          <w:rtl w:val="true"/>
        </w:rPr>
        <w:footnoteReference w:id="669"/>
      </w:r>
      <w:r>
        <w:rPr>
          <w:rFonts w:ascii="IRNazanin" w:hAnsi="IRNazanin" w:eastAsia="IRNazanin"/>
          <w:color w:val="111111"/>
          <w:sz w:val="28"/>
          <w:sz w:val="28"/>
          <w:szCs w:val="28"/>
          <w:rtl w:val="true"/>
          <w:lang w:bidi="fa-IR"/>
        </w:rPr>
        <w:t>، آیة محذوفة، و لا نعلم ذلک، فإنّ حجّیة آیة الوفاء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القرآن کانت آیات و سورة غیر واصلة إلینا، و ربّما کان منها ما فی ذیل الآیة المذکورة، فإنّ الکلام لا یسقط عن الصلاحیة للاحتجاج، فلو کان مفاده و مضمونه مرادا، فهل تری من نفسک أنّ العقاب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المکلّف یمتثل مضمونه، ثمّ تبیّن خلافه، فهل تری من نفسک جواز عقاب المولی، بدعوی أنّ العقاب مع البیان، لأنّ المکلّف العالم بعدم وصول القرائن، قد ارتکب ما تصح العقوبة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ثمّ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العلم الإجمالیّ و لو لم یکن موجودا بالنسبة إلی الکتاب، و لکنّه موجود بالنسبة إلی الأخبار بالضرورة، مع أنّ الضرورة قاضیة بعدم جواز القعود، بل و بجواز الإفتاء، ضرورة أنّ احتمال وجود القرینة المتّصلة، مدفوع بأصالة عدم النقیصة، و هذا لا ینافی العلم الإجمالیّ بعدم وصول القرائن، لاحتمال کونها منفصلة، فلیتأمّل جیّدا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المفتی من أوّل الفقه إلی آخره، یعلم إجمالا بعدم تمامیّة بعض فتاواه، لما فیه من تلک القرائن، و أمّا المراجع إلی الأخبار بالنسبة إلی موارد</w:t>
      </w:r>
      <w:bookmarkStart w:id="544" w:name="pg13170_166474"/>
    </w:p>
    <w:p>
      <w:pPr>
        <w:pStyle w:val="BookText"/>
        <w:rPr/>
      </w:pPr>
      <w:bookmarkEnd w:id="544"/>
      <w:r>
        <w:rPr>
          <w:rFonts w:ascii="IRNazanin" w:hAnsi="IRNazanin" w:eastAsia="IRNazanin"/>
          <w:color w:val="111111"/>
          <w:sz w:val="28"/>
          <w:sz w:val="28"/>
          <w:szCs w:val="28"/>
          <w:rtl w:val="true"/>
          <w:lang w:bidi="fa-IR"/>
        </w:rPr>
        <w:t>یحتاج إلیه بحسب عمله، فلا یعلم بذلک، و یکون بناء العقلاء علی عدم جواز القعود فی المقام، أو علی عدم وجوب الاحتیاط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بالتحریف غیر واضح إضراره بالحجّیة، و ما دام لم یحرز الإخلال بصلاحیة الکلام للاحتجاج، لا یصحّ القعود حذاءه، و ترک العمل به، و لا حاجة إلی إحراز الصلاحیة،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دام لم یعلم تفصیلا بسقوط قطعة من الکلام، أو إجمالا بسقوطها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کونه من العلم الإجمالیّ بالکثیر فی الکثیر، أو القلیل، لا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دعوی العلم التفصیلیّ، و لا العلم الإجمالیّ علی الوجه المزبور فی باب التحریف أصلا، لأنّ غایة ما هو المعلوم سقوط طائفة من الآیات و السور من القرآن الموجود بین أیدینا، و هو أعمّ من کونه بنحو الاتصال أو الانفصال بالنسبة إلی آیات الأحکام، فلا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القرائن المتّصلة من آیات الأحکام، فلا وجه لمنع استقرار الظهور، و إذا استقرّ الظهور، و صار الکلام صالحا للاحتجاج، فلا بدّ من إقامة الدلیل علی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خرجنا عن طور البحث مع رعایة الاختصار، نظرا إلی أهمیّة المسألة، کما هو الواضح</w:t>
      </w:r>
      <w:r>
        <w:rPr>
          <w:rFonts w:eastAsia="IRNazanin" w:cs="IRNazanin"/>
          <w:color w:val="111111"/>
          <w:sz w:val="28"/>
          <w:szCs w:val="28"/>
          <w:rtl w:val="true"/>
          <w:lang w:bidi="fa-IR"/>
        </w:rPr>
        <w:t>.</w:t>
      </w:r>
    </w:p>
    <w:p>
      <w:pPr>
        <w:pStyle w:val="Heading6"/>
        <w:numPr>
          <w:ilvl w:val="5"/>
          <w:numId w:val="1"/>
        </w:numPr>
        <w:rPr/>
      </w:pPr>
      <w:bookmarkStart w:id="545" w:name="__RefHeading___Toc624647_3244359995"/>
      <w:bookmarkStart w:id="546" w:name="_Toc203"/>
      <w:bookmarkEnd w:id="545"/>
      <w:r>
        <w:rPr>
          <w:rtl w:val="true"/>
        </w:rPr>
        <w:t>تتمیم الکلام و توضیح المرام</w:t>
      </w:r>
      <w:bookmarkEnd w:id="546"/>
    </w:p>
    <w:p>
      <w:pPr>
        <w:pStyle w:val="BookText"/>
        <w:rPr/>
      </w:pPr>
      <w:r>
        <w:rPr>
          <w:rFonts w:ascii="IRNazanin" w:hAnsi="IRNazanin" w:eastAsia="IRNazanin"/>
          <w:color w:val="111111"/>
          <w:sz w:val="28"/>
          <w:sz w:val="28"/>
          <w:szCs w:val="28"/>
          <w:rtl w:val="true"/>
          <w:lang w:bidi="fa-IR"/>
        </w:rPr>
        <w:t>و أمّا دعوی العلم الإجمالیّ بوجود المتشابه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المتشابه ربّما تکون الآیات المشتملة علی تشبیه الأمور العقلیّة بالأمور الحسّیة، کآیة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المتشابهات مستمسک أهل الفتنة، دون أهل الفهم و العلم و المعارف و المحقّقین مثلا، و بقیّة الکلام فی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الحاجة فی المتشابه و غیره إلی أئمّة الحقّ علیهم صلوات اللَّه، لأنّ القرآن ذو مراتب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بوجود المتشابه أخذا بالظاهر، غیر جائز، لاحتمال کونه من المتشابه، فلا بدّ من وجود جماعة من الآیات مجملة،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المجملات یضرّ فیما مرّ أخیرا فی التحریف، و فی صورة العلم التفصیلیّ بکونها من المتّصل بالآیات المبیّنة یقینا تفصیلیّا، أو إجمالیّا علی الوجه المحرّر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طائفة من الآیات مجملة، معناه لیس الإجمال بحسب المفاهیم اللغویّة و الاستعمال، لأنّ الإجمال صفة الکلام، و هی لا تحصل بالتعبّد و بالروایة، لأنّه أمر خارج عن قدرة التشریع، فعلیه یکون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کشف المراد، و هذا لا یمکن إلاّ بدعوی التحریف علی الوجهین المزبورین، و قد مرّ فساده،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وجود العلم بالنقیصة فیما مرّ فی مسألة التحریف، و وجود العلم الإجمالیّ بالمجملات مضرّا، لکان ذلک مضرّا بالأحادیث أیضا، فتسقط الأحادیث کلّها عن الحجّیة، و لا سیّما بعد ورود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مثل الآیات من هذه الجهة،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العلم الإجمالیّ بوجود المخصّصات و المقیّدات، فهی واضحة سریانها فی الأخبار، و أنّها لا تضرّ بالحجّیة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المزبور یوجب الفحص، لا سقوط الحجّیة، کما فی کلام جمع من الأصولیّین </w:t>
      </w:r>
      <w:r>
        <w:rPr>
          <w:rStyle w:val="FootnoteAnchor"/>
          <w:rtl w:val="true"/>
        </w:rPr>
        <w:footnoteReference w:id="671"/>
      </w:r>
      <w:r>
        <w:rPr>
          <w:rFonts w:ascii="IRNazanin" w:hAnsi="IRNazanin" w:eastAsia="IRNazanin"/>
          <w:color w:val="111111"/>
          <w:sz w:val="28"/>
          <w:sz w:val="28"/>
          <w:szCs w:val="28"/>
          <w:rtl w:val="true"/>
          <w:lang w:bidi="fa-IR"/>
        </w:rPr>
        <w:t>، فهو فاسد، لأنّ الفحص لازم و لو لم نعلم إجمالا</w:t>
      </w:r>
      <w:bookmarkStart w:id="547" w:name="pg13170_166476"/>
    </w:p>
    <w:p>
      <w:pPr>
        <w:pStyle w:val="BookText"/>
        <w:rPr/>
      </w:pPr>
      <w:bookmarkEnd w:id="547"/>
      <w:r>
        <w:rPr>
          <w:rFonts w:ascii="IRNazanin" w:hAnsi="IRNazanin" w:eastAsia="IRNazanin"/>
          <w:color w:val="111111"/>
          <w:sz w:val="28"/>
          <w:sz w:val="28"/>
          <w:szCs w:val="28"/>
          <w:rtl w:val="true"/>
          <w:lang w:bidi="fa-IR"/>
        </w:rPr>
        <w:t>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انحلال العلم المزبور، لأنّه لو کان منحلا لا یسقط إخلاله بالانحلال، لأنّ منشأ إخلاله لیس تنجیزه، کما 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أمران آخران</w:t>
      </w:r>
      <w:r>
        <w:rPr>
          <w:rFonts w:eastAsia="IRNazanin" w:cs="IRNazanin"/>
          <w:color w:val="111111"/>
          <w:sz w:val="28"/>
          <w:szCs w:val="28"/>
          <w:rtl w:val="true"/>
          <w:lang w:bidi="fa-IR"/>
        </w:rPr>
        <w:t>:</w:t>
      </w:r>
    </w:p>
    <w:p>
      <w:pPr>
        <w:pStyle w:val="Heading6"/>
        <w:numPr>
          <w:ilvl w:val="5"/>
          <w:numId w:val="1"/>
        </w:numPr>
        <w:rPr/>
      </w:pPr>
      <w:bookmarkStart w:id="548" w:name="__RefHeading___Toc624649_3244359995"/>
      <w:bookmarkStart w:id="549" w:name="_Toc204"/>
      <w:bookmarkEnd w:id="548"/>
      <w:r>
        <w:rPr>
          <w:rtl w:val="true"/>
        </w:rPr>
        <w:t>الأوّل</w:t>
      </w:r>
      <w:r>
        <w:rPr>
          <w:rtl w:val="true"/>
        </w:rPr>
        <w:t xml:space="preserve">: </w:t>
      </w:r>
      <w:r>
        <w:rPr>
          <w:rtl w:val="true"/>
        </w:rPr>
        <w:t>حول ما دلّ علی اختصاص فهم القرآن بمن خوطب به</w:t>
      </w:r>
      <w:bookmarkEnd w:id="549"/>
    </w:p>
    <w:p>
      <w:pPr>
        <w:pStyle w:val="BookText"/>
        <w:rPr/>
      </w:pPr>
      <w:r>
        <w:rPr>
          <w:rFonts w:ascii="IRNazanin" w:hAnsi="IRNazanin" w:eastAsia="IRNazanin"/>
          <w:color w:val="111111"/>
          <w:sz w:val="28"/>
          <w:sz w:val="28"/>
          <w:szCs w:val="28"/>
          <w:rtl w:val="true"/>
          <w:lang w:bidi="fa-IR"/>
        </w:rPr>
        <w:t>أنّ قضیّة طائفة من الأخبار اختصاص فهم القرآن بمن خوطب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طائفة من تلک الأخبار سندا، کمرسلة شعیب بن أنس فی قصّة أبی حنیفة، و روایة زید الشحّام فی قصّة قتادة</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منها الردع عن الاستقلال فی الرجوع إلی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مقالة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ذیل الشبهة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آیات تدعو الناس إلی اتباع الکتاب، و الجمع بین تلک الآیات و غیرها، 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من بعضها و صریح المرسلة، هو النّظر إلی مجموع القرآن، لا الآیة الواحدة منه مثلا،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الآیات عامّة بحسب الخطاب بالضرورة، فالمراد من اختصاص من خوطب به بفهمه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تحرّر کیفیّة خطاب القرآن فی العامّ و الخاصّ </w:t>
      </w:r>
      <w:r>
        <w:rPr>
          <w:rStyle w:val="FootnoteAnchor"/>
          <w:rtl w:val="true"/>
        </w:rPr>
        <w:footnoteReference w:id="67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6"/>
        <w:numPr>
          <w:ilvl w:val="5"/>
          <w:numId w:val="1"/>
        </w:numPr>
        <w:rPr/>
      </w:pPr>
      <w:bookmarkStart w:id="550" w:name="__RefHeading___Toc624651_3244359995"/>
      <w:bookmarkStart w:id="551" w:name="_Toc205"/>
      <w:bookmarkEnd w:id="550"/>
      <w:r>
        <w:rPr>
          <w:rtl w:val="true"/>
        </w:rPr>
        <w:t>و الثانی</w:t>
      </w:r>
      <w:r>
        <w:rPr>
          <w:rtl w:val="true"/>
        </w:rPr>
        <w:t xml:space="preserve">: </w:t>
      </w:r>
      <w:r>
        <w:rPr>
          <w:rtl w:val="true"/>
        </w:rPr>
        <w:t>حول ما دل علی النهی عن تفسیر القرآن بالرأی</w:t>
      </w:r>
      <w:bookmarkEnd w:id="55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مقتضی جماعة کثیرة من الأخبار، الردع عن التفسیر بالرأی، و هذا أمر صحیح فیما یحتاج الکتاب إلی التفسیر و التأویل و بیان المراد الإلهیّ، مع عدم ظهور</w:t>
      </w:r>
      <w:bookmarkStart w:id="552" w:name="pg13170_166477"/>
    </w:p>
    <w:p>
      <w:pPr>
        <w:pStyle w:val="BookText"/>
        <w:rPr/>
      </w:pPr>
      <w:bookmarkEnd w:id="552"/>
      <w:r>
        <w:rPr>
          <w:rFonts w:ascii="IRNazanin" w:hAnsi="IRNazanin" w:eastAsia="IRNazanin"/>
          <w:color w:val="111111"/>
          <w:sz w:val="28"/>
          <w:sz w:val="28"/>
          <w:szCs w:val="28"/>
          <w:rtl w:val="true"/>
          <w:lang w:bidi="fa-IR"/>
        </w:rPr>
        <w:t>الکلام حقّه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 الظاهرة غیر المحتاجة إلی التفسیر، فهی خارجة عن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التفسیر مخصوصا بهم علیهم السلام فهو أیضا تنافیه الآیات الآتیة فی ذیل الشبهة الخامسة من الشبهات علی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أنّ المردوع بها الطائفة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نفسی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 آخر سورة الحدید بالمتعمّقین من آخر الزمان </w:t>
      </w:r>
      <w:r>
        <w:rPr>
          <w:rStyle w:val="FootnoteAnchor"/>
          <w:rtl w:val="true"/>
        </w:rPr>
        <w:footnoteReference w:id="674"/>
      </w:r>
      <w:r>
        <w:rPr>
          <w:rFonts w:ascii="IRNazanin" w:hAnsi="IRNazanin" w:eastAsia="IRNazanin"/>
          <w:color w:val="111111"/>
          <w:sz w:val="28"/>
          <w:sz w:val="28"/>
          <w:szCs w:val="28"/>
          <w:rtl w:val="true"/>
          <w:lang w:bidi="fa-IR"/>
        </w:rPr>
        <w:t>، فإنّه منه یستکشف أنّ باب فهم القرآن، لیس منسدّا علی أهله، و اللَّه هو الهادی إلی سبیل الرشاد</w:t>
      </w:r>
      <w:r>
        <w:rPr>
          <w:rFonts w:eastAsia="IRNazanin" w:cs="IRNazanin"/>
          <w:color w:val="111111"/>
          <w:sz w:val="28"/>
          <w:szCs w:val="28"/>
          <w:rtl w:val="true"/>
          <w:lang w:bidi="fa-IR"/>
        </w:rPr>
        <w:t>.</w:t>
      </w:r>
    </w:p>
    <w:p>
      <w:pPr>
        <w:pStyle w:val="Heading5"/>
        <w:numPr>
          <w:ilvl w:val="4"/>
          <w:numId w:val="1"/>
        </w:numPr>
        <w:rPr/>
      </w:pPr>
      <w:bookmarkStart w:id="553" w:name="__RefHeading___Toc624653_3244359995"/>
      <w:bookmarkStart w:id="554" w:name="_Toc206"/>
      <w:bookmarkEnd w:id="553"/>
      <w:r>
        <w:rPr>
          <w:rtl w:val="true"/>
        </w:rPr>
        <w:t>الشبهة الخامسة</w:t>
      </w:r>
      <w:r>
        <w:rPr>
          <w:rtl w:val="true"/>
        </w:rPr>
        <w:t xml:space="preserve">: </w:t>
      </w:r>
      <w:r>
        <w:rPr>
          <w:rtl w:val="true"/>
        </w:rPr>
        <w:t>فی عدم إمکان الاستدلال علی حجیة الظواهر بالدلیل اللفظی</w:t>
      </w:r>
      <w:bookmarkEnd w:id="554"/>
    </w:p>
    <w:p>
      <w:pPr>
        <w:pStyle w:val="Heading6"/>
        <w:numPr>
          <w:ilvl w:val="5"/>
          <w:numId w:val="1"/>
        </w:numPr>
        <w:rPr/>
      </w:pPr>
      <w:bookmarkStart w:id="555" w:name="__RefHeading___Toc624655_3244359995"/>
      <w:bookmarkStart w:id="556" w:name="_Toc207"/>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أنّ حجّیة الظواهر ممّا لا تحتاج إلی قیام الأدلّة اللفظیّة، بل قد مرّ عدم إمکان إمضائها بالدلیل اللفظیّ، لأنّه لا یخرج عن الظاهر، و مرّ کیفیة إمکان کشف ارتضاء الشرع بها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7" w:name="__RefHeading___Toc624657_3244359995"/>
      <w:bookmarkStart w:id="558" w:name="_Toc208"/>
      <w:bookmarkEnd w:id="557"/>
      <w:r>
        <w:rPr>
          <w:rtl w:val="true"/>
        </w:rPr>
        <w:t>بقی شی‌ء</w:t>
      </w:r>
      <w:r>
        <w:rPr>
          <w:rtl w:val="true"/>
        </w:rPr>
        <w:t xml:space="preserve">: </w:t>
      </w:r>
      <w:r>
        <w:rPr>
          <w:rtl w:val="true"/>
        </w:rPr>
        <w:t>حول شمول الآیات الناهیة عن الظن لحجّیة الظواهر</w:t>
      </w:r>
      <w:bookmarkEnd w:id="55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مقتضی الآیات الرادعة عن العمل بالظنّ، عدم حجّیة الظواهر، لأنّها لا تخرج عنها، لکونها من الظنّ و لو کان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الأصحاب و إن تعرّضوا لتلک الآیات فی مسألة حجّیة خبر الثقة، إلاّ أنّ الإشارة إلیها هنا أیضا لازمة، حتّی تنسدّ جمیع أبواب شبهات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دعوی أنّها مردوعة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الردع بها، لکونها من الظواهر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مردوع بها، و حیث یلزم من شمولها لأنفسها عدم حجّیة نفسها، و یلزم من عدم حجّیة نفسها حجّیة سائر الظواهر، لعدم الردع عنها إلاّ بها،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من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بانصرافها عن أنفسها، فیکون ظاهرها بحکم العقلاء حجّة، و یصلح لنفی حجّیة غیرها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بناء العقلاء حجّیة جمیع الظواهر، و مقتضی هذه الآیات عدم حجّیتها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الإشکال المزبور لا تشمل الآیات أنفسها، للعلم بعدم مجیئها لعدم اعتبار أنفسها، فتکون هی حجّة حسب البناء المزبور، فیلزم منه نفی الحجّیة عن غیرها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هذه الآیات عند العقلاء غیر کافیة، لاحتیاجها إلی الإمضاء، و لا طریق إلی کشف الارتضاء، ضرورة أنّ التمسّک بها ما کان بمرأی و مسمع من الشرع، و لا کثیر الدور بین العقلاء، حتّی یستنبط رضا الشرع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یستنبط ارتضاء الشرع من نفس هذه الآیات التی لا غرض لها إلاّ نفی حجّیة الظنّ، فلا بدّ أن یعلم رضا الشرع بحجّیة هذه الآیات، قضاء لحقّ سقوطها عن الأثر المرغوب منها، و المترقّب عنها،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الظواهر مفید الوثوق و الاطمئنان المعدّ عرفا من العلم، فهو حجّة، و تکون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 و أمّا فی غیر هذه الصورة فلا حجّیة، لأنّ الشرع ردع عنها بتلک الآیات الرادعة عن اتباع الظنّ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 المورثة للعلم العرفیّ و الوثوق حجّة، و منها الآیات الناهیة، و بناء العقلاء و لو کان علی الأعمّ، إلاّ أنّه مردوع بتلک الآیات، فلا یثبت بناء علی هذا عموم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دعوی حجّیة الظواهر أو عموم الدعوی، ممنوع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منع أصل الدعوی واضح الفساد، للزوم الهرج و الاختلال فی النظام، و غیر ذلک ممّا لا یخفی علی أحد، کما مرّ</w:t>
      </w:r>
      <w:r>
        <w:rPr>
          <w:rStyle w:val="FootnoteAnchor"/>
          <w:rtl w:val="true"/>
        </w:rPr>
        <w:footnoteReference w:id="676"/>
      </w:r>
      <w:r>
        <w:rPr>
          <w:rFonts w:ascii="IRNazanin" w:hAnsi="IRNazanin" w:eastAsia="IRNazanin"/>
          <w:color w:val="111111"/>
          <w:sz w:val="28"/>
          <w:sz w:val="28"/>
          <w:szCs w:val="28"/>
          <w:rtl w:val="true"/>
          <w:lang w:bidi="fa-IR"/>
        </w:rPr>
        <w:t>، فلا وجه للقول بعدم منع عموم المدّعی بها، بعد کون الآیات الناهیة مورثة للعلم، فلا تشملها الآیات الرادعة، لأنّ موضوعها عدم العلم و الظنّ، فلا نحتاج حینئذ إلی دعوی انصرافها عن أنفسها، فحینئذ بمضمون تلک الآیات، تمنع حجّیة الظواهر فی صورة عدم إفادة الوثوق و لو کانت مفیدة الظنّ، فضلا عمّا إذا کان الظنّ علی خلافها،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تحریر المشکلة علی حجّیة الظواهر، یندفع تخیّل الدور اللازم من التمسّک بالآیات الناهیة، بدعوی أنّ مردوعیّة البناءات العقلائیّة، موقوفة علی رادعیّة الآیات، و هی علی عدم مردوعیّة بنائهم علی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علی حجّیة مطلق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الآیات و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مردوع بها، و لکنّها لا تکون موقوفة إلاّ علی کشف رضا الشرع بالحجّیة، و هو حاصل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جوابا یخصّ بالشبهة فی أصل حجّیة الظواهر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البناءات العقلائیّة علی تلک الظواهر، یمکن لو لم تکن السیرة العملیّة متّصلة بها علی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الردع عن الظواهر علی الإطلاق یستلزم المفاسد و الاختلالات النظامیّة و المعاشیّة، کما عرفت مرارا، فحجّیة الظواهر فی الجملة و فی صورة إفادة الوثوق و المعرفة و الاطمئنان، قطعیّة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شکّ فهو فی إطلاق تلک الدعوی، و أنّ التمسّک بالآیات لردع الإطلاق ممکن بدوا، و قد تصدّی القوم فی أمثال المقام لحلّ المشکلة بوجوه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أکثر المحققین، و هو حدیث حکومة أدلّة حجّیة الأمارات علی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حجّیة الأمارات، لا یزید علی عدم الردع بالسکوت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الجواب صحیحا فی باب حجّیة الخبر الواحد، فلا یصحّ فی المقام، لعدم دلیل علی 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یظهر منهم التمسّک بالأدلّة اللفظیّة لها، فعلیه لا معنی للحکومة، فإنّها متقوّمة باللسان المفقود فرضا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یتمّ دلیل علی تنزیل المؤدّی منزلة الواقع، اللازم منه الحکومة، أو علی تنزیل الطریق منزلة العلم فی باب حجّیة خبر الواحد، لتمّ ذلک فی المقام،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أشباهه یعرف من کتاب اللَّه</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فان إطلاق المعرفة علی اتباع الظواهر، یشهد علی حکومة دلیل الظواهر علی الآیات الناهیة عن غیر العلم 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لیس بصدد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الظواهر علم و معرفة، و غایة ما یستفاد منه أنّه یکون الاتباع للظواهر معرفة، و ربّما کان ذلک فی صورة حصول الوثوق 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أشباهه یعرف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العرفان النوعیّ، لا الشخصیّ، و العرفان النوعیّ أعمّ من حصول الوثوق و عدمه، غیر جیّد، فتدبّر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حدیث ورود دلیل الأمارات علی الآیات </w:t>
      </w:r>
      <w:r>
        <w:rPr>
          <w:rStyle w:val="FootnoteAnchor"/>
          <w:rtl w:val="true"/>
        </w:rPr>
        <w:footnoteReference w:id="679"/>
      </w:r>
      <w:r>
        <w:rPr>
          <w:rFonts w:ascii="IRNazanin" w:hAnsi="IRNazanin" w:eastAsia="IRNazanin"/>
          <w:color w:val="111111"/>
          <w:sz w:val="28"/>
          <w:sz w:val="28"/>
          <w:szCs w:val="28"/>
          <w:rtl w:val="true"/>
          <w:lang w:bidi="fa-IR"/>
        </w:rPr>
        <w:t>، و ذلک لأنّ قضیّة ما تحرّر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و الآیات فی هذه المواقف، هی الحجّة، و إذا ثبتت حجّیة الظواهر بعدم</w:t>
      </w:r>
      <w:bookmarkStart w:id="559" w:name="pg13170_166481"/>
    </w:p>
    <w:p>
      <w:pPr>
        <w:pStyle w:val="BookText"/>
        <w:rPr/>
      </w:pPr>
      <w:bookmarkEnd w:id="559"/>
      <w:r>
        <w:rPr>
          <w:rFonts w:ascii="IRNazanin" w:hAnsi="IRNazanin" w:eastAsia="IRNazanin"/>
          <w:color w:val="111111"/>
          <w:sz w:val="28"/>
          <w:sz w:val="28"/>
          <w:szCs w:val="28"/>
          <w:rtl w:val="true"/>
          <w:lang w:bidi="fa-IR"/>
        </w:rPr>
        <w:t>الردع، تکون الأمارات حجّة، و یکون دلیلها وارداً علی الآیات طبعاً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الورود المزبور یتمّ بالنسبة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681"/>
      </w:r>
      <w:r>
        <w:rPr>
          <w:rFonts w:ascii="Amiri" w:hAnsi="Amiri" w:eastAsia="Amiri" w:cs="Amiri"/>
          <w:color w:val="111111"/>
          <w:sz w:val="28"/>
          <w:sz w:val="28"/>
          <w:szCs w:val="28"/>
          <w:rtl w:val="true"/>
          <w:lang w:bidi="ar-SA"/>
        </w:rPr>
        <w:t>دون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إطلاق الآیة الثانیة، یقیّد بما یدلّ علی حجّیة الظواهر، فالمعارضة بین دلیل حجّیة الظواهر و الآیة، ترتفع بالتقیّد، فالظنون الاخر مورد الآیة دونها،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صناعة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من الورود، لعدم أثر من الدلیل الوارد، و عدم الردع لیس شیئا حتّی یعدّ واردا علی الآیات، فغایة ما یعبّر عنه فی المقام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التخصّص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الشرع أمضی هذا التخصّص،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الآیات الناهیة ممنوع طرّا، فلا نحتاج إلی دلیل الحاکم أو الوارد، و ذلک لأنّ الانصراف عن البناءات العقلائیّة، و عدم صلاحیة الآیات لردعها و لو فی الجملة قطعیّ، لأنّ الشرع المرید ردع البناءات العرفیّة، لا بدّ و أن یتشبّث بالخشونة و التأکید فی قبال المغروسات العرفیّة و العقلائیّة، ففی غیر هذه الصورة یحصل الانصراف القطعیّ لتلک الآیات عنها، و هذا هو المعنی الّذی یتبیّن بمراجعة ما فهمه القوم و المفسّرون من الآیات، و قد تحرّر فی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الانصراف، یضرّ بانعقاد الإطلاق، و یوجب تضیّق الدلیل ذاتا عن الشمول </w:t>
      </w:r>
      <w:r>
        <w:rPr>
          <w:rStyle w:val="FootnoteAnchor"/>
          <w:rtl w:val="true"/>
        </w:rPr>
        <w:footnoteReference w:id="683"/>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Heading6"/>
        <w:numPr>
          <w:ilvl w:val="5"/>
          <w:numId w:val="1"/>
        </w:numPr>
        <w:rPr/>
      </w:pPr>
      <w:bookmarkStart w:id="560" w:name="__RefHeading___Toc624659_3244359995"/>
      <w:bookmarkStart w:id="561" w:name="_Toc209"/>
      <w:bookmarkEnd w:id="560"/>
      <w:r>
        <w:rPr>
          <w:rtl w:val="true"/>
        </w:rPr>
        <w:t>بقی شی‌ء</w:t>
      </w:r>
      <w:r>
        <w:rPr>
          <w:rtl w:val="true"/>
        </w:rPr>
        <w:t xml:space="preserve">: </w:t>
      </w:r>
      <w:r>
        <w:rPr>
          <w:rtl w:val="true"/>
        </w:rPr>
        <w:t>فیما یرد علی الدلیل العقلی علی حجّیة الظواهر</w:t>
      </w:r>
      <w:bookmarkEnd w:id="56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ما تحرّر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الظواهر علی إطلاقها حجّة، و الکلام المنعقد له</w:t>
      </w:r>
    </w:p>
    <w:p>
      <w:pPr>
        <w:pStyle w:val="BookText"/>
        <w:rPr/>
      </w:pPr>
      <w:r>
        <w:rPr>
          <w:rFonts w:ascii="IRNazanin" w:hAnsi="IRNazanin" w:eastAsia="IRNazanin"/>
          <w:color w:val="111111"/>
          <w:sz w:val="28"/>
          <w:sz w:val="28"/>
          <w:szCs w:val="28"/>
          <w:rtl w:val="true"/>
          <w:lang w:bidi="fa-IR"/>
        </w:rPr>
        <w:t>الظهور، یصلح للاحتجاج به عند العقلاء، فیجب اتّباعها، حذرا من العقاب، لأنّه لو کان فلا یکون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یناقش بمناقشة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ما هو الحجّة فی الحقیقة، هو فهم العقلاء، و عدم تجویزهم العقود فی قبال الکلام الواصل الظاهر، ضرورة أنّ ما به تقطع حجّة العبد مثلا و عذره، المراجعة إلی العقلاء و اتّفاقهم علی جواز عقابه، فما هو الحجّة هی عقول العرف، لا الکلام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حجّة علی الحجّة، و سند لحجّیة الکلام، و أنّه بیان تامّ، و العقاب لیس عقابا بلا بیان، و لا مؤاخذة بلا برهان</w:t>
      </w:r>
      <w:r>
        <w:rPr>
          <w:rFonts w:eastAsia="IRNazanin" w:cs="IRNazanin"/>
          <w:color w:val="111111"/>
          <w:sz w:val="28"/>
          <w:szCs w:val="28"/>
          <w:rtl w:val="true"/>
          <w:lang w:bidi="fa-IR"/>
        </w:rPr>
        <w:t>.</w:t>
      </w:r>
      <w:bookmarkStart w:id="562" w:name="pg13170_166484"/>
    </w:p>
    <w:p>
      <w:pPr>
        <w:pStyle w:val="Heading3"/>
        <w:numPr>
          <w:ilvl w:val="2"/>
          <w:numId w:val="1"/>
        </w:numPr>
        <w:rPr/>
      </w:pPr>
      <w:bookmarkStart w:id="563" w:name="__RefHeading___Toc624661_3244359995"/>
      <w:bookmarkStart w:id="564" w:name="_Toc210"/>
      <w:bookmarkEnd w:id="562"/>
      <w:bookmarkEnd w:id="563"/>
      <w:r>
        <w:rPr>
          <w:rtl w:val="true"/>
        </w:rPr>
        <w:t>المبحث الثانی فی حجّیة قول اللّغوی</w:t>
      </w:r>
      <w:bookmarkEnd w:id="56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5" w:name="__RefHeading___Toc624663_3244359995"/>
      <w:bookmarkStart w:id="566" w:name="_Toc211"/>
      <w:bookmarkEnd w:id="565"/>
      <w:r>
        <w:rPr>
          <w:rtl w:val="true"/>
        </w:rPr>
        <w:t>اشارة</w:t>
      </w:r>
      <w:bookmarkStart w:id="567" w:name="pg13170_166486"/>
      <w:bookmarkEnd w:id="566"/>
    </w:p>
    <w:p>
      <w:pPr>
        <w:pStyle w:val="Heading4"/>
        <w:numPr>
          <w:ilvl w:val="3"/>
          <w:numId w:val="1"/>
        </w:numPr>
        <w:rPr/>
      </w:pPr>
      <w:bookmarkStart w:id="568" w:name="__RefHeading___Toc624665_3244359995"/>
      <w:bookmarkStart w:id="569" w:name="_Toc212"/>
      <w:bookmarkEnd w:id="567"/>
      <w:bookmarkEnd w:id="568"/>
      <w:r>
        <w:rPr>
          <w:rtl w:val="true"/>
        </w:rPr>
        <w:t>تمهید وجه إفراد هذا البحث</w:t>
      </w:r>
      <w:bookmarkEnd w:id="569"/>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بحث علی حدة، لأنّه من الأمور الراجعة إلی المبادئ المحتاج إلیها انعقاد الظهور للکلام الثابت من الکتاب أو الأحادیث، و لا ثمرة أخری تترتّب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الکلام معقد الإجماع، و لا یکون هو من الحدیث، و هکذا فی الوصایا و الأقاریر و الفتاوی و غیرها من الأوقاف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عنه بحث مستقلّ یستنتج منه توصیف الکلام بالظهور، و ینعقد به موضوع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موضوع المسألتین أعمّ، فالبحث هنا أیضا لیس مرهونا بحجّیة الظهور، لأنّ من الکلام ما هو الخارج عن بحث حجّیة الظواهر، لأنّه حجّة عند کلّ أحد، و لا یختلف فیه اثنان، و عندئذ نحتاج إلی فهم موادّه من اللغة،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بأس بالبحث عنه مستقلاّ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قول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شهادة، أو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کافیة لحلّ مشکلة توصیف الکلام بالظهور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المعانی التی یتعرّض لها اللغویّون هی المعانی الموضوع لها، و هی المعانی المحفوظة و الحقیقیّة، و ذلک لأنّ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و اللغویّ یتعرّض لمعانی الموادّ، دون الهیئات،</w:t>
      </w:r>
    </w:p>
    <w:p>
      <w:pPr>
        <w:pStyle w:val="BookText"/>
        <w:rPr/>
      </w:pP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کلام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الهیئات التامّة و الناقصة، الدخیل فی کشف الظهور لها فهم تلک الهیئات، کهیئة المشتقّات، و هیئات الجمل الناقصة و التامّة، التی ربّما یتعرّض لها النحاة و الأدباء علی کثرة فنونهم، فالأعجمیّ الأجنبیّ عن لغة العرب بمراجعة کتب اللغة، یتمکّن من تعیین موادّ الکلام، و لکنّه لا بدّ له من الممارسة فی فنون الأدب، لفهم الهیئات جیّدا، حتّی یتوجّه إلی خصوصیّاتها التی تفتقدها کتب اللغة قاطبة صدرا و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صرّح به العلاّمة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الرجوع لفهم الهیئة إلی اللغة</w:t>
      </w:r>
      <w:r>
        <w:rPr>
          <w:rStyle w:val="FootnoteAnchor"/>
          <w:rtl w:val="true"/>
        </w:rPr>
        <w:footnoteReference w:id="684"/>
      </w:r>
      <w:r>
        <w:rPr>
          <w:rFonts w:ascii="IRNazanin" w:hAnsi="IRNazanin" w:eastAsia="IRNazanin"/>
          <w:color w:val="111111"/>
          <w:sz w:val="28"/>
          <w:sz w:val="28"/>
          <w:szCs w:val="28"/>
          <w:rtl w:val="true"/>
          <w:lang w:bidi="fa-IR"/>
        </w:rPr>
        <w:t>، خال من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 المحقّقین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بالبناء علی حجّیة قول اللغویّ، یتمّ المطلوب، لأنّها صغری المسألة السابقة</w:t>
      </w:r>
      <w:r>
        <w:rPr>
          <w:rStyle w:val="FootnoteAnchor"/>
          <w:rtl w:val="true"/>
        </w:rPr>
        <w:footnoteReference w:id="685"/>
      </w:r>
      <w:r>
        <w:rPr>
          <w:rFonts w:ascii="IRNazanin" w:hAnsi="IRNazanin" w:eastAsia="IRNazanin"/>
          <w:color w:val="111111"/>
          <w:sz w:val="28"/>
          <w:sz w:val="28"/>
          <w:szCs w:val="28"/>
          <w:rtl w:val="true"/>
          <w:lang w:bidi="fa-IR"/>
        </w:rPr>
        <w:t>، فی غیر محلّه بالضرورة، و کثیرا ما تختلف أفهام المجتهدین، لاختلافهم فی الهیئات اجتهادا، أو 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فتوصیف الکلام بالظهور یحتاج إلی السیر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الموادّ، و مرحلة الهیئات، و لو کان یجوز الاتکال علی الغیر فی الأولی، فلا بدّ من إعمال النّظر فی الثانیة، و قد مرّ فی مباحث المجلد الأوّل ما یفی به فی طیّ المسائل الکثیرة التی منها مباحث المشتقّ و وضع الهیئات الناقصة و الکاملة</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لأجل ما أشیر إلیه، تعرّضوا لوضع الهیئات فی مباحث الألفاظ</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لمّا وضع الهیئات نوعیّا غالبا إلاّ ما شذّ و ندر، کان فهم الموادّ فی</w:t>
      </w:r>
    </w:p>
    <w:p>
      <w:pPr>
        <w:pStyle w:val="BookText"/>
        <w:rPr/>
      </w:pPr>
      <w:r>
        <w:rPr>
          <w:rFonts w:ascii="IRNazanin" w:hAnsi="IRNazanin" w:eastAsia="IRNazanin"/>
          <w:color w:val="111111"/>
          <w:sz w:val="28"/>
          <w:sz w:val="28"/>
          <w:szCs w:val="28"/>
          <w:rtl w:val="true"/>
          <w:lang w:bidi="fa-IR"/>
        </w:rPr>
        <w:t xml:space="preserve">الجملة، کافیا لتشخیص المعانی الحرفیة، مثلا إذا کان فهم موادّ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یتمکّن الإنسان منه لفهم الهیئة، و به یعرف الهیئة الناقصة و الکاملة فی کافّة الجمل الاخر، و لو لم یعلم موادّها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حکی عن السیّد الأستاذ الفشارکیّ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الوضع إلی الفعلیّ و التهیّئی، بتوهّم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صورة الاطلاع علی معانی المادّة و الهیئة، یکون الکلام مفهوما بالفعل، و إلاّ فلا یفهم منه شی‌ء، لأنّ وضع المادّة مع قطع النّظر عن الهیئة و بالعکس، لیس إلاّ وضعا تهیّئا، و لا یستفاد منه شی‌ء، و لا یتبادر منه معنی </w:t>
      </w:r>
      <w:r>
        <w:rPr>
          <w:rStyle w:val="FootnoteAnchor"/>
          <w:rtl w:val="true"/>
        </w:rPr>
        <w:footnoteReference w:id="687"/>
      </w:r>
      <w:r>
        <w:rPr>
          <w:rFonts w:ascii="Amiri" w:hAnsi="Amiri" w:eastAsia="Amiri" w:cs="Amiri"/>
          <w:color w:val="111111"/>
          <w:sz w:val="28"/>
          <w:sz w:val="28"/>
          <w:szCs w:val="28"/>
          <w:rtl w:val="true"/>
          <w:lang w:bidi="ar-SA"/>
        </w:rPr>
        <w:t>، فهو غیر تامّ، کما تحرّر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الاطلاع علی الموادّ و اللغات، و هو ربّما یحصل بالعلم، و بقیام البیّنة، أو الخبر الموثوق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حجّیة الوثوق و الاطمئنان الحاصل من قول اللغویّ، لیس إشکالا، و إنّما الإشکال فی حجّیة قول اللغویّ، و لو لم یحصل منه شی‌ء، بل و لو حصل منه الظنّ بالخلاف</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المناقشة کما تکون فیه، کذلک تکون فی صورة الوثوق و الاطمئنان، لأنّه لم یقم دلیل علی حجّیته، و ما یدلّ علی حجّیة العلم من المحاذیر العقلیّة، لا یقتضی حجّیة الوثوق و لا عامّ شرعیّ یقتضی حجّیة مطلق الوثوق، و لا شبهة فی عدم حجّیة الوثوق من الجفر و الرمل و الأسطرلاب و أنحائها، فلعلّ منه قول اللغویّ، فلا بدّ من الدلیل علی حجّیته فی الصورة المذکورة، و لو کانت مفروغا عنها فی کلامهم</w:t>
      </w:r>
      <w:r>
        <w:rPr>
          <w:rFonts w:eastAsia="IRNazanin" w:cs="IRNazanin"/>
          <w:color w:val="111111"/>
          <w:sz w:val="28"/>
          <w:szCs w:val="28"/>
          <w:rtl w:val="true"/>
          <w:lang w:bidi="fa-IR"/>
        </w:rPr>
        <w:t>.</w:t>
      </w:r>
      <w:bookmarkStart w:id="570" w:name="pg13170_166489"/>
    </w:p>
    <w:p>
      <w:pPr>
        <w:pStyle w:val="Heading4"/>
        <w:numPr>
          <w:ilvl w:val="3"/>
          <w:numId w:val="1"/>
        </w:numPr>
        <w:rPr/>
      </w:pPr>
      <w:bookmarkStart w:id="571" w:name="__RefHeading___Toc624667_3244359995"/>
      <w:bookmarkStart w:id="572" w:name="_Toc213"/>
      <w:bookmarkEnd w:id="570"/>
      <w:bookmarkEnd w:id="571"/>
      <w:r>
        <w:rPr>
          <w:rtl w:val="true"/>
        </w:rPr>
        <w:t>أدلّة حجّیة قول اللغوی</w:t>
      </w:r>
      <w:bookmarkEnd w:id="572"/>
    </w:p>
    <w:p>
      <w:pPr>
        <w:pStyle w:val="Heading5"/>
        <w:numPr>
          <w:ilvl w:val="4"/>
          <w:numId w:val="1"/>
        </w:numPr>
        <w:rPr/>
      </w:pPr>
      <w:bookmarkStart w:id="573" w:name="__RefHeading___Toc624669_3244359995"/>
      <w:bookmarkStart w:id="574" w:name="_Toc214"/>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یستدلّ له أو یمکن أن یستند إلیه لحجّیة قوله، أمور نشیر إلیها إجمالا</w:t>
      </w:r>
      <w:r>
        <w:rPr>
          <w:rFonts w:eastAsia="IRNazanin" w:cs="IRNazanin"/>
          <w:color w:val="111111"/>
          <w:sz w:val="28"/>
          <w:szCs w:val="28"/>
          <w:rtl w:val="true"/>
          <w:lang w:bidi="fa-IR"/>
        </w:rPr>
        <w:t>:</w:t>
      </w:r>
    </w:p>
    <w:p>
      <w:pPr>
        <w:pStyle w:val="Heading5"/>
        <w:numPr>
          <w:ilvl w:val="4"/>
          <w:numId w:val="1"/>
        </w:numPr>
        <w:rPr/>
      </w:pPr>
      <w:bookmarkStart w:id="575" w:name="__RefHeading___Toc624671_3244359995"/>
      <w:bookmarkStart w:id="576" w:name="_Toc215"/>
      <w:bookmarkEnd w:id="575"/>
      <w:r>
        <w:rPr>
          <w:rtl w:val="true"/>
        </w:rPr>
        <w:t>الأمر الأوّل</w:t>
      </w:r>
      <w:r>
        <w:rPr>
          <w:rtl w:val="true"/>
        </w:rPr>
        <w:t xml:space="preserve">: </w:t>
      </w:r>
      <w:r>
        <w:rPr>
          <w:rtl w:val="true"/>
        </w:rPr>
        <w:t>الإجماع اللفظیّ القائم علی ذلک خصوصا</w:t>
      </w:r>
      <w:r>
        <w:rPr>
          <w:rtl w:val="true"/>
        </w:rPr>
        <w:t>.</w:t>
      </w:r>
      <w:bookmarkEnd w:id="576"/>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القدر المتیقّن منه صورة خاصّة، إذ لا إطلاق لمعقده، و أنّ من المحتمل کون مستندهم الاعتبارات العقلائیّة و بناءات عرفیّة، مع بعد کونه من التعبّد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حدیثة العنوان، و جدیرة بالذکر، فلا یثبت به حتّی صورة حصول الوثوق و الاطمئنان</w:t>
      </w:r>
      <w:r>
        <w:rPr>
          <w:rFonts w:eastAsia="IRNazanin" w:cs="IRNazanin"/>
          <w:color w:val="111111"/>
          <w:sz w:val="28"/>
          <w:szCs w:val="28"/>
          <w:rtl w:val="true"/>
          <w:lang w:bidi="fa-IR"/>
        </w:rPr>
        <w:t>.</w:t>
      </w:r>
    </w:p>
    <w:p>
      <w:pPr>
        <w:pStyle w:val="Heading5"/>
        <w:numPr>
          <w:ilvl w:val="4"/>
          <w:numId w:val="1"/>
        </w:numPr>
        <w:rPr/>
      </w:pPr>
      <w:bookmarkStart w:id="577" w:name="__RefHeading___Toc624673_3244359995"/>
      <w:bookmarkStart w:id="578" w:name="_Toc216"/>
      <w:bookmarkEnd w:id="577"/>
      <w:r>
        <w:rPr>
          <w:rtl w:val="true"/>
        </w:rPr>
        <w:t>الأمر الثانی</w:t>
      </w:r>
      <w:r>
        <w:rPr>
          <w:rtl w:val="true"/>
        </w:rPr>
        <w:t xml:space="preserve">: </w:t>
      </w:r>
      <w:r>
        <w:rPr>
          <w:rtl w:val="true"/>
        </w:rPr>
        <w:t>الإجماع العملیّ و السیرة المخصوصة برجوع القوم إلی اللغویّین</w:t>
      </w:r>
      <w:r>
        <w:rPr>
          <w:rtl w:val="true"/>
        </w:rPr>
        <w:t>.</w:t>
      </w:r>
      <w:bookmarkEnd w:id="578"/>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الممضاة حجّة، و هی مرهونة بکونها بمرأی و منظر من الشرع، و الشرع ما هو بمرأی منه هم العرب العارفون باللغة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وجود کتب اللغة فی عصر الأئمّة 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لکشف ابتلاء الناس باللغوی، و رجوعهم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الرجوع إلی الأئمّة علیهم السلام أو إلی الرسول صلی اللَّه علیه و آله و سلم فی جملة من الأخبار لفهم ألفاظ الحدیث، لا یدلّ علی شی‌ء فی المسألة، فما تعارف فی عصرنا من التمسّک بالسیرة العملیّة، غیر واقع فی محلّه، کما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کشف حجّیة قول اللغویّ علی إطلاقه، أشدّ إشکالا</w:t>
      </w:r>
      <w:r>
        <w:rPr>
          <w:rFonts w:eastAsia="IRNazanin" w:cs="IRNazanin"/>
          <w:color w:val="111111"/>
          <w:sz w:val="28"/>
          <w:szCs w:val="28"/>
          <w:rtl w:val="true"/>
          <w:lang w:bidi="fa-IR"/>
        </w:rPr>
        <w:t>.</w:t>
      </w:r>
    </w:p>
    <w:p>
      <w:pPr>
        <w:pStyle w:val="Heading5"/>
        <w:numPr>
          <w:ilvl w:val="4"/>
          <w:numId w:val="1"/>
        </w:numPr>
        <w:rPr/>
      </w:pPr>
      <w:bookmarkStart w:id="579" w:name="__RefHeading___Toc624675_3244359995"/>
      <w:bookmarkStart w:id="580" w:name="_Toc217"/>
      <w:bookmarkEnd w:id="579"/>
      <w:r>
        <w:rPr>
          <w:rtl w:val="true"/>
        </w:rPr>
        <w:t>الأمر الثالث</w:t>
      </w:r>
      <w:r>
        <w:rPr>
          <w:rtl w:val="true"/>
        </w:rPr>
        <w:t xml:space="preserve">: </w:t>
      </w:r>
      <w:r>
        <w:rPr>
          <w:rtl w:val="true"/>
        </w:rPr>
        <w:t>السیرة العامّة الکلّیة</w:t>
      </w:r>
      <w:bookmarkEnd w:id="58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الناهضة علی مراجعة الناس إلی</w:t>
      </w:r>
      <w:bookmarkStart w:id="581" w:name="pg13170_166490"/>
    </w:p>
    <w:p>
      <w:pPr>
        <w:pStyle w:val="BookText"/>
        <w:rPr/>
      </w:pPr>
      <w:bookmarkEnd w:id="581"/>
      <w:r>
        <w:rPr>
          <w:rFonts w:ascii="IRNazanin" w:hAnsi="IRNazanin" w:eastAsia="IRNazanin"/>
          <w:color w:val="111111"/>
          <w:sz w:val="28"/>
          <w:sz w:val="28"/>
          <w:szCs w:val="28"/>
          <w:rtl w:val="true"/>
          <w:lang w:bidi="fa-IR"/>
        </w:rPr>
        <w:t xml:space="preserve">المهندسین و المتخصّصین و المهرة و الفنّانین، فی المسائل المختلفة القائم علیها معاشهم و حیاتهم، و هذه السیرة کانت بإجمالها بمرأی و مسمع من الأئمّة علیهم السلام و بإلغاء الخصوصیّة یستکشف اعتبار أمر کلّی، و هو جواز الرجوع إلی الخبراء و أهل الاطلاع و اللغویّین و لو کانوا أبناء الکفر و الإلحاد، کجمع من کتب اللغة فی عصرنا،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مؤلّفیهما مسیحیّان، أو کانوا من أبناء العامّة،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کانوا شیعة إمامیّین غیر معروفة وثاقتهم و عدالتهم، کالجوهریّ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یستکشف ممّا هو المتعارف فی العصر الأوّل، جواز الرجوع إلی أشباههم فی المسائل الحدیثة فی العصر الأخیر، کذلک الأمر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الرجوع إلی الخرّاصین، و إلی قول البائع و إخباره، و إخبار المقوّمین و أمثاله، کانت من صغریات هذا الأمر الکلیّ، فإمضاؤها یشهد علی إمضاء ما یقرب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یناقش فی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عموم المدّعی بذلک غیر ثابت، لأنّ القدر المتیقّن من ذلک صورة حصول الوثوق، و لا دلیل علی رجوعهم إلیهم، و اتکالهم علی قول اللغویّین فی الاحتجاجات، لأنّ المتعارف بین أهل اللسان، هو فهم اللغات الدائرة فی الاستعمالات بین الموالی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الاتکال علی أهل الخبرة و المتخصّصین فی المسائل الیومیّة و الأمور العامّة، ربّما یکون لأجل کونها من الأمور الحسّیة، و أمّا اللغویّون فلا یستندون إلی الحسّ، لما فیه من تخلخل الأفهام الخاصّة، و الحدس، و الاجتهاد، فإلغاء الخصوصیّة مشکل</w:t>
      </w:r>
      <w:r>
        <w:rPr>
          <w:rFonts w:eastAsia="IRNazanin" w:cs="IRNazanin"/>
          <w:color w:val="111111"/>
          <w:sz w:val="28"/>
          <w:szCs w:val="28"/>
          <w:rtl w:val="true"/>
          <w:lang w:bidi="fa-IR"/>
        </w:rPr>
        <w:t>.</w:t>
      </w:r>
    </w:p>
    <w:p>
      <w:pPr>
        <w:pStyle w:val="Heading5"/>
        <w:numPr>
          <w:ilvl w:val="4"/>
          <w:numId w:val="1"/>
        </w:numPr>
        <w:rPr/>
      </w:pPr>
      <w:bookmarkStart w:id="582" w:name="__RefHeading___Toc624677_3244359995"/>
      <w:bookmarkStart w:id="583" w:name="_Toc218"/>
      <w:bookmarkEnd w:id="582"/>
      <w:r>
        <w:rPr>
          <w:rtl w:val="true"/>
        </w:rPr>
        <w:t>الأمر الرابع</w:t>
      </w:r>
      <w:r>
        <w:rPr>
          <w:rtl w:val="true"/>
        </w:rPr>
        <w:t xml:space="preserve">: </w:t>
      </w:r>
      <w:r>
        <w:rPr>
          <w:rtl w:val="true"/>
        </w:rPr>
        <w:t>أنّ مقتضی أدلّة حجّیة خبر الواحد، حجّیة قولهم</w:t>
      </w:r>
      <w:r>
        <w:rPr>
          <w:rtl w:val="true"/>
        </w:rPr>
        <w:t>.</w:t>
      </w:r>
      <w:bookmarkEnd w:id="58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اللغویّ لا یشهد بشی‌ء، و إنّما یری معانی الألفاظ بمداخلة الفهم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الشهادة تحتاج إلی البیّنة، و ذلک لما دلّ علی اعتبار البیّنة فی الموضوعات، و معتبر مسعدة بن صدقة، فإنّ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w:t>
      </w:r>
      <w:bookmarkStart w:id="584" w:name="pg13170_166491"/>
    </w:p>
    <w:p>
      <w:pPr>
        <w:pStyle w:val="BookText"/>
        <w:rPr/>
      </w:pPr>
      <w:bookmarkEnd w:id="584"/>
      <w:r>
        <w:rPr>
          <w:rFonts w:ascii="IRNazanin" w:hAnsi="IRNazanin" w:eastAsia="IRNazanin"/>
          <w:color w:val="111111"/>
          <w:sz w:val="28"/>
          <w:sz w:val="28"/>
          <w:szCs w:val="28"/>
          <w:rtl w:val="true"/>
          <w:lang w:bidi="fa-IR"/>
        </w:rPr>
        <w:t>کلّها علی ذلک حتّی تستبین، أو تقوم به البیّنة</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أخبار اعتبار البیّنة، غیر دالّة علی اعتبار البیّنة فی مطلق الموضوعات، و لذلک استشکل جمع من الأصحاب فیه، و رضوا بعضهم بکفایة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و لا دلیل علی انصرافها إلی البیّنة المقصودة فی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بالأیمان و البیّنات</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مع أنّ احتمال کون المراد منها هناک أیضا ذاک،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الروایة علی ردع قول اللغویّ، و إلاّ یلزم أن تکون رادعة للظواهر، لأنّ الاستبانة فی موارد الظواهر ممنوعة، إلاّ فی صورة حصول الوثوق کما لا یخفی،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العلاّمة الأراکیّ قدس سره فی المقام </w:t>
      </w:r>
      <w:r>
        <w:rPr>
          <w:rStyle w:val="FootnoteAnchor"/>
          <w:rtl w:val="true"/>
        </w:rPr>
        <w:footnoteReference w:id="691"/>
      </w:r>
      <w:r>
        <w:rPr>
          <w:rFonts w:ascii="IRNazanin" w:hAnsi="IRNazanin" w:eastAsia="IRNazanin"/>
          <w:color w:val="111111"/>
          <w:sz w:val="28"/>
          <w:sz w:val="28"/>
          <w:szCs w:val="28"/>
          <w:rtl w:val="true"/>
          <w:lang w:bidi="fa-IR"/>
        </w:rPr>
        <w:t>، غیر تامّ أیضا، نعم لا بدّ من إثبات کون قوله حجّة و بیّنة، و هو غیر معلوم کما لا یخفی</w:t>
      </w:r>
      <w:r>
        <w:rPr>
          <w:rFonts w:eastAsia="IRNazanin" w:cs="IRNazanin"/>
          <w:color w:val="111111"/>
          <w:sz w:val="28"/>
          <w:szCs w:val="28"/>
          <w:rtl w:val="true"/>
          <w:lang w:bidi="fa-IR"/>
        </w:rPr>
        <w:t>.</w:t>
      </w:r>
    </w:p>
    <w:p>
      <w:pPr>
        <w:pStyle w:val="Heading5"/>
        <w:numPr>
          <w:ilvl w:val="4"/>
          <w:numId w:val="1"/>
        </w:numPr>
        <w:rPr/>
      </w:pPr>
      <w:bookmarkStart w:id="585" w:name="__RefHeading___Toc624679_3244359995"/>
      <w:bookmarkStart w:id="586" w:name="_Toc219"/>
      <w:bookmarkEnd w:id="585"/>
      <w:r>
        <w:rPr>
          <w:rtl w:val="true"/>
        </w:rPr>
        <w:t>الأمر الخامس</w:t>
      </w:r>
      <w:bookmarkEnd w:id="5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اللغویّین لیس من الشهادة حتّی یحتاج إلی البیّنة، بل الرجوع إلیه کالرجوع إلی الفقهاء فی الفتوی، فأدلّة اعتبار البیّنة، أو اعتبار عدالة الشهادة، أجنبیّة عن قولهم، لأنّ قوله من الرّأی، إلاّ أنّه رأی قریب من الحسّ، کما أنّ أرباب الصناعة و مهرة الفن، لهم الآراء فی أمورهم، فتکون المسألة خارجة عن مسألة الشهادة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حجّیة آرائهم تحتاج إلی الدلیل، و قد مرّ الکلام حوله فی الوجه الثالث</w:t>
      </w:r>
      <w:r>
        <w:rPr>
          <w:rFonts w:eastAsia="IRNazanin" w:cs="IRNazanin"/>
          <w:color w:val="111111"/>
          <w:sz w:val="28"/>
          <w:szCs w:val="28"/>
          <w:rtl w:val="true"/>
          <w:lang w:bidi="fa-IR"/>
        </w:rPr>
        <w:t>.</w:t>
      </w:r>
      <w:bookmarkStart w:id="587" w:name="pg13170_166492"/>
    </w:p>
    <w:p>
      <w:pPr>
        <w:pStyle w:val="BookText"/>
        <w:rPr/>
      </w:pPr>
      <w:bookmarkEnd w:id="587"/>
      <w:r>
        <w:rPr>
          <w:rFonts w:ascii="IRNazanin" w:hAnsi="IRNazanin" w:eastAsia="IRNazanin"/>
          <w:color w:val="111111"/>
          <w:sz w:val="28"/>
          <w:sz w:val="28"/>
          <w:szCs w:val="28"/>
          <w:rtl w:val="true"/>
          <w:lang w:bidi="fa-IR"/>
        </w:rPr>
        <w:t>هذا مع أنّ اعتبار البیّنة فی الشهادة، یقتضی اعتبارها فی الآراء، للأولویّة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الرجوع إلی رأی الفقیه أو إلی الآراء الاخر، تکون الأدلّة وافیة،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مرّ فی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أهل الفنّ یستندون إلی الحسّ دون اللغویّ، قابل للإشکال، لأنّ الکلّ مشترک فی استنادهم فی قولهم إلی الرّأی و الاستظهار، فلاحظ و تدبّر جیّدا</w:t>
      </w:r>
      <w:r>
        <w:rPr>
          <w:rFonts w:eastAsia="IRNazanin" w:cs="IRNazanin"/>
          <w:color w:val="111111"/>
          <w:sz w:val="28"/>
          <w:szCs w:val="28"/>
          <w:rtl w:val="true"/>
          <w:lang w:bidi="fa-IR"/>
        </w:rPr>
        <w:t>.</w:t>
      </w:r>
    </w:p>
    <w:p>
      <w:pPr>
        <w:pStyle w:val="Heading5"/>
        <w:numPr>
          <w:ilvl w:val="4"/>
          <w:numId w:val="1"/>
        </w:numPr>
        <w:rPr/>
      </w:pPr>
      <w:bookmarkStart w:id="588" w:name="__RefHeading___Toc624681_3244359995"/>
      <w:bookmarkStart w:id="589" w:name="_Toc220"/>
      <w:bookmarkEnd w:id="588"/>
      <w:r>
        <w:rPr>
          <w:rtl w:val="true"/>
        </w:rPr>
        <w:t>الأمر السادس</w:t>
      </w:r>
      <w:r>
        <w:rPr>
          <w:rtl w:val="true"/>
        </w:rPr>
        <w:t xml:space="preserve">: </w:t>
      </w:r>
      <w:r>
        <w:rPr>
          <w:rtl w:val="true"/>
        </w:rPr>
        <w:t>دلیل الانسداد</w:t>
      </w:r>
      <w:bookmarkEnd w:id="589"/>
    </w:p>
    <w:p>
      <w:pPr>
        <w:pStyle w:val="BookText"/>
        <w:rPr/>
      </w:pPr>
      <w:r>
        <w:rPr>
          <w:rFonts w:ascii="IRNazanin" w:hAnsi="IRNazanin" w:eastAsia="IRNazanin"/>
          <w:color w:val="111111"/>
          <w:sz w:val="28"/>
          <w:sz w:val="28"/>
          <w:szCs w:val="28"/>
          <w:rtl w:val="true"/>
          <w:lang w:bidi="fa-IR"/>
        </w:rPr>
        <w:t>، بتقریب أنّ قضیّة العلم الإجمالیّ، و ممنوعیّة إجراء البراءة، و عدم وجوب الاحتیاط قطعا، هو اعتبار إخبار اللغویّ، و إخبار الرجالیّ، و غیر ذلک ممّا یتوقّف علیه الخروج عن عهدة التکلیف المعلوم بالإجمال، لا مطلق الظنّ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انتهاء الانسداد إلی ما هو المطلوب، و هی حجّیة قول اللغویّ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 علیک أحیانا</w:t>
      </w:r>
      <w:r>
        <w:rPr>
          <w:rStyle w:val="FootnoteAnchor"/>
          <w:rtl w:val="true"/>
        </w:rPr>
        <w:footnoteReference w:id="692"/>
      </w:r>
      <w:r>
        <w:rPr>
          <w:rFonts w:ascii="IRNazanin" w:hAnsi="IRNazanin" w:eastAsia="IRNazanin"/>
          <w:color w:val="111111"/>
          <w:sz w:val="28"/>
          <w:sz w:val="28"/>
          <w:szCs w:val="28"/>
          <w:rtl w:val="true"/>
          <w:lang w:bidi="fa-IR"/>
        </w:rPr>
        <w:t>، أنّ دلیل الانسداد ممّا یحتاج إلیه، و تکون نتیجة مقدّماته حجّیة الظنون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المشهور، و تنتهی مقدّماته إلی حجّیة الظواهر، و خبر الواحد، و اللغویّ، و الرجالیّ، و الإجماع، و الشهرة، و هکذا،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الاجتهاد و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الهرج و المرج اللازم من الاحتیاط، غیر جائز قطعا، و إجراء البراءة ینتهی إلی هدم الدین و المخالفة القطعیّة، و بالجملة وجوب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ینتهی إلی حجّیة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الظواهر القطعیّة، لا بدّ و أن تنتهی إلی حجّیة قوله، فرارا من اللغویّة، ضرورة أنّ عدم حجّیته یخلّ بحجّیتها، لأنّ الکلام الظاهر فرع الاطلاع علی موادّها، و الاطلاع علی موادّها لا یتیسّر إلاّ بقول اللغویّ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القواعد من الاحتیاط فی بعض الموارد، أو البراءة فی بعضها،</w:t>
      </w:r>
      <w:bookmarkStart w:id="590" w:name="pg13170_166493"/>
    </w:p>
    <w:p>
      <w:pPr>
        <w:pStyle w:val="BookText"/>
        <w:rPr/>
      </w:pPr>
      <w:bookmarkEnd w:id="590"/>
      <w:r>
        <w:rPr>
          <w:rFonts w:ascii="IRNazanin" w:hAnsi="IRNazanin" w:eastAsia="IRNazanin"/>
          <w:color w:val="111111"/>
          <w:sz w:val="28"/>
          <w:sz w:val="28"/>
          <w:szCs w:val="28"/>
          <w:rtl w:val="true"/>
          <w:lang w:bidi="fa-IR"/>
        </w:rPr>
        <w:t>ممّا لا یجوز، و عندئذ ینحصر الأمر فی حجّیة رأی اللغویّین، و الرجالیّین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المناقشات الخاصّة فی أساس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 فی حجّیة خبر الثقة، و بعد الفراغ من وجوب الاجتهاد و اللغویة المدّعاة اللازمة من حجّیة الظواهر، لا ینتهی الأمر إلی حجّیة رأی اللغویّ بطرد المراجعة إلی القواعد، و ذلک لأنّ الانتهاء إلی ذلک، فرع الحاجة إلی اللغة و المراجعة إلیها، و هی ممنوعة بالضرورة، فإنّ معانی الألفاظ العربیّة، واضحة جلیّة ظاهرة إلاّ ما شذّ، و کثیر من الألفاظ فی موارد الشبهة، تظهر بمراجعة محیط الأعراب لمجتهدی العصر، و بمراجعة الأمصار، لسهولة الأمر، و ما یختفی إلی آخر الأمر، شاذّ لا یستلزم الاختلال، و لا یلزم من المراجعة فی مواردها إلی القواعد، خروج عن الدین، و لا المخالفة القطعیّة للتکلیف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تقتضیه التقاریب، حجّیة اللغویّ عند حصول الظنّ، لقلّة الوثوق و الاطمئنان، و هذا أخصّ من المدّعی أیضا برتبتین، لأنّ المدّعی فی باب حجّیة الظنون الخاصة، حجّیتها و لو لم یحصل الظنّ الشخصیّ منها، أو کان علی خلافها، فاغتنم</w:t>
      </w:r>
      <w:r>
        <w:rPr>
          <w:rFonts w:eastAsia="IRNazanin" w:cs="IRNazanin"/>
          <w:color w:val="111111"/>
          <w:sz w:val="28"/>
          <w:szCs w:val="28"/>
          <w:rtl w:val="true"/>
          <w:lang w:bidi="fa-IR"/>
        </w:rPr>
        <w:t>.</w:t>
      </w:r>
    </w:p>
    <w:p>
      <w:pPr>
        <w:pStyle w:val="Heading4"/>
        <w:numPr>
          <w:ilvl w:val="3"/>
          <w:numId w:val="1"/>
        </w:numPr>
        <w:rPr/>
      </w:pPr>
      <w:bookmarkStart w:id="591" w:name="__RefHeading___Toc624683_3244359995"/>
      <w:bookmarkStart w:id="592" w:name="_Toc221"/>
      <w:bookmarkEnd w:id="591"/>
      <w:r>
        <w:rPr>
          <w:rtl w:val="true"/>
        </w:rPr>
        <w:t>تذنیب</w:t>
      </w:r>
      <w:r>
        <w:rPr>
          <w:rtl w:val="true"/>
        </w:rPr>
        <w:t xml:space="preserve">: </w:t>
      </w:r>
      <w:r>
        <w:rPr>
          <w:rtl w:val="true"/>
        </w:rPr>
        <w:t>حول محاذیر حجیة قول اللغوی</w:t>
      </w:r>
      <w:bookmarkEnd w:id="592"/>
    </w:p>
    <w:p>
      <w:pPr>
        <w:pStyle w:val="BookText"/>
        <w:rPr/>
      </w:pPr>
      <w:r>
        <w:rPr>
          <w:rFonts w:ascii="IRNazanin" w:hAnsi="IRNazanin" w:eastAsia="IRNazanin"/>
          <w:color w:val="111111"/>
          <w:sz w:val="28"/>
          <w:sz w:val="28"/>
          <w:szCs w:val="28"/>
          <w:rtl w:val="true"/>
          <w:lang w:bidi="fa-IR"/>
        </w:rPr>
        <w:t>لو سلّمنا حجّیة قول اللغویّ، فهناک بعض مشاکل اخر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المعانی الموضوع لها من کتب اللغة، فی غایة الإشکال، لأنّ قضیّة تصریح بعضهم و ظاهر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بصدد ذکر موارد الاستعمال الأعمّ من الحقیقة، و یصعب علیهم الاطلاع علی المعانی الحقیقیّة، سواء قلنا بالحقیقة و المجاز علی مقالة المشهور، أو علی مقالة العلاّمة المسجد شاهی قدس سره </w:t>
      </w:r>
      <w:r>
        <w:rPr>
          <w:rStyle w:val="FootnoteAnchor"/>
          <w:rtl w:val="true"/>
        </w:rPr>
        <w:footnoteReference w:id="693"/>
      </w: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استعمال اللغة فی جمیع الأحیان فی الموضوع له و لو کان صحیحا، و لکن اللغویّ لا یتمکّن من فهم القرائن الموجودة عندهم الناهضة علی المراد الجدّی،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اللغویّ لیس من ألّف فی اللغة کتابا، ضرورة أنّ لنا تألیف اللغة بمراجعة کتب اللغة الموجودة بین أیدینا، فاللغویّ المتأخّر أخذ عن المتقدّم، و لا یکون کالأطبّاء المتخصّصین المتعاقبین بعضهم بعد بعض، فمن هو اللغویّ إمّا هو المجتهد فی اللغة بالممارسة، و الاختیار، و بالرجوع إلی لغة الحجاز و قراهم و قصباتهم، أو یکون ناقلا للمعانی عن الأعراب، و فضلاء العرب، و شعرائهم، و خطبائهم، و هؤلاء اللغویّون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الخلیل و ابن درید ما یرجعون إلی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هم بأشخاصهم ربّما یکونون من العرب فیفیدون اللغة للأجنبیّ دون أهل اللسان،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هذه المشکلة ممّا لا یمکن الفرار منها أیضا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یحصل للأجنبیّ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بمراجعة اللغات المختلفة، و لأجل المناسبات الخاصّة الموجودة فی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الإشکال کما مرّ فی حجّیة مطلق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الطائفة علی حجّیته، و لأنّ الوثوق هو الاستبانة التی وردت فی ذیل خبر مسعدة بن صدقة</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الشأن أنّ الخبر غیر معتبر عندی، لما فی سنده سهل، و الأمر فی سهل لیس بسهل، إلاّ أن یقال بالانجبار، و هو بعد غیر واضح، فتدبّر جیّدا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بلغنا إلی هنا یوم الأربعاء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علی ساکنه السّلام و التحیّة، و قد عطّلت الدروس بمناسبة أیّام الزیارة الأربعینیّة، و نحن من المشاة إن شاء اللَّه تعالی، و نسأله أن یتقبّل عنّا بالحسین علیه السلام</w:t>
      </w:r>
      <w:r>
        <w:rPr>
          <w:rFonts w:eastAsia="IRNazanin" w:cs="IRNazanin"/>
          <w:color w:val="111111"/>
          <w:sz w:val="28"/>
          <w:szCs w:val="28"/>
          <w:rtl w:val="true"/>
          <w:lang w:bidi="fa-IR"/>
        </w:rPr>
        <w:t>.</w:t>
      </w:r>
      <w:bookmarkStart w:id="593" w:name="pg13170_166496"/>
    </w:p>
    <w:p>
      <w:pPr>
        <w:pStyle w:val="Heading3"/>
        <w:numPr>
          <w:ilvl w:val="2"/>
          <w:numId w:val="1"/>
        </w:numPr>
        <w:rPr/>
      </w:pPr>
      <w:bookmarkStart w:id="594" w:name="__RefHeading___Toc624685_3244359995"/>
      <w:bookmarkStart w:id="595" w:name="_Toc222"/>
      <w:bookmarkEnd w:id="593"/>
      <w:bookmarkEnd w:id="594"/>
      <w:r>
        <w:rPr>
          <w:rtl w:val="true"/>
        </w:rPr>
        <w:t>المبحث الثالث فی حجّیة الإجماع المنقول</w:t>
      </w:r>
      <w:bookmarkEnd w:id="59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6" w:name="__RefHeading___Toc624687_3244359995"/>
      <w:bookmarkStart w:id="597" w:name="_Toc223"/>
      <w:bookmarkEnd w:id="596"/>
      <w:r>
        <w:rPr>
          <w:rtl w:val="true"/>
        </w:rPr>
        <w:t>اشارة</w:t>
      </w:r>
      <w:bookmarkStart w:id="598" w:name="pg13170_166498"/>
      <w:bookmarkEnd w:id="597"/>
    </w:p>
    <w:p>
      <w:pPr>
        <w:pStyle w:val="Heading4"/>
        <w:numPr>
          <w:ilvl w:val="3"/>
          <w:numId w:val="1"/>
        </w:numPr>
        <w:rPr/>
      </w:pPr>
      <w:bookmarkStart w:id="599" w:name="__RefHeading___Toc624689_3244359995"/>
      <w:bookmarkStart w:id="600" w:name="_Toc224"/>
      <w:bookmarkEnd w:id="598"/>
      <w:bookmarkEnd w:id="599"/>
      <w:r>
        <w:rPr>
          <w:rtl w:val="true"/>
        </w:rPr>
        <w:t>تمهید</w:t>
      </w:r>
      <w:bookmarkEnd w:id="600"/>
    </w:p>
    <w:p>
      <w:pPr>
        <w:pStyle w:val="Heading5"/>
        <w:numPr>
          <w:ilvl w:val="4"/>
          <w:numId w:val="1"/>
        </w:numPr>
        <w:rPr/>
      </w:pPr>
      <w:bookmarkStart w:id="601" w:name="__RefHeading___Toc624691_3244359995"/>
      <w:bookmarkStart w:id="602" w:name="_Toc225"/>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و قبل الخوض فی مهمّة البحث، لا بدّ من الإشارة إلی جهات</w:t>
      </w:r>
      <w:r>
        <w:rPr>
          <w:rFonts w:eastAsia="IRNazanin" w:cs="IRNazanin"/>
          <w:color w:val="111111"/>
          <w:sz w:val="28"/>
          <w:szCs w:val="28"/>
          <w:rtl w:val="true"/>
          <w:lang w:bidi="fa-IR"/>
        </w:rPr>
        <w:t>:</w:t>
      </w:r>
    </w:p>
    <w:p>
      <w:pPr>
        <w:pStyle w:val="Heading5"/>
        <w:numPr>
          <w:ilvl w:val="4"/>
          <w:numId w:val="1"/>
        </w:numPr>
        <w:rPr/>
      </w:pPr>
      <w:bookmarkStart w:id="603" w:name="__RefHeading___Toc624693_3244359995"/>
      <w:bookmarkStart w:id="604" w:name="_Toc226"/>
      <w:bookmarkEnd w:id="603"/>
      <w:r>
        <w:rPr>
          <w:rtl w:val="true"/>
        </w:rPr>
        <w:t>الجهة الأولی</w:t>
      </w:r>
      <w:r>
        <w:rPr>
          <w:rtl w:val="true"/>
        </w:rPr>
        <w:t xml:space="preserve">: </w:t>
      </w:r>
      <w:r>
        <w:rPr>
          <w:rtl w:val="true"/>
        </w:rPr>
        <w:t>فی تعریف الإجماع</w:t>
      </w:r>
      <w:bookmarkEnd w:id="604"/>
    </w:p>
    <w:p>
      <w:pPr>
        <w:pStyle w:val="BookText"/>
        <w:rPr/>
      </w:pPr>
      <w:r>
        <w:rPr>
          <w:rFonts w:ascii="IRNazanin" w:hAnsi="IRNazanin" w:eastAsia="IRNazanin"/>
          <w:color w:val="111111"/>
          <w:sz w:val="28"/>
          <w:sz w:val="28"/>
          <w:szCs w:val="28"/>
          <w:rtl w:val="true"/>
          <w:lang w:bidi="fa-IR"/>
        </w:rPr>
        <w:t>قد عرّف الإجماع بتعاریف، فعن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اتفاق الأمّة الإسلامیّة</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اتفاق أهل الحلّ و العقد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الحاجبیّ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اتفاق المجتهدین من هذه الأمّة</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المتأخّرین حیث رأوا أنّ الإجماع بالتفسیر الأوّل، غیر حاصل علی أمر الخلافة، ارتکبوا الفساد، و فسّروه بما ینطبق علی مرادهم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من المفاهیم العرفیّة، و الّذی هو مفهومه التدقیقیّ المأخوذ من حدیث مشهور عنه صلی اللَّه علیه و آله و سلم هو اجتماع الأمّة، و لا یضرّ بهذا المفهوم خروج الفرد النادر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أخبارنا، ففی مقبولة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 و دع الشاذّ النادر، فإنّ المجمع علیه لا ریب فیه</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فإنّ منه یستفاد أنّ الاتفاق، لا یتضرّر بخروج النادر الشاذّ، فیکون المفهوم المسامحیّ منه ذلک، أو هو مفهومه التدقیقیّ أیضا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الخلافة، فما هو مورد اتفاق الأمّة الإسلامیّة، هی خلافة أمیر المؤمنین علیه السلام و إنّما الاختلاف فی خصوصیّاتها، و هی الأوّلیة، و الرابعیّة، و أمّا الثلاثة الباقون فخلافتهم خلافیّة، فأصل الخلافة ثابت له علیه السلام دون غیره،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تعریف الإجماع بالوجه الأحسن، فهو موقوف علی میزان حجّیته، فإنّه ربّما یختلف ذلک باختلاف رأیهم فی المسألة الآتیة، ضرورة أنّ القائل بحجّیة الإجماع من باب القطع، ربّما یحصل له القطع من العدّة القلیلین، 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میزان الحجّیة هی الملازمة العقلیّة، یعتبر الاتفاق بمعناه التدقیقیّ، و ربّما یضرّ خروج مجهول النسب عنه و لو کان واحدا، فلو أخبر أحد من المجمعین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بذهاب شخص مجهول عنده إلی الخلاف، فهو یضرّ بالإجماع الحدسیّ و الدخولیّ، بل و اللطفیّ، مع أنّه قد حصل الاتفاق الکلّی من المعلوم نسبهم، فلو کان الإجماع هو الاتفاق المفید للقطع، فلا یکون الاتفاق المزبور منه، کما لا یخفی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ما فی کلام جمع من الأصحاب رحمهم اللَّه الخائضین فی هذه المرحلة من البحث، و الأمر سهل</w:t>
      </w:r>
      <w:r>
        <w:rPr>
          <w:rFonts w:eastAsia="IRNazanin" w:cs="IRNazanin"/>
          <w:color w:val="111111"/>
          <w:sz w:val="28"/>
          <w:szCs w:val="28"/>
          <w:rtl w:val="true"/>
          <w:lang w:bidi="fa-IR"/>
        </w:rPr>
        <w:t>.</w:t>
      </w:r>
      <w:bookmarkStart w:id="605" w:name="pg13170_166500"/>
    </w:p>
    <w:p>
      <w:pPr>
        <w:pStyle w:val="Heading5"/>
        <w:numPr>
          <w:ilvl w:val="4"/>
          <w:numId w:val="1"/>
        </w:numPr>
        <w:rPr/>
      </w:pPr>
      <w:bookmarkStart w:id="606" w:name="__RefHeading___Toc624695_3244359995"/>
      <w:bookmarkStart w:id="607" w:name="_Toc227"/>
      <w:bookmarkEnd w:id="605"/>
      <w:bookmarkEnd w:id="606"/>
      <w:r>
        <w:rPr>
          <w:rtl w:val="true"/>
        </w:rPr>
        <w:t>الجهة الثانیة</w:t>
      </w:r>
      <w:r>
        <w:rPr>
          <w:rtl w:val="true"/>
        </w:rPr>
        <w:t xml:space="preserve">: </w:t>
      </w:r>
      <w:r>
        <w:rPr>
          <w:rtl w:val="true"/>
        </w:rPr>
        <w:t>فی عدم تفرّع هذه المسألة علی حجّیة خبر الواحد</w:t>
      </w:r>
      <w:bookmarkEnd w:id="607"/>
    </w:p>
    <w:p>
      <w:pPr>
        <w:pStyle w:val="BookText"/>
        <w:rPr/>
      </w:pPr>
      <w:r>
        <w:rPr>
          <w:rFonts w:ascii="IRNazanin" w:hAnsi="IRNazanin" w:eastAsia="IRNazanin"/>
          <w:color w:val="111111"/>
          <w:sz w:val="28"/>
          <w:sz w:val="28"/>
          <w:szCs w:val="28"/>
          <w:rtl w:val="true"/>
          <w:lang w:bidi="fa-IR"/>
        </w:rPr>
        <w:t>یظهر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من متفرّعات حجّیة الخبر الواحد، فکان ینبغی تأخیرها عنها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مسألة حجّیة خبر الواحد، یکون البحث أوّلا حول أخبار الثقة فی الأحکام و لو کان غیر إمامیّ أو کافرا مثلا، و لا خلاف هناک إلاّ فی الخبر غیر المقرون بالأمارات و القرائن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نحن فیه فناقل الإجماع أوّلا ینقل الموضوع، و حدیث نقل السنّة اشتباه، لاختلاف الآراء فی وجه حجّیة الإجماع، فإنّ من الآراء أنّه حجّة، لکونه کاشفا عن الرّأی و فتوی الإمام، لا السنّة و الروایة، و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مصبّ النزاع کما سیظهر، هو أنّ نقل الإجماع و الاتفاق الحسّی الّذی هو موضوع من الموضوعات، یکون حجّة، لأجل کونه موضوعا، أو سببا و کاشفا، أو ملازما لدخوله علیه السلام بشخصه عقلا، أو عادة و عرفا، أو غیر ذلک، أم لا؟ کما أنّ الوجدان حاکم بأنّ ناقل الإجماع، لا یحکی إلاّ ذلک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نقل أحد الفقهاء مشحون بالقرینة، و یکون مفروغا منه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ربّما یکون نقل الإجماع متواترا، و لکنّه لیس بحجّة، فلا تکون هذه المسألة من متفرّعات المسألة الآتیة، فلا تخلط، و الأمر سهل</w:t>
      </w:r>
      <w:r>
        <w:rPr>
          <w:rFonts w:eastAsia="IRNazanin" w:cs="IRNazanin"/>
          <w:color w:val="111111"/>
          <w:sz w:val="28"/>
          <w:szCs w:val="28"/>
          <w:rtl w:val="true"/>
          <w:lang w:bidi="fa-IR"/>
        </w:rPr>
        <w:t>.</w:t>
      </w:r>
      <w:bookmarkStart w:id="608" w:name="pg13170_166501"/>
    </w:p>
    <w:p>
      <w:pPr>
        <w:pStyle w:val="Heading5"/>
        <w:numPr>
          <w:ilvl w:val="4"/>
          <w:numId w:val="1"/>
        </w:numPr>
        <w:rPr/>
      </w:pPr>
      <w:bookmarkStart w:id="609" w:name="__RefHeading___Toc624697_3244359995"/>
      <w:bookmarkStart w:id="610" w:name="_Toc228"/>
      <w:bookmarkEnd w:id="608"/>
      <w:bookmarkEnd w:id="609"/>
      <w:r>
        <w:rPr>
          <w:rtl w:val="true"/>
        </w:rPr>
        <w:t>الجهة الثالثة</w:t>
      </w:r>
      <w:r>
        <w:rPr>
          <w:rtl w:val="true"/>
        </w:rPr>
        <w:t xml:space="preserve">: </w:t>
      </w:r>
      <w:r>
        <w:rPr>
          <w:rtl w:val="true"/>
        </w:rPr>
        <w:t>فی توقف هذه المسألة علی معرفة الإجماع المحصل</w:t>
      </w:r>
      <w:bookmarkEnd w:id="610"/>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نقل الإجماع المحصّل، فیکون علی هذا الإجماع المحصّل، هو الإجماع بالحمل الشائع، و الإجماع المنقول هو الإجماع بالحمل الأوّلی، کما هو کذلک فی المسائل الشرعیّة التی یتمسّک فیها بالإجماع، و بالاتفاق، و بمفاهیم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و لا یعرف فیها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فالمنقول من الإجماع لیس أمرا وراء نقل الإجماع المحصّل، فعلیه لا بدّ من النّظر فی الإجماع المحصّل، حتّی یتبیّن حال هذه المسألة</w:t>
      </w:r>
      <w:r>
        <w:rPr>
          <w:rFonts w:eastAsia="IRNazanin" w:cs="IRNazanin"/>
          <w:color w:val="111111"/>
          <w:sz w:val="28"/>
          <w:szCs w:val="28"/>
          <w:rtl w:val="true"/>
          <w:lang w:bidi="fa-IR"/>
        </w:rPr>
        <w:t>.</w:t>
      </w:r>
    </w:p>
    <w:p>
      <w:pPr>
        <w:pStyle w:val="Heading5"/>
        <w:numPr>
          <w:ilvl w:val="4"/>
          <w:numId w:val="1"/>
        </w:numPr>
        <w:rPr/>
      </w:pPr>
      <w:bookmarkStart w:id="611" w:name="__RefHeading___Toc624699_3244359995"/>
      <w:bookmarkStart w:id="612" w:name="_Toc229"/>
      <w:bookmarkEnd w:id="611"/>
      <w:r>
        <w:rPr>
          <w:rtl w:val="true"/>
        </w:rPr>
        <w:t>الجهة الرابعة</w:t>
      </w:r>
      <w:r>
        <w:rPr>
          <w:rtl w:val="true"/>
        </w:rPr>
        <w:t xml:space="preserve">: </w:t>
      </w:r>
      <w:r>
        <w:rPr>
          <w:rtl w:val="true"/>
        </w:rPr>
        <w:t>فی وجه حجّیة الإجماع المحصّل</w:t>
      </w:r>
      <w:bookmarkEnd w:id="612"/>
    </w:p>
    <w:p>
      <w:pPr>
        <w:pStyle w:val="Heading6"/>
        <w:numPr>
          <w:ilvl w:val="5"/>
          <w:numId w:val="1"/>
        </w:numPr>
        <w:rPr/>
      </w:pPr>
      <w:bookmarkStart w:id="613" w:name="__RefHeading___Toc624701_3244359995"/>
      <w:bookmarkStart w:id="614" w:name="_Toc230"/>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فإن کان له وجه تصل نوبة البحث إلی حجّیة المنقول، و إلاّ فهو 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w:t>
      </w:r>
      <w:r>
        <w:rPr>
          <w:rStyle w:val="FootnoteAnchor"/>
          <w:rtl w:val="true"/>
        </w:rPr>
        <w:footnoteReference w:id="701"/>
      </w:r>
      <w:r>
        <w:rPr>
          <w:rFonts w:ascii="IRNazanin" w:hAnsi="IRNazanin" w:eastAsia="IRNazanin"/>
          <w:color w:val="111111"/>
          <w:sz w:val="28"/>
          <w:sz w:val="28"/>
          <w:szCs w:val="28"/>
          <w:rtl w:val="true"/>
          <w:lang w:bidi="fa-IR"/>
        </w:rPr>
        <w:t xml:space="preserve">و رئیسهم السیّد المرتضی قدس سره </w:t>
      </w:r>
      <w:r>
        <w:rPr>
          <w:rStyle w:val="FootnoteAnchor"/>
          <w:rtl w:val="true"/>
        </w:rPr>
        <w:footnoteReference w:id="702"/>
      </w:r>
      <w:r>
        <w:rPr>
          <w:rFonts w:ascii="IRNazanin" w:hAnsi="IRNazanin" w:eastAsia="IRNazanin"/>
          <w:color w:val="111111"/>
          <w:sz w:val="28"/>
          <w:sz w:val="28"/>
          <w:szCs w:val="28"/>
          <w:rtl w:val="true"/>
          <w:lang w:bidi="fa-IR"/>
        </w:rPr>
        <w:t>إلی أنّ وجه الحجّیة، دخول الإمام علیه السلام و علیه لو کانوا کلّهم معلومی النسب، فلا ینعقد الإجماع، فیعتبر وجود مجهول النسب شرطا، و 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للإجماع معنی آخر غیر مفهومه العرفیّ و اللغویّ، فاتفاق الأمّة أو المجتهدین لیس بإجماع، بل هو اصطلاح خاصّ</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المتأخّرین کلّهم غیر راضین بمقالته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مطابق لما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تجتمع أمّتی علی</w:t>
      </w:r>
    </w:p>
    <w:p>
      <w:pPr>
        <w:pStyle w:val="BookText"/>
        <w:rPr/>
      </w:pP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فان المفهوم منهما هو المفهوم العرفیّ فی سائر الألفاظ و لا حقیقة شرعیّة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للمناقشة فی حجّیة رأی المعصوم علیه السلام فی حال الغیبة، مجال واسع لمن یری أنّ حجّیة رأیهم، تابعة لاعتبار الرسول صلی اللَّه علیه و آله و سلم فإنّه عندئذٍ یمکن ذلک، لأنّ القدر المتیقّن من حجّیة رأیهم، حال حضوره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من حجّیة رأی الحاضر حال الإمامة، و أمّا حجّیة رأی الابن حال وجود الأب، فغیر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عندی فرأیهم و سنّتهم حجّة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شیخ الطائفة الحقّة إلی قاعدة اللطف، و أنّ الإجماع حجّة بحکم العقل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اللطف لیست تامّة، لا فی باب النبوّة، و لا فی باب الإمامة، و التفصیل فی محلّ آخر، و أمّا المتأخّرون المتمسّکون بها فی مسألة النبوّة، فلا فارق بینها و بین المقام بحسب بعض التقاریب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إلی الحدس، للملازمة العادیّة أو العقلیّة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لا یرجع إلی محصّل إلاّ برجوعه إلی أحد الأوّلین، أو القول الأخیر الآتی من ذی قبل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معنی للحدس بوجود الحکم الواقعیّ، إلاّ لأجل وجوده علیه السلام فیهم، أو وجود رأیه فی آرائهم احتمالا و إمکانا، فیکون راجعا إلی ما سلف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یرجع إلی الحدس بوجود السنّة بینهم، أو الرّأی فیهم و اشتهاره لدیهم، فلا</w:t>
      </w:r>
    </w:p>
    <w:p>
      <w:pPr>
        <w:pStyle w:val="BookText"/>
        <w:rPr/>
      </w:pPr>
      <w:r>
        <w:rPr>
          <w:rFonts w:ascii="IRNazanin" w:hAnsi="IRNazanin" w:eastAsia="IRNazanin"/>
          <w:color w:val="111111"/>
          <w:sz w:val="28"/>
          <w:sz w:val="28"/>
          <w:szCs w:val="28"/>
          <w:rtl w:val="true"/>
          <w:lang w:bidi="fa-IR"/>
        </w:rPr>
        <w:t>یرجع حدیث الحدس إلی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حدیث تراکم الظنون مثله </w:t>
      </w:r>
      <w:r>
        <w:rPr>
          <w:rStyle w:val="FootnoteAnchor"/>
          <w:rtl w:val="true"/>
        </w:rPr>
        <w:footnoteReference w:id="707"/>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مناقشة بعضهم فی هذه المقالات فی غیر محلّه،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ما هو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الإجماع حجّة، لرجوعه إلی وجود السنّة بینهم، و هی غیر واصلة إلی المتأخّرین، و یکون ذلک الخبر و السنّة نقیّ الدلالة و السند، و یکون تامّا من جهة الصدور، بحیث إذا وصل إلی المتأخّرین لنالوا منه ما نالوا منه، و لأدرکوا و لاستظهروا منه ما استظهروه منه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فالمناقشة فی هذا المسلک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نظر المجمعین مع غیرهم فی حجّیة السند،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المحتمل کون الخبر غیر تامّ الدلالة، غیر تامّة، و قابلة للدفع، ضرورة أنّ من اتفاقهم فی الحکم، یتبیّن أنّ السند مورد وثاقتهم الخاصّة، و من اتفاق القدماء و أرباب الحدیث الأوّلین الذین هم لا یعملون الاجتهادات الدقیقة فی فتاواهم، یحصل الوثوق و الاطمئنان بأنّ الخبر الموجود عندهم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قصّة اتفاقهم فی مسألة نجاسة ماء البئر، مع اختلاف المتأخّرین منهم فیها، فهی راجعة إلی کیفیّة الجمع بین الأدلّة،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یشکل الأمر علی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وجود روایة لدیهم، و عدم نقلها فی الجوامع الأوّلیة، بعید جدّاً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یهون بعد التأمّل فی تاریخ حیاتهم، و اغتشاش بالهم، و عدم العثور علی کثیر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عدم نقل الطبقة الأولی للمتأخّرین، فلم تصل السنّة</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الّذی یخطر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مستند المجمعین، کثیرا ما یوجد فی الآثار و الأخبار المنتشرة فی کتب الحدیث، و لکنّه غیر مضبوط فی محالّها، و یطّلع علیه المتتبّع أحیانا، و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الاجتهاد إلاّ بعد الفحص عن أخبار مستدرک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من الممکن کون مستندهم السنّة، إلاّ أنّ لعدم انحفاظ ألفاظها بما لها من المعانی، لم تضبط فی الجوامع، و هذا واضح للمتدبّر المتأمّل، فما فی حواشی العلاّمة الأصفهانیّ قدس سره من المناقشات </w:t>
      </w:r>
      <w:r>
        <w:rPr>
          <w:rStyle w:val="FootnoteAnchor"/>
          <w:rtl w:val="true"/>
        </w:rPr>
        <w:footnoteReference w:id="709"/>
      </w:r>
      <w:r>
        <w:rPr>
          <w:rFonts w:ascii="IRNazanin" w:hAnsi="IRNazanin" w:eastAsia="IRNazanin"/>
          <w:color w:val="111111"/>
          <w:sz w:val="28"/>
          <w:sz w:val="28"/>
          <w:szCs w:val="28"/>
          <w:rtl w:val="true"/>
          <w:lang w:bidi="fa-IR"/>
        </w:rPr>
        <w:t>کلّها قابلة للدفع،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الإشکال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استکشاف الروایة بالإجماع، یستلزم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الأخبار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للتقیید عند تحقّق المعارضة بینها، و بین سائر السنن و الآیات الأحکامیّة، مع أنّهم غیر ملتزمین به، و یعملون بمعاقد الإجماعات معاملة النصوص، فالقول المزبور أیضا غیر مرضیّ، فانتظر ما هو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ما ذهب إلیه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الإجماع یکشف عن رأی المعصوم علیه السلام و یکشف عن اشتهار الحکم فی العصر الأوّل، کما هو الآن کذلک بالنسبة إلی طائفة من الأحکام</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مرام المتأخّرین لا معنی للإجماع بین المتأخّرین أو المتوسّطین، بل الإجماع المفید هو الإجماع الموجود بین القدماء</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رأی المتأخّرین یمکن ذلک، لإمکان اطلاع أمثال الشهید أو المحقّق علی روایة، دون القدماء، لوجود بعض کتب الحدیث عندهم،</w:t>
      </w:r>
    </w:p>
    <w:p>
      <w:pPr>
        <w:pStyle w:val="BookText"/>
        <w:rPr/>
      </w:pPr>
      <w:r>
        <w:rPr>
          <w:rFonts w:ascii="IRNazanin" w:hAnsi="IRNazanin" w:eastAsia="IRNazanin"/>
          <w:color w:val="111111"/>
          <w:sz w:val="28"/>
          <w:sz w:val="28"/>
          <w:szCs w:val="28"/>
          <w:rtl w:val="true"/>
          <w:lang w:bidi="fa-IR"/>
        </w:rPr>
        <w:t>و لا سیّما عند الشهید رحمه اللَّه فإنّه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الخمسة الذین هم من المحدّثین العظماء، و علی هذا تحصل المعارضة أحیانا بین الإجماعین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یکشف عن اشتهار الحکم بین الأوائل، حتّی وصل إلی الثوانی، فلا معارضة بینه و بین الإجماع الحاصل بین المتأخرین، لما لا حجّیة له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قابلیّة معقد الإجماع للتخصیص و التقیید، و لا یعامل معه معاملة السنّة الصحیحة،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ربّما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تحصیل الإجماع علی بعض المسائل الفرعیّة، التی لا یحتمل اشتهارها فی الصدر الأوّل، و لا تکون مورد الابتلاء، فإنّ الأحکام المشتهرة فی عصرنا، هی الأحکام الشائعة المبتلی بها الناس، دون مثل الحکم فی کتاب الظهار و الإیلاء، فعلی هذا لا بأس بالالتزام بکونه کاشفا عن الرّأی فی بعض المواقف، و عن السنّة فی الموقف الآخر، و لا داعی إلی کون وجه الحجّیة أمرا وحیدا، و جهة فریدة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حلّ الإشکال الّذی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عمل المجمعین بإطلاق الحدیث الموجود عندهم، یورث إضرابهم عن مفاد الدلیل المقیّد له، فلا یکون الحدیث الأخصّ، صالحا لتقیید إطلاق معقد الإجماع،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الاحتمالات الکثیرة فی وجه حجّیة الإجماع، کلّها غیر صالحة إلاّ الأخیران، و لا داعی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یکشف عن السنّة، أو یکشف عن رأی المعصوم، و عن فتوی الإمام علیه السلام بل تختلف الموارد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ففیما یکون الحکم من الأحکام المتلقّاة عن الأئمّة، لکونها کثیرة الابتلاء، یکون وجه الحجّیة اشتهاره</w:t>
      </w:r>
      <w:r>
        <w:rPr>
          <w:rFonts w:eastAsia="IRNazanin" w:cs="IRNazanin"/>
          <w:color w:val="111111"/>
          <w:sz w:val="28"/>
          <w:szCs w:val="28"/>
          <w:rtl w:val="true"/>
          <w:lang w:bidi="fa-IR"/>
        </w:rPr>
        <w:t>.</w:t>
      </w:r>
      <w:bookmarkStart w:id="615" w:name="pg13170_166506"/>
    </w:p>
    <w:p>
      <w:pPr>
        <w:pStyle w:val="BookText"/>
        <w:rPr/>
      </w:pPr>
      <w:bookmarkEnd w:id="615"/>
      <w:r>
        <w:rPr>
          <w:rFonts w:ascii="IRNazanin" w:hAnsi="IRNazanin" w:eastAsia="IRNazanin"/>
          <w:color w:val="111111"/>
          <w:sz w:val="28"/>
          <w:sz w:val="28"/>
          <w:szCs w:val="28"/>
          <w:rtl w:val="true"/>
          <w:lang w:bidi="fa-IR"/>
        </w:rPr>
        <w:t>و فیما لا یکون ذلک، و لا یحتمل اشتهاره بین أصحاب الحدیث و أرباب الروایة، یعلم أنّ المسألة ذات روایة، إلاّ أنّها لأجل الجهات المذکورة، غیر واصلة إلینا، فلیتدبّر، فإنّ المسألة تحتاج إلی مزید التدبّر جدّاً</w:t>
      </w:r>
      <w:r>
        <w:rPr>
          <w:rFonts w:eastAsia="IRNazanin" w:cs="IRNazanin"/>
          <w:color w:val="111111"/>
          <w:sz w:val="28"/>
          <w:szCs w:val="28"/>
          <w:rtl w:val="true"/>
          <w:lang w:bidi="fa-IR"/>
        </w:rPr>
        <w:t>.</w:t>
      </w:r>
    </w:p>
    <w:p>
      <w:pPr>
        <w:pStyle w:val="Heading6"/>
        <w:numPr>
          <w:ilvl w:val="5"/>
          <w:numId w:val="1"/>
        </w:numPr>
        <w:rPr/>
      </w:pPr>
      <w:bookmarkStart w:id="616" w:name="__RefHeading___Toc624703_3244359995"/>
      <w:bookmarkStart w:id="617" w:name="_Toc231"/>
      <w:bookmarkEnd w:id="616"/>
      <w:r>
        <w:rPr>
          <w:rtl w:val="true"/>
        </w:rPr>
        <w:t>بقی شی‌ء</w:t>
      </w:r>
      <w:r>
        <w:rPr>
          <w:rtl w:val="true"/>
        </w:rPr>
        <w:t xml:space="preserve">: </w:t>
      </w:r>
      <w:r>
        <w:rPr>
          <w:rtl w:val="true"/>
        </w:rPr>
        <w:t>فی صعوبة تحصیل صغری الإجماع المحصّل</w:t>
      </w:r>
      <w:bookmarkEnd w:id="617"/>
    </w:p>
    <w:p>
      <w:pPr>
        <w:pStyle w:val="BookText"/>
        <w:rPr/>
      </w:pPr>
      <w:r>
        <w:rPr>
          <w:rFonts w:ascii="IRNazanin" w:hAnsi="IRNazanin" w:eastAsia="IRNazanin"/>
          <w:color w:val="111111"/>
          <w:sz w:val="28"/>
          <w:sz w:val="28"/>
          <w:szCs w:val="28"/>
          <w:rtl w:val="true"/>
          <w:lang w:bidi="fa-IR"/>
        </w:rPr>
        <w:t>بعد الفراغ من حجّیة الإجماع المحصّل بنحو الکبری الکلّیة، یبقی الإشکال الأساسیّ فی صغراها، و أنّه کیف یمکن تحصیل ذلک الإجماع للمتأخّرین، أو لأحد من الأسبقین و السالفین؟</w:t>
      </w:r>
    </w:p>
    <w:p>
      <w:pPr>
        <w:pStyle w:val="BookText"/>
        <w:rPr/>
      </w:pPr>
      <w:r>
        <w:rPr>
          <w:rFonts w:ascii="IRNazanin" w:hAnsi="IRNazanin" w:eastAsia="IRNazanin"/>
          <w:color w:val="111111"/>
          <w:sz w:val="28"/>
          <w:sz w:val="28"/>
          <w:szCs w:val="28"/>
          <w:rtl w:val="true"/>
          <w:lang w:bidi="fa-IR"/>
        </w:rPr>
        <w:t>أمّا المتأخّرون، لعدم تمکّنهم من العثور علی مؤلّفات القدماء بأجمعهم، و علی آرائهم بالاتفاق، لعدم نیل المتأخّرین جمیع ما کان عندهم من التألیف، أو لإمکان وجود جماعة من الفقهاء غیر المضبوطة أسماؤهم فی کتب التراجم و الفهارس، و لا سیّما فی مثل البلاد البعیدة، و خصوصا فی تلک الأعصار، المتشتّت فیها الأمر علیهم من النواحی المختلفة، و الضواحی الکثیرة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سقوط جماعة کثیرة من الطبقة الثانیة عشرة، و هی طبقة الشیخ الطوسیّ عن قلم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الدین، کما صرّح به الأستاذ البروجردیّ قدس سره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 هذا یکفی للشکّ حقّا فی إمکان کسب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المحتمل وجود تألیف آخر لأمثال الصدوق و ابن بابویه و أبنائهما و غیرهم، و هی غیر واصلة إلینا، و یکون الحکم فیها غیر ما وصل إلینا،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الصدوق ذکر مائتی کتاب لوالده </w:t>
      </w:r>
      <w:r>
        <w:rPr>
          <w:rStyle w:val="FootnoteAnchor"/>
          <w:rtl w:val="true"/>
        </w:rPr>
        <w:footnoteReference w:id="712"/>
      </w:r>
      <w:r>
        <w:rPr>
          <w:rFonts w:ascii="IRNazanin" w:hAnsi="IRNazanin" w:eastAsia="IRNazanin"/>
          <w:color w:val="111111"/>
          <w:sz w:val="28"/>
          <w:sz w:val="28"/>
          <w:szCs w:val="28"/>
          <w:rtl w:val="true"/>
          <w:lang w:bidi="fa-IR"/>
        </w:rPr>
        <w:t>، و یذکر</w:t>
      </w:r>
    </w:p>
    <w:p>
      <w:pPr>
        <w:pStyle w:val="BookText"/>
        <w:rPr/>
      </w:pPr>
      <w:r>
        <w:rPr>
          <w:rFonts w:ascii="Amiri" w:hAnsi="Amiri" w:eastAsia="Amiri" w:cs="Amiri"/>
          <w:color w:val="111111"/>
          <w:sz w:val="28"/>
          <w:sz w:val="28"/>
          <w:szCs w:val="28"/>
          <w:rtl w:val="true"/>
          <w:lang w:bidi="ar-SA"/>
        </w:rPr>
        <w:t xml:space="preserve">العلاّمة للصدوق ثلاثمائة مؤلّف </w:t>
      </w:r>
      <w:r>
        <w:rPr>
          <w:rStyle w:val="FootnoteAnchor"/>
          <w:rtl w:val="true"/>
        </w:rPr>
        <w:footnoteReference w:id="713"/>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فتحصیل الإجماع للمتأخّرین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تحصیله لمدّعی الإجماع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کالمفید، و السیّد، و الشیخ، و الحلبیّ، و الصهرشتی، و أبناء زهرة، و حمزة، و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أصعب، لأنّ العصر کان عصر فقد الحضارة، و بعد المراحل، و قصور الاطلاع، و قلّة الباع، و فقد الوسائل، فإنّ الکتب المؤلّفة کانت وحیدة، منحصرة النسخة، وحیدة الشخص، فکیف یمکن للعالم البغدادیّ الاطلاع علی رأی القمّیین و بالعکس، أو للعالم النجفیّ الاطلاع علی الحکم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الطرق، و امتناع الاستخبار جدّاً، فعلیه لا یمکن تحصیل الإجماع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الإجماع المحصّل ممنوع الصغری، فنقل الإجماع المحصّل کذب و مسامحة، و محمول علی أمر آخر کما قیل، فإنّه لأجل المحافظة علی شئون ناقلی الإجماع،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الإجماعات المنقولة، مستندة إلی القواعد العقلائیّة، أو الشرعیّة، أو إلی الأصول، أو محمولة علی أنّ الناقل، یرید بها وجود السنّة التی هی معتبرة عنده، و لا یرید بها السنّة المعمول بها عند الکلّ، حتی ینجبر ضعف سندها، و دلالتها، و جهة صدورها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منها کما قیل، إجماعات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أصرّ علیه الأستاذان البروجردیّ </w:t>
      </w:r>
      <w:r>
        <w:rPr>
          <w:rStyle w:val="FootnoteAnchor"/>
          <w:rtl w:val="true"/>
        </w:rPr>
        <w:footnoteReference w:id="715"/>
      </w:r>
      <w:r>
        <w:rPr>
          <w:rFonts w:ascii="IRNazanin" w:hAnsi="IRNazanin" w:eastAsia="IRNazanin"/>
          <w:color w:val="111111"/>
          <w:sz w:val="28"/>
          <w:sz w:val="28"/>
          <w:szCs w:val="28"/>
          <w:rtl w:val="true"/>
          <w:lang w:bidi="fa-IR"/>
        </w:rPr>
        <w:t xml:space="preserve">و الحجّة قدس سرهما و إلیه یشعر بعض کلام الثانی </w:t>
      </w:r>
      <w:r>
        <w:rPr>
          <w:rStyle w:val="FootnoteAnchor"/>
          <w:rtl w:val="true"/>
        </w:rPr>
        <w:footnoteReference w:id="71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هذا النحو من الدعاوی الواضحة فی کلامهما موجبة لإشکال آخر علی إمکان نیل الإجماع جدّاً، فلا تصل نوبة البحث إلی حجّیة المنقول، لما عرفت أنّ الإجماع المنقول لیس إلاّ نقل الإجماع المحصّل، فلو کان الإجماع المنقول نقل السنّة غیر الواضح عمل الأصحاب بها کلّهم، فلا یکون حجّة، لأنّ الإشکالات التی ذکرناها و دفعناها، غیر قابلة للدفع فی هذه الصورة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إجماعات السید و المفید و أضرابهما، غیر حاکیة عن السنّة المعمول بها عند الکلّ، و لا عن اشتهار الحکم عند الکلّ، لامتناع نیلهم ذلک، فتکون محمولة علی المسامحة، أو غیرها، فلا تکون حجّة، لأجل عدم وجود له، لا لأجل عدم تمامیّة الکبری، فلا تخلط جدّاً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یمکن أن یقال حلاّ لهذه العویصة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 اتفاق الأکابر فی الکتب الموجودة بین أیدینا، یصحّ الحدس بأنّ ذلک الحکم، رأی عامّ لکلّ فقیه فی ذلک العصر، و یکون حدس ناقلی الإجماع أیضا مستندا إلی ذلک، فیتمکّن المتأخّرون من تحصیل الإجماع، و هکذا القدماء، و یکون وجهه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حدس المتأخّر لو کان موجبا لوثوقه و قطعه فهو، و إلاّ فحدس ناقل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کاف، إلاّ إذا حصل منه الوثوق، و قد عرفت منّا فیما مضی مناقشة فی حجّیة مطلق الوثوق و الاطمئنان </w:t>
      </w:r>
      <w:r>
        <w:rPr>
          <w:rStyle w:val="FootnoteAnchor"/>
          <w:rtl w:val="true"/>
        </w:rPr>
        <w:footnoteReference w:id="717"/>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bookmarkStart w:id="618" w:name="pg13170_166509"/>
    </w:p>
    <w:p>
      <w:pPr>
        <w:pStyle w:val="Heading5"/>
        <w:numPr>
          <w:ilvl w:val="4"/>
          <w:numId w:val="1"/>
        </w:numPr>
        <w:rPr/>
      </w:pPr>
      <w:bookmarkStart w:id="619" w:name="__RefHeading___Toc624705_3244359995"/>
      <w:bookmarkStart w:id="620" w:name="_Toc232"/>
      <w:bookmarkEnd w:id="618"/>
      <w:bookmarkEnd w:id="619"/>
      <w:r>
        <w:rPr>
          <w:rtl w:val="true"/>
        </w:rPr>
        <w:t>الجهة الخامسة</w:t>
      </w:r>
      <w:r>
        <w:rPr>
          <w:rtl w:val="true"/>
        </w:rPr>
        <w:t xml:space="preserve">: </w:t>
      </w:r>
      <w:r>
        <w:rPr>
          <w:rtl w:val="true"/>
        </w:rPr>
        <w:t>هل الإجماع حجة أو ما یحکی عنه؟</w:t>
      </w:r>
      <w:bookmarkEnd w:id="620"/>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لیس حجّة عندنا، خلافا للمخالفین، فتکون الأدلّة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الکتاب، و السنّة، فإنّ الإجماع لأجل الکشف عن السنّة حجّة، فتکون السنّة حجّة، لا الإجماع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العقل صحیحة، لا بمعنی انکشاف الحکم به، فإنّ قاعدة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الأباطیل الواضحة، فلیس معنی حجّیة العقل، قبال ما یکون المراد من حجّیة الکتاب و السنّة، فإنّ الکتاب و السنّة حجّتان کاشفتان عن الحکم، بخلافه، و هما لیسا إلاّ حجّة بمعنی واحد، و لا یتعدّد ذلک، لعدم الاختلاف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أحدهما قطعیّ الصدور لا یکفی، و إلاّ یلزم تعدّد الحجّة باختلاف الجهات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فالحجّة علی الأحکام بمعنی انکشاف الحکم بها، هی الظواهر من الکتاب و السنّة، لا غیر، و أمّا الإجماع فهو حجّة، کما یکون قول زرارة حجّة، فلا معنی لسلب الحجّیة عنه إلاّ بالمعنی المزبور،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یحتجّ به المولی علی العبد و بالعکس، و بهذا المعنی یکون الإجماع حجّة، کما یکون العقل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الحجّة هو الحکم الثابت بالظواهر و الإجماع، فلا یکون الکتاب و السنّة حجّة، کما لا یکون الإجماع حجّة، فهو فی غیر محلّه، فإنّ الحکم شی‌ء، و الحجّة علیه شی‌ء آخر، فافهم و تدبّر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حجّة، بمعنی حجّیة الظواهر، لکونه کاشفا عن رأی المعصوم علیه السلام مثلها، فالعقل لیس بهذا المعنی حجّة مطلقا</w:t>
      </w:r>
      <w:r>
        <w:rPr>
          <w:rFonts w:eastAsia="IRNazanin" w:cs="IRNazanin"/>
          <w:color w:val="111111"/>
          <w:sz w:val="28"/>
          <w:szCs w:val="28"/>
          <w:rtl w:val="true"/>
          <w:lang w:bidi="fa-IR"/>
        </w:rPr>
        <w:t>.</w:t>
      </w:r>
      <w:bookmarkStart w:id="621" w:name="pg13170_166510"/>
    </w:p>
    <w:p>
      <w:pPr>
        <w:pStyle w:val="BookText"/>
        <w:rPr/>
      </w:pPr>
      <w:bookmarkEnd w:id="621"/>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یحتجّ به العبد علی المولی و بالعکس، للزم تعدّد الأدلّة، و لا تنحصر بالعشر و العشرین، کما لا یخفی، و الأمر سهل</w:t>
      </w:r>
      <w:r>
        <w:rPr>
          <w:rFonts w:eastAsia="IRNazanin" w:cs="IRNazanin"/>
          <w:color w:val="111111"/>
          <w:sz w:val="28"/>
          <w:szCs w:val="28"/>
          <w:rtl w:val="true"/>
          <w:lang w:bidi="fa-IR"/>
        </w:rPr>
        <w:t>.</w:t>
      </w:r>
    </w:p>
    <w:p>
      <w:pPr>
        <w:pStyle w:val="Heading4"/>
        <w:numPr>
          <w:ilvl w:val="3"/>
          <w:numId w:val="1"/>
        </w:numPr>
        <w:rPr/>
      </w:pPr>
      <w:bookmarkStart w:id="622" w:name="__RefHeading___Toc624707_3244359995"/>
      <w:bookmarkStart w:id="623" w:name="_Toc233"/>
      <w:bookmarkEnd w:id="622"/>
      <w:r>
        <w:rPr>
          <w:rtl w:val="true"/>
        </w:rPr>
        <w:t>التحقیق فی حجّیة الإجماع المنقول</w:t>
      </w:r>
      <w:bookmarkEnd w:id="623"/>
    </w:p>
    <w:p>
      <w:pPr>
        <w:pStyle w:val="Heading5"/>
        <w:numPr>
          <w:ilvl w:val="4"/>
          <w:numId w:val="1"/>
        </w:numPr>
        <w:rPr/>
      </w:pPr>
      <w:bookmarkStart w:id="624" w:name="__RefHeading___Toc624709_3244359995"/>
      <w:bookmarkStart w:id="625" w:name="_Toc234"/>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إذا تبیّنت هذه الجهات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أصحابنا الأصولیّین، ذهبوا فی ناحیة نقل السبب إلی أنّ ناقل الإجماع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السبب التامّ،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الأوّل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السبب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السبب و المسبّب، و الکاشف و 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ناحیة حجّیة النقل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قصور أدلّة حجّیة الخبر الواحد عن شمول ما نحن فیه، إذا کانت الحکایة مشتملة علی المسبّب، أو ممحّضة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قصور لها، لأنّه من قبیل الإخبار عن الحدس القریب من الحسّ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أدلّة حجّیة الخبر الواحد، تشمل مطلق الإخبار عن الحدس و الحسّ، و إنّما المخصّص اللبّی قائم علی خروج الإخبار عن الحدس، و فی شمول ذلک المخصّص لما نحن فیه شبهة، و یکون المرجع حینئذ عموم الأدلّة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أفادوه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الأنظار الخاصّة، علی فرض صحّة مدخلهم فی البحث، و لا یهمّنا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تحرّر منّا فی الجهات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المنقول لیس إلاّ نقل الإجماع المحصّل، و الإجماع المحصّل هو الإجماع</w:t>
      </w:r>
    </w:p>
    <w:p>
      <w:pPr>
        <w:pStyle w:val="BookText"/>
        <w:rPr/>
      </w:pP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 الرّأی الواحد، و الفتوی الفاردة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فناقل الإجماع لا یحکی إلاّ نقل الاتفاق، کسائر ناقلی الإجماع فی العلوم الاخر غیر الشرعیّة، و الشرعیّة، و الشرعیّة من سائر المذاهب و الملل، و لا اصطلاح خاصّ فی هذه المسألة فی هذه الناحیة، فظاهر نقل الإجماع لیس إلاّ نقل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اختلفت الآراء فی أنّ الاتفاق المزبور، دلیل علی الدخول، أو یستلزم اللطف، أو یلازم الحدس، أو یکشف عن السنّة، أو فتوی الإمام علیه السلام، و ناقل الإجماع یحکی ما هو موضوع لتلک الآراء و العقائد، حتّی یذهب کلّ إلی معتقده، و لو کان نقل الإجماع قابلا للقسمة إلی ما ذکر، للزم عدم حجّیة الإجماع إلاّ فی بعض الصور، لأنّه یجوز أن یکون ناقل الإجماع القائل بالدخول، ناقلا لما یعلم بدخوله فیه و إن لم یکن إجماعا، و القائل باللطف کذلک و هکذا، فلا یوجد عندئذ للمتأخّرین إجماع و اتفاق یکشف عن السنّة، أو رأی المعصوم، فیعلم منه أنّ بناء الناقلین، لیس إلاّ نقل الاتفاق 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نقل بعض السبب المشخّص غیر معهود، و نقل بعض السبب المهمل لا یورث شیئا، لما لا یمکن العلم بانضمام البعض الآخر،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کلامهم من کفایة الانضمام </w:t>
      </w:r>
      <w:r>
        <w:rPr>
          <w:rStyle w:val="FootnoteAnchor"/>
          <w:rtl w:val="true"/>
        </w:rPr>
        <w:footnoteReference w:id="722"/>
      </w:r>
      <w:r>
        <w:rPr>
          <w:rFonts w:ascii="IRNazanin" w:hAnsi="IRNazanin" w:eastAsia="IRNazanin"/>
          <w:color w:val="111111"/>
          <w:sz w:val="28"/>
          <w:sz w:val="28"/>
          <w:szCs w:val="28"/>
          <w:rtl w:val="true"/>
          <w:lang w:bidi="fa-IR"/>
        </w:rPr>
        <w:t>غیر تامّ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أنّ ناقلی الإجماع، یریدون بذلک نقل السبب التامّ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قد عرفت منّا عدم إمکان اطلاعهم علی السبب التامّ جدّاً عادة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فالقسمة المزبورة المشهورة فی کلامهم صدرا و ذیلا، لیست علی ما ینبغی، و لو کانت هی صحیحة للزم منه أیضا إشکال صغروی فی حصول الاتفاق المفید للمتأخّرین القائلین بالکشف، 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الناحیة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الناحیة الثانیة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حجّیة الخبر الواحد، لا یرجع إلی الأدلّة اللفظیّة حتّی یتمسّک بالعامّ، ثمّ یلاحظ المخصّص اللبّی و غیر ذلک، و لا إلی البناء علی خروج الإخبار عن حدس، و دخول الإخبار ممّا یقرب من الحسّ و لو کان حدسا، بل المناط بناء العرف و العقلاء، و هو دلیل لبّی لا إطلاق له، و لو شکّ فی مورد فلا شاهد علی وجوب الأخذ فیه بدلیل لفظیّ إطلاقا أو عموما، منطوقا أو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إمکان الالتزام بحجّیة الإخبار عن الحدس المحض، فیما کان بناء القوم علی الحدس، کما فی مسألة الخرص من غیر حاجة إلی النصّ، و حدیث کثرة الخطأ و قلّته، لیس من العلل الدائر مدارها الحجّیة، حتّی یلزم الشکّ فی حجّیة الإخبار عن الحسّ أحیانا فیما یکثر فیه الخطأ، أو یلزم منه حجّیة حدس من یقلّ خطأه فی الحدس، بل ذلک من الحکم و العلل العقلائیّة المنتهیة أحیانا إلی الشکّ فی بناء العقلاء،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ذیل آیة النبأ، فیأتی تحقیقه من ذی قبل إن شاء اللَّه تعالی، و یظهر أنّ الآیة أجنبیّة عن مسألتنا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ناقل الإجماع بناء علی ما سلکناه، یکون ناقل الموضوع، و حجّیة الخبر الواحد فی باب الموضوعات عند المحقّقین، محلّ المناقشة و الإشکال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عدم قصور فی أدلّة حجّیة الخبر الواحد، المنحصرة فی بناء العقلاء، و ما یرتبط بهم أحیانا، و یؤیّد حالهم فی هذه السیرة عن إثبات حجّیته فی الموضوعات، و لا سیّما فی المقام، و علی هذا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بالنقل یثبت مثلا، و إذا ثبت موضوعه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حجّة و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w:t>
      </w:r>
    </w:p>
    <w:p>
      <w:pPr>
        <w:pStyle w:val="BookText"/>
        <w:rPr/>
      </w:pPr>
      <w:r>
        <w:rPr>
          <w:rFonts w:ascii="IRNazanin" w:hAnsi="IRNazanin" w:eastAsia="IRNazanin"/>
          <w:color w:val="111111"/>
          <w:sz w:val="28"/>
          <w:sz w:val="28"/>
          <w:szCs w:val="28"/>
          <w:rtl w:val="true"/>
          <w:lang w:bidi="fa-IR"/>
        </w:rPr>
        <w:t>عموم التعلیل الوارد فی مقبولة عمر بن حنظلة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الإجماع المحصّل و الإجماع المنقول، قابلة للتصدیق، و إنّما الإشکال فی صغراهما، و إذا أشکل الأمر فی تحصیل الإجماع المحصّل، فلا مصداق للإجماع المنقول الّذی هو ینفع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حجّیة 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الإخبار عن حدس </w:t>
      </w:r>
      <w:r>
        <w:rPr>
          <w:rStyle w:val="FootnoteAnchor"/>
          <w:rtl w:val="true"/>
        </w:rPr>
        <w:footnoteReference w:id="726"/>
      </w:r>
      <w:r>
        <w:rPr>
          <w:rFonts w:ascii="IRNazanin" w:hAnsi="IRNazanin" w:eastAsia="IRNazanin"/>
          <w:color w:val="111111"/>
          <w:sz w:val="28"/>
          <w:sz w:val="28"/>
          <w:szCs w:val="28"/>
          <w:rtl w:val="true"/>
          <w:lang w:bidi="fa-IR"/>
        </w:rPr>
        <w:t>، فی غیر محلّه، فإنّ المنقول هو المعنی المحسوس و هو السبب، و أمّا أنّه سبب لأیّة جهة؟ فهو مورد الاختلاف، فیذهب کلّ من المنقول إلیه إلی مذهبه فی وجه حجّیته، و إذا ثبت السبب بإخبار العدل الإمامیّ الفقیه فرضا، یکون حجّة، لعموم التعلیل،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التعلیل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ممنوعا فهو فی خصوص الروایة المجمع علیها فی النقل المتروک العمل، لا الفتوی، و کلامنا فی الفتوی المجمع علیها، فإنّها لا ریب فیها، و من الأمور الثلاثة التی بیّن رشدها کما یأتی بتفصیل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هذا التفصیل، یستفاد أیضا حجّیة الإجماع المحصّل تعبّدا، و أمّا أنّ لازمه کون الحجّة ذات الإجماع و الاتفاق، و هو خلاف مذهب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ممنوع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الممکن أنّ الشرع اعتبر حجّیة الإجماع نوعا، لکشفه الغالبیّ مثلا عن السنّة أو رأی المعصوم، کسائر الظنون الخاصّة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من عدم حجّیة الإجماع فی ذاته، غیر تامّ علی القول</w:t>
      </w:r>
      <w:r>
        <w:rPr>
          <w:rFonts w:eastAsia="IRNazanin" w:cs="IRNazanin"/>
          <w:color w:val="111111"/>
          <w:sz w:val="28"/>
          <w:szCs w:val="28"/>
          <w:rtl w:val="true"/>
          <w:lang w:bidi="fa-IR"/>
        </w:rPr>
        <w:t>:</w:t>
      </w:r>
      <w:bookmarkStart w:id="626" w:name="pg13170_166514"/>
    </w:p>
    <w:p>
      <w:pPr>
        <w:pStyle w:val="BookText"/>
        <w:rPr/>
      </w:pPr>
      <w:bookmarkEnd w:id="626"/>
      <w:r>
        <w:rPr>
          <w:rFonts w:ascii="IRNazanin" w:hAnsi="IRNazanin" w:eastAsia="IRNazanin"/>
          <w:color w:val="111111"/>
          <w:sz w:val="28"/>
          <w:sz w:val="28"/>
          <w:szCs w:val="28"/>
          <w:rtl w:val="true"/>
          <w:lang w:bidi="fa-IR"/>
        </w:rPr>
        <w:t>بأنّه کاشف عن رأی و فتوی المعصوم، لأنّ کاشفیّته عن الرّأی و الفتوی تکون مثل کاشفیّة الظواهر، فکما مرّ أنّها حجّة بذاتها</w:t>
      </w:r>
      <w:r>
        <w:rPr>
          <w:rStyle w:val="FootnoteAnchor"/>
          <w:rtl w:val="true"/>
        </w:rPr>
        <w:footnoteReference w:id="728"/>
      </w:r>
      <w:r>
        <w:rPr>
          <w:rFonts w:ascii="IRNazanin" w:hAnsi="IRNazanin" w:eastAsia="IRNazanin"/>
          <w:color w:val="111111"/>
          <w:sz w:val="28"/>
          <w:sz w:val="28"/>
          <w:szCs w:val="28"/>
          <w:rtl w:val="true"/>
          <w:lang w:bidi="fa-IR"/>
        </w:rPr>
        <w:t>، کذلک الإجماع، و قد مرّ شطر من الکلام حوله فی الجهة الخامسة</w:t>
      </w:r>
      <w:r>
        <w:rPr>
          <w:rStyle w:val="FootnoteAnchor"/>
          <w:rtl w:val="true"/>
        </w:rPr>
        <w:footnoteReference w:id="72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الشهرة لا الإجماع </w:t>
      </w:r>
      <w:r>
        <w:rPr>
          <w:rStyle w:val="FootnoteAnchor"/>
          <w:rtl w:val="true"/>
        </w:rPr>
        <w:footnoteReference w:id="730"/>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خروج الفرد النادر، لا یضرّ بالإجماع الکاشف عن السنّة و الاشتهار، و سیظهر تمام الکلام حول التعلیل فی البحث الآتی إن شاء اللَّه تعالی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624711_3244359995"/>
      <w:bookmarkStart w:id="628" w:name="_Toc235"/>
      <w:bookmarkEnd w:id="627"/>
      <w:r>
        <w:rPr>
          <w:rtl w:val="true"/>
        </w:rPr>
        <w:t>تذنیب</w:t>
      </w:r>
      <w:r>
        <w:rPr>
          <w:rtl w:val="true"/>
        </w:rPr>
        <w:t xml:space="preserve">: </w:t>
      </w:r>
      <w:r>
        <w:rPr>
          <w:rtl w:val="true"/>
        </w:rPr>
        <w:t>فی أنّ الإجماع المنقول من الظنون النوعیة الخاصة</w:t>
      </w:r>
      <w:bookmarkEnd w:id="628"/>
    </w:p>
    <w:p>
      <w:pPr>
        <w:pStyle w:val="BookText"/>
        <w:rPr/>
      </w:pPr>
      <w:r>
        <w:rPr>
          <w:rFonts w:ascii="IRNazanin" w:hAnsi="IRNazanin" w:eastAsia="IRNazanin"/>
          <w:color w:val="111111"/>
          <w:sz w:val="28"/>
          <w:sz w:val="28"/>
          <w:szCs w:val="28"/>
          <w:rtl w:val="true"/>
          <w:lang w:bidi="fa-IR"/>
        </w:rPr>
        <w:t>البحث فی حجّیة الإجماع، یدور حول کونه من الظنون الخاصّة النوعیّة، و لو کان المدار فی حجّیته علی الحدس، أو الدخول، أو اللطف، للزم التلازم بین الوثوق و العلم بالحکم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المدار علی الکشف، فلا یعتبر حصول الظنّ الشخصیّ، لأنّ بناء العقلاء علی الکشف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ثبتت حجّیة نقل الإجماع المحصّل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حجّیة ذلک أیضا نوعیّة، لا شخصیّة، و لا تدور مدار حصول الوثوق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وجه حجّیة الإجماع المنقول و المحصّل، عموم التعلیل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الإجماع المنقول، ثابتة بالبناء العقلائیّ أیضا، و ذلک</w:t>
      </w:r>
      <w:bookmarkStart w:id="629" w:name="pg13170_166515"/>
    </w:p>
    <w:p>
      <w:pPr>
        <w:pStyle w:val="BookText"/>
        <w:rPr/>
      </w:pPr>
      <w:bookmarkEnd w:id="629"/>
      <w:r>
        <w:rPr>
          <w:rFonts w:ascii="IRNazanin" w:hAnsi="IRNazanin" w:eastAsia="IRNazanin"/>
          <w:color w:val="111111"/>
          <w:sz w:val="28"/>
          <w:sz w:val="28"/>
          <w:szCs w:val="28"/>
          <w:rtl w:val="true"/>
          <w:lang w:bidi="fa-IR"/>
        </w:rPr>
        <w:t>لوجودها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نقل ناقله،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السبب، لکونه کاشفا نوعیّا عن رأی المعصوم، أو السنّة التامّة دلالة و سندا وجهة،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حجّیة 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عموم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بناء العقلاء القائم علی حجّیة نقل ناقله، ثمّ بعد ثبوت الإجماع بذلک النقل، ینکشف به الرّأی کشفا عقلائیا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أوّلا علی حجّیة نقل السیّد و الشیخ رحمهما اللَّه ثمّ بعد ذلک یثبت بها وجود الإجماع المحصّل و بنائهم علی أنّ الإجماع المحصّل کاشف عن وجود السنّة، فتثبت بها السنّة، ثمّ بعد ذلک تکون السنّة حجّة، لبنائهم علی حجّیة الظواهر، فیکون ما نحن فیه من قبیل قیام الحجّة علی الحجّة القائمة علی وجود الحجّة</w:t>
      </w:r>
      <w:r>
        <w:rPr>
          <w:rFonts w:eastAsia="IRNazanin" w:cs="IRNazanin"/>
          <w:color w:val="111111"/>
          <w:sz w:val="28"/>
          <w:szCs w:val="28"/>
          <w:rtl w:val="true"/>
          <w:lang w:bidi="fa-IR"/>
        </w:rPr>
        <w:t>.</w:t>
      </w:r>
    </w:p>
    <w:p>
      <w:pPr>
        <w:pStyle w:val="Heading5"/>
        <w:numPr>
          <w:ilvl w:val="4"/>
          <w:numId w:val="1"/>
        </w:numPr>
        <w:rPr/>
      </w:pPr>
      <w:bookmarkStart w:id="630" w:name="__RefHeading___Toc624713_3244359995"/>
      <w:bookmarkStart w:id="631" w:name="_Toc236"/>
      <w:bookmarkEnd w:id="630"/>
      <w:r>
        <w:rPr>
          <w:rtl w:val="true"/>
        </w:rPr>
        <w:t>تنبیه</w:t>
      </w:r>
      <w:r>
        <w:rPr>
          <w:rtl w:val="true"/>
        </w:rPr>
        <w:t xml:space="preserve">: </w:t>
      </w:r>
      <w:r>
        <w:rPr>
          <w:rtl w:val="true"/>
        </w:rPr>
        <w:t>فی حجّیة الإجماع المقید بالسبب</w:t>
      </w:r>
      <w:bookmarkEnd w:id="631"/>
    </w:p>
    <w:p>
      <w:pPr>
        <w:pStyle w:val="BookText"/>
        <w:rPr/>
      </w:pPr>
      <w:r>
        <w:rPr>
          <w:rFonts w:ascii="IRNazanin" w:hAnsi="IRNazanin" w:eastAsia="IRNazanin"/>
          <w:color w:val="111111"/>
          <w:sz w:val="28"/>
          <w:sz w:val="28"/>
          <w:szCs w:val="28"/>
          <w:rtl w:val="true"/>
          <w:lang w:bidi="fa-IR"/>
        </w:rPr>
        <w:t>لو بنینا علی أنّ الإجماع المستند إلیه فی کتب الأصحاب، عبارة عن الاتفاق المقرون و المقیّد بالسبب، فهو أیضا لا یضرّ، لأنّ الأثر المترتّب علی نقل السبب، لا یتضرّر و لا ینتفی بانتفاء عدم ترتّب الأثر المخصوص به، و هو السبب، فمن کان یری أنّ الاتفاق یکشف عن الرّأی و الفتوی أو السنّة، یتمکّن من ذلک، لأجل ثبوت الاتفاق بنقل مثل السیّد و الشیخ رحمهما اللَّه فلا تغفل</w:t>
      </w:r>
      <w:r>
        <w:rPr>
          <w:rFonts w:eastAsia="IRNazanin" w:cs="IRNazanin"/>
          <w:color w:val="111111"/>
          <w:sz w:val="28"/>
          <w:szCs w:val="28"/>
          <w:rtl w:val="true"/>
          <w:lang w:bidi="fa-IR"/>
        </w:rPr>
        <w:t>.</w:t>
      </w:r>
    </w:p>
    <w:p>
      <w:pPr>
        <w:pStyle w:val="Heading5"/>
        <w:numPr>
          <w:ilvl w:val="4"/>
          <w:numId w:val="1"/>
        </w:numPr>
        <w:rPr/>
      </w:pPr>
      <w:bookmarkStart w:id="632" w:name="__RefHeading___Toc624715_3244359995"/>
      <w:bookmarkStart w:id="633" w:name="_Toc237"/>
      <w:bookmarkEnd w:id="632"/>
      <w:r>
        <w:rPr>
          <w:rtl w:val="true"/>
        </w:rPr>
        <w:t>وهم و دفع</w:t>
      </w:r>
      <w:bookmarkEnd w:id="6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الصحیحة مورد الاستناد، للزم کون الإجماع المتأخّر معارضا لإجماع القدماء</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مورد التعلیل، هو أنّ الإجماع لیس حجّة بذاته علی</w:t>
      </w:r>
    </w:p>
    <w:p>
      <w:pPr>
        <w:pStyle w:val="BookText"/>
        <w:rPr/>
      </w:pPr>
      <w:r>
        <w:rPr>
          <w:rFonts w:ascii="IRNazanin" w:hAnsi="IRNazanin" w:eastAsia="IRNazanin"/>
          <w:color w:val="111111"/>
          <w:sz w:val="28"/>
          <w:sz w:val="28"/>
          <w:szCs w:val="28"/>
          <w:rtl w:val="true"/>
          <w:lang w:bidi="fa-IR"/>
        </w:rPr>
        <w:t>الحکم الشرعیّ، بل الإجماع إمّا مرجّح الحجّة علی الحجّة، أو ممیّز الحجّة عن اللاحجّة، فلا بدّ هناک من وجود حجّة واقعیة وراءه، و هذا أمر ممکن بالنسبة إلی إجماع القدماء، دون المتأخّرین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الإجماع ذاتا إجماعیّ، و حجّیة الإجماع فی الجملة أیضا إجماعیّة، و لکنّه إجماع مدرکیّ معلّل بما فی المقبولة، و لو کانت هی مورد الاستناد لحجّیة الإجماع، فالبحث عن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کالدخول، و اللطف،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لغو، و لو کان واحد منها صحیحا إجمالا لکفی، کما لا یخفی</w:t>
      </w:r>
      <w:r>
        <w:rPr>
          <w:rFonts w:eastAsia="IRNazanin" w:cs="IRNazanin"/>
          <w:color w:val="111111"/>
          <w:sz w:val="28"/>
          <w:szCs w:val="28"/>
          <w:rtl w:val="true"/>
          <w:lang w:bidi="fa-IR"/>
        </w:rPr>
        <w:t>.</w:t>
      </w:r>
      <w:bookmarkStart w:id="634" w:name="pg13170_166518"/>
    </w:p>
    <w:p>
      <w:pPr>
        <w:pStyle w:val="Heading3"/>
        <w:numPr>
          <w:ilvl w:val="2"/>
          <w:numId w:val="1"/>
        </w:numPr>
        <w:rPr/>
      </w:pPr>
      <w:bookmarkStart w:id="635" w:name="__RefHeading___Toc624717_3244359995"/>
      <w:bookmarkStart w:id="636" w:name="_Toc238"/>
      <w:bookmarkEnd w:id="634"/>
      <w:bookmarkEnd w:id="635"/>
      <w:r>
        <w:rPr>
          <w:rtl w:val="true"/>
        </w:rPr>
        <w:t>المبحث الرابع فی الشهرة</w:t>
      </w:r>
      <w:bookmarkEnd w:id="63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7" w:name="__RefHeading___Toc624719_3244359995"/>
      <w:bookmarkStart w:id="638" w:name="_Toc239"/>
      <w:bookmarkEnd w:id="637"/>
      <w:r>
        <w:rPr>
          <w:rtl w:val="true"/>
        </w:rPr>
        <w:t>اشارة</w:t>
      </w:r>
      <w:bookmarkStart w:id="639" w:name="pg13170_166520"/>
      <w:bookmarkEnd w:id="638"/>
    </w:p>
    <w:p>
      <w:pPr>
        <w:pStyle w:val="Heading4"/>
        <w:numPr>
          <w:ilvl w:val="3"/>
          <w:numId w:val="1"/>
        </w:numPr>
        <w:rPr/>
      </w:pPr>
      <w:bookmarkStart w:id="640" w:name="__RefHeading___Toc624721_3244359995"/>
      <w:bookmarkStart w:id="641" w:name="_Toc240"/>
      <w:bookmarkEnd w:id="639"/>
      <w:bookmarkEnd w:id="640"/>
      <w:r>
        <w:rPr>
          <w:rtl w:val="true"/>
        </w:rPr>
        <w:t>تمهید فی أقسام الشهرة</w:t>
      </w:r>
      <w:bookmarkEnd w:id="641"/>
    </w:p>
    <w:p>
      <w:pPr>
        <w:pStyle w:val="BookText"/>
        <w:rPr/>
      </w:pPr>
      <w:r>
        <w:rPr>
          <w:rFonts w:ascii="Amiri" w:hAnsi="Amiri" w:eastAsia="Amiri" w:cs="Amiri"/>
          <w:color w:val="111111"/>
          <w:sz w:val="28"/>
          <w:sz w:val="28"/>
          <w:szCs w:val="28"/>
          <w:rtl w:val="true"/>
          <w:lang w:bidi="ar-SA"/>
        </w:rPr>
        <w:t>و هل الشهرة خارجة عن الأصل المحرّر</w:t>
      </w:r>
      <w:r>
        <w:rPr>
          <w:rStyle w:val="FootnoteAnchor"/>
          <w:rtl w:val="true"/>
        </w:rPr>
        <w:footnoteReference w:id="732"/>
      </w:r>
      <w:r>
        <w:rPr>
          <w:rFonts w:ascii="IRNazanin" w:hAnsi="IRNazanin" w:eastAsia="IRNazanin"/>
          <w:color w:val="111111"/>
          <w:sz w:val="28"/>
          <w:sz w:val="28"/>
          <w:szCs w:val="28"/>
          <w:rtl w:val="true"/>
          <w:lang w:bidi="fa-IR"/>
        </w:rPr>
        <w:t xml:space="preserve">کما قیل </w:t>
      </w:r>
      <w:r>
        <w:rPr>
          <w:rStyle w:val="FootnoteAnchor"/>
          <w:rtl w:val="true"/>
        </w:rPr>
        <w:footnoteReference w:id="733"/>
      </w:r>
      <w:r>
        <w:rPr>
          <w:rFonts w:ascii="IRNazanin" w:hAnsi="IRNazanin" w:eastAsia="IRNazanin"/>
          <w:color w:val="111111"/>
          <w:sz w:val="28"/>
          <w:sz w:val="28"/>
          <w:szCs w:val="28"/>
          <w:rtl w:val="true"/>
          <w:lang w:bidi="fa-IR"/>
        </w:rPr>
        <w:t>، أم لا، کما هو المعروف عند الأکثر</w:t>
      </w:r>
      <w:r>
        <w:rPr>
          <w:rStyle w:val="FootnoteAnchor"/>
          <w:rtl w:val="true"/>
        </w:rPr>
        <w:footnoteReference w:id="734"/>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فیها، نشیر إلی أنّ من الشهرة ما یکون شهرة روائیة،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المرجّحات فی مورد تعارض الخبرین، و البحث حولها موکول إلی مبحث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الشهرة ما 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سنذکر بعض البحث حولها فی ذیل المسألة إن شاء اللَّه تعالی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الشهرة ما 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الحکم المفتی به مشهورا بین أرباب الفتوی، و لا یکون اتفاقیّا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الشهرة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السلف إلی الخلف، و یکون المخالف شاذّا قدیما و حدیثا</w:t>
      </w:r>
      <w:r>
        <w:rPr>
          <w:rFonts w:eastAsia="IRNazanin" w:cs="IRNazanin"/>
          <w:color w:val="111111"/>
          <w:sz w:val="28"/>
          <w:szCs w:val="28"/>
          <w:rtl w:val="true"/>
          <w:lang w:bidi="fa-IR"/>
        </w:rPr>
        <w:t>.</w:t>
      </w:r>
      <w:bookmarkStart w:id="642" w:name="pg13170_166521"/>
    </w:p>
    <w:p>
      <w:pPr>
        <w:pStyle w:val="BookText"/>
        <w:rPr/>
      </w:pPr>
      <w:bookmarkEnd w:id="642"/>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المسألة مشهورة بین القدماء إلی عصر ابن إدریس مثلا، ثمّ بعد ذلک اشتهر خلافها بین المتوسّطین إلی العصور المتأخّرة، و هذه هی المقصودة بالبحث هنا، فهل هذه الشهرة مطلقا حجّة</w:t>
      </w:r>
      <w:r>
        <w:rPr>
          <w:rStyle w:val="FootnoteAnchor"/>
          <w:rtl w:val="true"/>
        </w:rPr>
        <w:footnoteReference w:id="736"/>
      </w:r>
      <w:r>
        <w:rPr>
          <w:rFonts w:ascii="IRNazanin" w:hAnsi="IRNazanin" w:eastAsia="IRNazanin"/>
          <w:color w:val="111111"/>
          <w:sz w:val="28"/>
          <w:sz w:val="28"/>
          <w:szCs w:val="28"/>
          <w:rtl w:val="true"/>
          <w:lang w:bidi="fa-IR"/>
        </w:rPr>
        <w:t>، أم مطلقا لیست بحجّة</w:t>
      </w:r>
      <w:r>
        <w:rPr>
          <w:rStyle w:val="FootnoteAnchor"/>
          <w:rtl w:val="true"/>
        </w:rPr>
        <w:footnoteReference w:id="737"/>
      </w:r>
      <w:r>
        <w:rPr>
          <w:rFonts w:ascii="IRNazanin" w:hAnsi="IRNazanin" w:eastAsia="IRNazanin"/>
          <w:color w:val="111111"/>
          <w:sz w:val="28"/>
          <w:sz w:val="28"/>
          <w:szCs w:val="28"/>
          <w:rtl w:val="true"/>
          <w:lang w:bidi="fa-IR"/>
        </w:rPr>
        <w:t xml:space="preserve">، أم الشهرة بین القدماء حجّة دون المتأخّرین </w:t>
      </w:r>
      <w:r>
        <w:rPr>
          <w:rStyle w:val="FootnoteAnchor"/>
          <w:rtl w:val="true"/>
        </w:rPr>
        <w:footnoteReference w:id="738"/>
      </w:r>
      <w:r>
        <w:rPr>
          <w:rFonts w:ascii="IRNazanin" w:hAnsi="IRNazanin" w:eastAsia="IRNazanin"/>
          <w:color w:val="111111"/>
          <w:sz w:val="28"/>
          <w:sz w:val="28"/>
          <w:szCs w:val="28"/>
          <w:rtl w:val="true"/>
          <w:lang w:bidi="fa-IR"/>
        </w:rPr>
        <w:t>؟ وجوه و احتمالات</w:t>
      </w:r>
      <w:r>
        <w:rPr>
          <w:rFonts w:eastAsia="IRNazanin" w:cs="IRNazanin"/>
          <w:color w:val="111111"/>
          <w:sz w:val="28"/>
          <w:szCs w:val="28"/>
          <w:rtl w:val="true"/>
          <w:lang w:bidi="fa-IR"/>
        </w:rPr>
        <w:t>.</w:t>
      </w:r>
    </w:p>
    <w:p>
      <w:pPr>
        <w:pStyle w:val="Heading4"/>
        <w:numPr>
          <w:ilvl w:val="3"/>
          <w:numId w:val="1"/>
        </w:numPr>
        <w:rPr/>
      </w:pPr>
      <w:bookmarkStart w:id="643" w:name="__RefHeading___Toc624723_3244359995"/>
      <w:bookmarkStart w:id="644" w:name="_Toc241"/>
      <w:bookmarkEnd w:id="643"/>
      <w:r>
        <w:rPr>
          <w:rtl w:val="true"/>
        </w:rPr>
        <w:t>أدلّة حجّیة الشهرة</w:t>
      </w:r>
      <w:bookmarkEnd w:id="644"/>
    </w:p>
    <w:p>
      <w:pPr>
        <w:pStyle w:val="Heading5"/>
        <w:numPr>
          <w:ilvl w:val="4"/>
          <w:numId w:val="1"/>
        </w:numPr>
        <w:rPr/>
      </w:pPr>
      <w:bookmarkStart w:id="645" w:name="__RefHeading___Toc624725_3244359995"/>
      <w:bookmarkStart w:id="646" w:name="_Toc242"/>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و الوجوه التی یتمسّک بها لحجّیتها فی الجملة أو مطلقا کثیرة، نذکرها علی إجمالها</w:t>
      </w:r>
      <w:r>
        <w:rPr>
          <w:rFonts w:eastAsia="IRNazanin" w:cs="IRNazanin"/>
          <w:color w:val="111111"/>
          <w:sz w:val="28"/>
          <w:szCs w:val="28"/>
          <w:rtl w:val="true"/>
          <w:lang w:bidi="fa-IR"/>
        </w:rPr>
        <w:t>:</w:t>
      </w:r>
    </w:p>
    <w:p>
      <w:pPr>
        <w:pStyle w:val="Heading5"/>
        <w:numPr>
          <w:ilvl w:val="4"/>
          <w:numId w:val="1"/>
        </w:numPr>
        <w:rPr/>
      </w:pPr>
      <w:bookmarkStart w:id="647" w:name="__RefHeading___Toc624727_3244359995"/>
      <w:bookmarkStart w:id="648" w:name="_Toc243"/>
      <w:bookmarkEnd w:id="647"/>
      <w:r>
        <w:rPr>
          <w:rtl w:val="true"/>
        </w:rPr>
        <w:t>الوجه الأوّل</w:t>
      </w:r>
      <w:bookmarkEnd w:id="6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الحکم مشهورا بین القدماء، و کان المخالف أحدهم، أو اثنین منهم،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المسألة روایة أو روایات دالّة علی خلافه، و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فیها شی‌ء یحتمل کون المخالف النادر، متّکئا و متّکلا علیه فی الإفتاء، فبحکم العقلاء یستکشف هنا وجود شی‌ء عندهم، کما فی مورد الإجماع، لأنّ الخروج المزبور من بینهم، لا ینافی الکاشفیّة المذکورة، کخروج الإخبارات الکثیرة عن قاعدة أصالة عدم الخطأ و الکذب فی باب حجّیة خبر الثقة الکاشف عن السنّة، بل الأمر هنا أوضح و أصوب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إذا کان یحتمل استناد ذلک الشاذّ الخارج عن مسلکهم إلی القاعدة، لوجودها فی مورد المسألة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فی البین شی‌ء من الخبر أو القاعدة، فربّما یورث الخروج المذکور ضررا، و لا سیّما إذا کان الخارج، أمثال الصدوقین المطّلعین علی الأقوال و الآراء، و المحتاطین جدّاً فی الإفتاء، فإنّ احتمال کون مستند من هو الخارج المخالف للشهرة، روایة غیر موجودة فیما بین أیدینا ممکن، و لکنّه فی حقّ أمثال ابن أبی عقیل، و ابن جنید، دون أمثال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الاتکاء علی الکشف المزبور عند مخالفة أمثاله، دون غیرهم، حتّی مثل المفید المحتمل فی حقّه الاجتهاد، أو الشیخ فی واحد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ذهب إلیه جمهور المتأخّرین </w:t>
      </w:r>
      <w:r>
        <w:rPr>
          <w:rStyle w:val="FootnoteAnchor"/>
          <w:rtl w:val="true"/>
        </w:rPr>
        <w:footnoteReference w:id="739"/>
      </w:r>
      <w:r>
        <w:rPr>
          <w:rFonts w:ascii="IRNazanin" w:hAnsi="IRNazanin" w:eastAsia="IRNazanin"/>
          <w:color w:val="111111"/>
          <w:sz w:val="28"/>
          <w:sz w:val="28"/>
          <w:szCs w:val="28"/>
          <w:rtl w:val="true"/>
          <w:lang w:bidi="fa-IR"/>
        </w:rPr>
        <w:t>من الاستدلال بالوجوه الآتیة</w:t>
      </w:r>
      <w:r>
        <w:rPr>
          <w:rStyle w:val="FootnoteAnchor"/>
          <w:rtl w:val="true"/>
        </w:rPr>
        <w:footnoteReference w:id="740"/>
      </w:r>
      <w:r>
        <w:rPr>
          <w:rFonts w:ascii="IRNazanin" w:hAnsi="IRNazanin" w:eastAsia="IRNazanin"/>
          <w:color w:val="111111"/>
          <w:sz w:val="28"/>
          <w:sz w:val="28"/>
          <w:szCs w:val="28"/>
          <w:rtl w:val="true"/>
          <w:lang w:bidi="fa-IR"/>
        </w:rPr>
        <w:t>، لا یخلو من تأسّف، کما أنّ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کفایة الشهرة القدیمة</w:t>
      </w:r>
      <w:r>
        <w:rPr>
          <w:rStyle w:val="FootnoteAnchor"/>
          <w:rtl w:val="true"/>
        </w:rPr>
        <w:footnoteReference w:id="741"/>
      </w:r>
      <w:r>
        <w:rPr>
          <w:rFonts w:ascii="IRNazanin" w:hAnsi="IRNazanin" w:eastAsia="IRNazanin"/>
          <w:color w:val="111111"/>
          <w:sz w:val="28"/>
          <w:sz w:val="28"/>
          <w:szCs w:val="28"/>
          <w:rtl w:val="true"/>
          <w:lang w:bidi="fa-IR"/>
        </w:rPr>
        <w:t>، غیر موافق للتحصیل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الشاذّ النادر قبال الشهرة القدیمة، لا یضرّ بشی‌ء من الکشف، فیکون الإجماع و الشهرة حجّة من جهة واحدة، حسب النّظر العرفیّ و البناءات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البین روایات صحیحة، یجب الأخذ بها و لو کانت الشهرة علی خلافها، فالشهرة الفتوائیّة تفید إذا لم تکن روایات صحیحة علی خلافها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 علیک فی ذیل البحث، أنّ الشهرة العملیّة کما تکون جابرة، تکون الشهرة الفتوائیّة کاسرة</w:t>
      </w:r>
      <w:r>
        <w:rPr>
          <w:rStyle w:val="FootnoteAnchor"/>
          <w:rtl w:val="true"/>
        </w:rPr>
        <w:footnoteReference w:id="742"/>
      </w:r>
      <w:r>
        <w:rPr>
          <w:rFonts w:ascii="IRNazanin" w:hAnsi="IRNazanin" w:eastAsia="IRNazanin"/>
          <w:color w:val="111111"/>
          <w:sz w:val="28"/>
          <w:sz w:val="28"/>
          <w:szCs w:val="28"/>
          <w:rtl w:val="true"/>
          <w:lang w:bidi="fa-IR"/>
        </w:rPr>
        <w:t>، و فی صورة وجود الأخبار الصحیحة تتقوّی الشهرة،</w:t>
      </w:r>
    </w:p>
    <w:p>
      <w:pPr>
        <w:pStyle w:val="BookText"/>
        <w:rPr/>
      </w:pPr>
      <w:r>
        <w:rPr>
          <w:rFonts w:ascii="IRNazanin" w:hAnsi="IRNazanin" w:eastAsia="IRNazanin"/>
          <w:color w:val="111111"/>
          <w:sz w:val="28"/>
          <w:sz w:val="28"/>
          <w:szCs w:val="28"/>
          <w:rtl w:val="true"/>
          <w:lang w:bidi="fa-IR"/>
        </w:rPr>
        <w:t xml:space="preserve">و تکون کاشفیّتها أقوی، لامتناع ذهاب أصحابنا الأقدمین إلی خلافها إلاّ لما کان عندهم، بحیث لو وصل إلینا لاتخذنا سبیلهم، و عملنا به، کما مرّ فی تقریب حجّیة الإجماع </w:t>
      </w:r>
      <w:r>
        <w:rPr>
          <w:rStyle w:val="FootnoteAnchor"/>
          <w:rtl w:val="true"/>
        </w:rPr>
        <w:footnoteReference w:id="743"/>
      </w:r>
      <w:r>
        <w:rPr>
          <w:rFonts w:ascii="IRNazanin" w:hAnsi="IRNazanin" w:eastAsia="IRNazanin"/>
          <w:color w:val="111111"/>
          <w:sz w:val="28"/>
          <w:sz w:val="28"/>
          <w:szCs w:val="28"/>
          <w:rtl w:val="true"/>
          <w:lang w:bidi="fa-IR"/>
        </w:rPr>
        <w:t>، فکلّما ازدادت الأخبار قوّة، ازدادت الشهرة المخالفة لها قوّة، و تزداد تلک الأخبار ضعفا و فتورا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المحتمل قویّا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الجهة الأولی من الجهات الخمس فی المسألة السابقة</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الشهرة، و لا یکون المخالف الشاذّ مضرّا بصدق الإجماع، و لا مصطلح جدید له عندنا، و لا عند الآخرین، و لذلک تری فی الروایات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المشهور</w:t>
      </w:r>
      <w:r>
        <w:rPr>
          <w:rStyle w:val="FootnoteAnchor"/>
          <w:rtl w:val="true"/>
        </w:rPr>
        <w:footnoteReference w:id="745"/>
      </w:r>
      <w:r>
        <w:rPr>
          <w:rFonts w:ascii="IRNazanin" w:hAnsi="IRNazanin" w:eastAsia="IRNazanin"/>
          <w:color w:val="111111"/>
          <w:sz w:val="28"/>
          <w:sz w:val="28"/>
          <w:szCs w:val="28"/>
          <w:rtl w:val="true"/>
          <w:lang w:bidi="fa-IR"/>
        </w:rPr>
        <w:t xml:space="preserve">، و ذلک لیس إلاّ لعدم تضرّر الإجماع بالشاذّ النادر، و لیس المفهوم اللغویّ غیر ما هو المقصود فی کتب القوم، و لذلک فسّروه بالاتفاق </w:t>
      </w:r>
      <w:r>
        <w:rPr>
          <w:rStyle w:val="FootnoteAnchor"/>
          <w:rtl w:val="true"/>
        </w:rPr>
        <w:footnoteReference w:id="746"/>
      </w:r>
      <w:r>
        <w:rPr>
          <w:rFonts w:ascii="Amiri" w:hAnsi="Amiri" w:eastAsia="Amiri" w:cs="Amiri"/>
          <w:color w:val="111111"/>
          <w:sz w:val="28"/>
          <w:sz w:val="28"/>
          <w:szCs w:val="28"/>
          <w:rtl w:val="true"/>
          <w:lang w:bidi="ar-SA"/>
        </w:rPr>
        <w:t>، مع أنّه قلّما یوجد الاتفاق التامّ الکذائیّ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فی کتب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البحث عن الإجماع تارة، و عن الشهرة أخری </w:t>
      </w:r>
      <w:r>
        <w:rPr>
          <w:rStyle w:val="FootnoteAnchor"/>
          <w:rtl w:val="true"/>
        </w:rPr>
        <w:footnoteReference w:id="747"/>
      </w:r>
      <w:r>
        <w:rPr>
          <w:rFonts w:ascii="IRNazanin" w:hAnsi="IRNazanin" w:eastAsia="IRNazanin"/>
          <w:color w:val="111111"/>
          <w:sz w:val="28"/>
          <w:sz w:val="28"/>
          <w:szCs w:val="28"/>
          <w:rtl w:val="true"/>
          <w:lang w:bidi="fa-IR"/>
        </w:rPr>
        <w:t>، غیر موافق للتحصیل، فإنّ الشهرة و الاشتهار إذا کانت کثیرة، توجب موضوع قاعدة اللطف، و القول بالدخول، و غیر ذلک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ممّا لا تکاد تحصل صغراه </w:t>
      </w:r>
      <w:r>
        <w:rPr>
          <w:rStyle w:val="FootnoteAnchor"/>
          <w:rtl w:val="true"/>
        </w:rPr>
        <w:footnoteReference w:id="748"/>
      </w:r>
      <w:r>
        <w:rPr>
          <w:rFonts w:ascii="IRNazanin" w:hAnsi="IRNazanin" w:eastAsia="IRNazanin"/>
          <w:color w:val="111111"/>
          <w:sz w:val="28"/>
          <w:sz w:val="28"/>
          <w:szCs w:val="28"/>
          <w:rtl w:val="true"/>
          <w:lang w:bidi="fa-IR"/>
        </w:rPr>
        <w:t>، فیکون ما هو الحاصل هی الشهرة، فالمراد من الإجماعات فی کثیر من الفروع، لیس إلاّ الاشتهار</w:t>
      </w:r>
    </w:p>
    <w:p>
      <w:pPr>
        <w:pStyle w:val="BookText"/>
        <w:rPr/>
      </w:pPr>
      <w:r>
        <w:rPr>
          <w:rFonts w:ascii="IRNazanin" w:hAnsi="IRNazanin" w:eastAsia="IRNazanin"/>
          <w:color w:val="111111"/>
          <w:sz w:val="28"/>
          <w:sz w:val="28"/>
          <w:szCs w:val="28"/>
          <w:rtl w:val="true"/>
          <w:lang w:bidi="fa-IR"/>
        </w:rPr>
        <w:t>و الاتفاق الحجّة عند ناقله، و لو کانوا مختلفین فی وجه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فرق عندنا بین قول الناقلین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اشتهر وجوب کذا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کذا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بذلک ینقل لنا وجود الشهرة، فلو کان فی نقله الکفایة، لکان الکشف العقلائیّ عن وجود السنّة أو اشتهار الحکم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ورد فرض المشهورین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فیعلم منه أنّ الشهرة غیر المجمع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فرض المشهورین، ورد فرض الشهرة المقابلة بالشاذّ النادر، و انطبق علیه الإجماع، فعلیه تبیّن أنّ الشهرة الناقصة لا تفید شیئا، بخلاف الشهرة الکاملة، و أنّ الشهرة الکاملة هی الإجماع الّذی هو بیّن رشده، و الشهرة الناقصة لیست بیّنة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نبالی من الالتزام بأنّ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فیکون أحد مصادیق الشهرة إجماعا، و سیظهر ما فی الخبر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مرّ من المناقشة فی صغریات الإجماع </w:t>
      </w:r>
      <w:r>
        <w:rPr>
          <w:rStyle w:val="FootnoteAnchor"/>
          <w:rtl w:val="true"/>
        </w:rPr>
        <w:footnoteReference w:id="750"/>
      </w:r>
      <w:r>
        <w:rPr>
          <w:rFonts w:ascii="IRNazanin" w:hAnsi="IRNazanin" w:eastAsia="IRNazanin"/>
          <w:color w:val="111111"/>
          <w:sz w:val="28"/>
          <w:sz w:val="28"/>
          <w:szCs w:val="28"/>
          <w:rtl w:val="true"/>
          <w:lang w:bidi="fa-IR"/>
        </w:rPr>
        <w:t>، لا تتوجّه إلی صغری الشهرة، لإمکان الاطلاع علی الشهرة بین القدماء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الخارج عن أصل تحریم الاتباع للظنون، أمر واحد</w:t>
      </w:r>
      <w:bookmarkStart w:id="649" w:name="pg13170_166525"/>
    </w:p>
    <w:p>
      <w:pPr>
        <w:pStyle w:val="BookText"/>
        <w:rPr/>
      </w:pPr>
      <w:bookmarkEnd w:id="649"/>
      <w:r>
        <w:rPr>
          <w:rFonts w:ascii="IRNazanin" w:hAnsi="IRNazanin" w:eastAsia="IRNazanin"/>
          <w:color w:val="111111"/>
          <w:sz w:val="28"/>
          <w:sz w:val="28"/>
          <w:szCs w:val="28"/>
          <w:rtl w:val="true"/>
          <w:lang w:bidi="fa-IR"/>
        </w:rPr>
        <w:t>و هی الشهرة، و أمّا الإجماع الّذی هو عبارة عن الشهرة مع عدم وجود المخالف الشاذّ، فلیس موضوعا لشی‌ء، لأنّ المخالف الشاذّ کالحجر جنب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المسائل الإجماعیة عند القدماء، هی المسائل المشهورة، لعدم إمکان نیلهم الاتفاق، فالإجماع المصطلح علیه لیس إلاّ الشهرة أیضا</w:t>
      </w:r>
      <w:r>
        <w:rPr>
          <w:rFonts w:eastAsia="IRNazanin" w:cs="IRNazanin"/>
          <w:color w:val="111111"/>
          <w:sz w:val="28"/>
          <w:szCs w:val="28"/>
          <w:rtl w:val="true"/>
          <w:lang w:bidi="fa-IR"/>
        </w:rPr>
        <w:t>.</w:t>
      </w:r>
    </w:p>
    <w:p>
      <w:pPr>
        <w:pStyle w:val="Heading5"/>
        <w:numPr>
          <w:ilvl w:val="4"/>
          <w:numId w:val="1"/>
        </w:numPr>
        <w:rPr/>
      </w:pPr>
      <w:bookmarkStart w:id="650" w:name="__RefHeading___Toc624729_3244359995"/>
      <w:bookmarkStart w:id="651" w:name="_Toc244"/>
      <w:bookmarkEnd w:id="650"/>
      <w:r>
        <w:rPr>
          <w:rtl w:val="true"/>
        </w:rPr>
        <w:t>الوجه الثانی</w:t>
      </w:r>
      <w:r>
        <w:rPr>
          <w:rtl w:val="true"/>
        </w:rPr>
        <w:t xml:space="preserve">: </w:t>
      </w:r>
      <w:r>
        <w:rPr>
          <w:rtl w:val="true"/>
        </w:rPr>
        <w:t>مقتضی عموم التعلیل فی مقبولة عمر بن حنظلة حجّیتها</w:t>
      </w:r>
      <w:bookmarkEnd w:id="651"/>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عموم التعلیل فی مقبولة عمر بن حنظلة</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أبواب صفات القاضی،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حجّیتها</w:t>
      </w:r>
    </w:p>
    <w:p>
      <w:pPr>
        <w:pStyle w:val="BookText"/>
        <w:rPr/>
      </w:pPr>
      <w:r>
        <w:rPr>
          <w:rFonts w:ascii="IRNazanin" w:hAnsi="IRNazanin" w:eastAsia="IRNazanin"/>
          <w:color w:val="111111"/>
          <w:sz w:val="28"/>
          <w:sz w:val="28"/>
          <w:szCs w:val="28"/>
          <w:rtl w:val="true"/>
          <w:lang w:bidi="fa-IR"/>
        </w:rPr>
        <w:t>، بتقریب أنّ الشهرة فیها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شهرة روائیّة محضة، بل هی الشهرة الفتوائیّة الموافقة للروایة، لأنّها بیّنة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هی الروائیّة، و لکن التعلیل عامّ و موضوع للتعبّد، و تکون الشهرة الفتوائیّة التی تقابلها الفتوی الشاذّة، أحد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ذیل الروایة دلیل علی أنّ الشهرة فی الصدر روائیّة، کما فی کلام العلاّمة الأراکیّ </w:t>
      </w:r>
      <w:r>
        <w:rPr>
          <w:rStyle w:val="FootnoteAnchor"/>
          <w:rtl w:val="true"/>
        </w:rPr>
        <w:footnoteReference w:id="752"/>
      </w:r>
      <w:r>
        <w:rPr>
          <w:rFonts w:ascii="IRNazanin" w:hAnsi="IRNazanin" w:eastAsia="IRNazanin"/>
          <w:color w:val="111111"/>
          <w:sz w:val="28"/>
          <w:sz w:val="28"/>
          <w:szCs w:val="28"/>
          <w:rtl w:val="true"/>
          <w:lang w:bidi="fa-IR"/>
        </w:rPr>
        <w:t>، غیر مضرّ، لأنّ للشهرة مصادیق کاملة و ناقصة، فإذا کان فی الروایة شهرة مفروضة علی وجه یکون مقابلها الشاذّ و هی الکاملة، فیکون الفرض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الخبرین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شهرة ناقصة، فتلک الشهرة هی الشهرة الکاملة، دونها بالضرورة، و عندئذ تکون المقبولة دلیلا علی حجّیتها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التعلیل غیر قابل للاستدلال،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اللغویّ، لامتناع کون الشهرة إجماعا، فغیر تامّ، لما عرفت فی أصل البحث</w:t>
      </w:r>
    </w:p>
    <w:p>
      <w:pPr>
        <w:pStyle w:val="BookText"/>
        <w:rPr/>
      </w:pPr>
      <w:r>
        <w:rPr>
          <w:rFonts w:ascii="IRNazanin" w:hAnsi="IRNazanin" w:eastAsia="IRNazanin"/>
          <w:color w:val="111111"/>
          <w:sz w:val="28"/>
          <w:sz w:val="28"/>
          <w:szCs w:val="28"/>
          <w:rtl w:val="true"/>
          <w:lang w:bidi="fa-IR"/>
        </w:rPr>
        <w:t>آنفا، فإنّ الإجماع لیس إلاّ الاتفاق علی وجه لا یتضرّر بمخالفة الواحد و الاثنین، فإنّهما من الشاذّ النادر المتروک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التی بیّن رشدها حجّة، و المخالف الشاذّ لا یضرّ شیئا، و مقتضی الإطلاق عدم تضرّر الشهرة بمخالفة أمثال الصدوق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الکاشفیّة عرفا و عند العقلاء، غیر ممکنة فی صورة مخالفة النادر الّذی هو مثل الکلینیّ مثلا، أو الصدوق و أبیه معا، و لکن للشرع التعبّد بالحجّیة قانونا لمصالح، کما فی باب سائر الأمارات، لو کان لدلیلها الإطلاق القابل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الشهرة فی الروایة و لو کانت روائیّة، و لکن عموم التعلیل، و مقتضی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الشهرة، دلیل علی أنّ کلّ ما کان 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مقابلها الشاذّ النادر،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حجّة، فتکون الشهرة الفتوائیّة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هی حجّیة الشهرة فی ذاتها بملاک علی خلاف ملاک الإجماع، فإنّ الإجماع حجّة عندنا لاحتوائه علی السنّة، أو رأی المعصوم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البدوی و لو کان کذلک، و تصیر النتیجة تعارض الشهرة و الإجماع فی عصر الأقدمین، مع الإجماع و الشهرة فی العصر المتأخّر، و لکن النّظر الدّقیق یعطی أنّ مصبّ هذا التعلیل فی مورد تکون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روائیّة أو 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کاشفین عن أمر مفروغ منه صادر عنهم علیهم السلام لقول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کلاهما اختلفا فی حدیثکم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فإنّ المعلوم منه هو الإرجاع إلی الشهرة لأنّها الطریق، و هکذا الإجماع، فما هو من الإجماع القابل لأن یکون</w:t>
      </w:r>
      <w:bookmarkStart w:id="652" w:name="pg13170_166527"/>
    </w:p>
    <w:p>
      <w:pPr>
        <w:pStyle w:val="BookText"/>
        <w:rPr/>
      </w:pPr>
      <w:bookmarkEnd w:id="652"/>
      <w:r>
        <w:rPr>
          <w:rFonts w:ascii="IRNazanin" w:hAnsi="IRNazanin" w:eastAsia="IRNazanin"/>
          <w:color w:val="111111"/>
          <w:sz w:val="28"/>
          <w:sz w:val="28"/>
          <w:szCs w:val="28"/>
          <w:rtl w:val="true"/>
          <w:lang w:bidi="fa-IR"/>
        </w:rPr>
        <w:t>طریقا، یکون حجّة، و هکذا الشهرة، و عندئذ ینحصر بالشهرة القدیمة، و لا یشمل الشهرة الحادثة بین المتأخّرین،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استدلال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بالتعلیل </w:t>
      </w:r>
      <w:r>
        <w:rPr>
          <w:rStyle w:val="FootnoteAnchor"/>
          <w:rtl w:val="true"/>
        </w:rPr>
        <w:footnoteReference w:id="754"/>
      </w:r>
      <w:r>
        <w:rPr>
          <w:rFonts w:ascii="IRNazanin" w:hAnsi="IRNazanin" w:eastAsia="IRNazanin"/>
          <w:color w:val="111111"/>
          <w:sz w:val="28"/>
          <w:sz w:val="28"/>
          <w:szCs w:val="28"/>
          <w:rtl w:val="true"/>
          <w:lang w:bidi="fa-IR"/>
        </w:rPr>
        <w:t xml:space="preserve">، و مناقشة غیره فیه </w:t>
      </w:r>
      <w:r>
        <w:rPr>
          <w:rStyle w:val="FootnoteAnchor"/>
          <w:rtl w:val="true"/>
        </w:rPr>
        <w:footnoteReference w:id="755"/>
      </w:r>
      <w:r>
        <w:rPr>
          <w:rFonts w:ascii="IRNazanin" w:hAnsi="IRNazanin" w:eastAsia="IRNazanin"/>
          <w:color w:val="111111"/>
          <w:sz w:val="28"/>
          <w:sz w:val="28"/>
          <w:szCs w:val="28"/>
          <w:rtl w:val="true"/>
          <w:lang w:bidi="fa-IR"/>
        </w:rPr>
        <w:t>، کلّه غیر مطابق للتحصیل، کما ظهر أنّ ما أفاده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غیر واف بالمطلوب</w:t>
      </w:r>
      <w:r>
        <w:rPr>
          <w:rFonts w:eastAsia="IRNazanin" w:cs="IRNazanin"/>
          <w:color w:val="111111"/>
          <w:sz w:val="28"/>
          <w:szCs w:val="28"/>
          <w:rtl w:val="true"/>
          <w:lang w:bidi="fa-IR"/>
        </w:rPr>
        <w:t>.</w:t>
      </w:r>
    </w:p>
    <w:p>
      <w:pPr>
        <w:pStyle w:val="Heading5"/>
        <w:numPr>
          <w:ilvl w:val="4"/>
          <w:numId w:val="1"/>
        </w:numPr>
        <w:rPr/>
      </w:pPr>
      <w:bookmarkStart w:id="653" w:name="__RefHeading___Toc624731_3244359995"/>
      <w:bookmarkStart w:id="654" w:name="_Toc245"/>
      <w:bookmarkEnd w:id="653"/>
      <w:r>
        <w:rPr>
          <w:rtl w:val="true"/>
        </w:rPr>
        <w:t>الوجه الثالث</w:t>
      </w:r>
      <w:r>
        <w:rPr>
          <w:rtl w:val="true"/>
        </w:rPr>
        <w:t xml:space="preserve">: </w:t>
      </w:r>
      <w:r>
        <w:rPr>
          <w:rtl w:val="true"/>
        </w:rPr>
        <w:t>مرفوعة زرارة</w:t>
      </w:r>
      <w:bookmarkEnd w:id="654"/>
    </w:p>
    <w:p>
      <w:pPr>
        <w:pStyle w:val="BookText"/>
        <w:rPr/>
      </w:pPr>
      <w:r>
        <w:rPr>
          <w:rFonts w:ascii="IRNazanin" w:hAnsi="IRNazanin" w:eastAsia="IRNazanin"/>
          <w:color w:val="111111"/>
          <w:sz w:val="28"/>
          <w:sz w:val="28"/>
          <w:szCs w:val="28"/>
          <w:rtl w:val="true"/>
          <w:lang w:bidi="fa-IR"/>
        </w:rPr>
        <w:t>، فإن إطلاق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خذ بما اشتهر بین أصحابک، و دع الشاذّ النادر</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یشمل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الموصول ناظر إلی الخبر</w:t>
      </w:r>
      <w:r>
        <w:rPr>
          <w:rStyle w:val="FootnoteAnchor"/>
          <w:rtl w:val="true"/>
        </w:rPr>
        <w:footnoteReference w:id="758"/>
      </w:r>
      <w:r>
        <w:rPr>
          <w:rFonts w:ascii="IRNazanin" w:hAnsi="IRNazanin" w:eastAsia="IRNazanin"/>
          <w:color w:val="111111"/>
          <w:sz w:val="28"/>
          <w:sz w:val="28"/>
          <w:szCs w:val="28"/>
          <w:rtl w:val="true"/>
          <w:lang w:bidi="fa-IR"/>
        </w:rPr>
        <w:t xml:space="preserve">، ناشئ من خلطهم بین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العنوان، و أمّا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کنایة و نکرة، و لیس فیه إشعار بأمر مذکور خارجا، أو معهود 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علیه بعض المسائل فی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المستفاد منه أنّ ما هو السبب الوحید للأخذ بالخبر المشهور، هی شهرته، لا نفس الخبر، و إلاّ یلزم الأخذ بالخبر الشاذّ، فیعلم منه إلغاء خصوصیّة الخبر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فی هذه الروایة أیضا روائیّة فتوائیّة، أی هی الشهرة العملیّة، کما هی کذلک فی مقبولة عمر بن حنظلة، و لو لا المناقشة فی سندها لکانت دلالتها وافیة</w:t>
      </w:r>
      <w:r>
        <w:rPr>
          <w:rFonts w:eastAsia="IRNazanin" w:cs="IRNazanin"/>
          <w:color w:val="111111"/>
          <w:sz w:val="28"/>
          <w:szCs w:val="28"/>
          <w:rtl w:val="true"/>
          <w:lang w:bidi="fa-IR"/>
        </w:rPr>
        <w:t>.</w:t>
      </w:r>
      <w:bookmarkStart w:id="655" w:name="pg13170_166528"/>
    </w:p>
    <w:p>
      <w:pPr>
        <w:pStyle w:val="BookText"/>
        <w:rPr/>
      </w:pPr>
      <w:bookmarkEnd w:id="655"/>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دخالة الخبر فی کون الشهرة المنضمّة إلیه، موجبة للأخذ به، و لا یجوز إلغاء الخبر، و الأخذ بالشهرة و لو کانت فی الفتوی، کما لا یخفی</w:t>
      </w:r>
      <w:r>
        <w:rPr>
          <w:rFonts w:eastAsia="IRNazanin" w:cs="IRNazanin"/>
          <w:color w:val="111111"/>
          <w:sz w:val="28"/>
          <w:szCs w:val="28"/>
          <w:rtl w:val="true"/>
          <w:lang w:bidi="fa-IR"/>
        </w:rPr>
        <w:t>.</w:t>
      </w:r>
    </w:p>
    <w:p>
      <w:pPr>
        <w:pStyle w:val="Heading5"/>
        <w:numPr>
          <w:ilvl w:val="4"/>
          <w:numId w:val="1"/>
        </w:numPr>
        <w:rPr/>
      </w:pPr>
      <w:bookmarkStart w:id="656" w:name="__RefHeading___Toc624733_3244359995"/>
      <w:bookmarkStart w:id="657" w:name="_Toc246"/>
      <w:bookmarkEnd w:id="656"/>
      <w:r>
        <w:rPr>
          <w:rtl w:val="true"/>
        </w:rPr>
        <w:t>الوجه الرابع</w:t>
      </w:r>
      <w:r>
        <w:rPr>
          <w:rtl w:val="true"/>
        </w:rPr>
        <w:t xml:space="preserve">: </w:t>
      </w:r>
      <w:r>
        <w:rPr>
          <w:rtl w:val="true"/>
        </w:rPr>
        <w:t>أنّ مقتضی حجّیة خبر الواحد حسب الأدلّة الشرعیّة، حجّیة الشهرة، للأولویّة، أو لمفهوم الموافقة، أو لأجل إلغاء الخصوصیّة</w:t>
      </w:r>
      <w:bookmarkEnd w:id="657"/>
    </w:p>
    <w:p>
      <w:pPr>
        <w:pStyle w:val="BookText"/>
        <w:rPr/>
      </w:pPr>
      <w:r>
        <w:rPr>
          <w:rFonts w:ascii="Amiri" w:hAnsi="Amiri" w:eastAsia="Amiri" w:cs="Amiri"/>
          <w:color w:val="111111"/>
          <w:sz w:val="28"/>
          <w:sz w:val="28"/>
          <w:szCs w:val="28"/>
          <w:rtl w:val="true"/>
          <w:lang w:bidi="ar-SA"/>
        </w:rPr>
        <w:t>، ضرورة أنّ الظنّ الحاصل منه، أضعف من الظنّ الحاصل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ما لا یخفی، فإنّ المقصود إثبات حجّیة الشهرة علی أن تکون من الظنون الخاصّة النوعیّة، و لا تکون الحجّیة مدار الظنّ الشخصیّ، و عندئذ لنا أن نقول لتقریب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إخبار زرارة بلا واسطة، أو إخبار الشیخ قدس سرهما مع الوسائط، یکون کاشفا نوعیّا عن الصدور، بحکم الأدلّة المشار إلیها، و یجب الأخذ بهما، فهل حینئذ یمکن أن یکون إخبار الجلّ و الشهرة بوجود السنّة أو بوجود رأی المعصوم، غیر حجّة، و غیر کاشف نوعا عن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إفتاءهم لا بدّ و أن یکون لاستنادهم إلی أمر موجود عندهم، و بعد فرض کون مورد الفتوی خلاف القواعد، یتبیّن وجود دلیل عندهم، و یکون الإفتاء بحکم الإخبار، لأنّ الإفتاء لیس إلاّ إعلام أنّ الحکم کذا فی الإسلام، فإذا ثبت وجود السنّة أو الرّأی، تتمّ الجهات الاخر التی هی مورد الإشکال، بما عرفت فی کشف الإجماع </w:t>
      </w:r>
      <w:r>
        <w:rPr>
          <w:rStyle w:val="FootnoteAnchor"/>
          <w:rtl w:val="true"/>
        </w:rPr>
        <w:footnoteReference w:id="759"/>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فالتمسّک بأدلّة حجّیة خبر الواحد، لإثبات حجّیة الشهرة بما هی هی غلط، لأنّ المقصود من حجّیة الشهرة، حجّیتها علی وجه الطریقیّة، و إذا کان هذا مورد النّظر، فلا بدّ من اعتبار الطریقیّة أوّلا فی الشهرة، ثمّ تتمیم الطریقیّة، و استفادة إمضاء هذا الطریق شرعا من أخبار حجّیة الخبر الواحد، و بعد ذلک یتمّ المطلوب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أفتی الشیخ، ثمّ استدلّ بالسنّة الموجودة عنده، کما هو</w:t>
      </w:r>
      <w:bookmarkStart w:id="658" w:name="pg13170_166529"/>
    </w:p>
    <w:p>
      <w:pPr>
        <w:pStyle w:val="BookText"/>
        <w:rPr/>
      </w:pPr>
      <w:bookmarkEnd w:id="658"/>
      <w:r>
        <w:rPr>
          <w:rFonts w:ascii="IRNazanin" w:hAnsi="IRNazanin" w:eastAsia="IRNazanin"/>
          <w:color w:val="111111"/>
          <w:sz w:val="28"/>
          <w:sz w:val="28"/>
          <w:szCs w:val="28"/>
          <w:rtl w:val="true"/>
          <w:lang w:bidi="fa-IR"/>
        </w:rPr>
        <w:t xml:space="preserve">کذلک فی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إخبار بالسنّة، فیثبت وجودها عنده، و لو کانت الجهات الاخر تامّة، تثبت حجّیة تلک السنّة لنا، و حیث إنّ تلک الجهات بإخباره و إفتائه لا تتمّ إلاّ إذا ذهب الجلّ علی وفقه، فإنّه عندئذ یحرز وجود السنّة الصحیحة السند، التامّة الدلالة و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یرجع إلی التقریب الأوّل، و إنّما الاختلاف فیما به تتمّ الحجّیة، و یکشف إمضاؤها، ففی الوجه الأوّل کان التمسّک ببناء العقلاء، و هنا بأخبار حجّیة الخبر الواحد، لا من باب الأولویّة، بل من باب أنّ الشهرة الفتوائیّة، تتضمّن الإخبار الحسیّ عن وجود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لأدلّة حجّیة خبر الواحد، قدم جدید وراء بناء العقلاء، یکون هذا الوجه عین الوجه الأوّل،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ذیل آیة النبأ</w:t>
      </w:r>
      <w:r>
        <w:rPr>
          <w:rStyle w:val="FootnoteAnchor"/>
          <w:rtl w:val="true"/>
        </w:rPr>
        <w:footnoteReference w:id="760"/>
      </w:r>
      <w:r>
        <w:rPr>
          <w:rFonts w:ascii="IRNazanin" w:hAnsi="IRNazanin" w:eastAsia="IRNazanin"/>
          <w:color w:val="111111"/>
          <w:sz w:val="28"/>
          <w:sz w:val="28"/>
          <w:szCs w:val="28"/>
          <w:rtl w:val="true"/>
          <w:lang w:bidi="fa-IR"/>
        </w:rPr>
        <w:t>أیضا، إمضاء لما هو الطریق العقلائیّ، و لو کان المقصود إثبات حجّیة الشهرة لمجرّد أنّ اتباعها لیس من السفاهة، کان ما أفادوه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علیها</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و لکنّ النّظر هنا إلی أنّ الاتباع للطریق العقلائیّ، لیس من السفاهة، و الشهرة من الطرق العقلائیّة علی وجود السنّة، و إذا ثبتت السنّة وجودا، تثبت سائر الجهات بعین ما مرّ فی الإجماع المحصّل و المنقول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624735_3244359995"/>
      <w:bookmarkStart w:id="660" w:name="_Toc247"/>
      <w:bookmarkEnd w:id="659"/>
      <w:r>
        <w:rPr>
          <w:rtl w:val="true"/>
        </w:rPr>
        <w:t>تذنیب</w:t>
      </w:r>
      <w:r>
        <w:rPr>
          <w:rtl w:val="true"/>
        </w:rPr>
        <w:t xml:space="preserve">: </w:t>
      </w:r>
      <w:r>
        <w:rPr>
          <w:rtl w:val="true"/>
        </w:rPr>
        <w:t>حول حجیة الشهرة لاستلزامها للوثوق</w:t>
      </w:r>
      <w:bookmarkEnd w:id="66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حجّیة الشهرة علی أنّها من الظنون الخاصّة ممنوعة،</w:t>
      </w:r>
    </w:p>
    <w:p>
      <w:pPr>
        <w:pStyle w:val="BookText"/>
        <w:rPr/>
      </w:pPr>
      <w:r>
        <w:rPr>
          <w:rFonts w:ascii="IRNazanin" w:hAnsi="IRNazanin" w:eastAsia="IRNazanin"/>
          <w:color w:val="111111"/>
          <w:sz w:val="28"/>
          <w:sz w:val="28"/>
          <w:szCs w:val="28"/>
          <w:rtl w:val="true"/>
          <w:lang w:bidi="fa-IR"/>
        </w:rPr>
        <w:t>و لکنّها حجّة، لکونها مستلزمة للوثوق، و یکون الحکم القائم علیه الشهرة من الأمور المستبانة، و مقتضی ذیل روایة مسعدة بن صدقة</w:t>
      </w:r>
      <w:r>
        <w:rPr>
          <w:rStyle w:val="FootnoteAnchor"/>
          <w:rtl w:val="true"/>
        </w:rPr>
        <w:footnoteReference w:id="763"/>
      </w:r>
      <w:r>
        <w:rPr>
          <w:rFonts w:ascii="IRNazanin" w:hAnsi="IRNazanin" w:eastAsia="IRNazanin"/>
          <w:color w:val="111111"/>
          <w:sz w:val="28"/>
          <w:sz w:val="28"/>
          <w:szCs w:val="28"/>
          <w:rtl w:val="true"/>
          <w:lang w:bidi="fa-IR"/>
        </w:rPr>
        <w:t>إمّا حجّیتها علی الوجه السابق، لکونها من أخبار حجّیة الخبر الواحد فی تقریب، أو حجّیتها لأنّ الفتوی المزبورة من الأمور الواضحة، و یحصل منها الوثوق 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عدم حصول شی‌ء لا حجّیة لها، إلاّ أنّه شاذّ و قلیل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منه الاستدلال لحجّیة الشهرة علی التقریب الّذی أبدعناه آنفا،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منها أنّ الوثوق حجّة إذا حصل من الشهرة، و لیس مثل الوثوق الحاصل من الجفر و الرمل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إثبات حجّیة الوثوق و الاطمئنان ببناء العقلاء ممکن، و أمّا فی الموارد الخاصّة فهو لدلیل خاصّ، کما أشیر إلیه </w:t>
      </w:r>
      <w:r>
        <w:rPr>
          <w:rStyle w:val="FootnoteAnchor"/>
          <w:rtl w:val="true"/>
        </w:rPr>
        <w:footnoteReference w:id="764"/>
      </w:r>
      <w:r>
        <w:rPr>
          <w:rFonts w:ascii="IRNazanin" w:hAnsi="IRNazanin" w:eastAsia="IRNazanin"/>
          <w:color w:val="111111"/>
          <w:sz w:val="28"/>
          <w:sz w:val="28"/>
          <w:szCs w:val="28"/>
          <w:rtl w:val="true"/>
          <w:lang w:bidi="fa-IR"/>
        </w:rPr>
        <w:t>، و لا حاجة إلی هذه الروایة مع ما فی سندها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الإشکال فی حجّیة مطلق الوثوق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عدم ظهور بناء من العقلاء علیه </w:t>
      </w:r>
      <w:r>
        <w:rPr>
          <w:rStyle w:val="FootnoteAnchor"/>
          <w:rtl w:val="true"/>
        </w:rPr>
        <w:footnoteReference w:id="765"/>
      </w:r>
      <w:r>
        <w:rPr>
          <w:rFonts w:ascii="IRNazanin" w:hAnsi="IRNazanin" w:eastAsia="IRNazanin"/>
          <w:color w:val="111111"/>
          <w:sz w:val="28"/>
          <w:sz w:val="28"/>
          <w:szCs w:val="28"/>
          <w:rtl w:val="true"/>
          <w:lang w:bidi="fa-IR"/>
        </w:rPr>
        <w:t>، قوّی جدا، فلو لم تثبت حجّیة الشهرة نوعا، فحجّیة الوثوق الحاصل منها قابلة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مجموع الوجوه المشار إلیها، حجّیتها فی صورة حصول الوثوق و الاطمئنان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بناء العقلاء علی حجّیة مطلق الوثوق، غیر ممکن، و استکشاف حجیة مطلق الوثوق بالروایة، أکثر إشکالا، و استکشاف حجّیة الوثوق</w:t>
      </w:r>
      <w:bookmarkStart w:id="661" w:name="pg13170_166531"/>
    </w:p>
    <w:p>
      <w:pPr>
        <w:pStyle w:val="BookText"/>
        <w:rPr/>
      </w:pPr>
      <w:bookmarkEnd w:id="661"/>
      <w:r>
        <w:rPr>
          <w:rFonts w:ascii="IRNazanin" w:hAnsi="IRNazanin" w:eastAsia="IRNazanin"/>
          <w:color w:val="111111"/>
          <w:sz w:val="28"/>
          <w:sz w:val="28"/>
          <w:szCs w:val="28"/>
          <w:rtl w:val="true"/>
          <w:lang w:bidi="fa-IR"/>
        </w:rPr>
        <w:t>الحاصل من الشهرة ممکن، إلاّ أنّه یلازم حجّیة الشهرة علی الإطلاق، کما عرفت</w:t>
      </w:r>
      <w:r>
        <w:rPr>
          <w:rFonts w:eastAsia="IRNazanin" w:cs="IRNazanin"/>
          <w:color w:val="111111"/>
          <w:sz w:val="28"/>
          <w:szCs w:val="28"/>
          <w:rtl w:val="true"/>
          <w:lang w:bidi="fa-IR"/>
        </w:rPr>
        <w:t>.</w:t>
      </w:r>
    </w:p>
    <w:p>
      <w:pPr>
        <w:pStyle w:val="Heading4"/>
        <w:numPr>
          <w:ilvl w:val="3"/>
          <w:numId w:val="1"/>
        </w:numPr>
        <w:rPr/>
      </w:pPr>
      <w:bookmarkStart w:id="662" w:name="__RefHeading___Toc624737_3244359995"/>
      <w:bookmarkStart w:id="663" w:name="_Toc248"/>
      <w:bookmarkEnd w:id="662"/>
      <w:r>
        <w:rPr>
          <w:rtl w:val="true"/>
        </w:rPr>
        <w:t>تذییل</w:t>
      </w:r>
      <w:r>
        <w:rPr>
          <w:rtl w:val="true"/>
        </w:rPr>
        <w:t xml:space="preserve">: </w:t>
      </w:r>
      <w:r>
        <w:rPr>
          <w:rtl w:val="true"/>
        </w:rPr>
        <w:t>حول الشهرة العملیة</w:t>
      </w:r>
      <w:bookmarkEnd w:id="663"/>
    </w:p>
    <w:p>
      <w:pPr>
        <w:pStyle w:val="Heading5"/>
        <w:numPr>
          <w:ilvl w:val="4"/>
          <w:numId w:val="1"/>
        </w:numPr>
        <w:rPr/>
      </w:pPr>
      <w:bookmarkStart w:id="664" w:name="__RefHeading___Toc624739_3244359995"/>
      <w:bookmarkStart w:id="665" w:name="_Toc249"/>
      <w:bookmarkEnd w:id="664"/>
      <w:r>
        <w:rPr>
          <w:rtl w:val="true"/>
        </w:rPr>
        <w:t>اشارة</w:t>
      </w:r>
      <w:bookmarkEnd w:id="665"/>
    </w:p>
    <w:p>
      <w:pPr>
        <w:pStyle w:val="BookText"/>
        <w:rPr/>
      </w:pPr>
      <w:r>
        <w:rPr>
          <w:rFonts w:ascii="IRNazanin" w:hAnsi="IRNazanin" w:eastAsia="IRNazanin"/>
          <w:color w:val="111111"/>
          <w:sz w:val="28"/>
          <w:sz w:val="28"/>
          <w:szCs w:val="28"/>
          <w:rtl w:val="true"/>
          <w:lang w:bidi="fa-IR"/>
        </w:rPr>
        <w:t>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الشهرة ما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بالشهرة العملیّة</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و المراد منها ما تکون من الشهرة الفتوائیّة المستندة إلی الروایة غیر 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سیّدنا الأستاذ البروجردی قدس سره أنّ من تلک الشهرة، صورة توافق الفتوی المشهورة مع الروایة الموجودة و لو لم تکن مستندة إلیها، فإنّها أیضا من الشهرة العملیّة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العملیّة هی الشهرة الفتوائیّة، مع کونها مستندة إلی ما هو سندها، و لا یحتمل فی حقّهم استنادهم إلی أمر آخر، کاشتهار الحکم بین مشایخهم، و وصوله إلیهم، فعلی هذا یقع البحث فی أنّ تلک الشهرة، توجب انجبار السند، و جبر ضعف الخبر المشهور أحیانا فی سنده، أم لا؟</w:t>
      </w:r>
    </w:p>
    <w:p>
      <w:pPr>
        <w:pStyle w:val="BookText"/>
        <w:rPr/>
      </w:pPr>
      <w:r>
        <w:rPr>
          <w:rFonts w:ascii="IRNazanin" w:hAnsi="IRNazanin" w:eastAsia="IRNazanin"/>
          <w:color w:val="111111"/>
          <w:sz w:val="28"/>
          <w:sz w:val="28"/>
          <w:szCs w:val="28"/>
          <w:rtl w:val="true"/>
          <w:lang w:bidi="fa-IR"/>
        </w:rPr>
        <w:t>ثمّ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قبال الشهرة المذکورة أخبار صحیحة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فی صورة قیام الشهرة العملیّة الجابرة لضعف الروایة المستند إلیها، یلزم کسر سند تلک الأخبار، و وهن حجّیة تلک الصحاح حتّی تکون الشهرة العملیّة جابرة لتلک الروایة، و کاسرة للأخبار المقابلة، أم لا، فتکون الشهرة العملیّة جابرة فقط، و لیست کاسرة؟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تثبت الملازمة بین کون الشهرة العملیّة کاسرة، و بین کاسریّة الشهرة الفتوائیّة، أم لا، فیمکن التفکیک بأن لا تکون الشهرة العملیّة کاسرة، دون العکس؟ و أمّا لو کانت الشهرة العملیّة کاسرة، فالفتوائیّة أولی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جهات البحث الکبرویّ، نقول قبل الخوض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الشهرة الفتوائیّة، تستلزم کاسریّة الشهرة و جابریّتها، و بعد الفراغ من حجّیتها، لا وجه للبحث عن الجابریّة و الکاسریّة فی المقام، کما إذا قلنا بعدم حجّیة الشهرة الفتوائیّة، فلا معنی لاحتمال کونها جابرة أو کاسرة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مقتضی حجّیة الشهرة الفتوائیّة، جابریّة الشهرة العملیّة، فهی ممنوعة، ضرورة أنّ الشهرة الفتوائیّة، تکشف أحیانا عن اشتهار الحکم، فلا سند هناک حتّی یحتاج إلی الجبر، بخلاف الشهرة العملیّة، فالملازمة قابلة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قابلة للمنع، لأنّ لمنع کاشفیّة الشهرة عن اشتهار الحکم، وجها کما مرّ</w:t>
      </w:r>
      <w:r>
        <w:rPr>
          <w:rStyle w:val="FootnoteAnchor"/>
          <w:rtl w:val="true"/>
        </w:rPr>
        <w:footnoteReference w:id="768"/>
      </w:r>
      <w:r>
        <w:rPr>
          <w:rFonts w:ascii="IRNazanin" w:hAnsi="IRNazanin" w:eastAsia="IRNazanin"/>
          <w:color w:val="111111"/>
          <w:sz w:val="28"/>
          <w:sz w:val="28"/>
          <w:szCs w:val="28"/>
          <w:rtl w:val="true"/>
          <w:lang w:bidi="fa-IR"/>
        </w:rPr>
        <w:t>، لأنّ الحکم المفتی به عند المشهور، لیس ممّا یصحّ اشتهاره بین الأصحاب الأوّلین، و أمّا الشهرة الفتوائیّة العملیّة، فتوجب الوثوق بأنّ القدماء مع کثرتهم، لا یمکن الالتزام بخطئهم فی السند، بعد بنائهم علی العمل بالأسانید المعتبرة، فمع اختلاف مشاربهم فیه إذا کانوا عاملین بسند، یحصل الوثوق به عند العقلاء، فیکون جابرا، من غیر أن تکون حجّة إذا کانت فتوائیّة، فالملازمة ممنوعة من الطرفین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هو المهمّ بالبحث فی ضمن مسائل</w:t>
      </w:r>
      <w:r>
        <w:rPr>
          <w:rFonts w:eastAsia="IRNazanin" w:cs="IRNazanin"/>
          <w:color w:val="111111"/>
          <w:sz w:val="28"/>
          <w:szCs w:val="28"/>
          <w:rtl w:val="true"/>
          <w:lang w:bidi="fa-IR"/>
        </w:rPr>
        <w:t>:</w:t>
      </w:r>
      <w:bookmarkStart w:id="666" w:name="pg13170_166533"/>
    </w:p>
    <w:p>
      <w:pPr>
        <w:pStyle w:val="Heading5"/>
        <w:numPr>
          <w:ilvl w:val="4"/>
          <w:numId w:val="1"/>
        </w:numPr>
        <w:rPr/>
      </w:pPr>
      <w:bookmarkStart w:id="667" w:name="__RefHeading___Toc624741_3244359995"/>
      <w:bookmarkStart w:id="668" w:name="_Toc250"/>
      <w:bookmarkEnd w:id="666"/>
      <w:bookmarkEnd w:id="667"/>
      <w:r>
        <w:rPr>
          <w:rtl w:val="true"/>
        </w:rPr>
        <w:t>المسألة الأولی فی جبر الشهرة العملیّة للسند</w:t>
      </w:r>
      <w:bookmarkEnd w:id="668"/>
    </w:p>
    <w:p>
      <w:pPr>
        <w:pStyle w:val="Heading6"/>
        <w:numPr>
          <w:ilvl w:val="5"/>
          <w:numId w:val="1"/>
        </w:numPr>
        <w:rPr/>
      </w:pPr>
      <w:bookmarkStart w:id="669" w:name="__RefHeading___Toc624743_3244359995"/>
      <w:bookmarkStart w:id="670" w:name="_Toc251"/>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الشهرة العملیّة هل توجب انجبار ضعف السند، سواء کان الخبر مسندا و ضعیفا، أو مرسلا، أم لا؟</w:t>
      </w:r>
    </w:p>
    <w:p>
      <w:pPr>
        <w:pStyle w:val="BookText"/>
        <w:rPr/>
      </w:pPr>
      <w:r>
        <w:rPr>
          <w:rFonts w:ascii="IRNazanin" w:hAnsi="IRNazanin" w:eastAsia="IRNazanin"/>
          <w:color w:val="111111"/>
          <w:sz w:val="28"/>
          <w:sz w:val="28"/>
          <w:szCs w:val="28"/>
          <w:rtl w:val="true"/>
          <w:lang w:bidi="fa-IR"/>
        </w:rPr>
        <w:t>الأقوی نعم، فإنّ العارف بدیدن القدماء، و العالم الفاحص عن تاریخ بناءاتهم، و عن سیرتهم فی الأخبار و الأحکام، یحصل له بعد ذهاب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أمثال الصدوق، و المفید، و المرتضی، و الشیخ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الشخصیّ، بل العقلاء یطمئنّون بها کسائر الحجج العقلائیّة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إمکان اتکالهم علی القرائن الخاصّة التی لو وصلت إلینا لما أفادت شیئا، غیر کاف، و لو کان کافیا لکان الإجماع الکاشف عن السنّة مثلها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احتمال کون مستندهم خبرا آخر غیر ما هو المستند إلیه ظاهرا، کالدعوی السابقة فی نظر المراجعین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یشکل فیما إذا کان الخبر بحسب الدلالة، مختلفا مع ما هم علیه من الفتوی، فلو کان یصحّ دعوی وجود القرائن علی صحّة السند، بحیث لو کانت تصل إلینا لهی أیضا قائمة علی صحّته عندنا، لکانت تصحّ دعوی القرائن علی الدلالة، فیلزم منه جابریّة الشهرة للسند و الدلالة، و هذا ممّا لا یمکن الالتزام به، فإذا لم تکن جابریّة الدلالة مرضیّة، فجابریّة السند مثلها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القرائن لا تخرج عن إحدی الدلالات، فلو صحّ الاتکال علی فهمهم من تلک الدلالات لتصحیح السند، لجاز الاتکال علی فهمهم فی ناحیة</w:t>
      </w:r>
    </w:p>
    <w:p>
      <w:pPr>
        <w:pStyle w:val="BookText"/>
        <w:rPr/>
      </w:pPr>
      <w:r>
        <w:rPr>
          <w:rFonts w:ascii="IRNazanin" w:hAnsi="IRNazanin" w:eastAsia="IRNazanin"/>
          <w:color w:val="111111"/>
          <w:sz w:val="28"/>
          <w:sz w:val="28"/>
          <w:szCs w:val="28"/>
          <w:rtl w:val="true"/>
          <w:lang w:bidi="fa-IR"/>
        </w:rPr>
        <w:t>الدلالة لمتن الخبر الموجود، فتکون الشهرة العملیّة فی الحقیقة، راجعة إلی الشهرة الفتوائیّة، لعدم جواز التخلّف عن متن الخبر و لو کانت علی خلاف الظاهر فتواهم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جابریّة الشهرة العملیّة للسند، جابریّتها للدلالة، و لجهة الصدور، فیکون الخبر المستند إلیه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فیما إذا کان فهم المشهور مطابقا عندنا لظهوره، فإنّ عند ذلک یصحّ الاعتماد علیه فیما یزید علی فتواهم، فیصحّ الإفتاء علی طبق إطلاقه و عمومه فی الفروع المستحدثة، بشرط عدم إحراز إعراضهم عن الإطلاق و العموم، کما یأتی فی البحث الآتی و المسألة الثانیة إن شاء اللَّه تعالی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مجرّد فرض، أو قلیل اتفاقه، و لا یجوز إنکار حجّیة الشهرة لأجل الفرض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بالالتزام بوجود القرائن المنفصلة الواصلة إلیهم، و غیر الواصلة إلینا، فتکون الدلالة الظاهرة التی هی علی خلاف فهم المشهور،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الأمر بالتسبیح صباحا و مساء فی الکتاب </w:t>
      </w:r>
      <w:r>
        <w:rPr>
          <w:rStyle w:val="FootnoteAnchor"/>
          <w:rtl w:val="true"/>
        </w:rPr>
        <w:footnoteReference w:id="770"/>
      </w:r>
      <w:r>
        <w:rPr>
          <w:rFonts w:ascii="Amiri" w:hAnsi="Amiri" w:eastAsia="Amiri" w:cs="Amiri"/>
          <w:color w:val="111111"/>
          <w:sz w:val="28"/>
          <w:sz w:val="28"/>
          <w:szCs w:val="28"/>
          <w:rtl w:val="true"/>
          <w:lang w:bidi="ar-SA"/>
        </w:rPr>
        <w:t>و السنّة</w:t>
      </w:r>
      <w:r>
        <w:rPr>
          <w:rStyle w:val="FootnoteAnchor"/>
          <w:rtl w:val="true"/>
        </w:rPr>
        <w:footnoteReference w:id="771"/>
      </w:r>
      <w:r>
        <w:rPr>
          <w:rFonts w:ascii="IRNazanin" w:hAnsi="IRNazanin" w:eastAsia="IRNazanin"/>
          <w:color w:val="111111"/>
          <w:sz w:val="28"/>
          <w:sz w:val="28"/>
          <w:szCs w:val="28"/>
          <w:rtl w:val="true"/>
          <w:lang w:bidi="fa-IR"/>
        </w:rPr>
        <w:t xml:space="preserve">مرارا و تکرارا، مع نصوصیة الأخبار فی أنّه فرض، و فی وجوب قضائه، و مع ذلک ذهب الأصحاب إلی خلافه </w:t>
      </w:r>
      <w:r>
        <w:rPr>
          <w:rStyle w:val="FootnoteAnchor"/>
          <w:rtl w:val="true"/>
        </w:rPr>
        <w:footnoteReference w:id="772"/>
      </w:r>
      <w:r>
        <w:rPr>
          <w:rFonts w:ascii="IRNazanin" w:hAnsi="IRNazanin" w:eastAsia="IRNazanin"/>
          <w:color w:val="111111"/>
          <w:sz w:val="28"/>
          <w:sz w:val="28"/>
          <w:szCs w:val="28"/>
          <w:rtl w:val="true"/>
          <w:lang w:bidi="fa-IR"/>
        </w:rPr>
        <w:t>، و لیس ذلک إلاّ لتلک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الإجماع قائما علی الفتوی العملیّة، مستندین إلی السنّة الظاهرة فی خلاف ما أفتوا به مثلا، و لا یمکن الالتزام بعدم حجّیته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المذکور یکون مدرکیّا، فلا یکون حجّة، تتمّ بالنسبة</w:t>
      </w:r>
    </w:p>
    <w:p>
      <w:pPr>
        <w:pStyle w:val="BookText"/>
        <w:rPr/>
      </w:pPr>
      <w:r>
        <w:rPr>
          <w:rFonts w:ascii="IRNazanin" w:hAnsi="IRNazanin" w:eastAsia="IRNazanin"/>
          <w:color w:val="111111"/>
          <w:sz w:val="28"/>
          <w:sz w:val="28"/>
          <w:szCs w:val="28"/>
          <w:rtl w:val="true"/>
          <w:lang w:bidi="fa-IR"/>
        </w:rPr>
        <w:t>إلی الدلالة، لا السند،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المستند إلیها، إن کانت ظاهرة علی خلاف الشهرة العملیّة، فیعلم من وجود الشهرة قیام القرائن الظاهرة، و إلاّ لما کان وجه لفهم الجلّ ما هو خلاف الظاهر بعد بنائهم علی الاجتهاد، و عدم اعتماد المتأخّر علی المتقدّم فی الرّأی و الإفتاء، و لذلک اختلفت فتاوی الأساتذة و التلامیذ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غیر ظاهرة، بل کانت قابلة لفهم جلّ منها شیئا، و الآخرین منها شیئا آخر، فالسند منجبر دون الدلالة، و ذلک لأنّ انجبار السند مستند إلی القرائن الواضحة، و أمّا الاتفاق علی الدلالة فهو مستند إلی فهمهم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انجبار السند بلا وجه، بعد إمکان اختلاف أفهامهم فی فهم المتن و الحدیث، غیر مضرّ، لأنّ مجرّد الإمکان غیر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اتفق فی الفقه، اختلاف فهم المشهور و المتأخّرین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لأجل الاجتهادات المخصوص بها المتأخّرون، مع کثرة الأخبار فی المسألة</w:t>
      </w:r>
      <w:r>
        <w:rPr>
          <w:rStyle w:val="FootnoteAnchor"/>
          <w:rtl w:val="true"/>
        </w:rPr>
        <w:footnoteReference w:id="773"/>
      </w:r>
      <w:r>
        <w:rPr>
          <w:rFonts w:ascii="IRNazanin" w:hAnsi="IRNazanin" w:eastAsia="IRNazanin"/>
          <w:color w:val="111111"/>
          <w:sz w:val="28"/>
          <w:sz w:val="28"/>
          <w:szCs w:val="28"/>
          <w:rtl w:val="true"/>
          <w:lang w:bidi="fa-IR"/>
        </w:rPr>
        <w:t>التی ربّما لا یصل إلیها القدماء، لعدم وجود الوسائل الکافیة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مجرّد المورد الواحد أو الموردین، لا یضرّ بما ذکرناه حسب الطبع، و لذلک نجد البناءات العقلائیّة علی الاتکال علی فهم المشهور، و یعدّون المتردّد فی الأمر و الشاکّ فی صحّة الاستناد، خارجا عن المتعارف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ممّا ینسب إلی الشهرة القدیمة، ثمّ یخالفها المتأخّرون، لیست منها بعد المراجعة، و لا یمکن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الاشتهار فی الفتوی فی الفروع المستحدثة فی کلمات أمثال الشیخ، و من یقرب من عصره، أو یتقدّم علیه أحیانا، لا یکفی، لأنّه معلوم وجه استنباطه</w:t>
      </w:r>
      <w:r>
        <w:rPr>
          <w:rFonts w:eastAsia="IRNazanin" w:cs="IRNazanin"/>
          <w:color w:val="111111"/>
          <w:sz w:val="28"/>
          <w:szCs w:val="28"/>
          <w:rtl w:val="true"/>
          <w:lang w:bidi="fa-IR"/>
        </w:rPr>
        <w:t>.</w:t>
      </w:r>
      <w:bookmarkStart w:id="671" w:name="pg13170_166536"/>
    </w:p>
    <w:p>
      <w:pPr>
        <w:pStyle w:val="BookText"/>
        <w:rPr/>
      </w:pPr>
      <w:bookmarkEnd w:id="671"/>
      <w:r>
        <w:rPr>
          <w:rFonts w:ascii="IRNazanin" w:hAnsi="IRNazanin" w:eastAsia="IRNazanin"/>
          <w:color w:val="111111"/>
          <w:sz w:val="28"/>
          <w:sz w:val="28"/>
          <w:szCs w:val="28"/>
          <w:rtl w:val="true"/>
          <w:lang w:bidi="fa-IR"/>
        </w:rPr>
        <w:t xml:space="preserve">و أمّا أمثال الفتاوی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للأصول المتلقّاة، و ضبط الشهرات، و ما هو المستفاد من الروایات الواضحة الدلالات غیر الواصلة إلینا، فهی الشهرة التی إذا کانت عملیّة تکون جابرة، و هذه الشهرة العملیّة المستندة فی کلماتهم قلیلة الوجود أیضا، و اتکال بعضهم فی بعض الکتب، لا یشهد علی أنّ مستند الکلّ یکون الخبر، و لا سیّما بعد کون الحکم مطابقا لإحدی القواعد</w:t>
      </w:r>
      <w:r>
        <w:rPr>
          <w:rFonts w:eastAsia="IRNazanin" w:cs="IRNazanin"/>
          <w:color w:val="111111"/>
          <w:sz w:val="28"/>
          <w:szCs w:val="28"/>
          <w:rtl w:val="true"/>
          <w:lang w:bidi="fa-IR"/>
        </w:rPr>
        <w:t>.</w:t>
      </w:r>
    </w:p>
    <w:p>
      <w:pPr>
        <w:pStyle w:val="Heading6"/>
        <w:numPr>
          <w:ilvl w:val="5"/>
          <w:numId w:val="1"/>
        </w:numPr>
        <w:rPr/>
      </w:pPr>
      <w:bookmarkStart w:id="672" w:name="__RefHeading___Toc624745_3244359995"/>
      <w:bookmarkStart w:id="673" w:name="_Toc252"/>
      <w:bookmarkEnd w:id="672"/>
      <w:r>
        <w:rPr>
          <w:rtl w:val="true"/>
        </w:rPr>
        <w:t>فرع</w:t>
      </w:r>
      <w:r>
        <w:rPr>
          <w:rtl w:val="true"/>
        </w:rPr>
        <w:t xml:space="preserve">: </w:t>
      </w:r>
      <w:r>
        <w:rPr>
          <w:rtl w:val="true"/>
        </w:rPr>
        <w:t>فی کفایة احتمال الاستناد للجبر</w:t>
      </w:r>
      <w:bookmarkEnd w:id="673"/>
    </w:p>
    <w:p>
      <w:pPr>
        <w:pStyle w:val="BookText"/>
        <w:rPr/>
      </w:pPr>
      <w:r>
        <w:rPr>
          <w:rFonts w:ascii="IRNazanin" w:hAnsi="IRNazanin" w:eastAsia="IRNazanin"/>
          <w:color w:val="111111"/>
          <w:sz w:val="28"/>
          <w:sz w:val="28"/>
          <w:szCs w:val="28"/>
          <w:rtl w:val="true"/>
          <w:lang w:bidi="fa-IR"/>
        </w:rPr>
        <w:t>ذهب السیّد الأستاذ البروجردیّ قدس سره إلی أنّ الاستناد، لا یکون شرطا علی وجه التنصیص، بل یکفی کون الخبر مستندا إلیه و إن لم یصرّحوا به، فلو کان خبر فی الکتب الموجودة عندهم، مطابقا بحسب المضمون للفتوی، تکون الشهرة جابرة للخبر، لوضوح أنّ المستند هو ذلک الخبر و تلک الروایة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التوافق أعمّ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التوافق و إن کان أعمّ، إلاّ أنّه بعد الاتفاق یحصل الوثوق بالصدور، و یصحّ الاتکال علیه فیما یدلّ علیه زائدا علی مصبّ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الشهرة الفتوائیّة تثبت متانة المتن، و معنی ذلک هو الوثوق بالصدور نوعا و إن لم یحصل لأحد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مشاحّة فی عدّ ذلک من الشهرة العملیّة لاستکشاف الاستناد، کما هو الأظهر، أو أنّ الشهرة تکون فتوائیّة، و التوافق فی المضمون یورث الوثوق بالصدور، و یکون جابرا للضعف</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 استفادة حجّیة السنّة المستند إلیها من عموم التعلیل فی مقبولة</w:t>
      </w:r>
    </w:p>
    <w:p>
      <w:pPr>
        <w:pStyle w:val="BookText"/>
        <w:rPr/>
      </w:pPr>
      <w:r>
        <w:rPr>
          <w:rFonts w:ascii="IRNazanin" w:hAnsi="IRNazanin" w:eastAsia="IRNazanin"/>
          <w:color w:val="111111"/>
          <w:sz w:val="28"/>
          <w:sz w:val="28"/>
          <w:szCs w:val="28"/>
          <w:rtl w:val="true"/>
          <w:lang w:bidi="fa-IR"/>
        </w:rPr>
        <w:t>عمر بن حنظلة، و قد عرفت أنّ الشهرة فیها هی الشهرة العملیّة، لا الروائیّة، و لا الفتوائیّة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کان الخبر المستند إلیه أضعف، یکون أقوی، و کلّما ازداد ضعفه ازدادت قوّته، عکس ما مرّ</w:t>
      </w:r>
      <w:r>
        <w:rPr>
          <w:rStyle w:val="FootnoteAnchor"/>
          <w:rtl w:val="true"/>
        </w:rPr>
        <w:footnoteReference w:id="777"/>
      </w:r>
      <w:r>
        <w:rPr>
          <w:rFonts w:ascii="Amiri" w:hAnsi="Amiri" w:eastAsia="Amiri" w:cs="Amiri"/>
          <w:color w:val="111111"/>
          <w:sz w:val="28"/>
          <w:sz w:val="28"/>
          <w:szCs w:val="28"/>
          <w:rtl w:val="true"/>
          <w:lang w:bidi="ar-SA"/>
        </w:rPr>
        <w:t>، و سیمرّ علیک إن شاء اللَّه تعالی</w:t>
      </w:r>
      <w:r>
        <w:rPr>
          <w:rFonts w:eastAsia="Amiri" w:cs="Amiri" w:ascii="Amiri" w:hAnsi="Amiri"/>
          <w:color w:val="111111"/>
          <w:sz w:val="28"/>
          <w:szCs w:val="28"/>
          <w:rtl w:val="true"/>
          <w:lang w:bidi="ar-SA"/>
        </w:rPr>
        <w:t>.</w:t>
      </w:r>
      <w:bookmarkStart w:id="674" w:name="pg13170_166538"/>
    </w:p>
    <w:p>
      <w:pPr>
        <w:pStyle w:val="Heading5"/>
        <w:numPr>
          <w:ilvl w:val="4"/>
          <w:numId w:val="1"/>
        </w:numPr>
        <w:rPr/>
      </w:pPr>
      <w:bookmarkStart w:id="675" w:name="__RefHeading___Toc624747_3244359995"/>
      <w:bookmarkStart w:id="676" w:name="_Toc253"/>
      <w:bookmarkEnd w:id="674"/>
      <w:bookmarkEnd w:id="675"/>
      <w:r>
        <w:rPr>
          <w:rtl w:val="true"/>
        </w:rPr>
        <w:t>المسألة الثانیة فی کسر الشهرة العملیة للروایات الصحیحة المخالفة</w:t>
      </w:r>
      <w:bookmarkEnd w:id="676"/>
    </w:p>
    <w:p>
      <w:pPr>
        <w:pStyle w:val="BookText"/>
        <w:rPr/>
      </w:pPr>
      <w:r>
        <w:rPr>
          <w:rFonts w:ascii="IRNazanin" w:hAnsi="IRNazanin" w:eastAsia="IRNazanin"/>
          <w:color w:val="111111"/>
          <w:sz w:val="28"/>
          <w:sz w:val="28"/>
          <w:szCs w:val="28"/>
          <w:rtl w:val="true"/>
          <w:lang w:bidi="fa-IR"/>
        </w:rPr>
        <w:t>إذا کانت تقابل الشهرة العملیّة روایات صحیحة، فهل تکون کاسرة بالنسبة إلیها، و موجبة لسقوطها عن الحجّیة، و لورود الوهن علیها،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تلازم بین الجابریّة و الکاسریّة، لإمکان عدم کونها جابرة، للاحتمالات التی مرّت </w:t>
      </w:r>
      <w:r>
        <w:rPr>
          <w:rStyle w:val="FootnoteAnchor"/>
          <w:rtl w:val="true"/>
        </w:rPr>
        <w:footnoteReference w:id="778"/>
      </w:r>
      <w:r>
        <w:rPr>
          <w:rFonts w:ascii="IRNazanin" w:hAnsi="IRNazanin" w:eastAsia="IRNazanin"/>
          <w:color w:val="111111"/>
          <w:sz w:val="28"/>
          <w:sz w:val="28"/>
          <w:szCs w:val="28"/>
          <w:rtl w:val="true"/>
          <w:lang w:bidi="fa-IR"/>
        </w:rPr>
        <w:t>، و لکنّها کاسرة، لکونها موجبة للشکّ فی الحجّیة، و لا إطلاق لأدلّة حجّیة خبر الواحد علی وجه یشمل مثل ما نحن فیه، بعد قصور بناء العقلاء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جابرة تکون طبعا کاسرة، بعد کون الأخبار موجودة عندهم، و مذکورة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الأصحاب عملا عنها، موجب لوهنها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استنادهم إلی الخبر من باب الترجیح بعد المعارضة</w:t>
      </w:r>
      <w:r>
        <w:rPr>
          <w:rStyle w:val="FootnoteAnchor"/>
          <w:rtl w:val="true"/>
        </w:rPr>
        <w:footnoteReference w:id="779"/>
      </w:r>
      <w:r>
        <w:rPr>
          <w:rFonts w:ascii="IRNazanin" w:hAnsi="IRNazanin" w:eastAsia="IRNazanin"/>
          <w:color w:val="111111"/>
          <w:sz w:val="28"/>
          <w:sz w:val="28"/>
          <w:szCs w:val="28"/>
          <w:rtl w:val="true"/>
          <w:lang w:bidi="fa-IR"/>
        </w:rPr>
        <w:t>، فتکون المسألة من صغریات إعمال الاجتهاد، فلا یثبت الوهن بالنسبة إلیها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یصرّحون بعدم صحّة تلک الأخبار،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یسکتون عنها، و لا یعتنون بمضمونها، کما هو المفروض، فإذا کان الأمر کما أشیر إلیه، فلا یثبت الوهن فی السند، و عندئذ لنا ترجیح الطائفة الموجودة الصحیحة علی الروایة المعمول بها المنجبر سندها بعملهم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بجابریّة الشهرة العملیّة، تلزم المعارضة بین السنّة المستند إلیها، و بین الصحاح غیر المفتی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بالجابریّة، فربّما یتعیّن الأخذ بالصحاح الموجودة، لاحتمال کونهم من باب الترجیح أخذوا بما أفتوا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سقوط حجّیتها، لقصور بناء العقلاء فی هذه الصورة، لصلاحیة الشهرة العملیّة للقرینیّة علی شی‌ء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الترجیح بعد المعارضة و التساقط، صحیح فیما إذا کان الخبران مذکورین فی الجوامع، صحیحین، و أمّا فیما إذا کانت الشهرة العملیّة، مستندة إلی روایة غیر مذکورة فی الجوامع، أو تکون مذکورة بالسند الضعیف جدّاً، و کانت الأخبار المعارضة کلّها صحیحة بکثرتها، فلا معنی للترجیح، بل الترجیح معها،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معرض عنها، غیر قابلة للإفتاء بها، سواء کانت السنّة المستند إلیها فی الفتوی،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وجود القرائن المضادّة لها، بعد عدم عمل الجلّ بها، الذین یعتنون بالأخبار کلّ الاعتناء، و لا یعتنون بالضعاف مطلقا، و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اعتمادهم علیها، و عدم الإفتاء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نقلهم تلک الأخبار فی أصولهم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ضعفها، خصوصا من ناحیة الاطلاع الخارجیّ، و الوقوف الخاصّ علی نقاط الضعف فیها،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الصدور أحیانا، و إن لم یکن فی عصرنا دلیل علیه، و لکن ربّما کان الحکم الباطل المشهور فی عصر صدور تلک الأخبار، غیر مضبوط فی کتب العامّة، فعدم وجداننا شیئا یشهد علی اضطراب جهة الصدور، لا یدلّ علی عدم وجود منشأ للاضطراب،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نفس ذلک تضعیفا لها، سواء کانت الشهرة العملیّة جابرة، أم لم تکن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 عدم القول بالجابریّة، یمکن الاتکال علی تلک الأخبار،</w:t>
      </w:r>
      <w:bookmarkStart w:id="677" w:name="pg13170_166540"/>
    </w:p>
    <w:p>
      <w:pPr>
        <w:pStyle w:val="BookText"/>
        <w:rPr/>
      </w:pPr>
      <w:bookmarkEnd w:id="677"/>
      <w:r>
        <w:rPr>
          <w:rFonts w:ascii="IRNazanin" w:hAnsi="IRNazanin" w:eastAsia="IRNazanin"/>
          <w:color w:val="111111"/>
          <w:sz w:val="28"/>
          <w:sz w:val="28"/>
          <w:szCs w:val="28"/>
          <w:rtl w:val="true"/>
          <w:lang w:bidi="fa-IR"/>
        </w:rPr>
        <w:t>باطل جدّاً، و موافق لذوق الأخباریّین فی باب الأخذ بالأخبار، و خروج عن دیدن العرف فی اتباع الطرق و الروایات</w:t>
      </w:r>
      <w:r>
        <w:rPr>
          <w:rFonts w:eastAsia="IRNazanin" w:cs="IRNazanin"/>
          <w:color w:val="111111"/>
          <w:sz w:val="28"/>
          <w:szCs w:val="28"/>
          <w:rtl w:val="true"/>
          <w:lang w:bidi="fa-IR"/>
        </w:rPr>
        <w:t>.</w:t>
      </w:r>
    </w:p>
    <w:p>
      <w:pPr>
        <w:pStyle w:val="Heading4"/>
        <w:numPr>
          <w:ilvl w:val="3"/>
          <w:numId w:val="1"/>
        </w:numPr>
        <w:rPr/>
      </w:pPr>
      <w:bookmarkStart w:id="678" w:name="__RefHeading___Toc624749_3244359995"/>
      <w:bookmarkStart w:id="679" w:name="_Toc254"/>
      <w:bookmarkEnd w:id="678"/>
      <w:r>
        <w:rPr>
          <w:rtl w:val="true"/>
        </w:rPr>
        <w:t>بقی شی‌ء</w:t>
      </w:r>
      <w:r>
        <w:rPr>
          <w:rtl w:val="true"/>
        </w:rPr>
        <w:t xml:space="preserve">: </w:t>
      </w:r>
      <w:r>
        <w:rPr>
          <w:rtl w:val="true"/>
        </w:rPr>
        <w:t>حول تعارض السنة المفتی بها مع الصحاح المعرض عنها</w:t>
      </w:r>
      <w:bookmarkEnd w:id="679"/>
    </w:p>
    <w:p>
      <w:pPr>
        <w:pStyle w:val="BookText"/>
        <w:rPr/>
      </w:pPr>
      <w:r>
        <w:rPr>
          <w:rFonts w:ascii="IRNazanin" w:hAnsi="IRNazanin" w:eastAsia="IRNazanin"/>
          <w:color w:val="111111"/>
          <w:sz w:val="28"/>
          <w:sz w:val="28"/>
          <w:szCs w:val="28"/>
          <w:rtl w:val="true"/>
          <w:lang w:bidi="fa-IR"/>
        </w:rPr>
        <w:t>مقتضی مقبولة عمر بن حنظلة حجّیة الروایة المشهورة، و ذلک إمّا لأنّ موردها الخبر المشهور، أو لعموم الدلیل و التعلیل، و هکذا قضیّة إطلاق مرفوعة زرارة السابقة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فهناک تعبّد خاصّ خارج عن نطاق البناءات العقلائیّة، و لازمه وجوب الأخذ بتلک الصحاح، فتقع المعارضة بین الصحاح المعرض عنها، و السنّة المفتی بها، و کلاهما مشهوران، فیرجع إلی سائر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مورد الخبر، فلا شبهة فی أنّه الخبر المعمول به و الشهرة العملیّة، ضرورة أنّه بیّن الرشد، و أنّه لا ریب فیه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عموم التعلیل فلا ینفع، لأنّ الخبر المعرض عنه لا یکون ممّا لا ریب فیه، بل کلّ الریب، و لا یکون إلاّ بیّن الغیّ، فإنّ نقل الأصحاب روایة فی کتبهم، و إعلانهم خلافها بالإفتاء علی ضدّها، یورث کونها بیّنة الغیّ فی محیط العرف، و الشرع لیس مؤسّسا فی هذه الساحة، و لا یرید من هذه الجمل و من خبر التثلیث </w:t>
      </w:r>
      <w:r>
        <w:rPr>
          <w:rStyle w:val="FootnoteAnchor"/>
          <w:rtl w:val="true"/>
        </w:rPr>
        <w:footnoteReference w:id="781"/>
      </w:r>
      <w:r>
        <w:rPr>
          <w:rFonts w:ascii="IRNazanin" w:hAnsi="IRNazanin" w:eastAsia="IRNazanin"/>
          <w:color w:val="111111"/>
          <w:sz w:val="28"/>
          <w:sz w:val="28"/>
          <w:szCs w:val="28"/>
          <w:rtl w:val="true"/>
          <w:lang w:bidi="fa-IR"/>
        </w:rPr>
        <w:t>، إلاّ ما یفهمه العقلاء، فإذا نظرنا إلیها، نجد أنّ المرفوعة و المقبولة، لیستا إلاّ فی موقف یقفه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إخبارا، بل هو تعبّد بعدم الریب، غیر تامّ، لما لا معنی للتعبّد بما فیه الریب الکلّی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تعبّد بالنسبة إلی مواقف قصور البناءات العقلائیّة، لا بالنسبة إلی وجود البناءات علی ضده و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فی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 علی شی‌ء منه فهو له</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فإنّه إمضاء للبناء العرفی، و لا تعبّد فی مورد قصور بناء العقلاء، کما فی الید المشبوهة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کونه تعبّدا فی مورد ید الغاصب المستولی، بتوهّم أنّ إطلاق الحدیث یشمل یده، فهو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أیضا یکون الأمر کما تحرّر، فاستفادة حجّیة الأخبار المعرض عنها من الخبرین المذکورین، ممنوعة جدّاً، فالخبر المشهور و إن لم یکن شاذّا بحسب السماع، و لکنّه فیه الریب، و بیّن الغیّ، و تکون شهرته مضرّة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الفتوی المشهورة بلا وجود الخبر، فهی أیضا لیست مورد الخبرین، فما هو مورد الخبرین هی الروایة المفتی بها، فإنّها مشهورة طبعا، و لیست شاذّة، و لیس فیها الریب، و هی بیّنة الرشد، و لا غیّ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دعوی دلالة الخبرین علی عدم حجّیة الصحاح المعرض عنها التی تکون مشهورة، بدعوی أنّها بیّنة الغیّ، و فیها الریب، لمعارضتها بأنّها مشهورة، و لیست شاذّة، و غیر مسموعة، و لا مذکورة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الشذوذ فی الفتوی، أوّل البحث و إن</w:t>
      </w:r>
      <w:bookmarkStart w:id="680" w:name="pg13170_166542"/>
    </w:p>
    <w:p>
      <w:pPr>
        <w:pStyle w:val="BookText"/>
        <w:rPr/>
      </w:pPr>
      <w:bookmarkEnd w:id="680"/>
      <w:r>
        <w:rPr>
          <w:rFonts w:ascii="Amiri" w:hAnsi="Amiri" w:eastAsia="Amiri" w:cs="Amiri"/>
          <w:color w:val="111111"/>
          <w:sz w:val="28"/>
          <w:sz w:val="28"/>
          <w:szCs w:val="28"/>
          <w:rtl w:val="true"/>
          <w:lang w:bidi="ar-SA"/>
        </w:rPr>
        <w:t>اختاره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و لکنّه ممّا لا وجه له، فالصحاح المعرض عنها لیست حجّة، لما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غیر مشهورة روایة، تکون مندرجة فی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مرفوعة زرارة و إن کانت قابلة فی ذاتها للدلالة علی الشهرة الروائیّة، إلاّ أنّها غیر نقیّة سنداً، و بملاحظة المقبولة تکون دالّة علی حدود ما تدلّ علیها المقبولة، فلاحظ و تدبّر جیّداً</w:t>
      </w:r>
      <w:r>
        <w:rPr>
          <w:rFonts w:eastAsia="IRNazanin" w:cs="IRNazanin"/>
          <w:color w:val="111111"/>
          <w:sz w:val="28"/>
          <w:szCs w:val="28"/>
          <w:rtl w:val="true"/>
          <w:lang w:bidi="fa-IR"/>
        </w:rPr>
        <w:t>.</w:t>
      </w:r>
    </w:p>
    <w:p>
      <w:pPr>
        <w:pStyle w:val="Heading4"/>
        <w:numPr>
          <w:ilvl w:val="3"/>
          <w:numId w:val="1"/>
        </w:numPr>
        <w:rPr/>
      </w:pPr>
      <w:bookmarkStart w:id="681" w:name="__RefHeading___Toc624751_3244359995"/>
      <w:bookmarkStart w:id="682" w:name="_Toc255"/>
      <w:bookmarkEnd w:id="681"/>
      <w:r>
        <w:rPr>
          <w:rtl w:val="true"/>
        </w:rPr>
        <w:t>ذنابة</w:t>
      </w:r>
      <w:bookmarkEnd w:id="682"/>
    </w:p>
    <w:p>
      <w:pPr>
        <w:pStyle w:val="BookText"/>
        <w:rPr/>
      </w:pPr>
      <w:r>
        <w:rPr>
          <w:rFonts w:ascii="IRNazanin" w:hAnsi="IRNazanin" w:eastAsia="IRNazanin"/>
          <w:color w:val="111111"/>
          <w:sz w:val="28"/>
          <w:sz w:val="28"/>
          <w:szCs w:val="28"/>
          <w:rtl w:val="true"/>
          <w:lang w:bidi="fa-IR"/>
        </w:rPr>
        <w:t>ممّا ذکرنا یتبیّن حال المسألة الثالثة، و هی الصحاح الموجودة فی قبال الشهرة الفتوائیّة أیضا، فإنّه یکون وهنها هنا أظهر و أولی، ضرورة أنّ الشهرة الفتوائیّة الکاشفة عن اشتهار الحکم، تستلزم المناقشة إمّا فی صدورها، أو جهة صدورها، فلا تتمّ شرائط حجّیتها حتّی تقابل بالسنّة، أو الحکم المستکشف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مواقف الإجماع الکاشف عن السنّة، لا یتعامل مع السنّة معاملة سائر السنن بالتخصیص و التقیید، بل یؤخذ بإطلاق معقد الإجماع، و لیس ذلک إلاّ لأنّ المکشوف به هو تمام المراد، و الأخبار المتعارضة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بالإطلاق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صالحة للعمل بها رأساً، و هذا معناه عدم حجّیتها ذاتاً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لیست حجّیته إلاّ لأجل اشتهار الحکم فی مورده، و لا یکون الاتفاق الکلّی شرطاً</w:t>
      </w:r>
      <w:r>
        <w:rPr>
          <w:rStyle w:val="FootnoteAnchor"/>
          <w:rtl w:val="true"/>
        </w:rPr>
        <w:footnoteReference w:id="784"/>
      </w:r>
      <w:r>
        <w:rPr>
          <w:rFonts w:ascii="IRNazanin" w:hAnsi="IRNazanin" w:eastAsia="IRNazanin"/>
          <w:color w:val="111111"/>
          <w:sz w:val="28"/>
          <w:sz w:val="28"/>
          <w:szCs w:val="28"/>
          <w:rtl w:val="true"/>
          <w:lang w:bidi="fa-IR"/>
        </w:rPr>
        <w:t>، فالشهرة فی الحقیقة تکون حجّة کاشفة عن اشتهار الحکم، أو وجود السنّة، و موجبة لوهن الأخبار المختلفة معها فی المضمون</w:t>
      </w:r>
      <w:r>
        <w:rPr>
          <w:rFonts w:eastAsia="IRNazanin" w:cs="IRNazanin"/>
          <w:color w:val="111111"/>
          <w:sz w:val="28"/>
          <w:szCs w:val="28"/>
          <w:rtl w:val="true"/>
          <w:lang w:bidi="fa-IR"/>
        </w:rPr>
        <w:t>.</w:t>
      </w:r>
      <w:bookmarkStart w:id="683" w:name="pg13170_166543"/>
    </w:p>
    <w:p>
      <w:pPr>
        <w:pStyle w:val="Heading4"/>
        <w:numPr>
          <w:ilvl w:val="3"/>
          <w:numId w:val="1"/>
        </w:numPr>
        <w:rPr/>
      </w:pPr>
      <w:bookmarkStart w:id="684" w:name="__RefHeading___Toc624753_3244359995"/>
      <w:bookmarkStart w:id="685" w:name="_Toc256"/>
      <w:bookmarkEnd w:id="683"/>
      <w:bookmarkEnd w:id="684"/>
      <w:r>
        <w:rPr>
          <w:rtl w:val="true"/>
        </w:rPr>
        <w:t>تذنیب</w:t>
      </w:r>
      <w:r>
        <w:rPr>
          <w:rtl w:val="true"/>
        </w:rPr>
        <w:t xml:space="preserve">: </w:t>
      </w:r>
      <w:r>
        <w:rPr>
          <w:rtl w:val="true"/>
        </w:rPr>
        <w:t>فی حکم الشکّ فی تحقق الإعراض</w:t>
      </w:r>
      <w:bookmarkEnd w:id="685"/>
    </w:p>
    <w:p>
      <w:pPr>
        <w:pStyle w:val="BookText"/>
        <w:rPr/>
      </w:pPr>
      <w:r>
        <w:rPr>
          <w:rFonts w:ascii="IRNazanin" w:hAnsi="IRNazanin" w:eastAsia="IRNazanin"/>
          <w:color w:val="111111"/>
          <w:sz w:val="28"/>
          <w:sz w:val="28"/>
          <w:szCs w:val="28"/>
          <w:rtl w:val="true"/>
          <w:lang w:bidi="fa-IR"/>
        </w:rPr>
        <w:t>فی موارد الشکّ فی الجبران، لا یترتّب الأثر علی السنّة المشکوکة بلا کلام، و إنّما البحث فی مورد الشکّ فی الإعراض، فإنّ مقتضی القواعد حجّیة الأخبار بعد تمامیّة جهاتها، إلاّ إذا توجّه إلیها الوهن الخارجیّ بالإعراض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بناء العقلاء مقیّد من الأوّل بعدم الإعراض عن الخبر، فما هو الحجّة هی الروایة غیر المعرض عنها، و عندئذٍ لا بدّ من إحراز قیدها، و إذا شکّ فی الإعراض یشکّ فی تحقّق ما هو موضوع 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نحن فیه من قبیل الشکّ فی التخصیص، ضرورة أنّ العامّ حجّة، و لا تسقط حجّیته فی مورد الشکّ فی التخصیص، و المخصّص و لو کان موهناً بالنسبة إلی العامّ، و لکنّ العامّ لیس مقیّدةً حجّیته بعدم وجود المخصّص ثبوتاً بالضرورة، و لذلک یکون بناء الأصحاب و العقلاء علی التمسّک به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الحجّة اللفظیّة، و الحجّة اللبّیة، فإنّ العامّ حجّة لفظیّة، و تکون العمومات بألفاظها دالّة علی معانیها، و مقتضی أصالة الجدّ هو التطابق بین المرادات الاستعمالیّة و الجدّیة، إلاّ إذا أحرز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و هی حجّیة خبر الواحد القائم علیها بناء العقلاء، فلا أصل أوّلی من العقلاء علی حجّیة خبر الواحد، ثمّ الأصل الآخر علی عدم حجّیة الخبر المعرض عنه، حتّی یتمسّک بالأصل الأوّلی عند الشکّ، بل البناءات العقلائیّة من الأوّل إمّا مطلقة، أو مقیّدة، و حیث إنّ الخبر المعرض عنه لیس بحجّة، فالموضوع لحجّیة الخبر من الأوّل مقیّد، و هو الخبر غیر المعرض عنه، فلا بدّ من إحرازه حتّی تثبت حجّیته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صدّقنا وجود الأخبار و الأدلّة اللفظیّة علی حجّیة الخبر 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یکون لها الإطلاق القابل للاعتماد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الإطلاق متّبعاً حتّی یثبت الوهن، بناء علی جواز التمسّک بالعامّ فی الشبهات المصداقیّة، و هکذا بالإطلاق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المخصّص حیث یکون لبّیا من اللبّیات العقلائیّة المحفوف بها الإطلاق و العموم، لا یجوز التمسّک بالعامّ و المطلق، لأنّها فی حکم القرائن المتّصلة المانعة عن انعقاد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 إن کانت من تلک اللبّیات، إلاّ أنّها من المختفیات علی العقلاء، و لیست من المرتکزات الواضحة المانعة عن عقد ظهورها، فیکون الوهن الحاصل من الإعراض مضرّا بالحجّیة، إلاّ أنّه مغفول عنه نوعا و عادة، فلا ینافیه عقد الظهور، فإذا جاز التمسّک بالعامّ فی الشبهة المصداقیّة للمخصّص اللبّی فی مورد، جاز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المقبولة</w:t>
      </w:r>
      <w:r>
        <w:rPr>
          <w:rStyle w:val="FootnoteAnchor"/>
          <w:rtl w:val="true"/>
        </w:rPr>
        <w:footnoteReference w:id="785"/>
      </w:r>
      <w:r>
        <w:rPr>
          <w:rFonts w:ascii="Amiri" w:hAnsi="Amiri" w:eastAsia="Amiri" w:cs="Amiri"/>
          <w:color w:val="111111"/>
          <w:sz w:val="28"/>
          <w:sz w:val="28"/>
          <w:szCs w:val="28"/>
          <w:rtl w:val="true"/>
          <w:lang w:bidi="ar-SA"/>
        </w:rPr>
        <w:t>و المرفوعة</w:t>
      </w:r>
      <w:r>
        <w:rPr>
          <w:rStyle w:val="FootnoteAnchor"/>
          <w:rtl w:val="true"/>
        </w:rPr>
        <w:footnoteReference w:id="786"/>
      </w:r>
      <w:r>
        <w:rPr>
          <w:rFonts w:ascii="IRNazanin" w:hAnsi="IRNazanin" w:eastAsia="IRNazanin"/>
          <w:color w:val="111111"/>
          <w:sz w:val="28"/>
          <w:sz w:val="28"/>
          <w:szCs w:val="28"/>
          <w:rtl w:val="true"/>
          <w:lang w:bidi="fa-IR"/>
        </w:rPr>
        <w:t>، عدم حجّیة المعرض عنها، فیکون التخصیص أو التقیید لفظیّا</w:t>
      </w:r>
      <w:r>
        <w:rPr>
          <w:rStyle w:val="FootnoteAnchor"/>
          <w:rtl w:val="true"/>
        </w:rPr>
        <w:footnoteReference w:id="787"/>
      </w:r>
      <w:r>
        <w:rPr>
          <w:rFonts w:ascii="IRNazanin" w:hAnsi="IRNazanin" w:eastAsia="IRNazanin"/>
          <w:color w:val="111111"/>
          <w:sz w:val="28"/>
          <w:sz w:val="28"/>
          <w:szCs w:val="28"/>
          <w:rtl w:val="true"/>
          <w:lang w:bidi="fa-IR"/>
        </w:rPr>
        <w:t>، و هذا یوجب انقلاب الحجّیة، لأنّه بالنظر إلی لبّیته یجوز التمسّک علی المشهور، و بالنظر إلی لفظیّته لا یجوز عندهم، فإن کان اللفظ إمضاء فلا انقلاب، و إن کان تأسیسا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المعتبر هنا و فی أمثال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الانقلاب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المهمّ قصورهما عن ذلک، کما مرّ</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عدم جواز التمسّک محلّ منع، فراجع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جواز التمسّک بالمطلق فی الشبهة الموضوعیّة للمقیّد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مفروغ عنه حتّی فی المقیّدات اللبّیة، و ما هو مورد الخلاف هی الشبهة المصداقیّة للعامّ الأصولیّ، ففرق بین المطلقات</w:t>
      </w:r>
      <w:bookmarkStart w:id="686" w:name="pg13170_166545"/>
    </w:p>
    <w:p>
      <w:pPr>
        <w:pStyle w:val="BookText"/>
        <w:rPr/>
      </w:pPr>
      <w:bookmarkEnd w:id="686"/>
      <w:r>
        <w:rPr>
          <w:rFonts w:ascii="IRNazanin" w:hAnsi="IRNazanin" w:eastAsia="IRNazanin"/>
          <w:color w:val="111111"/>
          <w:sz w:val="28"/>
          <w:sz w:val="28"/>
          <w:szCs w:val="28"/>
          <w:rtl w:val="true"/>
          <w:lang w:bidi="fa-IR"/>
        </w:rPr>
        <w:t xml:space="preserve">و العمومات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عندنا بمعزل عن التحقیق المحرّر فی محلّه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یتوقّف تصدیق المسألة علی ثبوت المطلقات الشرعیّة الحاکیة عن إمضاء الشرع لخبر الثقة علی الإطلاق، بحیث یکون إطلاقه قابلا للاعتماد علیه فی موارد الشکّ، نظیر ما إذا شکّ فی ید أنّها ید خائنة و غاصبة، فإنّ 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 علی شی‌ء منه فهو له</w:t>
      </w:r>
      <w:r>
        <w:rPr>
          <w:rFonts w:eastAsia="IRNazanin" w:cs="IRNazanin"/>
          <w:color w:val="111111"/>
          <w:sz w:val="28"/>
          <w:szCs w:val="28"/>
          <w:rtl w:val="true"/>
          <w:lang w:bidi="fa-IR"/>
        </w:rPr>
        <w:t>»</w:t>
      </w:r>
      <w:r>
        <w:rPr>
          <w:rStyle w:val="FootnoteAnchor"/>
          <w:rtl w:val="true"/>
        </w:rPr>
        <w:footnoteReference w:id="792"/>
      </w:r>
      <w:r>
        <w:rPr>
          <w:rFonts w:ascii="Amiri" w:hAnsi="Amiri" w:eastAsia="Amiri" w:cs="Amiri"/>
          <w:color w:val="111111"/>
          <w:sz w:val="28"/>
          <w:sz w:val="28"/>
          <w:szCs w:val="28"/>
          <w:rtl w:val="true"/>
          <w:lang w:bidi="ar-SA"/>
        </w:rPr>
        <w:t>معتمد علیه عند الشکّ، لأنّ المخصّص 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خصوص المثال یکون المخصّص اللبّی من الواضحات المحتفّ بها الکلام، المانعة عن انعقاد الظهور کما لا یخفی، فتدبر جیّدا</w:t>
      </w:r>
      <w:r>
        <w:rPr>
          <w:rFonts w:eastAsia="IRNazanin" w:cs="IRNazanin"/>
          <w:color w:val="111111"/>
          <w:sz w:val="28"/>
          <w:szCs w:val="28"/>
          <w:rtl w:val="true"/>
          <w:lang w:bidi="fa-IR"/>
        </w:rPr>
        <w:t>.</w:t>
      </w:r>
    </w:p>
    <w:p>
      <w:pPr>
        <w:pStyle w:val="Heading4"/>
        <w:numPr>
          <w:ilvl w:val="3"/>
          <w:numId w:val="1"/>
        </w:numPr>
        <w:rPr/>
      </w:pPr>
      <w:bookmarkStart w:id="687" w:name="__RefHeading___Toc624755_3244359995"/>
      <w:bookmarkStart w:id="688" w:name="_Toc257"/>
      <w:bookmarkEnd w:id="687"/>
      <w:r>
        <w:rPr>
          <w:rtl w:val="true"/>
        </w:rPr>
        <w:t>بقی شی‌ء</w:t>
      </w:r>
      <w:r>
        <w:rPr>
          <w:rtl w:val="true"/>
        </w:rPr>
        <w:t xml:space="preserve">: </w:t>
      </w:r>
      <w:r>
        <w:rPr>
          <w:rtl w:val="true"/>
        </w:rPr>
        <w:t>فی التمسّک بالبناء العقلائی عند الشکّ فی الإعراض</w:t>
      </w:r>
      <w:bookmarkEnd w:id="688"/>
    </w:p>
    <w:p>
      <w:p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البناءات العقلائیّة غیر المبتلی بها نوعا و عادة و لو کانت من الأمور العرفیّة، یکون البناء العملیّ فی حکم العامّ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 مقتضی ما تحرّر، عدم جواز الأخذ بالصحاح المشکوک کونها مورد الإعراض، إذا لم یکن فی أدلّة حجّیة الخبر الواحد دلیل لفظیّ قابل للاعتماد علیه فی مورد الشکّ، لأجل اختفاء البناء العقلائیّ، و هذا ممّا لا یمکن الالتزام به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فیما نحن فیه خصوصیّة، و هی أنّ البناء العملیّ علی العمل بالخبر، إلاّ إذا ثبت الوهن، و حیث إنّ مسألة الإعراض الموجب للوهن، قلیلة الاتفاق فی المسائل العقلائیّة جدّاً، لا یکون البناء العقلائیّ موضوعه مقیّدا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عامّا عملیّا و ارتکازا خاصّا مغفولا عنه عند العامّة،</w:t>
      </w:r>
      <w:bookmarkStart w:id="689" w:name="pg13170_166546"/>
    </w:p>
    <w:p>
      <w:pPr>
        <w:pStyle w:val="BookText"/>
        <w:rPr/>
      </w:pPr>
      <w:bookmarkEnd w:id="689"/>
      <w:r>
        <w:rPr>
          <w:rFonts w:ascii="IRNazanin" w:hAnsi="IRNazanin" w:eastAsia="IRNazanin"/>
          <w:color w:val="111111"/>
          <w:sz w:val="28"/>
          <w:sz w:val="28"/>
          <w:szCs w:val="28"/>
          <w:rtl w:val="true"/>
          <w:lang w:bidi="fa-IR"/>
        </w:rPr>
        <w:t>و مقتضی ذلک وجوب الأخذ بالسند الصحیح حتّی یثبت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المقال، و اللَّه ولیّ الأمر، و علیه الاتکال</w:t>
      </w:r>
      <w:r>
        <w:rPr>
          <w:rFonts w:eastAsia="IRNazanin" w:cs="IRNazanin"/>
          <w:color w:val="111111"/>
          <w:sz w:val="28"/>
          <w:szCs w:val="28"/>
          <w:rtl w:val="true"/>
          <w:lang w:bidi="fa-IR"/>
        </w:rPr>
        <w:t>.</w:t>
      </w:r>
    </w:p>
    <w:p>
      <w:pPr>
        <w:pStyle w:val="Heading4"/>
        <w:numPr>
          <w:ilvl w:val="3"/>
          <w:numId w:val="1"/>
        </w:numPr>
        <w:rPr/>
      </w:pPr>
      <w:bookmarkStart w:id="690" w:name="__RefHeading___Toc624757_3244359995"/>
      <w:bookmarkStart w:id="691" w:name="_Toc258"/>
      <w:bookmarkEnd w:id="690"/>
      <w:r>
        <w:rPr>
          <w:rtl w:val="true"/>
        </w:rPr>
        <w:t>بقی شی‌ء</w:t>
      </w:r>
      <w:r>
        <w:rPr>
          <w:rtl w:val="true"/>
        </w:rPr>
        <w:t xml:space="preserve">: </w:t>
      </w:r>
      <w:r>
        <w:rPr>
          <w:rtl w:val="true"/>
        </w:rPr>
        <w:t>فی صعوبة تحصیل الشهرة</w:t>
      </w:r>
      <w:bookmarkEnd w:id="69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الجدیر باللفت و 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تحصیل الشهرة المتعبّد بها، 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 من الشاذّ و النادر، أیضا مشکل، و لکنّه لیس بمثابة مشکلة الإجماع، و حصول الشهرة غیر بعید، بعد اتفاق مشاهیر القدماء المختلفین فی المشارب و المسالک، و فی الأفهام و المدارک، و فی البلاد و الأعصار، و الأمصار و الممالک</w:t>
      </w:r>
      <w:r>
        <w:rPr>
          <w:rFonts w:eastAsia="IRNazanin" w:cs="IRNazanin"/>
          <w:color w:val="111111"/>
          <w:sz w:val="28"/>
          <w:szCs w:val="28"/>
          <w:rtl w:val="true"/>
          <w:lang w:bidi="fa-IR"/>
        </w:rPr>
        <w:t>.</w:t>
      </w:r>
      <w:bookmarkStart w:id="692" w:name="pg13170_166548"/>
    </w:p>
    <w:p>
      <w:pPr>
        <w:pStyle w:val="Heading3"/>
        <w:numPr>
          <w:ilvl w:val="2"/>
          <w:numId w:val="1"/>
        </w:numPr>
        <w:rPr/>
      </w:pPr>
      <w:bookmarkStart w:id="693" w:name="__RefHeading___Toc624759_3244359995"/>
      <w:bookmarkStart w:id="694" w:name="_Toc259"/>
      <w:bookmarkEnd w:id="692"/>
      <w:bookmarkEnd w:id="693"/>
      <w:r>
        <w:rPr>
          <w:rtl w:val="true"/>
        </w:rPr>
        <w:t>المبحث الخامس فی حجّیة الخبر الواحد، و خبر الواحد</w:t>
      </w:r>
      <w:bookmarkEnd w:id="69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5" w:name="__RefHeading___Toc624761_3244359995"/>
      <w:bookmarkStart w:id="696" w:name="_Toc260"/>
      <w:bookmarkEnd w:id="695"/>
      <w:r>
        <w:rPr>
          <w:rtl w:val="true"/>
        </w:rPr>
        <w:t>اشارة</w:t>
      </w:r>
      <w:bookmarkStart w:id="697" w:name="pg13170_166550"/>
      <w:bookmarkEnd w:id="696"/>
    </w:p>
    <w:p>
      <w:pPr>
        <w:pStyle w:val="Heading4"/>
        <w:numPr>
          <w:ilvl w:val="3"/>
          <w:numId w:val="1"/>
        </w:numPr>
        <w:rPr/>
      </w:pPr>
      <w:bookmarkStart w:id="698" w:name="__RefHeading___Toc624763_3244359995"/>
      <w:bookmarkStart w:id="699" w:name="_Toc261"/>
      <w:bookmarkEnd w:id="697"/>
      <w:bookmarkEnd w:id="698"/>
      <w:r>
        <w:rPr>
          <w:rtl w:val="true"/>
        </w:rPr>
        <w:t>مقدّمة</w:t>
      </w:r>
      <w:bookmarkEnd w:id="699"/>
    </w:p>
    <w:p>
      <w:pPr>
        <w:pStyle w:val="Heading5"/>
        <w:numPr>
          <w:ilvl w:val="4"/>
          <w:numId w:val="1"/>
        </w:numPr>
        <w:rPr/>
      </w:pPr>
      <w:bookmarkStart w:id="700" w:name="__RefHeading___Toc624765_3244359995"/>
      <w:bookmarkStart w:id="701" w:name="_Toc262"/>
      <w:bookmarkEnd w:id="700"/>
      <w:r>
        <w:rPr>
          <w:rtl w:val="true"/>
        </w:rPr>
        <w:t>اشارة</w:t>
      </w:r>
      <w:bookmarkEnd w:id="701"/>
    </w:p>
    <w:p>
      <w:pPr>
        <w:pStyle w:val="BookText"/>
        <w:rPr/>
      </w:pPr>
      <w:r>
        <w:rPr>
          <w:rFonts w:ascii="IRNazanin" w:hAnsi="IRNazanin" w:eastAsia="IRNazanin"/>
          <w:color w:val="111111"/>
          <w:sz w:val="28"/>
          <w:sz w:val="28"/>
          <w:szCs w:val="28"/>
          <w:rtl w:val="true"/>
          <w:lang w:bidi="fa-IR"/>
        </w:rPr>
        <w:t>فی بعض الأمور الجدیرة بالذکر</w:t>
      </w:r>
      <w:r>
        <w:rPr>
          <w:rFonts w:eastAsia="IRNazanin" w:cs="IRNazanin"/>
          <w:color w:val="111111"/>
          <w:sz w:val="28"/>
          <w:szCs w:val="28"/>
          <w:rtl w:val="true"/>
          <w:lang w:bidi="fa-IR"/>
        </w:rPr>
        <w:t>:</w:t>
      </w:r>
    </w:p>
    <w:p>
      <w:pPr>
        <w:pStyle w:val="Heading5"/>
        <w:numPr>
          <w:ilvl w:val="4"/>
          <w:numId w:val="1"/>
        </w:numPr>
        <w:rPr/>
      </w:pPr>
      <w:bookmarkStart w:id="702" w:name="__RefHeading___Toc624767_3244359995"/>
      <w:bookmarkStart w:id="703" w:name="_Toc263"/>
      <w:bookmarkEnd w:id="702"/>
      <w:r>
        <w:rPr>
          <w:rtl w:val="true"/>
        </w:rPr>
        <w:t>الأمر الأوّل</w:t>
      </w:r>
      <w:r>
        <w:rPr>
          <w:rtl w:val="true"/>
        </w:rPr>
        <w:t xml:space="preserve">: </w:t>
      </w:r>
      <w:r>
        <w:rPr>
          <w:rtl w:val="true"/>
        </w:rPr>
        <w:t>فی إشارة لموضوع علم الأصول و شموله لخبر الواحد</w:t>
      </w:r>
      <w:bookmarkEnd w:id="703"/>
    </w:p>
    <w:p>
      <w:pPr>
        <w:pStyle w:val="BookText"/>
        <w:rPr/>
      </w:pPr>
      <w:r>
        <w:rPr>
          <w:rFonts w:ascii="IRNazanin" w:hAnsi="IRNazanin" w:eastAsia="IRNazanin"/>
          <w:color w:val="111111"/>
          <w:sz w:val="28"/>
          <w:sz w:val="28"/>
          <w:szCs w:val="28"/>
          <w:rtl w:val="true"/>
          <w:lang w:bidi="fa-IR"/>
        </w:rPr>
        <w:t>کان المعروف بین الأعلام، أنّ موضوع هذا العلم هو الأدلّة الأربعة</w:t>
      </w:r>
      <w:r>
        <w:rPr>
          <w:rStyle w:val="FootnoteAnchor"/>
          <w:rtl w:val="true"/>
        </w:rPr>
        <w:footnoteReference w:id="793"/>
      </w:r>
      <w:r>
        <w:rPr>
          <w:rFonts w:ascii="IRNazanin" w:hAnsi="IRNazanin" w:eastAsia="IRNazanin"/>
          <w:color w:val="111111"/>
          <w:sz w:val="28"/>
          <w:sz w:val="28"/>
          <w:szCs w:val="28"/>
          <w:rtl w:val="true"/>
          <w:lang w:bidi="fa-IR"/>
        </w:rPr>
        <w:t xml:space="preserve">، و لمّا توجّهوا إلی خروج کثیر من مباحث العلم عنه، بل لا یبقی تحته إلاّ مسألة التعادل و الترجیح، عدل العلاّمة الأصفهانیّ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ذوات الأدلّة</w:t>
      </w:r>
      <w:r>
        <w:rPr>
          <w:rStyle w:val="FootnoteAnchor"/>
          <w:rtl w:val="true"/>
        </w:rPr>
        <w:footnoteReference w:id="794"/>
      </w:r>
      <w:r>
        <w:rPr>
          <w:rFonts w:ascii="IRNazanin" w:hAnsi="IRNazanin" w:eastAsia="IRNazanin"/>
          <w:color w:val="111111"/>
          <w:sz w:val="28"/>
          <w:sz w:val="28"/>
          <w:szCs w:val="28"/>
          <w:rtl w:val="true"/>
          <w:lang w:bidi="fa-IR"/>
        </w:rPr>
        <w:t>، ضرورة أنّ کثیرا منها تندرج بذلک فیه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جمعا منها کمسألة حجّیة خبر الواحد و الإجماع و الشهرة، خارجة عنه، لأنّ البحث فیها یعدّ من المبادئ التصدیقیّة، کما کانت کذلک قبل التصرّف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توجّه الشیخ رحمه اللَّه إلی هذه المشکلة، عدل إلی أنّ البحث عن السنّة و عوارضها، یشمل البحث عن خبر الواحد و غیره، ضرورة أنّ الکلام هنا حول أنّ السنّة، هل تثبت به، أم لا؟</w:t>
      </w:r>
    </w:p>
    <w:p>
      <w:pPr>
        <w:pStyle w:val="BookText"/>
        <w:rPr/>
      </w:pPr>
      <w:r>
        <w:rPr>
          <w:rFonts w:ascii="IRNazanin" w:hAnsi="IRNazanin" w:eastAsia="IRNazanin"/>
          <w:color w:val="111111"/>
          <w:sz w:val="28"/>
          <w:sz w:val="28"/>
          <w:szCs w:val="28"/>
          <w:rtl w:val="true"/>
          <w:lang w:bidi="fa-IR"/>
        </w:rPr>
        <w:t>و حیث التفت جمع إلی أنّ السنّة الواقعیّة، لیست تثبت بالخبر</w:t>
      </w:r>
      <w:r>
        <w:rPr>
          <w:rStyle w:val="FootnoteAnchor"/>
          <w:rtl w:val="true"/>
        </w:rPr>
        <w:footnoteReference w:id="795"/>
      </w:r>
      <w:r>
        <w:rPr>
          <w:rFonts w:ascii="IRNazanin" w:hAnsi="IRNazanin" w:eastAsia="IRNazanin"/>
          <w:color w:val="111111"/>
          <w:sz w:val="28"/>
          <w:sz w:val="28"/>
          <w:szCs w:val="28"/>
          <w:rtl w:val="true"/>
          <w:lang w:bidi="fa-IR"/>
        </w:rPr>
        <w:t>، و لا یعقل، و السنّة التعبّدیة لا واقعیّة مفروغ عنها لها، حتّی تکون محفوظة فی المقام، فیکون البحث فی الحقیقة راجعا إلی أنّ الشرع، هل تعبّدنا باتباع الخبر، أم لا، أو أنّه هل نزّل الخبر منزلة السنّة الواقعیّة، أم لا؟ و هذا لا یفیدنا لحلّ المشکلة مع أنّ حدیث التنزیل، لا أساس له فی باب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لا أساس له بعد الورود فی البحث، لا ینافی کونه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الخبر و السنّة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الواقعیّة فی مورد الخبر</w:t>
      </w:r>
      <w:r>
        <w:rPr>
          <w:rStyle w:val="FootnoteAnchor"/>
          <w:rtl w:val="true"/>
        </w:rPr>
        <w:footnoteReference w:id="796"/>
      </w:r>
      <w:r>
        <w:rPr>
          <w:rFonts w:ascii="IRNazanin" w:hAnsi="IRNazanin" w:eastAsia="IRNazanin"/>
          <w:color w:val="111111"/>
          <w:sz w:val="28"/>
          <w:sz w:val="28"/>
          <w:szCs w:val="28"/>
          <w:rtl w:val="true"/>
          <w:lang w:bidi="fa-IR"/>
        </w:rPr>
        <w:t>، إمّا تکون موجودة، فتثبت حجّیتها بالخبر، و إن کانت معدومة فلا حجّیة للخبر إلاّ توهّما، لأنّ الخبر حجّیته طریقیّة إلی السنّة، و لیست موضوعیّة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هذه التشبّثات الباردة، خارجة عن الجهة المبحوث عنها فی المسألة، و غیر تامّة فی ذاتها، کما لا یخفی علی أهلها، عدل جمع إلی أنّ موضوع العلم، ما یمکن أن یقع نتیجة المسألة فی طریق الاستنباط</w:t>
      </w:r>
      <w:r>
        <w:rPr>
          <w:rStyle w:val="FootnoteAnchor"/>
          <w:rtl w:val="true"/>
        </w:rPr>
        <w:footnoteReference w:id="798"/>
      </w:r>
      <w:r>
        <w:rPr>
          <w:rFonts w:ascii="IRNazanin" w:hAnsi="IRNazanin" w:eastAsia="IRNazanin"/>
          <w:color w:val="111111"/>
          <w:sz w:val="28"/>
          <w:sz w:val="28"/>
          <w:szCs w:val="28"/>
          <w:rtl w:val="true"/>
          <w:lang w:bidi="fa-IR"/>
        </w:rPr>
        <w:t xml:space="preserve">، و منهم العلاّمة الخراسانیّ </w:t>
      </w:r>
      <w:r>
        <w:rPr>
          <w:rStyle w:val="FootnoteAnchor"/>
          <w:rtl w:val="true"/>
        </w:rPr>
        <w:footnoteReference w:id="799"/>
      </w:r>
      <w:r>
        <w:rPr>
          <w:rFonts w:ascii="IRNazanin" w:hAnsi="IRNazanin" w:eastAsia="IRNazanin"/>
          <w:color w:val="111111"/>
          <w:sz w:val="28"/>
          <w:sz w:val="28"/>
          <w:szCs w:val="28"/>
          <w:rtl w:val="true"/>
          <w:lang w:bidi="fa-IR"/>
        </w:rPr>
        <w:t xml:space="preserve">و تبعه الآخرون بتغییر الألفاظ،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کون المسألة کبری قیاس الاستنباط</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قواعد ممهّدة لکشف حال الأحکام الواقعیّة</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یتوجّه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مرّ بتفصیل فی محلّه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جمعا من المسائل اللغویّة، تکون دخیلة فی الاستنباط و فی الکشف، بل تصیر کبری القیاس مع الواسطة، و فی المسائل الأصولیّة ما لا تکون دخیلة و کبری إلاّ مع الواسطة، عدل عن ذلک جمع إلی أنّ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موضوع لها، و لا حاجة إلیه </w:t>
      </w:r>
      <w:r>
        <w:rPr>
          <w:rStyle w:val="FootnoteAnchor"/>
          <w:rtl w:val="true"/>
        </w:rPr>
        <w:footnoteReference w:id="803"/>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إنکار احتیاج کثیر من العلوم إلی الموضوعات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إنکار العلوم کلّها إلیها، و إلی امتناع الموضوع </w:t>
      </w:r>
      <w:r>
        <w:rPr>
          <w:rStyle w:val="FootnoteAnchor"/>
          <w:rtl w:val="true"/>
        </w:rPr>
        <w:footnoteReference w:id="806"/>
      </w:r>
      <w:r>
        <w:rPr>
          <w:rFonts w:ascii="IRNazanin" w:hAnsi="IRNazanin" w:eastAsia="IRNazanin"/>
          <w:color w:val="111111"/>
          <w:sz w:val="28"/>
          <w:sz w:val="28"/>
          <w:szCs w:val="28"/>
          <w:rtl w:val="true"/>
          <w:lang w:bidi="fa-IR"/>
        </w:rPr>
        <w:t>، کما توجد بعض البراهین علی امتناعه فی خلال کلمات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کان المعروف وجود الموضوع، و لم یتمکّن القوم من تصویر الموضوع الجامع المانع، و لا سیّما فی علم الأصول، تصدی الأستاذ البروجردیّ قدس سره لحلّ المشکلة عن طریق آخر، ینتهی إلی أنّ ما هو الموضوع هی الحجّة فی الفقه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منتقلا إلی هذا قبل انتقال السیّد رحمه اللَّه إلی قم المشرّفة</w:t>
      </w:r>
      <w:r>
        <w:rPr>
          <w:rStyle w:val="FootnoteAnchor"/>
          <w:rtl w:val="true"/>
        </w:rPr>
        <w:footnoteReference w:id="809"/>
      </w:r>
      <w:r>
        <w:rPr>
          <w:rFonts w:ascii="IRNazanin" w:hAnsi="IRNazanin" w:eastAsia="IRNazanin"/>
          <w:color w:val="111111"/>
          <w:sz w:val="28"/>
          <w:sz w:val="28"/>
          <w:szCs w:val="28"/>
          <w:rtl w:val="true"/>
          <w:lang w:bidi="fa-IR"/>
        </w:rPr>
        <w:t>، و کان سبب اختیاره أنّ موضوع علم الأصول هی الحجّة فی الفقه، ما فی بعض الکتب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موضوع علم الفلسفة هو الوجود، فکیف یکون</w:t>
      </w:r>
    </w:p>
    <w:p>
      <w:pPr>
        <w:pStyle w:val="BookText"/>
        <w:rPr/>
      </w:pPr>
      <w:r>
        <w:rPr>
          <w:rFonts w:ascii="IRNazanin" w:hAnsi="IRNazanin" w:eastAsia="IRNazanin"/>
          <w:color w:val="111111"/>
          <w:sz w:val="28"/>
          <w:sz w:val="28"/>
          <w:szCs w:val="28"/>
          <w:rtl w:val="true"/>
          <w:lang w:bidi="fa-IR"/>
        </w:rPr>
        <w:t>محمولا فی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هو الموضوع فی الحقیقة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أنّ الوجود جسم، و أنّ الوجود یتشأّن بتلک الشئون، فیکون البحث عن عوارض الوجود</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تنحلّ معضلة القاعدة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یبتنی القول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مصطلحات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ما هو المحمول فی قضایا الأصول، هو الموضوع فی الحقیقة، لأنّ الأصولیّ یبحث عن مصادیق الحجّة، و یفحص عنها، و عن شئون تلک الحجّة الکلّیة المفهومیّة الاعتباریّة، بخلاف ما فی الکتب العقلیّة فإنّه واقعیّ،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تنحلّ المعضلات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القواعد الفقهیّة، و کثیرا من البحوث اللغویّة، من الحجج فی الفقه، و علی المسائل الفرعیّة، ضرورة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یصحّ الاحتجاج به لإثبات الحکم الشرعیّ و إسقاطه، حتّی تشمل جمیع مسائل العلم، و عندئذٍ یلزم عدم مانعیّته لکثیر من الحجج الفقهیّة، و لو عبّر أستاذنا رحمه اللَّه عن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جامع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حقیقته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العلوم و منها علم الأصول، لیس مقابل المحمول، و لا جامع المحمولات، بل موضوع العلم اللازم فی العلوم، هو المعنی الموجود المرتبطة به المسائل المتشتّتة المتباینة موضوعا و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المعنی لیس واحدا شخصیّا، و لا موجودا یعبّر عنه بعناوین بسیطة، أو مرکّبة، و ذلک المعنی لیس الغرض، و لا الأثر، لأنّهما متأخّران عنه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أمر موجود، کامن مستتر فی ذوات المسائل، موجب لتعدّد العلوم</w:t>
      </w:r>
      <w:bookmarkStart w:id="704" w:name="pg13170_166554"/>
    </w:p>
    <w:p>
      <w:pPr>
        <w:pStyle w:val="BookText"/>
        <w:rPr/>
      </w:pPr>
      <w:bookmarkEnd w:id="704"/>
      <w:r>
        <w:rPr>
          <w:rFonts w:ascii="IRNazanin" w:hAnsi="IRNazanin" w:eastAsia="IRNazanin"/>
          <w:color w:val="111111"/>
          <w:sz w:val="28"/>
          <w:sz w:val="28"/>
          <w:szCs w:val="28"/>
          <w:rtl w:val="true"/>
          <w:lang w:bidi="fa-IR"/>
        </w:rPr>
        <w:t>طبعا، و لارتباط المسائل المتفرّقة المجتمعة فی العلم قهرا، و هذه السنخیّة الخاصّة بین المسائل هی موضوع کلّ علم، و هو حاصل بینها، مختفٍ و محجوب بالمسائل، و موجود بموجودیّتها</w:t>
      </w:r>
      <w:r>
        <w:rPr>
          <w:rStyle w:val="FootnoteAnchor"/>
          <w:rtl w:val="true"/>
        </w:rPr>
        <w:footnoteReference w:id="812"/>
      </w:r>
      <w:r>
        <w:rPr>
          <w:rFonts w:ascii="IRNazanin" w:hAnsi="IRNazanin" w:eastAsia="IRNazanin"/>
          <w:color w:val="111111"/>
          <w:sz w:val="28"/>
          <w:sz w:val="28"/>
          <w:szCs w:val="28"/>
          <w:rtl w:val="true"/>
          <w:lang w:bidi="fa-IR"/>
        </w:rPr>
        <w:t>، و لو لا ذلک المعنی، لکانت العلوم یتداخل بعضها فی بعض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ترجمة ما فی الکتب القدیمة الیونانیة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موضوع کلّ علم، لا بدّ و أن یکون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ترجمة تامّة، و لذلک وقع القوم فی تشخیصه صرعی و سکاری، و أخذ کلّ من معضلات المسألة مهربا و مفرّا، و اللَّه هادی السبیل</w:t>
      </w:r>
      <w:r>
        <w:rPr>
          <w:rFonts w:eastAsia="IRNazanin" w:cs="IRNazanin"/>
          <w:color w:val="111111"/>
          <w:sz w:val="28"/>
          <w:szCs w:val="28"/>
          <w:rtl w:val="true"/>
          <w:lang w:bidi="fa-IR"/>
        </w:rPr>
        <w:t>.</w:t>
      </w:r>
    </w:p>
    <w:p>
      <w:pPr>
        <w:pStyle w:val="Heading5"/>
        <w:numPr>
          <w:ilvl w:val="4"/>
          <w:numId w:val="1"/>
        </w:numPr>
        <w:rPr/>
      </w:pPr>
      <w:bookmarkStart w:id="705" w:name="__RefHeading___Toc624769_3244359995"/>
      <w:bookmarkStart w:id="706" w:name="_Toc264"/>
      <w:bookmarkEnd w:id="705"/>
      <w:r>
        <w:rPr>
          <w:rtl w:val="true"/>
        </w:rPr>
        <w:t>الأمر الثانی</w:t>
      </w:r>
      <w:r>
        <w:rPr>
          <w:rtl w:val="true"/>
        </w:rPr>
        <w:t xml:space="preserve">: </w:t>
      </w:r>
      <w:r>
        <w:rPr>
          <w:rtl w:val="true"/>
        </w:rPr>
        <w:t>حول أصل الصدور و جهته و تشخیص الظهور و أصالته</w:t>
      </w:r>
      <w:bookmarkEnd w:id="706"/>
    </w:p>
    <w:p>
      <w:pPr>
        <w:pStyle w:val="BookText"/>
        <w:rPr/>
      </w:pPr>
      <w:r>
        <w:rPr>
          <w:rFonts w:ascii="IRNazanin" w:hAnsi="IRNazanin" w:eastAsia="IRNazanin"/>
          <w:color w:val="111111"/>
          <w:sz w:val="28"/>
          <w:sz w:val="28"/>
          <w:szCs w:val="28"/>
          <w:rtl w:val="true"/>
          <w:lang w:bidi="fa-IR"/>
        </w:rPr>
        <w:t>قد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إثبات الحکم الشرعیّ بالخبر الواحد، یتوقّف علی أربعة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الصدور، و جهة الصدور، و تشخیص الظهور، و 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لمکان فساده لا بدّ من الإشارة إلیه، ضرورة أنّ جهة الصدور، لیست إلاّ کون الکلام مرادا، و کون المراد الاستعمالیّ عین المراد الجدّی، و هو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فی کلماتهم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إثبات الحکم الشرعیّ علی أصل الصدور، و تشخیص الظهور، و المراد الاستعمالیّ، ثمّ بعد ذلک کشف کونه مطابقا للجدّ، قبال ما إذا لم یکن مطابقا له قطعا، کما إذا علمنا أنّه صدر عن تقیّة، أو کان فی کلامه قرینة علی خلافه، کما فی العامّ المتعقّب بالمخصّص، و فی المطلق بعد التقیید، فإنّ الکلّ من</w:t>
      </w:r>
      <w:bookmarkStart w:id="707" w:name="pg13170_166555"/>
    </w:p>
    <w:p>
      <w:pPr>
        <w:pStyle w:val="BookText"/>
        <w:rPr/>
      </w:pPr>
      <w:bookmarkEnd w:id="707"/>
      <w:r>
        <w:rPr>
          <w:rFonts w:ascii="IRNazanin" w:hAnsi="IRNazanin" w:eastAsia="IRNazanin"/>
          <w:color w:val="111111"/>
          <w:sz w:val="28"/>
          <w:sz w:val="28"/>
          <w:szCs w:val="28"/>
          <w:rtl w:val="true"/>
          <w:lang w:bidi="fa-IR"/>
        </w:rPr>
        <w:t>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إنّه مع کونه مطابقا للجدّ حسب الأصول العقلائیّة، یمکن أن لا یکون حجّة ممضاة، فلا بدّ من إثبات حجّیة الظهور، و لذلک ذکرنا أنّه فی هذا التقریب، یکون البحث عن حجّیة الظهور کبرویّا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تبیّن ذلک، و تبیّن سابقا تمام البحث حول تشخیص الظاهر، و حجّیة الظهور</w:t>
      </w:r>
      <w:r>
        <w:rPr>
          <w:rStyle w:val="FootnoteAnchor"/>
          <w:rtl w:val="true"/>
        </w:rPr>
        <w:footnoteReference w:id="815"/>
      </w:r>
      <w:r>
        <w:rPr>
          <w:rFonts w:ascii="IRNazanin" w:hAnsi="IRNazanin" w:eastAsia="IRNazanin"/>
          <w:color w:val="111111"/>
          <w:sz w:val="28"/>
          <w:sz w:val="28"/>
          <w:szCs w:val="28"/>
          <w:rtl w:val="true"/>
          <w:lang w:bidi="fa-IR"/>
        </w:rPr>
        <w:t>، فلا معنی لعقد البحث عن جهة الصدور، لأنّه لیس بحثا مستقلا، فما فی کتب القوم من انتظام البحث عنه علی حدة</w:t>
      </w:r>
      <w:r>
        <w:rPr>
          <w:rStyle w:val="FootnoteAnchor"/>
          <w:rtl w:val="true"/>
        </w:rPr>
        <w:footnoteReference w:id="816"/>
      </w:r>
      <w:r>
        <w:rPr>
          <w:rFonts w:ascii="IRNazanin" w:hAnsi="IRNazanin" w:eastAsia="IRNazanin"/>
          <w:color w:val="111111"/>
          <w:sz w:val="28"/>
          <w:sz w:val="28"/>
          <w:szCs w:val="28"/>
          <w:rtl w:val="true"/>
          <w:lang w:bidi="fa-IR"/>
        </w:rPr>
        <w:t>، ناش عن الغفلة عن حقیقة الأمر، و هذا یؤیّد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فینحصر البحث الأخیر فی حجّیة خبر الواحد صدورا، و أنّ ما یکون دلیلا علی الصدور تامّ، أم لا</w:t>
      </w:r>
      <w:r>
        <w:rPr>
          <w:rFonts w:eastAsia="IRNazanin" w:cs="IRNazanin"/>
          <w:color w:val="111111"/>
          <w:sz w:val="28"/>
          <w:szCs w:val="28"/>
          <w:rtl w:val="true"/>
          <w:lang w:bidi="fa-IR"/>
        </w:rPr>
        <w:t>.</w:t>
      </w:r>
    </w:p>
    <w:p>
      <w:pPr>
        <w:pStyle w:val="Heading5"/>
        <w:numPr>
          <w:ilvl w:val="4"/>
          <w:numId w:val="1"/>
        </w:numPr>
        <w:rPr/>
      </w:pPr>
      <w:bookmarkStart w:id="708" w:name="__RefHeading___Toc624771_3244359995"/>
      <w:bookmarkStart w:id="709" w:name="_Toc265"/>
      <w:bookmarkEnd w:id="708"/>
      <w:r>
        <w:rPr>
          <w:rtl w:val="true"/>
        </w:rPr>
        <w:t>الأمر الثالث</w:t>
      </w:r>
      <w:r>
        <w:rPr>
          <w:rtl w:val="true"/>
        </w:rPr>
        <w:t xml:space="preserve">: </w:t>
      </w:r>
      <w:r>
        <w:rPr>
          <w:rtl w:val="true"/>
        </w:rPr>
        <w:t>فی أنّ بحث حجّیة الخبر قلیل الجدوی</w:t>
      </w:r>
      <w:bookmarkEnd w:id="70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البحث فی حجّیة الخبر الواحد من أهمّ المباحث، لأنّ الفقه مرهون به، و لا بحث أکثر أثرا و أعلی نفعا من البحث عن أصل الصدور، و حجّیة الصادر، و لأجل ذلک لا بدّ من الغور فی الأدلّة اللفظیّة من الکتاب و السنّة، و الغور فی الأدلّة المانعة عنه کتابا و سنّة، و إلاّ یلزم اختلال أمر الفقیه، و سقوط الفقه و فقه الإسلام و فقهنا</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حجّیة الخبر الواحد فی الأعمّ من الأحکام و الموضوعات، یکون کثیر الفائدة جدّاً، لکثرة الابتلاء بالخبر الواحد فی الموضوعات، کما هو الواضح، و لعدم تنقیح المسألة من هذه الجهة حقّه، و لذلک تری أنّهم فی هذه المسألة، واقعون فی المشکلة و یحتاطون، و لازم ذلک الابتلاء الکثیر فی کثیر من المسائل، من أوّل الفقه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البحث مقصوراً فی حجّیة الخبر الواحد فی الأحکام، کما هو ظاهر الأعلام </w:t>
      </w:r>
      <w:r>
        <w:rPr>
          <w:rStyle w:val="FootnoteAnchor"/>
          <w:rtl w:val="true"/>
        </w:rPr>
        <w:footnoteReference w:id="818"/>
      </w:r>
      <w:r>
        <w:rPr>
          <w:rFonts w:ascii="IRNazanin" w:hAnsi="IRNazanin" w:eastAsia="IRNazanin"/>
          <w:color w:val="111111"/>
          <w:sz w:val="28"/>
          <w:sz w:val="28"/>
          <w:szCs w:val="28"/>
          <w:rtl w:val="true"/>
          <w:lang w:bidi="fa-IR"/>
        </w:rPr>
        <w:t xml:space="preserve">، أو کان النّظر إلی أنّه بحث کثیر النّفع فی الفقه، کما هو صریحهم </w:t>
      </w:r>
      <w:r>
        <w:rPr>
          <w:rStyle w:val="FootnoteAnchor"/>
          <w:rtl w:val="true"/>
        </w:rPr>
        <w:footnoteReference w:id="819"/>
      </w:r>
      <w:r>
        <w:rPr>
          <w:rFonts w:ascii="IRNazanin" w:hAnsi="IRNazanin" w:eastAsia="IRNazanin"/>
          <w:color w:val="111111"/>
          <w:sz w:val="28"/>
          <w:sz w:val="28"/>
          <w:szCs w:val="28"/>
          <w:rtl w:val="true"/>
          <w:lang w:bidi="fa-IR"/>
        </w:rPr>
        <w:t>، فهو من الاشتباه الواضح، و ذلک 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بل المجمع علیه، حجّیة الخبر الواحد المقرون بالقرینة</w:t>
      </w:r>
      <w:r>
        <w:rPr>
          <w:rStyle w:val="FootnoteAnchor"/>
          <w:rtl w:val="true"/>
        </w:rPr>
        <w:footnoteReference w:id="820"/>
      </w:r>
      <w:r>
        <w:rPr>
          <w:rFonts w:ascii="Amiri" w:hAnsi="Amiri" w:eastAsia="Amiri" w:cs="Amiri"/>
          <w:color w:val="111111"/>
          <w:sz w:val="28"/>
          <w:sz w:val="28"/>
          <w:szCs w:val="28"/>
          <w:rtl w:val="true"/>
          <w:lang w:bidi="ar-SA"/>
        </w:rPr>
        <w:t>، ضرورة أنّ خلاف السیّد</w:t>
      </w:r>
      <w:r>
        <w:rPr>
          <w:rStyle w:val="FootnoteAnchor"/>
          <w:rtl w:val="true"/>
        </w:rPr>
        <w:footnoteReference w:id="821"/>
      </w:r>
      <w:r>
        <w:rPr>
          <w:rFonts w:ascii="IRNazanin" w:hAnsi="IRNazanin" w:eastAsia="IRNazanin"/>
          <w:color w:val="111111"/>
          <w:sz w:val="28"/>
          <w:sz w:val="28"/>
          <w:szCs w:val="28"/>
          <w:rtl w:val="true"/>
          <w:lang w:bidi="fa-IR"/>
        </w:rPr>
        <w:t xml:space="preserve">و الشیخ </w:t>
      </w:r>
      <w:r>
        <w:rPr>
          <w:rStyle w:val="FootnoteAnchor"/>
          <w:rtl w:val="true"/>
        </w:rPr>
        <w:footnoteReference w:id="822"/>
      </w:r>
      <w:r>
        <w:rPr>
          <w:rFonts w:ascii="IRNazanin" w:hAnsi="IRNazanin" w:eastAsia="IRNazanin"/>
          <w:color w:val="111111"/>
          <w:sz w:val="28"/>
          <w:sz w:val="28"/>
          <w:szCs w:val="28"/>
          <w:rtl w:val="true"/>
          <w:lang w:bidi="fa-IR"/>
        </w:rPr>
        <w:t xml:space="preserve">فی غیر المقرون بها، و من الواضح أنّ الراجع إلی أخبار الفقه، لا یجد فی الفقه، إلاّ و فی کلّ مسألة خبران أو أکثر، و تکون تلک الأخبار مورد الإفتاء إلاّ شاذّا و نادرا، و ما هو المعرض عنه من الأخبار لیس بحجّة کما عرفت، سواء کان الخبر الواحد حجّة، أو لم یکن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الواحد الّذی هو مورد الخلاف بیننا، لیس مطلق الخبر الواحد، و ما هو مورد الخلاف بیننا قلیل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المسلمین الحشویّة القائلون بعدم الحجّیة مطلقا</w:t>
      </w:r>
      <w:r>
        <w:rPr>
          <w:rStyle w:val="FootnoteAnchor"/>
          <w:rtl w:val="true"/>
        </w:rPr>
        <w:footnoteReference w:id="824"/>
      </w:r>
      <w:r>
        <w:rPr>
          <w:rFonts w:ascii="IRNazanin" w:hAnsi="IRNazanin" w:eastAsia="IRNazanin"/>
          <w:color w:val="111111"/>
          <w:sz w:val="28"/>
          <w:sz w:val="28"/>
          <w:szCs w:val="28"/>
          <w:rtl w:val="true"/>
          <w:lang w:bidi="fa-IR"/>
        </w:rPr>
        <w:t>، و لکنّهم أباطیل العقیدة و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 قلیلا ما یوجد فی زماننا من یدّعی فرضا عدم حجّیة الخبر الواحد، و یقف فی الفقه فی قبال القوم، و یتردّد لأجل الشکّ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أنّا لا نتمسّک بالإجماع، بل نظرنا إلی أنّ جلّ الأخبار من المقرون بالقرائن، و لا یوجد لمسألة فرعیّة خبر واحد فقط إلاّ شاذّا، و إذا کان هو مورد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الکثیر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عملهم بحکم القرینة القویمة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الأخبار فی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النّظر فی تاریخ حیاة المؤلّفین، و اهتمامهم بضبط الأخبار الصحیحة، حسب نظراتهم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القرائن العامّة علی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ذهاب جلّ الأخباریّین إلی قطعیّة الصدور</w:t>
      </w:r>
      <w:r>
        <w:rPr>
          <w:rStyle w:val="FootnoteAnchor"/>
          <w:rtl w:val="true"/>
        </w:rPr>
        <w:footnoteReference w:id="825"/>
      </w:r>
      <w:r>
        <w:rPr>
          <w:rFonts w:ascii="IRNazanin" w:hAnsi="IRNazanin" w:eastAsia="IRNazanin"/>
          <w:color w:val="111111"/>
          <w:sz w:val="28"/>
          <w:sz w:val="28"/>
          <w:szCs w:val="28"/>
          <w:rtl w:val="true"/>
          <w:lang w:bidi="fa-IR"/>
        </w:rPr>
        <w:t xml:space="preserve">، یؤیّد أن لا ینکر الأصولیّ حجّیة الخبر الصحیح السند الموجود فیها، و لا سیّما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فی عصر الغیبة الصغری، الممکن ردعه عجّل اللَّه تعالی فرجه عنه بتوسیط السفراء، فإنّه و إن لا یکون دلیلا علی شی‌ء، لاشتمال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علی الأخبار الضعیفة جدّاً، و لکنّه یوجب الوثوق و الاطمئنان النوعیّ بما فیه من الأخبار الصحیحة، و لو کانت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لکلّ متدبّر فی الفقه، الوثوق الشخصیّ بصدور الأخبار الصحیحة الموجودة فی تلک الکتب، لأنّه بعد التدبّر فیها، و فی تاریخ حیاة المؤلّفین، و فی کونها مورد الإفتاء، و معمولا بها، لا یشکّ إلاّ الشواذ من الأمّة و الناس</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وجود الإجماع الحجّة علی حجّیة خبر</w:t>
      </w:r>
    </w:p>
    <w:p>
      <w:pPr>
        <w:pStyle w:val="BookText"/>
        <w:rPr/>
      </w:pPr>
      <w:r>
        <w:rPr>
          <w:rFonts w:ascii="IRNazanin" w:hAnsi="IRNazanin" w:eastAsia="IRNazanin"/>
          <w:color w:val="111111"/>
          <w:sz w:val="28"/>
          <w:sz w:val="28"/>
          <w:szCs w:val="28"/>
          <w:rtl w:val="true"/>
          <w:lang w:bidi="fa-IR"/>
        </w:rPr>
        <w:t>الواحد المقرون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السیّد یذهب إلی عدم حجّیته مطلقا</w:t>
      </w:r>
      <w:r>
        <w:rPr>
          <w:rStyle w:val="FootnoteAnchor"/>
          <w:rtl w:val="true"/>
        </w:rPr>
        <w:footnoteReference w:id="826"/>
      </w:r>
      <w:r>
        <w:rPr>
          <w:rFonts w:ascii="IRNazanin" w:hAnsi="IRNazanin" w:eastAsia="IRNazanin"/>
          <w:color w:val="111111"/>
          <w:sz w:val="28"/>
          <w:sz w:val="28"/>
          <w:szCs w:val="28"/>
          <w:rtl w:val="true"/>
          <w:lang w:bidi="fa-IR"/>
        </w:rPr>
        <w:t xml:space="preserve">، أو ابن إدریس یذهب إلیه </w:t>
      </w:r>
      <w:r>
        <w:rPr>
          <w:rStyle w:val="FootnoteAnchor"/>
          <w:rtl w:val="true"/>
        </w:rPr>
        <w:footnoteReference w:id="827"/>
      </w:r>
      <w:r>
        <w:rPr>
          <w:rFonts w:ascii="IRNazanin" w:hAnsi="IRNazanin" w:eastAsia="IRNazanin"/>
          <w:color w:val="111111"/>
          <w:sz w:val="28"/>
          <w:sz w:val="28"/>
          <w:szCs w:val="28"/>
          <w:rtl w:val="true"/>
          <w:lang w:bidi="fa-IR"/>
        </w:rPr>
        <w:t>، فی غیر محلّه، لما نجد أنّ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یسلکان فی الفقه مسالک جدیدة إلاّ نادرا، و قلّما یتّفق أن یکون ذلک، لکون الموجود فیما بین أیدیهما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حجّیة الخبر الواحد الموجود فی الکتب الأربعة، المفتی به إجمالا فی الکتب الاستدلالیّة، أمر مفروغ منها فی الفقه، و لا تحتاج إلی زیادة الاستدلال، و إقامة البرهان، و لا سیّما بعد اعتضاد الشهرة القدیمة بالشهرات، بل و الإجماعات فی العصور المتتالیة إلی عصرنا، و قد أصبحت المسألة کالنار علی المنار، و کالشمس فی رابعة النهار، فهل تری فی الغور فی هذه المسألة، فائدة و نفعا أصلا إلاّ شاذّا و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ما فی الکتب الأربعة، من الضروریّات الأوّلیة فی الفقه، و لیست ممّا تقوم علیها الأدلّة، کالسیرة، أو بناء العقلاء، لما لا شکّ فیها، بل ما فیها ممّا کان یعمل بها قبل انضباطها فی تلک الکتب، و قبل أن یؤلّف المؤلّفون شیئا، ففرق بین قطعیّة الصدور، و بین حجّیة الصادر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تبقی المسألة ذات الشبهة و التردّد إلاّ بحسب البحث الکبرویّ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الأدلّة الناهیة کتابا</w:t>
      </w:r>
      <w:r>
        <w:rPr>
          <w:rStyle w:val="FootnoteAnchor"/>
          <w:rtl w:val="true"/>
        </w:rPr>
        <w:footnoteReference w:id="828"/>
      </w:r>
      <w:r>
        <w:rPr>
          <w:rFonts w:ascii="Amiri" w:hAnsi="Amiri" w:eastAsia="Amiri" w:cs="Amiri"/>
          <w:color w:val="111111"/>
          <w:sz w:val="28"/>
          <w:sz w:val="28"/>
          <w:szCs w:val="28"/>
          <w:rtl w:val="true"/>
          <w:lang w:bidi="ar-SA"/>
        </w:rPr>
        <w:t>و سنّة</w:t>
      </w:r>
      <w:r>
        <w:rPr>
          <w:rStyle w:val="FootnoteAnchor"/>
          <w:rtl w:val="true"/>
        </w:rPr>
        <w:footnoteReference w:id="829"/>
      </w:r>
      <w:r>
        <w:rPr>
          <w:rFonts w:ascii="IRNazanin" w:hAnsi="IRNazanin" w:eastAsia="IRNazanin"/>
          <w:color w:val="111111"/>
          <w:sz w:val="28"/>
          <w:sz w:val="28"/>
          <w:szCs w:val="28"/>
          <w:rtl w:val="true"/>
          <w:lang w:bidi="fa-IR"/>
        </w:rPr>
        <w:t>تامّة الدلالة، لکانت خارجة عنها تلک الأخبار تخصیصا و تقییدا، أو انصرافا، أو کشفا عن وجود قید لها یورث صرفها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 الإجماع علی حجّیة ما فی الکتب </w:t>
      </w:r>
      <w:r>
        <w:rPr>
          <w:rStyle w:val="FootnoteAnchor"/>
          <w:rtl w:val="true"/>
        </w:rPr>
        <w:footnoteReference w:id="830"/>
      </w:r>
      <w:r>
        <w:rPr>
          <w:rFonts w:ascii="IRNazanin" w:hAnsi="IRNazanin" w:eastAsia="IRNazanin"/>
          <w:color w:val="111111"/>
          <w:sz w:val="28"/>
          <w:sz w:val="28"/>
          <w:szCs w:val="28"/>
          <w:rtl w:val="true"/>
          <w:lang w:bidi="fa-IR"/>
        </w:rPr>
        <w:t>غیر تامّ، لأنّه معلّل باختلاف المجمعین فی الآراء و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لأنّه لیس المدرک الإجماع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لم یکن الإجماع حجّة، تکون الأخبار فیها غیر حجّة، بل حجّیتها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الأخبار التی توجد أحیانا فی سائر الکتب إذا تمّت جهات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المؤلّف، و تواتر المؤلّف، أو الوثوق به علی وجه قویّ جدّاً حسب الموازین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خارجة عنها، و لکنّها قلیلة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فلها مماثل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المسندة الصحیح سندها، الموجودة فی الکتب الأربعة، لا تحتاج إلی إقامة الأدلّة اللفظیّة کتابا 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بعد اللتیّا و التی، لا بأس باتباع القوم بذکر الأدلّة الناهضة علی النهی عن العمل بالظنّ الخاصّ </w:t>
      </w:r>
      <w:r>
        <w:rPr>
          <w:rStyle w:val="FootnoteAnchor"/>
          <w:rtl w:val="true"/>
        </w:rPr>
        <w:footnoteReference w:id="831"/>
      </w:r>
      <w:r>
        <w:rPr>
          <w:rFonts w:ascii="IRNazanin" w:hAnsi="IRNazanin" w:eastAsia="IRNazanin"/>
          <w:color w:val="111111"/>
          <w:sz w:val="28"/>
          <w:sz w:val="28"/>
          <w:szCs w:val="28"/>
          <w:rtl w:val="true"/>
          <w:lang w:bidi="fa-IR"/>
        </w:rPr>
        <w:t xml:space="preserve">، ثمّ بعد ذلک نردفها بالأدلّة القائمة علی اتباع الخبر الواحد، إن شاء اللَّه تعالی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الأمور، فالبحث فی هذه المرحلة یقع فی موقفین</w:t>
      </w:r>
      <w:r>
        <w:rPr>
          <w:rFonts w:eastAsia="IRNazanin" w:cs="IRNazanin"/>
          <w:color w:val="111111"/>
          <w:sz w:val="28"/>
          <w:szCs w:val="28"/>
          <w:rtl w:val="true"/>
          <w:lang w:bidi="fa-IR"/>
        </w:rPr>
        <w:t>:</w:t>
      </w:r>
      <w:bookmarkStart w:id="710" w:name="pg13170_166560"/>
    </w:p>
    <w:p>
      <w:pPr>
        <w:pStyle w:val="Heading4"/>
        <w:numPr>
          <w:ilvl w:val="3"/>
          <w:numId w:val="1"/>
        </w:numPr>
        <w:rPr/>
      </w:pPr>
      <w:bookmarkStart w:id="711" w:name="__RefHeading___Toc624773_3244359995"/>
      <w:bookmarkStart w:id="712" w:name="_Toc266"/>
      <w:bookmarkEnd w:id="710"/>
      <w:bookmarkEnd w:id="711"/>
      <w:r>
        <w:rPr>
          <w:rtl w:val="true"/>
        </w:rPr>
        <w:t>الموقف الأوّل فی الأدلّة الناهیة عن اتباع الظنّ</w:t>
      </w:r>
      <w:bookmarkEnd w:id="712"/>
    </w:p>
    <w:p>
      <w:pPr>
        <w:pStyle w:val="Heading5"/>
        <w:numPr>
          <w:ilvl w:val="4"/>
          <w:numId w:val="1"/>
        </w:numPr>
        <w:rPr/>
      </w:pPr>
      <w:bookmarkStart w:id="713" w:name="__RefHeading___Toc624775_3244359995"/>
      <w:bookmarkStart w:id="714" w:name="_Toc267"/>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و هی وجوه</w:t>
      </w:r>
      <w:r>
        <w:rPr>
          <w:rFonts w:eastAsia="IRNazanin" w:cs="IRNazanin"/>
          <w:color w:val="111111"/>
          <w:sz w:val="28"/>
          <w:szCs w:val="28"/>
          <w:rtl w:val="true"/>
          <w:lang w:bidi="fa-IR"/>
        </w:rPr>
        <w:t>:</w:t>
      </w:r>
    </w:p>
    <w:p>
      <w:pPr>
        <w:pStyle w:val="Heading5"/>
        <w:numPr>
          <w:ilvl w:val="4"/>
          <w:numId w:val="1"/>
        </w:numPr>
        <w:rPr/>
      </w:pPr>
      <w:bookmarkStart w:id="715" w:name="__RefHeading___Toc624777_3244359995"/>
      <w:bookmarkStart w:id="716" w:name="_Toc268"/>
      <w:bookmarkEnd w:id="715"/>
      <w:r>
        <w:rPr>
          <w:rtl w:val="true"/>
        </w:rPr>
        <w:t>الوجه الأوّل</w:t>
      </w:r>
      <w:r>
        <w:rPr>
          <w:rtl w:val="true"/>
        </w:rPr>
        <w:t xml:space="preserve">: </w:t>
      </w:r>
      <w:r>
        <w:rPr>
          <w:rtl w:val="true"/>
        </w:rPr>
        <w:t>الآیات</w:t>
      </w:r>
      <w:bookmarkEnd w:id="716"/>
    </w:p>
    <w:p>
      <w:pPr>
        <w:pStyle w:val="Heading6"/>
        <w:numPr>
          <w:ilvl w:val="5"/>
          <w:numId w:val="1"/>
        </w:numPr>
        <w:rPr/>
      </w:pPr>
      <w:bookmarkStart w:id="717" w:name="__RefHeading___Toc624779_3244359995"/>
      <w:bookmarkStart w:id="718" w:name="_Toc269"/>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 فی مواقف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 وَ إِنْ هُمْ إِلَّا یَخْرُصُونَ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إِلَّا اتِّباعَ الظَّنِّ وَ ما قَتَلُوهُ یَقِیناً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حیث إنّ اتباع الخبر الواحد من اتباع الظنّ، و تکون الآیات فی مقام توبیخ الاتباع المزبور، تکون دالّة علی المطلوب مضافا إلی الکلّیة العامّة الشاملة لمطلق الظنّ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کون الآیات فی خلال آیات غیر الأحکام الفرعیّة</w:t>
      </w:r>
      <w:r>
        <w:rPr>
          <w:rStyle w:val="FootnoteAnchor"/>
          <w:rtl w:val="true"/>
        </w:rPr>
        <w:footnoteReference w:id="838"/>
      </w:r>
      <w:r>
        <w:rPr>
          <w:rFonts w:ascii="IRNazanin" w:hAnsi="IRNazanin" w:eastAsia="IRNazanin"/>
          <w:color w:val="111111"/>
          <w:sz w:val="28"/>
          <w:sz w:val="28"/>
          <w:szCs w:val="28"/>
          <w:rtl w:val="true"/>
          <w:lang w:bidi="fa-IR"/>
        </w:rPr>
        <w:t>، لا یضرّ بما یفهم منها العرف أصلا، و لا نحتاج إلی مقدّمات الحکمة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غیر حاصلة، لوجود القرینة الصالحة</w:t>
      </w:r>
      <w:r>
        <w:rPr>
          <w:rStyle w:val="FootnoteAnchor"/>
          <w:rtl w:val="true"/>
        </w:rPr>
        <w:footnoteReference w:id="839"/>
      </w:r>
      <w:r>
        <w:rPr>
          <w:rFonts w:ascii="IRNazanin" w:hAnsi="IRNazanin" w:eastAsia="IRNazanin"/>
          <w:color w:val="111111"/>
          <w:sz w:val="28"/>
          <w:sz w:val="28"/>
          <w:szCs w:val="28"/>
          <w:rtl w:val="true"/>
          <w:lang w:bidi="fa-IR"/>
        </w:rPr>
        <w:t>، لأنّ العقلاء یفهمون من هذه الآیات و أمثالها، مذمّة الاتباع الاعتقادیّ أو العملیّ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الآیة فی سورة النجم، تکون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لَیُسَمُّونَ الْمَلائِکَةَ تَسْمِیَةَ الْأُنْثی </w:t>
      </w:r>
      <w:r>
        <w:rPr>
          <w:rStyle w:val="FootnoteAnchor"/>
          <w:rtl w:val="true"/>
        </w:rPr>
        <w:footnoteReference w:id="840"/>
      </w:r>
      <w:r>
        <w:rPr>
          <w:rFonts w:ascii="IRNazanin" w:hAnsi="IRNazanin" w:eastAsia="IRNazanin"/>
          <w:color w:val="111111"/>
          <w:sz w:val="28"/>
          <w:sz w:val="28"/>
          <w:szCs w:val="28"/>
          <w:rtl w:val="true"/>
          <w:lang w:bidi="fa-IR"/>
        </w:rPr>
        <w:t>و هذا فعل، و قد ذمّوا علی هذه التسمیة و هذا التقوّل، کما لا یخفی، و لازمه ممنوعیّة إسناد شی‌ء إلیه تعالی، یقوم به الخبر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بِما یَفْعَلُونَ </w:t>
      </w:r>
      <w:r>
        <w:rPr>
          <w:rStyle w:val="FootnoteAnchor"/>
          <w:rtl w:val="true"/>
        </w:rPr>
        <w:footnoteReference w:id="841"/>
      </w:r>
      <w:r>
        <w:rPr>
          <w:rFonts w:ascii="IRNazanin" w:hAnsi="IRNazanin" w:eastAsia="IRNazanin"/>
          <w:color w:val="111111"/>
          <w:sz w:val="28"/>
          <w:sz w:val="28"/>
          <w:szCs w:val="28"/>
          <w:rtl w:val="true"/>
          <w:lang w:bidi="fa-IR"/>
        </w:rPr>
        <w:t>یکون ناظرا إلی الاتباع العملیّ عن الاعتقاد الباطل بالشرکاء، بل فی نفس الاتباع، شهادة علی أنّ المسألة عملیّة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الآیات لمکان اشتمالها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 بالبحث أوّلا، و یأتی الکلام حول الآیة غیر المشتملة علی هذه الکلمة بعدها</w:t>
      </w:r>
      <w:r>
        <w:rPr>
          <w:rStyle w:val="FootnoteAnchor"/>
          <w:rtl w:val="true"/>
        </w:rPr>
        <w:footnoteReference w:id="842"/>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یتوجّه إلی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کلمة الظّنّ ربّما یکون مرادا منها العلم،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لَأَظُنُّکَ یا فِرْعَوْنُ مَثْبُوراً</w:t>
      </w:r>
      <w:r>
        <w:rPr>
          <w:rStyle w:val="FootnoteAnchor"/>
          <w:rtl w:val="true"/>
        </w:rPr>
        <w:footnoteReference w:id="843"/>
      </w:r>
      <w:r>
        <w:rPr>
          <w:rFonts w:ascii="IRNazanin" w:hAnsi="IRNazanin" w:eastAsia="IRNazanin"/>
          <w:color w:val="111111"/>
          <w:sz w:val="28"/>
          <w:sz w:val="28"/>
          <w:szCs w:val="28"/>
          <w:rtl w:val="true"/>
          <w:lang w:bidi="fa-IR"/>
        </w:rPr>
        <w:t>و هذا کثیر الدور، فتکون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 عن العلوم الباطلة و الاعتقادات المأخوذة عن الآباء و الأقوام من غیر تدبّر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شمولها للظنّ ممنوع، إلاّ علی القول باستعماله فی أکثر من معنی واحد</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کانت الآیات الاخر التی نحن أشرنا إلیها فی المسألة المتذیّلة بالتخریص، مورد الاستدلال،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الظنّ من الصفات النفسانیّة، و المراد منه هنا مقابل العلم الّذی هو منها، و هذا أجنبیّ عن الظنّ النوعیّ الّذی ندّعی حجّیته </w:t>
      </w:r>
      <w:r>
        <w:rPr>
          <w:rStyle w:val="FootnoteAnchor"/>
          <w:rtl w:val="true"/>
        </w:rPr>
        <w:footnoteReference w:id="845"/>
      </w:r>
      <w:r>
        <w:rPr>
          <w:rFonts w:ascii="IRNazanin" w:hAnsi="IRNazanin" w:eastAsia="IRNazanin"/>
          <w:color w:val="111111"/>
          <w:sz w:val="28"/>
          <w:sz w:val="28"/>
          <w:szCs w:val="28"/>
          <w:rtl w:val="true"/>
          <w:lang w:bidi="fa-IR"/>
        </w:rPr>
        <w:t>، و لا تنافی بین کون الظنّ غیر حجّة، و الخبر الواحد حجّة، و الظواهر حجّة، حتّی فیما إذا حصل من الظنون الخاصّة ظنّ شخصیّ، فإنّه کالحجر جنب الإنسان، بل هی تدلّ علی أنّ القول باعتبار حصول الظنّ النفسانیّ من الظنون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صحیح، لأنّ الظنّ النفسانیّ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فیسقط قول من اعتبره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الظنون الخاصّة علم، و تکون أدلّة اعتبارها حاکمة</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مجرّد دعوی، و قد فرغنا من فسادها مرارا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یمکن دعوی التخصیص </w:t>
      </w:r>
      <w:r>
        <w:rPr>
          <w:rStyle w:val="FootnoteAnchor"/>
          <w:rtl w:val="true"/>
        </w:rPr>
        <w:footnoteReference w:id="850"/>
      </w:r>
      <w:r>
        <w:rPr>
          <w:rFonts w:ascii="IRNazanin" w:hAnsi="IRNazanin" w:eastAsia="IRNazanin"/>
          <w:color w:val="111111"/>
          <w:sz w:val="28"/>
          <w:sz w:val="28"/>
          <w:szCs w:val="28"/>
          <w:rtl w:val="true"/>
          <w:lang w:bidi="fa-IR"/>
        </w:rPr>
        <w:t>، فتکون الآیات الدالّة</w:t>
      </w:r>
      <w:r>
        <w:rPr>
          <w:rStyle w:val="FootnoteAnchor"/>
          <w:rtl w:val="true"/>
        </w:rPr>
        <w:footnoteReference w:id="851"/>
      </w:r>
      <w:r>
        <w:rPr>
          <w:rFonts w:ascii="IRNazanin" w:hAnsi="IRNazanin" w:eastAsia="IRNazanin"/>
          <w:color w:val="111111"/>
          <w:sz w:val="28"/>
          <w:sz w:val="28"/>
          <w:szCs w:val="28"/>
          <w:rtl w:val="true"/>
          <w:lang w:bidi="fa-IR"/>
        </w:rPr>
        <w:t>و الأخبار الآتیة</w:t>
      </w:r>
      <w:r>
        <w:rPr>
          <w:rStyle w:val="FootnoteAnchor"/>
          <w:rtl w:val="true"/>
        </w:rPr>
        <w:footnoteReference w:id="852"/>
      </w:r>
      <w:r>
        <w:rPr>
          <w:rFonts w:ascii="IRNazanin" w:hAnsi="IRNazanin" w:eastAsia="IRNazanin"/>
          <w:color w:val="111111"/>
          <w:sz w:val="28"/>
          <w:sz w:val="28"/>
          <w:szCs w:val="28"/>
          <w:rtl w:val="true"/>
          <w:lang w:bidi="fa-IR"/>
        </w:rPr>
        <w:t>مثلا، مقیّدة لهذه الآیات، أو تکون تلک الآیات منصرفة عن الظنون الخاصّة، أو یستکشف من الآیات و الأخبار الدالّة علی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القرائن الخاصّة المانعة عن کونها شاهدة علی ممنوعیّة اتباع هذه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فرضنا أنّ تخصیص تلک الآیات و تقییدها، غیر مناسب لفهم العقلاء، یتعیّن الفرض الأخیر، أو القول بالانصراف </w:t>
      </w:r>
      <w:r>
        <w:rPr>
          <w:rStyle w:val="FootnoteAnchor"/>
          <w:rtl w:val="true"/>
        </w:rPr>
        <w:footnoteReference w:id="853"/>
      </w:r>
      <w:r>
        <w:rPr>
          <w:rFonts w:ascii="IRNazanin" w:hAnsi="IRNazanin" w:eastAsia="IRNazanin"/>
          <w:color w:val="111111"/>
          <w:sz w:val="28"/>
          <w:sz w:val="28"/>
          <w:szCs w:val="28"/>
          <w:rtl w:val="true"/>
          <w:lang w:bidi="fa-IR"/>
        </w:rPr>
        <w:t>، و حیث لا وجه للانصراف، لأنّ المستفاد منها مذمومیّة اتباع الظنّ لا بوجه الدلالة الوضعیّة، یتعیّن الفرض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الّذی هو المهمّ فی المسألة، ما عرفت من خروج الظنّ الخاصّ عن هذه الآیات تخصّصا، و لا نحتاج إلی التخصیص، أو الحکومة، أو الانصراف، لما 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الظنّ الشخصیّ، و إطلاقه علی الظنّ النوعیّ من المجاز، فالخبر الواحد و الظواهر و أمثالها، لیست منه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بقی الکلام حول الآیة غیر المشتملة علی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الآیة خلال الآیات الناهیة عن عدّة أعمال، کالتقرّب إلی مال الیتیم </w:t>
      </w:r>
      <w:r>
        <w:rPr>
          <w:rStyle w:val="FootnoteAnchor"/>
          <w:rtl w:val="true"/>
        </w:rPr>
        <w:footnoteReference w:id="855"/>
      </w:r>
      <w:r>
        <w:rPr>
          <w:rFonts w:ascii="IRNazanin" w:hAnsi="IRNazanin" w:eastAsia="IRNazanin"/>
          <w:color w:val="111111"/>
          <w:sz w:val="28"/>
          <w:sz w:val="28"/>
          <w:szCs w:val="28"/>
          <w:rtl w:val="true"/>
          <w:lang w:bidi="fa-IR"/>
        </w:rPr>
        <w:t xml:space="preserve">، و الکیل بغیر المیزان و القسطاس المستقیم </w:t>
      </w:r>
      <w:r>
        <w:rPr>
          <w:rStyle w:val="FootnoteAnchor"/>
          <w:rtl w:val="true"/>
        </w:rPr>
        <w:footnoteReference w:id="856"/>
      </w:r>
      <w:r>
        <w:rPr>
          <w:rFonts w:ascii="IRNazanin" w:hAnsi="IRNazanin" w:eastAsia="IRNazanin"/>
          <w:color w:val="111111"/>
          <w:sz w:val="28"/>
          <w:sz w:val="28"/>
          <w:szCs w:val="28"/>
          <w:rtl w:val="true"/>
          <w:lang w:bidi="fa-IR"/>
        </w:rPr>
        <w:t>، و المشی فی الأرض مرحا</w:t>
      </w:r>
      <w:r>
        <w:rPr>
          <w:rStyle w:val="FootnoteAnchor"/>
          <w:rtl w:val="true"/>
        </w:rPr>
        <w:footnoteReference w:id="857"/>
      </w:r>
      <w:r>
        <w:rPr>
          <w:rFonts w:ascii="Amiri" w:hAnsi="Amiri" w:eastAsia="Amiri" w:cs="Amiri"/>
          <w:color w:val="111111"/>
          <w:sz w:val="28"/>
          <w:sz w:val="28"/>
          <w:szCs w:val="28"/>
          <w:rtl w:val="true"/>
          <w:lang w:bidi="ar-SA"/>
        </w:rPr>
        <w:t>، و التقرّب</w:t>
      </w:r>
    </w:p>
    <w:p>
      <w:pPr>
        <w:pStyle w:val="BookText"/>
        <w:rPr/>
      </w:pPr>
      <w:r>
        <w:rPr>
          <w:rFonts w:ascii="IRNazanin" w:hAnsi="IRNazanin" w:eastAsia="IRNazanin"/>
          <w:color w:val="111111"/>
          <w:sz w:val="28"/>
          <w:sz w:val="28"/>
          <w:szCs w:val="28"/>
          <w:rtl w:val="true"/>
          <w:lang w:bidi="fa-IR"/>
        </w:rPr>
        <w:t>إلی الزنا</w:t>
      </w:r>
      <w:r>
        <w:rPr>
          <w:rStyle w:val="FootnoteAnchor"/>
          <w:rtl w:val="true"/>
        </w:rPr>
        <w:footnoteReference w:id="858"/>
      </w:r>
      <w:r>
        <w:rPr>
          <w:rFonts w:ascii="IRNazanin" w:hAnsi="IRNazanin" w:eastAsia="IRNazanin"/>
          <w:color w:val="111111"/>
          <w:sz w:val="28"/>
          <w:sz w:val="28"/>
          <w:szCs w:val="28"/>
          <w:rtl w:val="true"/>
          <w:lang w:bidi="fa-IR"/>
        </w:rPr>
        <w:t xml:space="preserve">، و قتل النّفس </w:t>
      </w:r>
      <w:r>
        <w:rPr>
          <w:rStyle w:val="FootnoteAnchor"/>
          <w:rtl w:val="true"/>
        </w:rPr>
        <w:footnoteReference w:id="859"/>
      </w:r>
      <w:r>
        <w:rPr>
          <w:rFonts w:ascii="IRNazanin" w:hAnsi="IRNazanin" w:eastAsia="IRNazanin"/>
          <w:color w:val="111111"/>
          <w:sz w:val="28"/>
          <w:sz w:val="28"/>
          <w:szCs w:val="28"/>
          <w:rtl w:val="true"/>
          <w:lang w:bidi="fa-IR"/>
        </w:rPr>
        <w:t xml:space="preserve">و الأولاد خشیة الإملاق </w:t>
      </w:r>
      <w:r>
        <w:rPr>
          <w:rStyle w:val="FootnoteAnchor"/>
          <w:rtl w:val="true"/>
        </w:rPr>
        <w:footnoteReference w:id="860"/>
      </w:r>
      <w:r>
        <w:rPr>
          <w:rFonts w:ascii="IRNazanin" w:hAnsi="IRNazanin" w:eastAsia="IRNazanin"/>
          <w:color w:val="111111"/>
          <w:sz w:val="28"/>
          <w:sz w:val="28"/>
          <w:szCs w:val="28"/>
          <w:rtl w:val="true"/>
          <w:lang w:bidi="fa-IR"/>
        </w:rPr>
        <w:t>، فلا معنی لتوهّم کونها راجعة إلی المسائل الاعتقادیّة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أنّها مشتملة علی النکرة فی سیاق النهی، و هی فی حکم النکرة فی سیاق النفی، إمّا من العمومات، أو تکون فی حکم العمومات فی الانحلال إلی الأفراد و النواهی، و لا قصور فی ناحیة إطلاق الحکم، لما تقرّر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النکرة فی سیاق النفی و النهی و إن لم تکن عموما، إلاّ أنّها تلازم الإطلاق الدائمیّ </w:t>
      </w:r>
      <w:r>
        <w:rPr>
          <w:rStyle w:val="FootnoteAnchor"/>
          <w:rtl w:val="true"/>
        </w:rPr>
        <w:footnoteReference w:id="862"/>
      </w:r>
      <w:r>
        <w:rPr>
          <w:rFonts w:ascii="IRNazanin" w:hAnsi="IRNazanin" w:eastAsia="IRNazanin"/>
          <w:color w:val="111111"/>
          <w:sz w:val="28"/>
          <w:sz w:val="28"/>
          <w:szCs w:val="28"/>
          <w:rtl w:val="true"/>
          <w:lang w:bidi="fa-IR"/>
        </w:rPr>
        <w:t>، و لا یتصوّر إثباتا فیها الإهمال، کما قیل به فی العمومات اللفظیّة</w:t>
      </w:r>
      <w:r>
        <w:rPr>
          <w:rStyle w:val="FootnoteAnchor"/>
          <w:rtl w:val="true"/>
        </w:rPr>
        <w:footnoteReference w:id="863"/>
      </w:r>
      <w:r>
        <w:rPr>
          <w:rFonts w:ascii="IRNazanin" w:hAnsi="IRNazanin" w:eastAsia="IRNazanin"/>
          <w:color w:val="111111"/>
          <w:sz w:val="28"/>
          <w:sz w:val="28"/>
          <w:szCs w:val="28"/>
          <w:rtl w:val="true"/>
          <w:lang w:bidi="fa-IR"/>
        </w:rPr>
        <w:t xml:space="preserve">، علی خلاف التحقیق المحرّر عندنا فی محلّه </w:t>
      </w:r>
      <w:r>
        <w:rPr>
          <w:rStyle w:val="FootnoteAnchor"/>
          <w:rtl w:val="true"/>
        </w:rPr>
        <w:footnoteReference w:id="864"/>
      </w:r>
      <w:r>
        <w:rPr>
          <w:rFonts w:ascii="IRNazanin" w:hAnsi="IRNazanin" w:eastAsia="IRNazanin"/>
          <w:color w:val="111111"/>
          <w:sz w:val="28"/>
          <w:sz w:val="28"/>
          <w:szCs w:val="28"/>
          <w:rtl w:val="true"/>
          <w:lang w:bidi="fa-IR"/>
        </w:rPr>
        <w:t>، فتصیر شاملة للأحکام 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اختصاص الآیة بالموضوعات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فی خلال الآیات السابقة، فإنّ الخبر الواحد فی الموضوعات، غیر جائز اتباعه، لأنّه من غیر العلم، فلو قام علی تمامیّة الکیل، أو علی أنّ المال لیس مال الیتیم و هکذا، فلا یجوز الاتکال علیه، فتکون الآیة أجنبیّة عن حجّیته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حکومة الأدلّة الناهضة علی حجّیة الخبر الواحد</w:t>
      </w:r>
      <w:r>
        <w:rPr>
          <w:rStyle w:val="FootnoteAnchor"/>
          <w:rtl w:val="true"/>
        </w:rPr>
        <w:footnoteReference w:id="865"/>
      </w:r>
      <w:r>
        <w:rPr>
          <w:rFonts w:ascii="IRNazanin" w:hAnsi="IRNazanin" w:eastAsia="IRNazanin"/>
          <w:color w:val="111111"/>
          <w:sz w:val="28"/>
          <w:sz w:val="28"/>
          <w:szCs w:val="28"/>
          <w:rtl w:val="true"/>
          <w:lang w:bidi="fa-IR"/>
        </w:rPr>
        <w:t>، قابلة للدفع، لما مرّ من عدم تمامیّة الحکومة المتقوّمة بکون أدلّتها فی مقام التنزیل، و هو ممنوع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معنی لها،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الأفراد الخارجیّة التی لیست</w:t>
      </w:r>
    </w:p>
    <w:p>
      <w:pPr>
        <w:pStyle w:val="BookText"/>
        <w:rPr/>
      </w:pPr>
      <w:r>
        <w:rPr>
          <w:rFonts w:ascii="IRNazanin" w:hAnsi="IRNazanin" w:eastAsia="IRNazanin"/>
          <w:color w:val="111111"/>
          <w:sz w:val="28"/>
          <w:sz w:val="28"/>
          <w:szCs w:val="28"/>
          <w:rtl w:val="true"/>
          <w:lang w:bidi="fa-IR"/>
        </w:rPr>
        <w:t>مصادیق العلم، و لیس الحکم هنا علی عنوان کلّی قابل للتحکیم توسعة أو تضییقا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کلمات القوم من التنزیل </w:t>
      </w:r>
      <w:r>
        <w:rPr>
          <w:rStyle w:val="FootnoteAnchor"/>
          <w:rtl w:val="true"/>
        </w:rPr>
        <w:footnoteReference w:id="866"/>
      </w:r>
      <w:r>
        <w:rPr>
          <w:rFonts w:ascii="IRNazanin" w:hAnsi="IRNazanin" w:eastAsia="IRNazanin"/>
          <w:color w:val="111111"/>
          <w:sz w:val="28"/>
          <w:sz w:val="28"/>
          <w:szCs w:val="28"/>
          <w:rtl w:val="true"/>
          <w:lang w:bidi="fa-IR"/>
        </w:rPr>
        <w:t>، و هکذا فی کلام العلاّمة الأراکیّ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الآیة تشتمل علی الحکم المتعلّق بالعناوین الکلّیة الکذائیّة، فتقبل الحکومة</w:t>
      </w:r>
      <w:r>
        <w:rPr>
          <w:rFonts w:eastAsia="IRNazanin" w:cs="IRNazanin"/>
          <w:color w:val="111111"/>
          <w:sz w:val="28"/>
          <w:szCs w:val="28"/>
          <w:rtl w:val="true"/>
          <w:lang w:bidi="fa-IR"/>
        </w:rPr>
        <w:t>»</w:t>
      </w:r>
      <w:r>
        <w:rPr>
          <w:rStyle w:val="FootnoteAnchor"/>
          <w:rtl w:val="true"/>
        </w:rPr>
        <w:footnoteReference w:id="867"/>
      </w:r>
      <w:r>
        <w:rPr>
          <w:rFonts w:ascii="Amiri" w:hAnsi="Amiri" w:eastAsia="Amiri" w:cs="Amiri"/>
          <w:color w:val="111111"/>
          <w:sz w:val="28"/>
          <w:sz w:val="28"/>
          <w:szCs w:val="28"/>
          <w:rtl w:val="true"/>
          <w:lang w:bidi="ar-SA"/>
        </w:rPr>
        <w:t>کلّه غیر قابل للتصدیق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القول بالتخصیص، فهو و إن کان ممکنا، إلاّ أنّه فی خصوص النکرة فی سیاق النهی و النفی، محلّ إشکال عندی </w:t>
      </w:r>
      <w:r>
        <w:rPr>
          <w:rStyle w:val="FootnoteAnchor"/>
          <w:rtl w:val="true"/>
        </w:rPr>
        <w:footnoteReference w:id="868"/>
      </w:r>
      <w:r>
        <w:rPr>
          <w:rFonts w:ascii="IRNazanin" w:hAnsi="IRNazanin" w:eastAsia="IRNazanin"/>
          <w:color w:val="111111"/>
          <w:sz w:val="28"/>
          <w:sz w:val="28"/>
          <w:szCs w:val="28"/>
          <w:rtl w:val="true"/>
          <w:lang w:bidi="fa-IR"/>
        </w:rPr>
        <w:t>، و لا سیّما بعد ملاحظة ذیل الآیة</w:t>
      </w:r>
      <w:r>
        <w:rPr>
          <w:rStyle w:val="FootnoteAnchor"/>
          <w:rtl w:val="true"/>
        </w:rPr>
        <w:footnoteReference w:id="869"/>
      </w:r>
      <w:r>
        <w:rPr>
          <w:rFonts w:ascii="IRNazanin" w:hAnsi="IRNazanin" w:eastAsia="IRNazanin"/>
          <w:color w:val="111111"/>
          <w:sz w:val="28"/>
          <w:sz w:val="28"/>
          <w:szCs w:val="28"/>
          <w:rtl w:val="true"/>
          <w:lang w:bidi="fa-IR"/>
        </w:rPr>
        <w:t>، فإنّه یورث امتناعه و إباءه عنه و عن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جوابا عن الآیات السابقة، لا یصلح أن یکون جوابا عن هذه الآیة، و هکذا 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مرّ منّا من کشف القرینة الخاصّة المانعة عن ظهور الآیة لشمول ما نحن فیه، أیضا لو تمّ فهو بالنسبة إلی الأخبار الآحاد التی تکون مورد الوثوق و الاطمئنان، دون مطلق الخبر، و ما هو المدّعی هو الثانی،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الآیة للردع عن اتباع الخبر الواحد، و لا یتوجّه إلیها کثیر من الإشکالات المحرّرة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المناقشة فی الإطلاق </w:t>
      </w:r>
      <w:r>
        <w:rPr>
          <w:rStyle w:val="FootnoteAnchor"/>
          <w:rtl w:val="true"/>
        </w:rPr>
        <w:footnoteReference w:id="870"/>
      </w:r>
      <w:r>
        <w:rPr>
          <w:rFonts w:ascii="IRNazanin" w:hAnsi="IRNazanin" w:eastAsia="IRNazanin"/>
          <w:color w:val="111111"/>
          <w:sz w:val="28"/>
          <w:sz w:val="28"/>
          <w:szCs w:val="28"/>
          <w:rtl w:val="true"/>
          <w:lang w:bidi="fa-IR"/>
        </w:rPr>
        <w:t xml:space="preserve">، أو المناقشة فی الدلالة، من جهة کونها منسلکة فی آیات الاعتقادات،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فإنّ هذه الآیة فی خلال آیات الأحکام الفرعیّة، و لا ینبغی الحکم بلا مراجعة إلیها، کما هو کثیر الدور فی المسائل الأصولیّة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المناقشة فی کونها مربوطة بالموضوعات، دون الأحکام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أنّ</w:t>
      </w:r>
      <w:bookmarkStart w:id="719" w:name="pg13170_166566"/>
    </w:p>
    <w:p>
      <w:pPr>
        <w:pStyle w:val="BookText"/>
        <w:rPr/>
      </w:pPr>
      <w:bookmarkEnd w:id="719"/>
      <w:r>
        <w:rPr>
          <w:rFonts w:ascii="IRNazanin" w:hAnsi="IRNazanin" w:eastAsia="IRNazanin"/>
          <w:color w:val="111111"/>
          <w:sz w:val="28"/>
          <w:sz w:val="28"/>
          <w:szCs w:val="28"/>
          <w:rtl w:val="true"/>
          <w:lang w:bidi="fa-IR"/>
        </w:rPr>
        <w:t>الآیة الواقعة بعدها، تکون ظاهرة فی المعنی الأخلاقیّ، لما فیها من النهی عن المشی فی الأرض مرحاً، فهی مثلها، فیکون النهی أخلاقیّاً و إرشادیّاً، فإنّه 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وحدة السیاق فی بعض الأحیان، تورث اختلال الظهور الذاتیّ، و لکنّه هنا ممنوع،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فتلک المناقشات الکثیرة، أو توهّم الجمع بین مفاد هذه الآیة و أخبار حجّیة الخبر الواحد بالحکومة، أو التخصیص، أو دعوی الانصراف، لقیام الأخبار الکثیرة البالغة أحیاناً إلی ما فوق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علیک إجمالها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الخبر الواحد</w:t>
      </w:r>
      <w:r>
        <w:rPr>
          <w:rStyle w:val="FootnoteAnchor"/>
          <w:rtl w:val="true"/>
        </w:rPr>
        <w:footnoteReference w:id="873"/>
      </w:r>
      <w:r>
        <w:rPr>
          <w:rFonts w:ascii="IRNazanin" w:hAnsi="IRNazanin" w:eastAsia="IRNazanin"/>
          <w:color w:val="111111"/>
          <w:sz w:val="28"/>
          <w:sz w:val="28"/>
          <w:szCs w:val="28"/>
          <w:rtl w:val="true"/>
          <w:lang w:bidi="fa-IR"/>
        </w:rPr>
        <w:t>، فتکون هی موجبة لانصراف الآیات الناهیة، أو تکون کاشفة عن القرائن الخاصّة</w:t>
      </w:r>
      <w:r>
        <w:rPr>
          <w:rStyle w:val="FootnoteAnchor"/>
          <w:rtl w:val="true"/>
        </w:rPr>
        <w:footnoteReference w:id="874"/>
      </w:r>
      <w:r>
        <w:rPr>
          <w:rFonts w:ascii="IRNazanin" w:hAnsi="IRNazanin" w:eastAsia="IRNazanin"/>
          <w:color w:val="111111"/>
          <w:sz w:val="28"/>
          <w:sz w:val="28"/>
          <w:szCs w:val="28"/>
          <w:rtl w:val="true"/>
          <w:lang w:bidi="fa-IR"/>
        </w:rPr>
        <w:t>، کلّها غیر تامّة، کما أشیر إلیه</w:t>
      </w:r>
      <w:r>
        <w:rPr>
          <w:rFonts w:eastAsia="IRNazanin" w:cs="IRNazanin"/>
          <w:color w:val="111111"/>
          <w:sz w:val="28"/>
          <w:szCs w:val="28"/>
          <w:rtl w:val="true"/>
          <w:lang w:bidi="fa-IR"/>
        </w:rPr>
        <w:t>.</w:t>
      </w:r>
    </w:p>
    <w:p>
      <w:pPr>
        <w:pStyle w:val="Heading6"/>
        <w:numPr>
          <w:ilvl w:val="5"/>
          <w:numId w:val="1"/>
        </w:numPr>
        <w:rPr/>
      </w:pPr>
      <w:bookmarkStart w:id="720" w:name="__RefHeading___Toc624781_3244359995"/>
      <w:bookmarkStart w:id="721" w:name="_Toc270"/>
      <w:bookmarkEnd w:id="720"/>
      <w:r>
        <w:rPr>
          <w:rtl w:val="true"/>
        </w:rPr>
        <w:t>حول وجوه المنع عن دلالة الآیات الناهیة عن اتباع الظنّ</w:t>
      </w:r>
      <w:bookmarkEnd w:id="721"/>
    </w:p>
    <w:p>
      <w:pPr>
        <w:pStyle w:val="BookText"/>
        <w:rPr/>
      </w:pPr>
      <w:r>
        <w:rPr>
          <w:rFonts w:ascii="IRNazanin" w:hAnsi="IRNazanin" w:eastAsia="IRNazanin"/>
          <w:color w:val="111111"/>
          <w:sz w:val="28"/>
          <w:sz w:val="28"/>
          <w:szCs w:val="28"/>
          <w:rtl w:val="true"/>
          <w:lang w:bidi="fa-IR"/>
        </w:rPr>
        <w:t>نعم، بقیت بعض الوجوه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الآیة ممنوعیّة الاستدلال بها، ضرورة أنّ اتباع الظواهر من مصادیق اتباع غیر العلم، و لازمه الزجر عن اتباع ظاهر الآیة و الآیات المستدلّ بها هنا، و هذا جواب عن جمیع الآیات الناهیة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منّا فی مباحث الظواهر، ما یتعلّق بهذه المسألة من البحوث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و الآیات، تورث الوثوق و الاطمئنان بأنّ</w:t>
      </w:r>
    </w:p>
    <w:p>
      <w:pPr>
        <w:pStyle w:val="BookText"/>
        <w:rPr/>
      </w:pPr>
      <w:r>
        <w:rPr>
          <w:rFonts w:ascii="IRNazanin" w:hAnsi="IRNazanin" w:eastAsia="IRNazanin"/>
          <w:color w:val="111111"/>
          <w:sz w:val="28"/>
          <w:sz w:val="28"/>
          <w:szCs w:val="28"/>
          <w:rtl w:val="true"/>
          <w:lang w:bidi="fa-IR"/>
        </w:rPr>
        <w:t>ما لیس بعلم ممنوع اتباعه، فیکون الخبر الواحد غیر المورث غیر حجّة حسب الآیة، و إذا کان مورثاً للوثوق و الاطمئنان فلا بأس بحجّیته، لأنّه العلم عرفاً، و الآیة تنهی عن اتباع غیر العلم، فلا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و هو حجّیة مطلق خبر الثقة، و تکون رادعة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عقلاً من اختیار حجّیة هذه الآیة، و إلاّ تلزم اللغویّة، فحجّیة هذه الآیة ثابتة قطعاً، و عندئذ تکون مانعة من اتباع 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لیس من تخصیص الآیة بنفسها،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ضرورة أنّ التخصیص فرع الشمول البدویّ، و الانصراف یمنع عن الشمول، فلا وجه لما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التخصیص إذا جاز بالنسبة إلی نفسها، فیجوز بالنسبة إلی أخبار الآحاد بأدلّة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الالتزام بحجّیة الظواهر بعد قطعیّة السند، ممّا هو ضروریّ، لأنّ القرآن جاء لهدایة البشر، فلا بدّ عقلا من ذلک فی خصوص ظواهرها، بخلاف ما هو ظنیّ الصدور، فلیسا هما فی عرض واحد حتّی عند العقلاء، و لو کانا واحدا عندهم و لکنّهما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هذه الآیات، و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مختلفین فی نظر الشرع، فتدبّر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الحکومة و التخصیص و دعوی الانصراف، کلّها لو کانت غیر تامّة، و لکنّ الورود ممکن، فإنّ مفاد الآیة لیس إلاّ النهی عن اتباع غیر الحجّة، 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لسان الأخبار هی الحجّة، کما تقرّر فی محلّه، للقرائن الخاصّة، و فیما نحن فیه أیضا یکون المراد منه الحجّة، إذ لو أرید منه العلم الوجدانیّ، للزم تعطیل الأحکام الکثیرة، أو ورود التخصیص الأکثر المستهجن،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بإجماله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الورود شأن أدلّة حجّیة خبر الواحد، لا السیرة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العلم أو الوثوق و الاطمئنان مرادا، و تکون الأخبار التی تورث الوثوق حجّة، فلا یلزم تخصیص، و یلزم منه مردوعیّة المدّعی، و هو حجّیة الخبر الواحد علی إطلاقه، ضرورة أنّ حجّیته فی الجملة ممّا لا یکاد ینکرها أحد، و هی من الضروریّ، فما هو المهمّ للمثبتین إثبات حجّیته علی الإطلاق، و هذه الآیات تمنع ذلک الإطلاق الّذی هو مقصودهم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الحجّة أحیانا فی بعض الأخبار للشواهد، لا یستلزم ذلک فی الآیة بعد اختلاف عصرهما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المنطقیّ الوجدانیّ، فلا یلزم إلاّ تخصیص واحد، و هو حجّیة الوثوق و الاطمئنان، دون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 طائفة من الأحکام ممّا لا یوجب القول بالحجّیة، لأنّ من ینکر حجّیته یلتفت إلی ذلک، و یلتزم به جدّاً، و لا یعتقد أنّه من الأحکام الإلهیّة، حتّی یستوحش من هذه الحملة الحیدریّة 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المستدلّین بهذه الآیة، ردع السیرة العقلائیّة القائمة علی العمل بالخبر الواحد، و هذا غیر ممکن، للزوم الدور، ضرورة أنّ رادعیّة الآیات موقوفة علی عدم مخصّصیتها بالسیرة، و لو کانت مخصّصة بها لما أمکن أن تکون رادعة، و عدم مخصّصیتها بها موقوف أیضا علی رادعیّتها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تکون الآیات فی قوّة الردع عن السیرة، مع أنّ السیرة أقوی منها، لأنّها تخصّصها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من الردع إلاّ إبلاغ عدم الرضا بالسیرة العقلائیّة، و أمّا</w:t>
      </w:r>
    </w:p>
    <w:p>
      <w:pPr>
        <w:pStyle w:val="BookText"/>
        <w:rPr/>
      </w:pPr>
      <w:r>
        <w:rPr>
          <w:rFonts w:ascii="IRNazanin" w:hAnsi="IRNazanin" w:eastAsia="IRNazanin"/>
          <w:color w:val="111111"/>
          <w:sz w:val="28"/>
          <w:sz w:val="28"/>
          <w:szCs w:val="28"/>
          <w:rtl w:val="true"/>
          <w:lang w:bidi="fa-IR"/>
        </w:rPr>
        <w:t>الردع و قلع مادّة الفساد خارجا، فهو لیس دأب الشرع فی مرحلة التقنین، فعلیه کما تکون السیرة علی القمار قبل الإسلام إلی أنّ طلع الإسلام، و یکون باقیا إلی زماننا، و مع ذلک یردع عنه الشرع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کذلک الأمر هنا، فإنّ السیرة العملیّة باقیة و دائمیّة و قدیمة، إلاّ أنّ الشرع ربّما أظهر عدم رضاه بها بهذه الآیة، فالآیة رادعیّتها موقوفة علی کون إطلاقها مرادا، و إذا کان الأمر کذلک، یتبیّن عدم رضا الشرع بتلک السیرة العملیّة و لو کانت متعارفة بین المتشرّعة الجاهلین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فی أدلّة النافین، و المفروض عدم قیام الدلیل علی حجّیة الخبر الواحد، بل المفروض عدم حجّیته حسب الأصل، و یکون ذکر هذه الأدلّة تأییدا لذلک الأصل، و تأکیدا له، و تکون فی قوّة معارضة الأدلّة المثبتة علی وجه لا یتمکّن المثبت من الخروج عن مقتضی الأصل الأوّلی المزبور بالتخصیص و التقیید، و علی هذا یکون النّظر إلی السیرة نظر الشکّ فی کونها ممضاة، و عندئذ تصلح الآیات للردع عنها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السیرة حجّة، و إنّما الردع یمنع عنها، فإنّ الآیات تمنع، فما فی کلام العلاّمة الأراکیّ قدس سره هنا</w:t>
      </w:r>
      <w:r>
        <w:rPr>
          <w:rStyle w:val="FootnoteAnchor"/>
          <w:rtl w:val="true"/>
        </w:rPr>
        <w:footnoteReference w:id="881"/>
      </w:r>
      <w:r>
        <w:rPr>
          <w:rFonts w:ascii="IRNazanin" w:hAnsi="IRNazanin" w:eastAsia="IRNazanin"/>
          <w:color w:val="111111"/>
          <w:sz w:val="28"/>
          <w:sz w:val="28"/>
          <w:szCs w:val="28"/>
          <w:rtl w:val="true"/>
          <w:lang w:bidi="fa-IR"/>
        </w:rPr>
        <w:t>، لا یخلو من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توهّم الدور غیر جائز، و سیمرّ علیک بعض الکلام حوله عند تقریب أدلّة المثبتین، و وجه تمامیّة استدلالهم بالسیرة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المنکر بوجود السیرة العملیّة علی العمل بالخبر الواحد عند طلوع الإسلام، فعدم ردع الشرع دلیل اعتبارها، و عندئذ لا یمکن أن تکون</w:t>
      </w:r>
    </w:p>
    <w:p>
      <w:pPr>
        <w:pStyle w:val="BookText"/>
        <w:rPr/>
      </w:pPr>
      <w:r>
        <w:rPr>
          <w:rFonts w:ascii="IRNazanin" w:hAnsi="IRNazanin" w:eastAsia="IRNazanin"/>
          <w:color w:val="111111"/>
          <w:sz w:val="28"/>
          <w:sz w:val="28"/>
          <w:szCs w:val="28"/>
          <w:rtl w:val="true"/>
          <w:lang w:bidi="fa-IR"/>
        </w:rPr>
        <w:t>الآیات رادعة عنها، و لا یمکن أن یکون النّظر إلیها نظر الشکّ فی حجّیتها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الردع المتعقّب بإظهار عدم الرضا حسب الآیة الشریفة، لا یکفی لکشف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بحکم العامّ و المطلق بعد ورود المخصّص و المقیّد، غیر جائز فی مثل هذه الأمور، ضرورة أنّ الردع عن المغروسات الذهنیّة و السیر الخارجیّة المحتاجة إلی الفرصة المناسبة، لا یدلّ علی شی‌ء، و لا یکشف عن الرضا و الإمضاء، کما لا یخفی، و من هنا یظهر ضعف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المشکلة المزبورة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فی هذه الآیة، یجوز أن یکون مخصوصا بالنبیّ صلی اللَّه علیه و آله و سلم فی المسائل الاخر، لأنّ الآیات السابقة و إن کانت خطاباتها بصیغة الجمع، إلاّ أنّها أیضا لیست متوجّهة إلی عامّة المکلّفین، ضرورة أنّ التقرّب إلی أموال الیتامی، لا یجوز للفسّاق بالضرورة، و لیست العناوین المأخوذة عامّة شاملة لکلّ أحد،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الآیة فی سیاقها، فیکون المخاطب المکلّف، فالآیة مجملة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الآیات المتأخّرة عنها و إن کانت تناسب العموم، 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یکون حجّة شرعیّة علی الإطلاق فیما نحن فیه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الاتباع لما لیس به علم، إن کان هو کنایة عن العمل، فلازمه الاحتیاط فی الشبهات التحریمیّة، دون الوجوبیّة، لأنّ ترکها لیس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الإتیان</w:t>
      </w:r>
    </w:p>
    <w:p>
      <w:pPr>
        <w:pStyle w:val="BookText"/>
        <w:rPr/>
      </w:pPr>
      <w:r>
        <w:rPr>
          <w:rFonts w:ascii="IRNazanin" w:hAnsi="IRNazanin" w:eastAsia="IRNazanin"/>
          <w:color w:val="111111"/>
          <w:sz w:val="28"/>
          <w:sz w:val="28"/>
          <w:szCs w:val="28"/>
          <w:rtl w:val="true"/>
          <w:lang w:bidi="fa-IR"/>
        </w:rPr>
        <w:t>بالشبهات الوجوبیة، أیضا ممنوع ممّا لا یکون بها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قطعا لیس مرادا، إلاّ إذا قلنا باختصاص الآیة الکریمة بالنبیّ صلی اللَّه علیه و آله و سلم لأنّه یعلم کلّ شی‌ء عند الحاجة إلیه، فعلی هذا تصبح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المنهیّ هو اتباع ما لیس به علم، و کما یکون الاتباع لحکم اللَّه تعالی المعلوم خارجا عنه، کذلک الاتباع للخبر الواحد المعلومة حجّیته، یکون خارجا عنه تخصّصا، و هذا لیس من الورود، و لا الحکومة، و لا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الواحد معلومة لنا بالضرورة، و لا یکون الحجیة ظنّیة و لو کان مؤدّاها ظنّیا و إذا کان الاتباع عن خبر زرارة من الاتباع اللغویّ و العرفیّ، و کان اعتبار خبر زرارة قطعیّا، یکون هو خارجا عن منطوق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نکرة فی سیاق النفی،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ما لَیْسَ لَکَ بِهِ عِلْمٌ أی علم ما، لمکان التنوین الداخل علی النکرة، و لنا العلم بحجّیة خبر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العلم بالحجّیة بالنسبة إلی مطلق خبر الثقة، من الجزاف المنهیّ، فتکون الآیة تامّة للرادعیّة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توهّم المعارضة البدویّة بین ظاهر الآیة، و قطعیّة حجّیة الخبر الواحد، و أنّه عندئذ لا بدّ من الأخذ بما هو المقطوع، و ترک الآیة إلی أهلها، غیر صحیح، لأنّ ما هو المقطوع به هو الخبر الواحد فی الجملة، أی الخبر الواحد الحاصل منه الوثوق و الاطمئنان، دون مطلقه، فیکون ظاهر الآیة باقیا علی قوّته للردع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إنّه لو لا ما أشرنا إلیه من طریان الإجمال علی الآیة من تلک الناحیة، لکانت دلالتها علی عدم رضا الشرع بإخبار الواحد غیر الحاصل منه</w:t>
      </w:r>
      <w:bookmarkStart w:id="722" w:name="pg13170_166572"/>
    </w:p>
    <w:p>
      <w:pPr>
        <w:pStyle w:val="BookText"/>
        <w:rPr/>
      </w:pPr>
      <w:bookmarkEnd w:id="722"/>
      <w:r>
        <w:rPr>
          <w:rFonts w:ascii="Amiri" w:hAnsi="Amiri" w:eastAsia="Amiri" w:cs="Amiri"/>
          <w:color w:val="111111"/>
          <w:sz w:val="28"/>
          <w:sz w:val="28"/>
          <w:szCs w:val="28"/>
          <w:rtl w:val="true"/>
          <w:lang w:bidi="ar-SA"/>
        </w:rPr>
        <w:t>الوثوق و الاطمئنان، تامّة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Style w:val="FootnoteAnchor"/>
          <w:rtl w:val="true"/>
        </w:rPr>
        <w:footnoteReference w:id="887"/>
      </w:r>
      <w:r>
        <w:rPr>
          <w:rFonts w:ascii="IRNazanin" w:hAnsi="IRNazanin" w:eastAsia="IRNazanin"/>
          <w:color w:val="111111"/>
          <w:sz w:val="28"/>
          <w:sz w:val="28"/>
          <w:szCs w:val="28"/>
          <w:rtl w:val="true"/>
          <w:lang w:bidi="fa-IR"/>
        </w:rPr>
        <w:t>عدم حجّیة مطلق الظنّ، عملا بالعلم الإجمالیّ، فتدبّر</w:t>
      </w:r>
      <w:r>
        <w:rPr>
          <w:rFonts w:eastAsia="IRNazanin" w:cs="IRNazanin"/>
          <w:color w:val="111111"/>
          <w:sz w:val="28"/>
          <w:szCs w:val="28"/>
          <w:rtl w:val="true"/>
          <w:lang w:bidi="fa-IR"/>
        </w:rPr>
        <w:t>.</w:t>
      </w:r>
    </w:p>
    <w:p>
      <w:pPr>
        <w:pStyle w:val="Heading6"/>
        <w:numPr>
          <w:ilvl w:val="5"/>
          <w:numId w:val="1"/>
        </w:numPr>
        <w:rPr/>
      </w:pPr>
      <w:bookmarkStart w:id="723" w:name="__RefHeading___Toc624783_3244359995"/>
      <w:bookmarkStart w:id="724" w:name="_Toc271"/>
      <w:bookmarkEnd w:id="723"/>
      <w:r>
        <w:rPr>
          <w:rtl w:val="true"/>
        </w:rPr>
        <w:t>تذییل</w:t>
      </w:r>
      <w:r>
        <w:rPr>
          <w:rtl w:val="true"/>
        </w:rPr>
        <w:t xml:space="preserve">: </w:t>
      </w:r>
      <w:r>
        <w:rPr>
          <w:rtl w:val="true"/>
        </w:rPr>
        <w:t>حول دلالة آیة النبأ علی عدم حجیة الخبر</w:t>
      </w:r>
      <w:bookmarkEnd w:id="724"/>
    </w:p>
    <w:p>
      <w:pPr>
        <w:pStyle w:val="BookText"/>
        <w:rPr/>
      </w:pPr>
      <w:r>
        <w:rPr>
          <w:rFonts w:ascii="IRNazanin" w:hAnsi="IRNazanin" w:eastAsia="IRNazanin"/>
          <w:color w:val="111111"/>
          <w:sz w:val="28"/>
          <w:sz w:val="28"/>
          <w:szCs w:val="28"/>
          <w:rtl w:val="true"/>
          <w:lang w:bidi="fa-IR"/>
        </w:rPr>
        <w:t>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التعلیل فی ذیل آیة النبأ، المنع عن کلّ الإصابات التی فیها الجهالة، و لا شکّ فی أنّ الاتکاء علی الخبر الواحد غیر الحاصل منه العلم العادیّ، من موارد الندم و الإصابة بجهالة</w:t>
      </w:r>
      <w:r>
        <w:rPr>
          <w:rStyle w:val="FootnoteAnchor"/>
          <w:rtl w:val="true"/>
        </w:rPr>
        <w:footnoteReference w:id="888"/>
      </w:r>
      <w:r>
        <w:rPr>
          <w:rFonts w:ascii="IRNazanin" w:hAnsi="IRNazanin" w:eastAsia="IRNazanin"/>
          <w:color w:val="111111"/>
          <w:sz w:val="28"/>
          <w:sz w:val="28"/>
          <w:szCs w:val="28"/>
          <w:rtl w:val="true"/>
          <w:lang w:bidi="fa-IR"/>
        </w:rPr>
        <w:t>، ضرورة أنّ الجهالة من الصفات النفسانیّة، و هی حاصلة فی موارد الظنون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مورد الجهل المرکّب، تکون الإصابة بجهالة، و تحصل الندامة، بل ربّما تحصل الندامة حتّی فی صورة العلم، فما هو المناط هو أمر آخر، و لیس ذیلها فی حکم التعلیل للحکم، غیر سدید، لعدم إمکان ردع العالم بالواقعة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العلّة هی الجملة الأولی، و أمّا الجملة الثانیة فهی أثر التخلّف عن الحکم،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ثانیا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الجهالة فی قبال التبیّن، هی الإقدام بلا تبیّن و تفحّص و تدبّر و محاسبة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الجهالة هی السفاهة، و هی غیر الجهل</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 xml:space="preserve">و سیمرّ علیک تحقیقه فی محلّه إن شاء اللَّه تعالی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تکون الآیة رادعة عن کلّ الأمور التی فیها الإقدام المنتهی إلی التندّم، إذا أقدم الإنسان علیها بلا تبیّن، و أصاب القوم بجهالة و سفاهة بغیر تفکّر و تدبّر، و لا شبهة فی أنّ الاتکال علی الخبر الواحد القائم به العدل الثقة، لیس فیه السفاهة و الجهالة و إن یستلزم الندامة، کما فی صورة العلم الوجدانیّ أحیانا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التعلیل، یقتضی وجوب التبیّن فی موارد الأمور العادیّة و المسائل الشخصیّة غیر الشرعیّة، و هو ممنوع الوجوب قطعا، فتکون الآیة أجنبیّة عمّا نحن فیه، و عن مسألة حجّیة الخبر الواحد بالمرّة</w:t>
      </w:r>
      <w:r>
        <w:rPr>
          <w:rFonts w:eastAsia="IRNazanin" w:cs="IRNazanin"/>
          <w:color w:val="111111"/>
          <w:sz w:val="28"/>
          <w:szCs w:val="28"/>
          <w:rtl w:val="true"/>
          <w:lang w:bidi="fa-IR"/>
        </w:rPr>
        <w:t>.</w:t>
      </w:r>
      <w:bookmarkStart w:id="725" w:name="pg13170_166574"/>
    </w:p>
    <w:p>
      <w:pPr>
        <w:pStyle w:val="Heading5"/>
        <w:numPr>
          <w:ilvl w:val="4"/>
          <w:numId w:val="1"/>
        </w:numPr>
        <w:rPr/>
      </w:pPr>
      <w:bookmarkStart w:id="726" w:name="__RefHeading___Toc624785_3244359995"/>
      <w:bookmarkStart w:id="727" w:name="_Toc272"/>
      <w:bookmarkEnd w:id="725"/>
      <w:bookmarkEnd w:id="726"/>
      <w:r>
        <w:rPr>
          <w:rtl w:val="true"/>
        </w:rPr>
        <w:t>الوجه الثانی الروایات و الأخبار</w:t>
      </w:r>
      <w:bookmarkEnd w:id="727"/>
    </w:p>
    <w:p>
      <w:pPr>
        <w:pStyle w:val="Heading6"/>
        <w:numPr>
          <w:ilvl w:val="5"/>
          <w:numId w:val="1"/>
        </w:numPr>
        <w:rPr/>
      </w:pPr>
      <w:bookmarkStart w:id="728" w:name="__RefHeading___Toc624787_3244359995"/>
      <w:bookmarkStart w:id="729" w:name="_Toc273"/>
      <w:bookmarkEnd w:id="728"/>
      <w:r>
        <w:rPr>
          <w:rtl w:val="true"/>
        </w:rPr>
        <w:t>اشارة</w:t>
      </w:r>
      <w:bookmarkEnd w:id="729"/>
    </w:p>
    <w:p>
      <w:pPr>
        <w:pStyle w:val="BookText"/>
        <w:rPr/>
      </w:pPr>
      <w:r>
        <w:rPr>
          <w:rFonts w:ascii="IRNazanin" w:hAnsi="IRNazanin" w:eastAsia="IRNazanin"/>
          <w:color w:val="111111"/>
          <w:sz w:val="28"/>
          <w:sz w:val="28"/>
          <w:szCs w:val="28"/>
          <w:rtl w:val="true"/>
          <w:lang w:bidi="fa-IR"/>
        </w:rPr>
        <w:t>و هی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الإشارة إلیها لا بدّ و أن نشیر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ما هو المفید، هو الخبر المتواتر الموجب للوثوق و الاطمئنان و العلم العادیّ، و لو کان الخبر ضعیفا سنده، أو غیر متواتر سندا، فلا یکفی الاعتماد علیه، لعدم 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و أن یورث العلم المزبور، و إلاّ فمقتضی الآیات المستدلّ بها، عدم حجّیة الظواهر بما هی ظواهر، کما مرّ</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الخبر المستند إلیه فی عدم حجّیة الخبر الواحد، واجدا للشرائط المقرّرة فی الأخبار الآتیة</w:t>
      </w:r>
      <w:r>
        <w:rPr>
          <w:rStyle w:val="FootnoteAnchor"/>
          <w:rtl w:val="true"/>
        </w:rPr>
        <w:footnoteReference w:id="893"/>
      </w:r>
      <w:r>
        <w:rPr>
          <w:rFonts w:ascii="IRNazanin" w:hAnsi="IRNazanin" w:eastAsia="IRNazanin"/>
          <w:color w:val="111111"/>
          <w:sz w:val="28"/>
          <w:sz w:val="28"/>
          <w:szCs w:val="28"/>
          <w:rtl w:val="true"/>
          <w:lang w:bidi="fa-IR"/>
        </w:rPr>
        <w:t>، و لو کان فاقدا لتلک الشرائط، فلا یکون حجّة، و لا یصلح للاعتماد علیه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المسألة مذکورة کلّها فی مقدّمات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xml:space="preserve">للسیّد الأستاذ الفقیه الکبیر البروجردیّ قدس سره و هی علی طوائف، نشیر إلیها إجمالا و إن کان قومنا غیر ناقلین أخبار المسألة إلاّ الشیخ الأنصاریّ </w:t>
      </w:r>
      <w:r>
        <w:rPr>
          <w:rStyle w:val="FootnoteAnchor"/>
          <w:rtl w:val="true"/>
        </w:rPr>
        <w:footnoteReference w:id="895"/>
      </w:r>
      <w:r>
        <w:rPr>
          <w:rFonts w:ascii="IRNazanin" w:hAnsi="IRNazanin" w:eastAsia="IRNazanin"/>
          <w:color w:val="111111"/>
          <w:sz w:val="28"/>
          <w:sz w:val="28"/>
          <w:szCs w:val="28"/>
          <w:rtl w:val="true"/>
          <w:lang w:bidi="fa-IR"/>
        </w:rPr>
        <w:t>، ذاهلین عن أنّ أمثال هذه المسائل الروائیّة، تحتاج إلی الغور فی أخبارنا المجملة</w:t>
      </w:r>
      <w:r>
        <w:rPr>
          <w:rFonts w:eastAsia="IRNazanin" w:cs="IRNazanin"/>
          <w:color w:val="111111"/>
          <w:sz w:val="28"/>
          <w:szCs w:val="28"/>
          <w:rtl w:val="true"/>
          <w:lang w:bidi="fa-IR"/>
        </w:rPr>
        <w:t>:</w:t>
      </w:r>
      <w:bookmarkStart w:id="730" w:name="pg13170_166575"/>
    </w:p>
    <w:p>
      <w:pPr>
        <w:pStyle w:val="Heading6"/>
        <w:numPr>
          <w:ilvl w:val="5"/>
          <w:numId w:val="1"/>
        </w:numPr>
        <w:rPr/>
      </w:pPr>
      <w:bookmarkStart w:id="731" w:name="__RefHeading___Toc624789_3244359995"/>
      <w:bookmarkStart w:id="732" w:name="_Toc274"/>
      <w:bookmarkEnd w:id="730"/>
      <w:bookmarkEnd w:id="731"/>
      <w:r>
        <w:rPr>
          <w:rtl w:val="true"/>
        </w:rPr>
        <w:t>الطائفة الأولی</w:t>
      </w:r>
      <w:r>
        <w:rPr>
          <w:rtl w:val="true"/>
        </w:rPr>
        <w:t>:</w:t>
      </w:r>
      <w:bookmarkEnd w:id="732"/>
    </w:p>
    <w:p>
      <w:pPr>
        <w:pStyle w:val="BookText"/>
        <w:rPr/>
      </w:pPr>
      <w:r>
        <w:rPr>
          <w:rFonts w:ascii="IRNazanin" w:hAnsi="IRNazanin" w:eastAsia="IRNazanin"/>
          <w:color w:val="111111"/>
          <w:sz w:val="28"/>
          <w:sz w:val="28"/>
          <w:szCs w:val="28"/>
          <w:rtl w:val="true"/>
          <w:lang w:bidi="fa-IR"/>
        </w:rPr>
        <w:t xml:space="preserve">ما یستدلّ به علی حجّیة معلوم الصدور فقط، و 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عن موسی بن جعفر، و أبی الحسن الثالث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العلم المنقول إلینا عن آبائک و أجدادک علیهم السلام قد اختلف علینا فیه، کیف العمل به علی اختلافه، أو الردّ إلیک فیما اختلف فیه؟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فالزموه، و ما لم تعلموه فردّوه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بفقدانه تلک الشرائط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منه هو فی مورد اختلاف الأخبار، و علیه یتوجّه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کیف یصحّ التعبیر عن الخبرین المختلفین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الخبر علی حجّیة خبر الثقة فی ذاته، و یشهد هذا الخبر علی أنّ الخبر الموثوق به، علم فی محیط السائلین و المجیبین علیهم السلام و علیه یحمل طبعا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w:t>
      </w:r>
      <w:r>
        <w:rPr>
          <w:rFonts w:eastAsia="IRNazanin" w:cs="IRNazanin"/>
          <w:color w:val="111111"/>
          <w:sz w:val="28"/>
          <w:szCs w:val="28"/>
          <w:rtl w:val="true"/>
          <w:lang w:bidi="fa-IR"/>
        </w:rPr>
        <w:t>.</w:t>
      </w:r>
    </w:p>
    <w:p>
      <w:pPr>
        <w:pStyle w:val="Heading6"/>
        <w:numPr>
          <w:ilvl w:val="5"/>
          <w:numId w:val="1"/>
        </w:numPr>
        <w:rPr/>
      </w:pPr>
      <w:bookmarkStart w:id="733" w:name="__RefHeading___Toc624791_3244359995"/>
      <w:bookmarkStart w:id="734" w:name="_Toc275"/>
      <w:bookmarkEnd w:id="733"/>
      <w:r>
        <w:rPr>
          <w:rtl w:val="true"/>
        </w:rPr>
        <w:t>الطائفة الثانیة</w:t>
      </w:r>
      <w:r>
        <w:rPr>
          <w:rtl w:val="true"/>
        </w:rPr>
        <w:t>:</w:t>
      </w:r>
      <w:bookmarkEnd w:id="734"/>
    </w:p>
    <w:p>
      <w:pPr>
        <w:pStyle w:val="BookText"/>
        <w:rPr/>
      </w:pPr>
      <w:r>
        <w:rPr>
          <w:rFonts w:ascii="IRNazanin" w:hAnsi="IRNazanin" w:eastAsia="IRNazanin"/>
          <w:color w:val="111111"/>
          <w:sz w:val="28"/>
          <w:sz w:val="28"/>
          <w:szCs w:val="28"/>
          <w:rtl w:val="true"/>
          <w:lang w:bidi="fa-IR"/>
        </w:rPr>
        <w:t>ما یدلّ علی اشتراط حجّیة الخبر بوجود شاهد أو شاهدین فی کتاب اللَّه و سنّة نبیه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بکیر، عن رجل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علیه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جاءکم عنّا حدیث فوجدتم علیه شاهدا أو شاهدین من کتاب اللَّه فخذوه، و إلاّ فقفوا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عبد اللَّه بن محمّد صحیحا،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الحسین بن أبی العلاء، أنّه حضر ابن أبی یعفور هذا المجلس، قال سألت أبا عبد اللَّه علیه السلام عن اختلاف الحدیث، یرویه من نثق به، و منهم من لا نثق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 آله و سلم و إلاّ فالذی جاءکم به أولی به</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 الأوّل مرسل، و الثانی معتبر ظاهرا، لأنّ عبد اللَّه بن محمّد هو الحجّال المزخرف الأسدیّ الثقة، و روایة ابن یحیی عنه ممکنة، بل واقعة، و احتمال کونه غیر الحجّال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سنده علیّ بن الحکم، و هو عندی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الخبر الواحد لا یتمسّک به، فالشرائط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الخبر الثانی فی مورد المعارضة و الاختلاف، و یشهد لکون الأوّل أیضا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المعروف قول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أتاکم عنّا حدیثان مختلفان، فخذوا بما وافق منهما القرآن، فان لم تجدوا لهما شاهدا من القرآن، فخذوا بالمجمع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الخبر الثانی یشهد علی مغروسیّة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عدم إمضائه علیه السلام سؤاله، و الجواب علی وجه اخر، یورث اشتراط الحجّیة بالموافقة، و لزوم الشاهد علیه من الکتاب</w:t>
      </w:r>
      <w:r>
        <w:rPr>
          <w:rFonts w:eastAsia="IRNazanin" w:cs="IRNazanin"/>
          <w:color w:val="111111"/>
          <w:sz w:val="28"/>
          <w:szCs w:val="28"/>
          <w:rtl w:val="true"/>
          <w:lang w:bidi="fa-IR"/>
        </w:rPr>
        <w:t>.</w:t>
      </w:r>
      <w:bookmarkStart w:id="735" w:name="pg13170_166577"/>
    </w:p>
    <w:p>
      <w:pPr>
        <w:pStyle w:val="BookText"/>
        <w:rPr/>
      </w:pPr>
      <w:bookmarkEnd w:id="735"/>
      <w:r>
        <w:rPr>
          <w:rFonts w:ascii="IRNazanin" w:hAnsi="IRNazanin" w:eastAsia="IRNazanin"/>
          <w:color w:val="111111"/>
          <w:sz w:val="28"/>
          <w:sz w:val="28"/>
          <w:szCs w:val="28"/>
          <w:rtl w:val="true"/>
          <w:lang w:bidi="fa-IR"/>
        </w:rPr>
        <w:t>و لکن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الرسول صلی اللَّه علیه و آله و سلم لا یثبت إلاّ بالواحد نوعا، و قلّما یتّفق ثبوته بالتواتر، بل و الاشتهار، فهو أیضا شاهد علی أنّ مصبّ الکلام مورد المعارضة، و سیمرّ علیک ما هو الجواب المشترک عن مطلق هذه الأخبار الدالّة علی اشتراط حجّیة الخبر بغیر ما هو المعتبر عند العقلاء</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الخبرین ساقطان عن صلاحیة الاستدلال، لفقدانهما الشرائط اللازمة عقلا و شرعا، کما لا یخفی</w:t>
      </w:r>
      <w:r>
        <w:rPr>
          <w:rFonts w:eastAsia="IRNazanin" w:cs="IRNazanin"/>
          <w:color w:val="111111"/>
          <w:sz w:val="28"/>
          <w:szCs w:val="28"/>
          <w:rtl w:val="true"/>
          <w:lang w:bidi="fa-IR"/>
        </w:rPr>
        <w:t>.</w:t>
      </w:r>
    </w:p>
    <w:p>
      <w:pPr>
        <w:pStyle w:val="Heading6"/>
        <w:numPr>
          <w:ilvl w:val="5"/>
          <w:numId w:val="1"/>
        </w:numPr>
        <w:rPr/>
      </w:pPr>
      <w:bookmarkStart w:id="736" w:name="__RefHeading___Toc624793_3244359995"/>
      <w:bookmarkStart w:id="737" w:name="_Toc276"/>
      <w:bookmarkEnd w:id="736"/>
      <w:r>
        <w:rPr>
          <w:rtl w:val="true"/>
        </w:rPr>
        <w:t>الطائفة الثالثة</w:t>
      </w:r>
      <w:r>
        <w:rPr>
          <w:rtl w:val="true"/>
        </w:rPr>
        <w:t>:</w:t>
      </w:r>
      <w:bookmarkEnd w:id="737"/>
    </w:p>
    <w:p>
      <w:pPr>
        <w:pStyle w:val="BookText"/>
        <w:rPr/>
      </w:pPr>
      <w:r>
        <w:rPr>
          <w:rFonts w:ascii="IRNazanin" w:hAnsi="IRNazanin" w:eastAsia="IRNazanin"/>
          <w:color w:val="111111"/>
          <w:sz w:val="28"/>
          <w:sz w:val="28"/>
          <w:szCs w:val="28"/>
          <w:rtl w:val="true"/>
          <w:lang w:bidi="fa-IR"/>
        </w:rPr>
        <w:t>ما یستفاد منه حجّیة الخبر الموافق للکتاب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حدیث مردود إلی الکتاب و السنّة، و کلّ شی‌ء لا یوافق کتاب اللَّه فهو زخرف</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عن أیوب بن راشد،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العیّاشی، عن کلیب الأسدیّ </w:t>
      </w:r>
      <w:r>
        <w:rPr>
          <w:rStyle w:val="FootnoteAnchor"/>
          <w:rtl w:val="true"/>
        </w:rPr>
        <w:footnoteReference w:id="904"/>
      </w:r>
      <w:r>
        <w:rPr>
          <w:rFonts w:ascii="IRNazanin" w:hAnsi="IRNazanin" w:eastAsia="IRNazanin"/>
          <w:color w:val="111111"/>
          <w:sz w:val="28"/>
          <w:sz w:val="28"/>
          <w:szCs w:val="28"/>
          <w:rtl w:val="true"/>
          <w:lang w:bidi="fa-IR"/>
        </w:rPr>
        <w:t>، و هو قریب ممّا سلف</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p>
    <w:p>
      <w:pPr>
        <w:pStyle w:val="BookText"/>
        <w:rPr/>
      </w:pPr>
      <w:r>
        <w:rPr>
          <w:rFonts w:ascii="Amiri" w:hAnsi="Amiri" w:eastAsia="Amiri" w:cs="Amiri"/>
          <w:color w:val="111111"/>
          <w:sz w:val="28"/>
          <w:sz w:val="28"/>
          <w:szCs w:val="28"/>
          <w:rtl w:val="true"/>
          <w:lang w:bidi="ar-SA"/>
        </w:rPr>
        <w:t>و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علینا إلاّ ما وافق کتاب اللَّه و سنّة نبیّه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أیوب بن الحرّ لم یوثّق </w:t>
      </w:r>
      <w:r>
        <w:rPr>
          <w:rStyle w:val="FootnoteAnchor"/>
          <w:rtl w:val="true"/>
        </w:rPr>
        <w:footnoteReference w:id="906"/>
      </w:r>
      <w:r>
        <w:rPr>
          <w:rFonts w:ascii="IRNazanin" w:hAnsi="IRNazanin" w:eastAsia="IRNazanin"/>
          <w:color w:val="111111"/>
          <w:sz w:val="28"/>
          <w:sz w:val="28"/>
          <w:szCs w:val="28"/>
          <w:rtl w:val="true"/>
          <w:lang w:bidi="fa-IR"/>
        </w:rPr>
        <w:t>، ففی هذه الطائفة یکون الخبر الأوّل معتبراً سنداً فقط، مع فقدانها الشرائط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لا تثبت إلاّ بالواحد،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الموافقة، معناه عدم حجّیة کلّ خبر لم یکن مضمونه فی القرآن، أو کان و کان مخالفا له، و علی هذا یمکن تقیید إطلاقه بصورة کونه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w:t>
      </w:r>
      <w:r>
        <w:rPr>
          <w:rStyle w:val="FootnoteAnchor"/>
          <w:rtl w:val="true"/>
        </w:rPr>
        <w:footnoteReference w:id="907"/>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المخالفة بالتباین و المکاذبة بالکلّیة، و أمّا سائر المخالفات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تعد مخالفة فی المضمون بالذات، بل و لا بالعرض، لأجنبیّة ذلک عن التخالف فی 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لذلک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عِنْدِ غَیْرِ اللَّهِ لَوَجَدُوا فِیهِ اخْتِلافاً کَثِیراً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یجوز تقیید الإطلاق المزبور بالمسائل الاعتقادیّة، جمعا بین الأدلّة أیضا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بإباء اللسان المزبور عن التقیید و التخصیص </w:t>
      </w:r>
      <w:r>
        <w:rPr>
          <w:rStyle w:val="FootnoteAnchor"/>
          <w:rtl w:val="true"/>
        </w:rPr>
        <w:footnoteReference w:id="909"/>
      </w:r>
      <w:r>
        <w:rPr>
          <w:rFonts w:ascii="IRNazanin" w:hAnsi="IRNazanin" w:eastAsia="IRNazanin"/>
          <w:color w:val="111111"/>
          <w:sz w:val="28"/>
          <w:sz w:val="28"/>
          <w:szCs w:val="28"/>
          <w:rtl w:val="true"/>
          <w:lang w:bidi="fa-IR"/>
        </w:rPr>
        <w:t xml:space="preserve">، فإمّا یردّ علمه إلی أهله، لما عرفت </w:t>
      </w:r>
      <w:r>
        <w:rPr>
          <w:rStyle w:val="FootnoteAnchor"/>
          <w:rtl w:val="true"/>
        </w:rPr>
        <w:footnoteReference w:id="910"/>
      </w:r>
      <w:r>
        <w:rPr>
          <w:rFonts w:ascii="Amiri" w:hAnsi="Amiri" w:eastAsia="Amiri" w:cs="Amiri"/>
          <w:color w:val="111111"/>
          <w:sz w:val="28"/>
          <w:sz w:val="28"/>
          <w:szCs w:val="28"/>
          <w:rtl w:val="true"/>
          <w:lang w:bidi="ar-SA"/>
        </w:rPr>
        <w:t>، أو علی أنّ له مصبّا خاصّا</w:t>
      </w:r>
      <w:r>
        <w:rPr>
          <w:rStyle w:val="FootnoteAnchor"/>
          <w:rtl w:val="true"/>
        </w:rPr>
        <w:footnoteReference w:id="911"/>
      </w:r>
      <w:r>
        <w:rPr>
          <w:rFonts w:ascii="IRNazanin" w:hAnsi="IRNazanin" w:eastAsia="IRNazanin"/>
          <w:color w:val="111111"/>
          <w:sz w:val="28"/>
          <w:sz w:val="28"/>
          <w:szCs w:val="28"/>
          <w:rtl w:val="true"/>
          <w:lang w:bidi="fa-IR"/>
        </w:rPr>
        <w:t xml:space="preserve">، أو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المخالف المحمول علی المخالفة بالتباین،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الوجه الأخیر قریب جدّاً</w:t>
      </w:r>
      <w:r>
        <w:rPr>
          <w:rFonts w:eastAsia="IRNazanin" w:cs="IRNazanin"/>
          <w:color w:val="111111"/>
          <w:sz w:val="28"/>
          <w:szCs w:val="28"/>
          <w:rtl w:val="true"/>
          <w:lang w:bidi="fa-IR"/>
        </w:rPr>
        <w:t>.</w:t>
      </w:r>
      <w:bookmarkStart w:id="738" w:name="pg13170_166579"/>
    </w:p>
    <w:p>
      <w:pPr>
        <w:pStyle w:val="BookText"/>
        <w:rPr/>
      </w:pPr>
      <w:bookmarkEnd w:id="738"/>
      <w:r>
        <w:rPr>
          <w:rFonts w:ascii="Amiri" w:hAnsi="Amiri" w:eastAsia="Amiri" w:cs="Amiri"/>
          <w:color w:val="111111"/>
          <w:sz w:val="28"/>
          <w:sz w:val="28"/>
          <w:szCs w:val="28"/>
          <w:rtl w:val="true"/>
          <w:lang w:bidi="ar-SA"/>
        </w:rPr>
        <w:t xml:space="preserve">و مقتضی ما تحرّر منّا فی محلّه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العمومات اللفظیّة، تحتاج فی استیعاب الأفراد إلی مقدّمات البیان، فیجوز أن یکون أمثال هذه الأخبار تقیّة، حتّی یتوجّه العدوّ إلی أنّهم لا یقولون علی خلاف الکتاب، و یحافظون علیه جدّاً و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أن یحمل علی صورة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تصدّق علینا إلاّ ما 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معناه النهی عن تصدیق الشین علیهم، أعاذنا اللَّه من التوهّم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p>
    <w:p>
      <w:pPr>
        <w:pStyle w:val="Heading6"/>
        <w:numPr>
          <w:ilvl w:val="5"/>
          <w:numId w:val="1"/>
        </w:numPr>
        <w:rPr/>
      </w:pPr>
      <w:bookmarkStart w:id="739" w:name="__RefHeading___Toc624795_3244359995"/>
      <w:bookmarkStart w:id="740" w:name="_Toc277"/>
      <w:bookmarkEnd w:id="739"/>
      <w:r>
        <w:rPr>
          <w:rtl w:val="true"/>
        </w:rPr>
        <w:t>الطائفة الرابعة</w:t>
      </w:r>
      <w:r>
        <w:rPr>
          <w:rtl w:val="true"/>
        </w:rPr>
        <w:t>:</w:t>
      </w:r>
      <w:bookmarkEnd w:id="740"/>
    </w:p>
    <w:p>
      <w:pPr>
        <w:pStyle w:val="BookText"/>
        <w:rPr/>
      </w:pPr>
      <w:r>
        <w:rPr>
          <w:rFonts w:ascii="IRNazanin" w:hAnsi="IRNazanin" w:eastAsia="IRNazanin"/>
          <w:color w:val="111111"/>
          <w:sz w:val="28"/>
          <w:sz w:val="28"/>
          <w:szCs w:val="28"/>
          <w:rtl w:val="true"/>
          <w:lang w:bidi="fa-IR"/>
        </w:rPr>
        <w:t>ما تدلّ علی تنویع الأخبار إلی نوعین، و اعتبرت فی حجّیة النوع الأوّل موافقة الکتاب، و فی عدم حجّیة النوع الثانی مخالفة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المعتبر عندنا، عن النوفلیّ، عن السکونیّ،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اشتهر الخبر فی المجامع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 غیرهما بأسانید مختلفة، و مع ذلک لیس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مضمونه مشمول للآیات الناهیة، کما أشیر إلیه، فیکون الحدیث فاقد الشرائط العقلیّة و الشرعیّة أیضا، فلا یصلح للاستدلال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ما جاءک فی روایة من برّ أو فاجر یوافق القرآن فخذ به، و ما جاءک فی</w:t>
      </w:r>
    </w:p>
    <w:p>
      <w:pPr>
        <w:pStyle w:val="BookText"/>
        <w:rPr/>
      </w:pPr>
      <w:r>
        <w:rPr>
          <w:rFonts w:ascii="IRNazanin" w:hAnsi="IRNazanin" w:eastAsia="IRNazanin"/>
          <w:color w:val="111111"/>
          <w:sz w:val="28"/>
          <w:sz w:val="28"/>
          <w:szCs w:val="28"/>
          <w:rtl w:val="true"/>
          <w:lang w:bidi="fa-IR"/>
        </w:rPr>
        <w:t>روایة من برّ أو فاجر یخالف القرآن فلا تأخذ به</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عن هشام بن الحکم و غیره،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النبی صلی اللَّه علیه و آله و سلم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الطائفة أیضا فاقدة لشرائط الاستدلال علی عدم 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المخالفة هی بالتباین، و تکون المسألة مندرجة فی مسألة جواز نسخ القرآن بالخبر الواحد، و هو ممنوع فی محلّه </w:t>
      </w:r>
      <w:r>
        <w:rPr>
          <w:rStyle w:val="FootnoteAnchor"/>
          <w:rtl w:val="true"/>
        </w:rPr>
        <w:footnoteReference w:id="917"/>
      </w:r>
      <w:r>
        <w:rPr>
          <w:rFonts w:ascii="IRNazanin" w:hAnsi="IRNazanin" w:eastAsia="IRNazanin"/>
          <w:color w:val="111111"/>
          <w:sz w:val="28"/>
          <w:sz w:val="28"/>
          <w:szCs w:val="28"/>
          <w:rtl w:val="true"/>
          <w:lang w:bidi="fa-IR"/>
        </w:rPr>
        <w:t>، و جائز إذا کان المشهور عمل به، فإنّه یعدّ من المجمع علیه، لا من الخبر الواحد، و لا ینبغی الخلط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الطائفة ساکتة عن الأخبار غیر الموافقة و غیر المخالفة بالتباین، و هی أکثر الأخبار فی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 الجملة، یدلّ علی اشتراط حجّیة الخبر بالموافقة، فی غیر محلّه، بعد صراحة الذیل فی أنّ المخالف مطروح، فتکون الطائفة الثالثة خارجة عنها حسب الفهم العرفیّ، بعد عدم إمکان الأخذ بلازم الجملتین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الخبر الثانی من هذه الطائفة، یشهد علی أنّ مصبّ الخبر فی المسائل الاعتقادیّة، ضرورة أنّ تلک المسائل لیست مبتنیة علی صحّة السند و عدمها، لعدم حصول الاعتقاد بذلک عادة، بخلاف کونه فی القرآن، و کون نقیضه فیه، فإنّه یحصل عادة لنوع الناس من ذلک الاعتقاد</w:t>
      </w:r>
      <w:r>
        <w:rPr>
          <w:rFonts w:eastAsia="IRNazanin" w:cs="IRNazanin"/>
          <w:color w:val="111111"/>
          <w:sz w:val="28"/>
          <w:szCs w:val="28"/>
          <w:rtl w:val="true"/>
          <w:lang w:bidi="fa-IR"/>
        </w:rPr>
        <w:t>.</w:t>
      </w:r>
      <w:bookmarkStart w:id="741" w:name="pg13170_166581"/>
    </w:p>
    <w:p>
      <w:pPr>
        <w:pStyle w:val="Heading6"/>
        <w:numPr>
          <w:ilvl w:val="5"/>
          <w:numId w:val="1"/>
        </w:numPr>
        <w:rPr/>
      </w:pPr>
      <w:bookmarkStart w:id="742" w:name="__RefHeading___Toc624797_3244359995"/>
      <w:bookmarkStart w:id="743" w:name="_Toc278"/>
      <w:bookmarkEnd w:id="741"/>
      <w:bookmarkEnd w:id="742"/>
      <w:r>
        <w:rPr>
          <w:rtl w:val="true"/>
        </w:rPr>
        <w:t>الطائفة الخامسة</w:t>
      </w:r>
      <w:r>
        <w:rPr>
          <w:rtl w:val="true"/>
        </w:rPr>
        <w:t>:</w:t>
      </w:r>
      <w:bookmarkEnd w:id="743"/>
    </w:p>
    <w:p>
      <w:pPr>
        <w:pStyle w:val="BookText"/>
        <w:rPr/>
      </w:pPr>
      <w:r>
        <w:rPr>
          <w:rFonts w:ascii="IRNazanin" w:hAnsi="IRNazanin" w:eastAsia="IRNazanin"/>
          <w:color w:val="111111"/>
          <w:sz w:val="28"/>
          <w:sz w:val="28"/>
          <w:szCs w:val="28"/>
          <w:rtl w:val="true"/>
          <w:lang w:bidi="fa-IR"/>
        </w:rPr>
        <w:t>ما تدل علی تنویع الأخبار إلی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فیکون حجّة، و غیر الموافق، فلا یکون حجّة، و لا یوجد بین أخبار المسألة إلاّ خبر واحد یقتضی ذلک، و هو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عن عمرو بن شمر، عن جابر، عن أبی جعفر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أمرنا و ما جاءکم عنّا، فإنّ وجدتموه للقرآن موافقا فخذوا به، و إن لم تجدوه موافقا فردّوه </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عمرو بن شمر إشکال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صدر له یحتمل سقوط ما یورث کونه من الأخبار العلاجیّة، فیخرج عن مسألتنا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الکتب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 إشکالا علی کافّة تلک الأخبار الآمرة بالأخذ بالموافق </w:t>
      </w:r>
      <w:r>
        <w:rPr>
          <w:rStyle w:val="FootnoteAnchor"/>
          <w:rtl w:val="true"/>
        </w:rPr>
        <w:footnoteReference w:id="920"/>
      </w:r>
      <w:r>
        <w:rPr>
          <w:rFonts w:ascii="IRNazanin" w:hAnsi="IRNazanin" w:eastAsia="IRNazanin"/>
          <w:color w:val="111111"/>
          <w:sz w:val="28"/>
          <w:sz w:val="28"/>
          <w:szCs w:val="28"/>
          <w:rtl w:val="true"/>
          <w:lang w:bidi="fa-IR"/>
        </w:rPr>
        <w:t xml:space="preserve">، و ما له الشاهد و الشاهدان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الأخذ به لا معنی له، لرجوع ذلک إلی الأخذ بالکتاب، فیکون نتیجة هذه الأخبار لغویّة حفظ الآثار کلّها، لأنّ المخالف مطروح، و غیر المخالف لا بدّ و أن یکون موافقا، و إلاّ فیطرح، و الموافق للکتاب أیضا مطروح فی الحقیقة، فتکون نفس هذه الأخبار نفس ما قاله الملعون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هنا یظهر إمکان کون الکلّ مدسوسا فی الأخبار، نظرا إلی المقاصد الفاسدة، و الآراء الباطلة لعلماء السوء، و للحکّام الجائرین</w:t>
      </w:r>
      <w:r>
        <w:rPr>
          <w:rFonts w:eastAsia="IRNazanin" w:cs="IRNazanin"/>
          <w:color w:val="111111"/>
          <w:sz w:val="28"/>
          <w:szCs w:val="28"/>
          <w:rtl w:val="true"/>
          <w:lang w:bidi="fa-IR"/>
        </w:rPr>
        <w:t>.</w:t>
      </w:r>
      <w:bookmarkStart w:id="744" w:name="pg13170_166582"/>
    </w:p>
    <w:p>
      <w:pPr>
        <w:pStyle w:val="BookText"/>
        <w:rPr/>
      </w:pPr>
      <w:bookmarkEnd w:id="744"/>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الشاهد من الکتاب و الموافقة إجمالا کافٍ للأخذ بالخبر الأعمّ یکون لحفظ الخبر أثر، فتأمّل</w:t>
      </w:r>
      <w:r>
        <w:rPr>
          <w:rFonts w:eastAsia="IRNazanin" w:cs="IRNazanin"/>
          <w:color w:val="111111"/>
          <w:sz w:val="28"/>
          <w:szCs w:val="28"/>
          <w:rtl w:val="true"/>
          <w:lang w:bidi="fa-IR"/>
        </w:rPr>
        <w:t>.</w:t>
      </w:r>
    </w:p>
    <w:p>
      <w:pPr>
        <w:pStyle w:val="Heading6"/>
        <w:numPr>
          <w:ilvl w:val="5"/>
          <w:numId w:val="1"/>
        </w:numPr>
        <w:rPr/>
      </w:pPr>
      <w:bookmarkStart w:id="745" w:name="__RefHeading___Toc624799_3244359995"/>
      <w:bookmarkStart w:id="746" w:name="_Toc279"/>
      <w:bookmarkEnd w:id="745"/>
      <w:r>
        <w:rPr>
          <w:rtl w:val="true"/>
        </w:rPr>
        <w:t>بقی شی‌ء</w:t>
      </w:r>
      <w:r>
        <w:rPr>
          <w:rtl w:val="true"/>
        </w:rPr>
        <w:t xml:space="preserve">: </w:t>
      </w:r>
      <w:r>
        <w:rPr>
          <w:rtl w:val="true"/>
        </w:rPr>
        <w:t>فی اختصاص الأخبار السابقة بعصر الأئمة علیهم السلام</w:t>
      </w:r>
      <w:bookmarkEnd w:id="746"/>
    </w:p>
    <w:p>
      <w:pPr>
        <w:pStyle w:val="BookText"/>
        <w:rPr/>
      </w:pPr>
      <w:r>
        <w:rPr>
          <w:rFonts w:ascii="IRNazanin" w:hAnsi="IRNazanin" w:eastAsia="IRNazanin"/>
          <w:color w:val="111111"/>
          <w:sz w:val="28"/>
          <w:sz w:val="28"/>
          <w:szCs w:val="28"/>
          <w:rtl w:val="true"/>
          <w:lang w:bidi="fa-IR"/>
        </w:rPr>
        <w:t>یظهر لی بعد التدبّر فی الآثار، قوّة کون الأخبار فی هذه المسألة، ناظرة إلی المؤمنین فی عصر الأئمّة علیهم السلام، و تکون الخطابات من القضایا الخارجیّة المخصوصة بتلک الأعصار، لعدم تمکّنهم من التمییز فی تلک الأقطار المظلمة المدسوس فیها الخبر، حتّی حکی عن بعضهم بعد ما استبصر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دسّ فی الأخبار اثنی عشر ألف حدیثا</w:t>
      </w:r>
      <w:r>
        <w:rPr>
          <w:rStyle w:val="FootnoteAnchor"/>
          <w:rtl w:val="true"/>
        </w:rPr>
        <w:footnoteReference w:id="923"/>
      </w:r>
      <w:r>
        <w:rPr>
          <w:rFonts w:ascii="IRNazanin" w:hAnsi="IRNazanin" w:eastAsia="IRNazanin"/>
          <w:color w:val="111111"/>
          <w:sz w:val="28"/>
          <w:sz w:val="28"/>
          <w:szCs w:val="28"/>
          <w:rtl w:val="true"/>
          <w:lang w:bidi="fa-IR"/>
        </w:rPr>
        <w:t>، فإنّ ذلک و الأمر بالردّ إلیهم الظاهر فی تمکّنهم من ذلک، یشهد علی الاختصاص، لعدم تهذیب السقیم من الصحیح و الطیّب من الخبیث، و الحقّ من الباطل، مع تمکّنهم من حلّ مشاکلهم العملیّة بالرجوع إلیهم مشافهة أو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قیام أصحابنا المحققین بتهذیب الأخبار، و تشخیص المعتبر من غیر المعتبر، و المدسوس من غیر المدسوس، فلا یکون محلّ للحاجة إلی عرضها علی الکتاب، و لذلک تجد أنّهم یأمرون بالعرض علی الکتاب، سواء کان من الفاجر، أو البرّ، مع ما فی أخبار حجّیة الخبر الواحد فی الجملة ممّا یدلّ علی حجّیة خبر البرّ</w:t>
      </w:r>
      <w:r>
        <w:rPr>
          <w:rStyle w:val="FootnoteAnchor"/>
          <w:rtl w:val="true"/>
        </w:rPr>
        <w:footnoteReference w:id="924"/>
      </w:r>
      <w:r>
        <w:rPr>
          <w:rFonts w:ascii="IRNazanin" w:hAnsi="IRNazanin" w:eastAsia="IRNazanin"/>
          <w:color w:val="111111"/>
          <w:sz w:val="28"/>
          <w:sz w:val="28"/>
          <w:szCs w:val="28"/>
          <w:rtl w:val="true"/>
          <w:lang w:bidi="fa-IR"/>
        </w:rPr>
        <w:t>، فتأمّل فی ذلک، لعلّک تجد إلیه سبیلا، و علیه شواهد أخری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فیما روی عن النبیّ صلی اللَّه علیه و آله و سلم </w:t>
      </w:r>
      <w:r>
        <w:rPr>
          <w:rStyle w:val="FootnoteAnchor"/>
          <w:rtl w:val="true"/>
        </w:rPr>
        <w:footnoteReference w:id="925"/>
      </w:r>
      <w:r>
        <w:rPr>
          <w:rFonts w:ascii="IRNazanin" w:hAnsi="IRNazanin" w:eastAsia="IRNazanin"/>
          <w:color w:val="111111"/>
          <w:sz w:val="28"/>
          <w:sz w:val="28"/>
          <w:szCs w:val="28"/>
          <w:rtl w:val="true"/>
          <w:lang w:bidi="fa-IR"/>
        </w:rPr>
        <w:t>لا یأتی ذلک، و لکن مضمون الخبرین المنقولین عنه صلی اللَّه علیه و آله و سلم موافق للتحقیق، لأنّ المخالف بالتباین یطرح إلاّ إذا قام الإجماع أو الشهرة، فإنّه تقیید لإطلاق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اللطیف عدم وجود الخبر</w:t>
      </w:r>
      <w:bookmarkStart w:id="747" w:name="pg13170_166583"/>
    </w:p>
    <w:p>
      <w:pPr>
        <w:pStyle w:val="BookText"/>
        <w:rPr/>
      </w:pPr>
      <w:bookmarkEnd w:id="747"/>
      <w:r>
        <w:rPr>
          <w:rFonts w:ascii="IRNazanin" w:hAnsi="IRNazanin" w:eastAsia="IRNazanin"/>
          <w:color w:val="111111"/>
          <w:sz w:val="28"/>
          <w:sz w:val="28"/>
          <w:szCs w:val="28"/>
          <w:rtl w:val="true"/>
          <w:lang w:bidi="fa-IR"/>
        </w:rPr>
        <w:t>الثالث عنه صلی اللَّه علیه و آله و سلم و هما متّحدان فی المضمون، و موافقان للأصل و القواعد</w:t>
      </w:r>
      <w:r>
        <w:rPr>
          <w:rFonts w:eastAsia="IRNazanin" w:cs="IRNazanin"/>
          <w:color w:val="111111"/>
          <w:sz w:val="28"/>
          <w:szCs w:val="28"/>
          <w:rtl w:val="true"/>
          <w:lang w:bidi="fa-IR"/>
        </w:rPr>
        <w:t>.</w:t>
      </w:r>
    </w:p>
    <w:p>
      <w:pPr>
        <w:pStyle w:val="Heading6"/>
        <w:numPr>
          <w:ilvl w:val="5"/>
          <w:numId w:val="1"/>
        </w:numPr>
        <w:rPr/>
      </w:pPr>
      <w:bookmarkStart w:id="748" w:name="__RefHeading___Toc624801_3244359995"/>
      <w:bookmarkStart w:id="749" w:name="_Toc280"/>
      <w:bookmarkEnd w:id="748"/>
      <w:r>
        <w:rPr>
          <w:rtl w:val="true"/>
        </w:rPr>
        <w:t>تتمّة</w:t>
      </w:r>
      <w:r>
        <w:rPr>
          <w:rtl w:val="true"/>
        </w:rPr>
        <w:t>:</w:t>
      </w:r>
      <w:bookmarkEnd w:id="749"/>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التواتر الإجمالیّ حجّیة خبر واحد من بین الأخبار، فیکون صالحا للردع به عن الأخبار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إن کان یرجع إلی الأقلّ و الأکثر، فالمتیقّن غیر معلوم الصدور، لأنّ ما هو المتیقّن من بین الأخبار، هو الخبر المعلوم الصدور الموافق للقرآن و السنّة، و هذا یلزم من وجوده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یرجع إلی المتباینین، فلا ینفع لما لا نعلم بخصوصه حتّی نأخذ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الثانی، لأنّ مقتضی طائفة منها حجّیة غیر المخالف، و مقتضی الطائفة الأخری حجّیة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الطوائف حجّیة الموافق المعلوم صدوره، فیکون الأخذ بالقدر المتیقّن من الأخذ بالأخبار، غیر سدید، لأنّ طرح الأخبار التی هی حجّة غیر جائز أیضا، و إذا کان غیر المخالف حجّة یلزم خلاف الاحتیاط، و یلزم طرح الأخبار بلا وجه، فلا یفید التواتر الإجمالیّ هنا شیئا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الأخبار إلی ما یدلّ علی عدم الصدور، و ما یدلّ علی عدم الحجّیة، غیر صحیح، لأنّ الأخبار الناطقة بعدم الصدور توجب التعبّد به، و معنی التعبّد بعدم الصدور، لیس إلاّ التعبّد بعدم الحجّیة، فما فی تقریرات العلاّمة الأراکیّ رحمه اللَّه هنا</w:t>
      </w:r>
      <w:r>
        <w:rPr>
          <w:rStyle w:val="FootnoteAnchor"/>
          <w:rtl w:val="true"/>
        </w:rPr>
        <w:footnoteReference w:id="926"/>
      </w:r>
      <w:r>
        <w:rPr>
          <w:rFonts w:ascii="IRNazanin" w:hAnsi="IRNazanin" w:eastAsia="IRNazanin"/>
          <w:color w:val="111111"/>
          <w:sz w:val="28"/>
          <w:sz w:val="28"/>
          <w:szCs w:val="28"/>
          <w:rtl w:val="true"/>
          <w:lang w:bidi="fa-IR"/>
        </w:rPr>
        <w:t>، لا یخلو من تأسّف، و الأمر سهل</w:t>
      </w:r>
      <w:r>
        <w:rPr>
          <w:rFonts w:eastAsia="IRNazanin" w:cs="IRNazanin"/>
          <w:color w:val="111111"/>
          <w:sz w:val="28"/>
          <w:szCs w:val="28"/>
          <w:rtl w:val="true"/>
          <w:lang w:bidi="fa-IR"/>
        </w:rPr>
        <w:t>.</w:t>
      </w:r>
      <w:bookmarkStart w:id="750" w:name="pg13170_166584"/>
    </w:p>
    <w:p>
      <w:pPr>
        <w:pStyle w:val="Heading5"/>
        <w:numPr>
          <w:ilvl w:val="4"/>
          <w:numId w:val="1"/>
        </w:numPr>
        <w:rPr/>
      </w:pPr>
      <w:bookmarkStart w:id="751" w:name="__RefHeading___Toc624803_3244359995"/>
      <w:bookmarkStart w:id="752" w:name="_Toc281"/>
      <w:bookmarkEnd w:id="750"/>
      <w:bookmarkEnd w:id="751"/>
      <w:r>
        <w:rPr>
          <w:rtl w:val="true"/>
        </w:rPr>
        <w:t>الوجه الثالث الإجماع المحکیّ عن السید رحمه اللَّه</w:t>
      </w:r>
      <w:bookmarkEnd w:id="752"/>
    </w:p>
    <w:p>
      <w:pPr>
        <w:pStyle w:val="BookText"/>
        <w:rPr/>
      </w:pPr>
      <w:r>
        <w:rPr>
          <w:rFonts w:ascii="IRNazanin" w:hAnsi="IRNazanin" w:eastAsia="IRNazanin"/>
          <w:color w:val="111111"/>
          <w:sz w:val="28"/>
          <w:sz w:val="28"/>
          <w:szCs w:val="28"/>
          <w:rtl w:val="true"/>
          <w:lang w:bidi="fa-IR"/>
        </w:rPr>
        <w:t xml:space="preserve">و مقصده بطلان العمل بالخبر الواحد، و أنّ العمل به بمنزلة العمل بالقیاس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الشیخ الطبرسیّ ما یقرب منه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خبیر بما فیه، لما مضی من المناقشة فی صغری الإجماعات المحکیّة، بل و عدم تمکّن المتأخّرین من تحصیل الإجماع </w:t>
      </w:r>
      <w:r>
        <w:rPr>
          <w:rStyle w:val="FootnoteAnchor"/>
          <w:rtl w:val="true"/>
        </w:rPr>
        <w:footnoteReference w:id="929"/>
      </w:r>
      <w:r>
        <w:rPr>
          <w:rFonts w:ascii="IRNazanin" w:hAnsi="IRNazanin" w:eastAsia="IRNazanin"/>
          <w:color w:val="111111"/>
          <w:sz w:val="28"/>
          <w:sz w:val="28"/>
          <w:szCs w:val="28"/>
          <w:rtl w:val="true"/>
          <w:lang w:bidi="fa-IR"/>
        </w:rPr>
        <w:t>، و إلاّ فلا مناقشة فی الإجماع و لو کان منقولا بحسب الکبری فإنّه حجّة</w:t>
      </w:r>
      <w:r>
        <w:rPr>
          <w:rStyle w:val="FootnoteAnchor"/>
          <w:rtl w:val="true"/>
        </w:rPr>
        <w:footnoteReference w:id="930"/>
      </w:r>
      <w:r>
        <w:rPr>
          <w:rFonts w:ascii="IRNazanin" w:hAnsi="IRNazanin" w:eastAsia="IRNazanin"/>
          <w:color w:val="111111"/>
          <w:sz w:val="28"/>
          <w:sz w:val="28"/>
          <w:szCs w:val="28"/>
          <w:rtl w:val="true"/>
          <w:lang w:bidi="fa-IR"/>
        </w:rPr>
        <w:t>، و لیس هو إلاّ الشهرة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سیمرّ علیک ما ادعاه الشیخ رحمه اللَّه </w:t>
      </w:r>
      <w:r>
        <w:rPr>
          <w:rStyle w:val="FootnoteAnchor"/>
          <w:rtl w:val="true"/>
        </w:rPr>
        <w:footnoteReference w:id="931"/>
      </w:r>
      <w:r>
        <w:rPr>
          <w:rFonts w:ascii="IRNazanin" w:hAnsi="IRNazanin" w:eastAsia="IRNazanin"/>
          <w:color w:val="111111"/>
          <w:sz w:val="28"/>
          <w:sz w:val="28"/>
          <w:szCs w:val="28"/>
          <w:rtl w:val="true"/>
          <w:lang w:bidi="fa-IR"/>
        </w:rPr>
        <w:t>من قیام السیرة العملیّة من عصر النبیّ صلی اللَّه علیه و آله و سلم علی العمل به، و یکفی لبطلان المقصد المزبور ما مرّ، و إن أمکن حمله علی الخبر الواحد الخالی من شرائط الحجّیة العقلائیّة و الشرعیّة، فی قبال من کان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بمطلق الخبر الموجود فی الکتب الموجودة فی عصره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کتب العامّة، کما هو بناء الأخباریّین فی العصور المتأخّرة بالنسبة إلی الکتب الأربعة</w:t>
      </w:r>
      <w:r>
        <w:rPr>
          <w:rFonts w:eastAsia="IRNazanin" w:cs="IRNazanin"/>
          <w:color w:val="111111"/>
          <w:sz w:val="28"/>
          <w:szCs w:val="28"/>
          <w:rtl w:val="true"/>
          <w:lang w:bidi="fa-IR"/>
        </w:rPr>
        <w:t>.</w:t>
      </w:r>
      <w:bookmarkStart w:id="753" w:name="pg13170_166585"/>
    </w:p>
    <w:p>
      <w:pPr>
        <w:pStyle w:val="Heading5"/>
        <w:numPr>
          <w:ilvl w:val="4"/>
          <w:numId w:val="1"/>
        </w:numPr>
        <w:rPr/>
      </w:pPr>
      <w:bookmarkStart w:id="754" w:name="__RefHeading___Toc624805_3244359995"/>
      <w:bookmarkStart w:id="755" w:name="_Toc282"/>
      <w:bookmarkEnd w:id="753"/>
      <w:bookmarkEnd w:id="754"/>
      <w:r>
        <w:rPr>
          <w:rtl w:val="true"/>
        </w:rPr>
        <w:t>الوجه الرابع العقل</w:t>
      </w:r>
      <w:bookmarkEnd w:id="755"/>
    </w:p>
    <w:p>
      <w:pPr>
        <w:pStyle w:val="BookText"/>
        <w:rPr/>
      </w:pPr>
      <w:r>
        <w:rPr>
          <w:rFonts w:ascii="IRNazanin" w:hAnsi="IRNazanin" w:eastAsia="IRNazanin"/>
          <w:color w:val="111111"/>
          <w:sz w:val="28"/>
          <w:sz w:val="28"/>
          <w:szCs w:val="28"/>
          <w:rtl w:val="true"/>
          <w:lang w:bidi="fa-IR"/>
        </w:rPr>
        <w:t xml:space="preserve">و قد مرّت مشکلة ابن قبة فی المسألة بما لا مزید علیه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المتضلّع الخبیر بالمسائل التأریخیّة، و الناظر البصیر بالمسموعات و الاتفاقات و الحوادث، یجد امتناع الاطلاع عادة علی ما هو واقع الأمر، و علی ما هو حقیقة الحادثة، و لذلک تختلف الحکایات عن القضیّة الواحدة فی عصرهم و مصرهم، فکیف إذا کان بعیدا عنهم، و بعیدا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هذه النظارة، لا یصلح عند العقل تلک الأخبار للحجّیة و الکاشفیّة، فإنّه بعد العلم بوقوع الدسّ فیها بما عرفت و اشتهر، لا یعقل اعتبار الحجّیة لتلک الأخبار، کما لا معنی لحجّیة الخبر المعلوم کذبه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ذاتا من جعل الحجّیة للخبر الواحد، و إنّما المنع فی حجّیة أخبار الفقه الموجودة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یشیر ما فی الأخبار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الاحتراز عمّا لا شاهد علیه أو شاهدان من کتاب اللَّه عزّ و جلّ فلا ینبغی الخلط بین المسألة الکلّیة، و خصوص تلک الأخبار البعیدة عنّا عصرا و مصرا، و المخلوطة بالأباطیل قطعا و یقینا، فلو قام دلیل فرضا علی الحجّیة، فهو دلیل علی مسألة کلّیة، لا فی 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خصوصها، فهو مقصور بالنسبة إلی المتلقّین فی عصر الخبر قبل وقوع الاغتشاش فیها، و بذلک یجمع بین الآثار الدالّة علی الحجّیة و علی اللاحجّیة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تحرّر منّا حلّ هذه المشکلة فی دیباجة مبحث حجّیة الخبر الواحد بما لا مزید علیه </w:t>
      </w:r>
      <w:r>
        <w:rPr>
          <w:rStyle w:val="FootnoteAnchor"/>
          <w:rtl w:val="true"/>
        </w:rPr>
        <w:footnoteReference w:id="933"/>
      </w:r>
      <w:r>
        <w:rPr>
          <w:rFonts w:ascii="IRNazanin" w:hAnsi="IRNazanin" w:eastAsia="IRNazanin"/>
          <w:color w:val="111111"/>
          <w:sz w:val="28"/>
          <w:sz w:val="28"/>
          <w:szCs w:val="28"/>
          <w:rtl w:val="true"/>
          <w:lang w:bidi="fa-IR"/>
        </w:rPr>
        <w:t>، و أنّه لو کانت أدلّة عدم حجّیة الخبر الواحد تامّة، لکانت أخبار الکتب الأربعة خارجة عنها، خصوصا و أنّ تلقّیها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قام علیه شواهد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الضروریّ من بدو التألیف و قبله إلی عصرنا، فلا ینبغی الخلط بین النقیّات الثیاب و الأرجاس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ابن قبة مشترکة بین الطرق و الأمارات و الأصول، و لا معنی لعدّها من الدلیل العقلیّ علی عدم حجّیة الخبر الواحد، فعلیه إمّا تکون أدلّة عدم حجّیته ثلاثة، أو لا بدّ من تقریب دلیل عقلیّ لخصوص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یمتنع جعل الکاشفیّة و الحجّیة للخبر المعلوم الکذب تفصیلا، کذلک یمتنع ذلک للأخبار المعلوم إجمالا کذب طائفة منها، کالأخبار الموجودة بین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یمتنع جعل الکاشفیّة للمعلوم بالتفصیل، و للمقدار المعلوم بالإجمال بالذات، و لجمیع الأخبار، للزوم اللغویّة، ضرورة أنّ المعلوم کذبه غیر متبیّن عندنا، فاعتبار الحجّیة للکلّ غیر جائز، لما لا یترتّب الأثر المقصود من الحجّیة بالنسبة إلی غیر المعلوم کذبه بعد کونه مخلوطا بالأکاذیب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الواحد ممّا لا بأس بها علی نعت القضیّة الکلّیة، و لکن حجّیة ما بین أیدینا غیر معقولة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من الإشکالات المنتهیة إلی لزوم الاحتیاط، و إذا امتنع الاحتیاط فلا بدّ من حجّیة الظنّ، و سیمرّ علیک فی محلّه کیفیّة انحلال العلم الإجمالیّ المزبور</w:t>
      </w:r>
      <w:r>
        <w:rPr>
          <w:rStyle w:val="FootnoteAnchor"/>
          <w:rtl w:val="true"/>
        </w:rPr>
        <w:footnoteReference w:id="934"/>
      </w:r>
      <w:r>
        <w:rPr>
          <w:rFonts w:ascii="IRNazanin" w:hAnsi="IRNazanin" w:eastAsia="IRNazanin"/>
          <w:color w:val="111111"/>
          <w:sz w:val="28"/>
          <w:sz w:val="28"/>
          <w:szCs w:val="28"/>
          <w:rtl w:val="true"/>
          <w:lang w:bidi="fa-IR"/>
        </w:rPr>
        <w:t>، و قد أشرنا إلی وجهه فیما أشیر إلیه آنفا</w:t>
      </w:r>
      <w:r>
        <w:rPr>
          <w:rFonts w:eastAsia="IRNazanin" w:cs="IRNazanin"/>
          <w:color w:val="111111"/>
          <w:sz w:val="28"/>
          <w:szCs w:val="28"/>
          <w:rtl w:val="true"/>
          <w:lang w:bidi="fa-IR"/>
        </w:rPr>
        <w:t>.</w:t>
      </w:r>
      <w:bookmarkStart w:id="756" w:name="pg13170_166588"/>
    </w:p>
    <w:p>
      <w:pPr>
        <w:pStyle w:val="Heading4"/>
        <w:numPr>
          <w:ilvl w:val="3"/>
          <w:numId w:val="1"/>
        </w:numPr>
        <w:rPr/>
      </w:pPr>
      <w:bookmarkStart w:id="757" w:name="__RefHeading___Toc624807_3244359995"/>
      <w:bookmarkStart w:id="758" w:name="_Toc283"/>
      <w:bookmarkEnd w:id="756"/>
      <w:bookmarkEnd w:id="757"/>
      <w:r>
        <w:rPr>
          <w:rtl w:val="true"/>
        </w:rPr>
        <w:t>الموقف الثانی حول الأدلّة الناهضة علی حجّیة الخبر الواحد</w:t>
      </w:r>
      <w:bookmarkEnd w:id="758"/>
    </w:p>
    <w:p>
      <w:pPr>
        <w:pStyle w:val="Heading5"/>
        <w:numPr>
          <w:ilvl w:val="4"/>
          <w:numId w:val="1"/>
        </w:numPr>
        <w:rPr/>
      </w:pPr>
      <w:bookmarkStart w:id="759" w:name="__RefHeading___Toc624809_3244359995"/>
      <w:bookmarkStart w:id="760" w:name="_Toc284"/>
      <w:bookmarkEnd w:id="759"/>
      <w:r>
        <w:rPr>
          <w:rtl w:val="true"/>
        </w:rPr>
        <w:t>اشارة</w:t>
      </w:r>
      <w:bookmarkEnd w:id="760"/>
    </w:p>
    <w:p>
      <w:pPr>
        <w:pStyle w:val="BookText"/>
        <w:rPr/>
      </w:pPr>
      <w:r>
        <w:rPr>
          <w:rFonts w:ascii="IRNazanin" w:hAnsi="IRNazanin" w:eastAsia="IRNazanin"/>
          <w:color w:val="111111"/>
          <w:sz w:val="28"/>
          <w:sz w:val="28"/>
          <w:szCs w:val="28"/>
          <w:rtl w:val="true"/>
          <w:lang w:bidi="fa-IR"/>
        </w:rPr>
        <w:t>و قبل الخوض فیها نشیر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ربّما یتوقّف الفقیه، فی حجّیة خبر الواحد، لأجل عدم معلومیّة بناء العقلاء فی مورده، کما فی الأخبار مع الوسائط الکثیرة، أو فی موارد الشکّ فی إعراض المشهور، أو قیام الإجماع علیه، فإنّه فی هذه الصورة إن کان فی الأخبار و الآیات، دلیل ذو إطلاق و عامّ تامّ قائم علی حجّیة الخبر الواحد، فإنّه یصلح لأن یکون مرجعا له، کما مرّ نظیره فی مباحث الید</w:t>
      </w:r>
      <w:r>
        <w:rPr>
          <w:rStyle w:val="FootnoteAnchor"/>
          <w:rtl w:val="true"/>
        </w:rPr>
        <w:footnoteReference w:id="935"/>
      </w:r>
      <w:r>
        <w:rPr>
          <w:rFonts w:ascii="IRNazanin" w:hAnsi="IRNazanin" w:eastAsia="IRNazanin"/>
          <w:color w:val="111111"/>
          <w:sz w:val="28"/>
          <w:sz w:val="28"/>
          <w:szCs w:val="28"/>
          <w:rtl w:val="true"/>
          <w:lang w:bidi="fa-IR"/>
        </w:rPr>
        <w:t>، فإنّ الید أمارة ملکیّة ذی الید، إلاّ أنّه ربّما تکون الید مشبوهة، لسبقها بالسرقة، فإنّها عند العقلاء لا تکون کاشفة، أو یکون بناؤهم مشکوکا فیه، و لکن یصلح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 علی شی‌ء منه فهو له</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للمرجعیّة، بشرط عدم حمله علی الإمضاء لما تعارف عند العقلاء</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الفحص عن أدلّة حجّیة الخبر الواحد، نافع فی الجملة، و قد مرّ فی</w:t>
      </w:r>
    </w:p>
    <w:p>
      <w:pPr>
        <w:pStyle w:val="BookText"/>
        <w:rPr/>
      </w:pPr>
      <w:r>
        <w:rPr>
          <w:rFonts w:ascii="IRNazanin" w:hAnsi="IRNazanin" w:eastAsia="IRNazanin"/>
          <w:color w:val="111111"/>
          <w:sz w:val="28"/>
          <w:sz w:val="28"/>
          <w:szCs w:val="28"/>
          <w:rtl w:val="true"/>
          <w:lang w:bidi="fa-IR"/>
        </w:rPr>
        <w:t xml:space="preserve">مباحث حجّیة الشهرة ما یتعلّق به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 امتناع کون الدلیل القائم علی حجّیة الخبر الواحد، مرجعا فی موارد الشکّ، للزوم کونه مشتملا علی الإمضاء و التأسیس، فیکون إمضاء بالنسبة إلی البناءات، و تأسیسا فی غیر موردها، فهو فاسد، لما تحرّر منّا فی محلّه من إمکانه، ضرورة أنّ التأسیس و الإمضاء، لیسا إلاّ بالإضافة إلی المتعلّق، و یجمعهما الأمر الواحد، و لا یکونان متقابلین فی مقام الجعل و الإنشاء،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 علی شی‌ء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لیس إلاّ جعل المالکیّة، إلاّ أنّه إذا أضیف إلی ما هو موافق للطریقة العقلائیّة،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 و لا معنی لحمله علی الجملة الإخباریّة، لأنّه کذب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بعد ما عرفت ثمرة الفحص عن الأدلّة اللفظیة،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دائرة الادعاء هو حجّیة خبر الثقة، سواء کان عادلا، أو فاسقا، و سواء کان مؤمنا، أو عامّیا، بل 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الأحکام النفسیّة کما تکون مشترکة بین الکفّار و المؤمنین، تکون الأحکام الطریقیّة مثلها، فإن وجد دلیل یثبت به عموم المدّعی فهو، و إلاّ فإن لم تنطبق دائرة الدلیل علی تلک الدائرة، یلزم التشبّث بذیل الدلیل الآخر، و لا بأس بأوسعیّة دائرة الدلیل من المدّعی، فلا ینبغی الغفلة عن هذه المرحلة، فیتوهّم بمجرّد صالحیّة آیة لحجّیة الخبر، أنّه یتمّ بها عموم المدّعی فی مسألة حجّیة خبر الواحد، کما قد یتراءی ذلک من بعض عباراتهم، و الأمر سهل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فالبحث فی ضمن وجوه قد استدلّ بها المثبتون</w:t>
      </w:r>
      <w:r>
        <w:rPr>
          <w:rFonts w:eastAsia="IRNazanin" w:cs="IRNazanin"/>
          <w:color w:val="111111"/>
          <w:sz w:val="28"/>
          <w:szCs w:val="28"/>
          <w:rtl w:val="true"/>
          <w:lang w:bidi="fa-IR"/>
        </w:rPr>
        <w:t>:</w:t>
      </w:r>
      <w:bookmarkStart w:id="761" w:name="pg13170_166590"/>
    </w:p>
    <w:p>
      <w:pPr>
        <w:pStyle w:val="Heading5"/>
        <w:numPr>
          <w:ilvl w:val="4"/>
          <w:numId w:val="1"/>
        </w:numPr>
        <w:rPr/>
      </w:pPr>
      <w:bookmarkStart w:id="762" w:name="__RefHeading___Toc624811_3244359995"/>
      <w:bookmarkStart w:id="763" w:name="_Toc285"/>
      <w:bookmarkEnd w:id="761"/>
      <w:bookmarkEnd w:id="762"/>
      <w:r>
        <w:rPr>
          <w:rtl w:val="true"/>
        </w:rPr>
        <w:t>الوجه الأوّل الآیات الشریفة</w:t>
      </w:r>
      <w:bookmarkEnd w:id="763"/>
    </w:p>
    <w:p>
      <w:pPr>
        <w:pStyle w:val="Heading6"/>
        <w:numPr>
          <w:ilvl w:val="5"/>
          <w:numId w:val="1"/>
        </w:numPr>
        <w:rPr/>
      </w:pPr>
      <w:bookmarkStart w:id="764" w:name="__RefHeading___Toc624813_3244359995"/>
      <w:bookmarkStart w:id="765" w:name="_Toc286"/>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البحث یقع فی جهات</w:t>
      </w:r>
      <w:r>
        <w:rPr>
          <w:rFonts w:eastAsia="IRNazanin" w:cs="IRNazanin"/>
          <w:color w:val="111111"/>
          <w:sz w:val="28"/>
          <w:szCs w:val="28"/>
          <w:rtl w:val="true"/>
          <w:lang w:bidi="fa-IR"/>
        </w:rPr>
        <w:t>:</w:t>
      </w:r>
    </w:p>
    <w:p>
      <w:pPr>
        <w:pStyle w:val="Heading6"/>
        <w:numPr>
          <w:ilvl w:val="5"/>
          <w:numId w:val="1"/>
        </w:numPr>
        <w:rPr/>
      </w:pPr>
      <w:bookmarkStart w:id="766" w:name="__RefHeading___Toc624815_3244359995"/>
      <w:bookmarkStart w:id="767" w:name="_Toc287"/>
      <w:bookmarkEnd w:id="766"/>
      <w:r>
        <w:rPr>
          <w:rtl w:val="true"/>
        </w:rPr>
        <w:t>الجهة الأولی</w:t>
      </w:r>
      <w:r>
        <w:rPr>
          <w:rtl w:val="true"/>
        </w:rPr>
        <w:t xml:space="preserve">: </w:t>
      </w:r>
      <w:r>
        <w:rPr>
          <w:rtl w:val="true"/>
        </w:rPr>
        <w:t>حول اختصاص الآیة بالمؤمنین</w:t>
      </w:r>
      <w:bookmarkEnd w:id="767"/>
    </w:p>
    <w:p>
      <w:pPr>
        <w:pStyle w:val="BookText"/>
        <w:rPr/>
      </w:pPr>
      <w:r>
        <w:rPr>
          <w:rFonts w:ascii="Amiri" w:hAnsi="Amiri" w:eastAsia="Amiri" w:cs="Amiri"/>
          <w:color w:val="111111"/>
          <w:sz w:val="28"/>
          <w:sz w:val="28"/>
          <w:szCs w:val="28"/>
          <w:rtl w:val="true"/>
          <w:lang w:bidi="ar-SA"/>
        </w:rPr>
        <w:t>قضیّة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حجّیة خبر الواحد بالمؤمنین، فیلزم أخصّیة الآیة من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الصدر یشهد علی أنّ الذیل، لیس من التکالیف حتّی تکون مشترکة، بل الآیة بصدد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مذمومیّة الإقدام بلا تبیّن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الأحکام التکلیفیّة مصدّرة بمثله، و الاشتراک ثابت من الجهة الخارجیّة، فتأمّل</w:t>
      </w:r>
      <w:r>
        <w:rPr>
          <w:rFonts w:eastAsia="IRNazanin" w:cs="IRNazanin"/>
          <w:color w:val="111111"/>
          <w:sz w:val="28"/>
          <w:szCs w:val="28"/>
          <w:rtl w:val="true"/>
          <w:lang w:bidi="fa-IR"/>
        </w:rPr>
        <w:t>.</w:t>
      </w:r>
    </w:p>
    <w:p>
      <w:pPr>
        <w:pStyle w:val="Heading6"/>
        <w:numPr>
          <w:ilvl w:val="5"/>
          <w:numId w:val="1"/>
        </w:numPr>
        <w:rPr/>
      </w:pPr>
      <w:bookmarkStart w:id="768" w:name="__RefHeading___Toc624817_3244359995"/>
      <w:bookmarkStart w:id="769" w:name="_Toc288"/>
      <w:bookmarkEnd w:id="768"/>
      <w:r>
        <w:rPr>
          <w:rtl w:val="true"/>
        </w:rPr>
        <w:t>الجهة الثانیة</w:t>
      </w:r>
      <w:r>
        <w:rPr>
          <w:rtl w:val="true"/>
        </w:rPr>
        <w:t xml:space="preserve">: </w:t>
      </w:r>
      <w:r>
        <w:rPr>
          <w:rtl w:val="true"/>
        </w:rPr>
        <w:t xml:space="preserve">حول دلالة </w:t>
      </w:r>
      <w:r>
        <w:rPr>
          <w:rtl w:val="true"/>
        </w:rPr>
        <w:t>«</w:t>
      </w:r>
      <w:r>
        <w:rPr>
          <w:rtl w:val="true"/>
        </w:rPr>
        <w:t>إن</w:t>
      </w:r>
      <w:r>
        <w:rPr>
          <w:rtl w:val="true"/>
        </w:rPr>
        <w:t xml:space="preserve">» </w:t>
      </w:r>
      <w:r>
        <w:rPr>
          <w:rtl w:val="true"/>
        </w:rPr>
        <w:t>الشرطیة علی الشکّ</w:t>
      </w:r>
      <w:bookmarkEnd w:id="76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الالتزام بکون أداة الشرط هنا، مستعملةً فی معناها الحقیقیّ، و ذلک</w:t>
      </w:r>
      <w:bookmarkStart w:id="770" w:name="pg13170_166591"/>
    </w:p>
    <w:p>
      <w:pPr>
        <w:pStyle w:val="BookText"/>
        <w:rPr/>
      </w:pPr>
      <w:bookmarkEnd w:id="770"/>
      <w:r>
        <w:rPr>
          <w:rFonts w:ascii="IRNazanin" w:hAnsi="IRNazanin" w:eastAsia="IRNazanin"/>
          <w:color w:val="111111"/>
          <w:sz w:val="28"/>
          <w:sz w:val="28"/>
          <w:szCs w:val="28"/>
          <w:rtl w:val="true"/>
          <w:lang w:bidi="fa-IR"/>
        </w:rPr>
        <w:t xml:space="preserve">لما تحرّر منّا فی باب المفاهیم </w:t>
      </w:r>
      <w:r>
        <w:rPr>
          <w:rStyle w:val="FootnoteAnchor"/>
          <w:rtl w:val="true"/>
        </w:rPr>
        <w:footnoteReference w:id="940"/>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تفسیرنا الکبیر</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امتناع المقدّم،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مفروضیّة وجود المقدّم،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تفید الشکّ فی تحقّقه، و لا یعقل الشکّ بالنسبة إلیه تعالی، فیکون مفاد الآیة بحکم القضیّة الوقتیّة، و القضایا الوقتیّة لیست ذات مفهوم، و لا تورث التعلیق، لأنّ المفروض وجود المقدّم، و 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المفروض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الجزاء معلّقاً علی وجه یفید المفهوم، فلا ثمرة فی الآیة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حرّرناه هو أنّ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إمکان متلوها، و إمکانه غیر الشکّ فیه حتّی لا یمکن الالتزام به، فلا تخلط</w:t>
      </w:r>
      <w:r>
        <w:rPr>
          <w:rFonts w:eastAsia="IRNazanin" w:cs="IRNazanin"/>
          <w:color w:val="111111"/>
          <w:sz w:val="28"/>
          <w:szCs w:val="28"/>
          <w:rtl w:val="true"/>
          <w:lang w:bidi="fa-IR"/>
        </w:rPr>
        <w:t>.</w:t>
      </w:r>
    </w:p>
    <w:p>
      <w:pPr>
        <w:pStyle w:val="Heading6"/>
        <w:numPr>
          <w:ilvl w:val="5"/>
          <w:numId w:val="1"/>
        </w:numPr>
        <w:rPr/>
      </w:pPr>
      <w:bookmarkStart w:id="771" w:name="__RefHeading___Toc624819_3244359995"/>
      <w:bookmarkStart w:id="772" w:name="_Toc289"/>
      <w:bookmarkEnd w:id="771"/>
      <w:r>
        <w:rPr>
          <w:rtl w:val="true"/>
        </w:rPr>
        <w:t>الجهة الثالثة</w:t>
      </w:r>
      <w:r>
        <w:rPr>
          <w:rtl w:val="true"/>
        </w:rPr>
        <w:t xml:space="preserve">: </w:t>
      </w:r>
      <w:r>
        <w:rPr>
          <w:rtl w:val="true"/>
        </w:rPr>
        <w:t>فی المراد من الفاسق</w:t>
      </w:r>
      <w:bookmarkEnd w:id="772"/>
    </w:p>
    <w:p>
      <w:pPr>
        <w:pStyle w:val="BookText"/>
        <w:rPr/>
      </w:pPr>
      <w:r>
        <w:rPr>
          <w:rFonts w:ascii="IRNazanin" w:hAnsi="IRNazanin" w:eastAsia="IRNazanin"/>
          <w:color w:val="111111"/>
          <w:sz w:val="28"/>
          <w:sz w:val="28"/>
          <w:szCs w:val="28"/>
          <w:rtl w:val="true"/>
          <w:lang w:bidi="fa-IR"/>
        </w:rPr>
        <w:t xml:space="preserve">سیأتی فی الجهة الآتیة إن شاء اللَّه تعالی الوجوه و المحتملات فی المنطوق </w:t>
      </w:r>
      <w:r>
        <w:rPr>
          <w:rStyle w:val="FootnoteAnchor"/>
          <w:rtl w:val="true"/>
        </w:rPr>
        <w:footnoteReference w:id="942"/>
      </w:r>
      <w:r>
        <w:rPr>
          <w:rFonts w:ascii="IRNazanin" w:hAnsi="IRNazanin" w:eastAsia="IRNazanin"/>
          <w:color w:val="111111"/>
          <w:sz w:val="28"/>
          <w:sz w:val="28"/>
          <w:szCs w:val="28"/>
          <w:rtl w:val="true"/>
          <w:lang w:bidi="fa-IR"/>
        </w:rPr>
        <w:t>، و منها و لعلّها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دخالة الفسق فی عدم الحجّیة و لزوم التبیّن، و من کان مراجعاً للقرآن العزیز، ربّما یطمئنّ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یطلق کثیراً علی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قلّما یتّفق إرادة المؤمن المذنب منه، و لا نتمکّن هنا من توضیح ذلک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یلزم ممنوعیّة حجّیة الخبر الجائی به الکافر، و لازمه حجّیة خبر الکذّاب و المسلم الوضّاع، و هذا ممّا 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w:t>
      </w:r>
    </w:p>
    <w:p>
      <w:pPr>
        <w:pStyle w:val="BookText"/>
        <w:rPr/>
      </w:pPr>
      <w:r>
        <w:rPr>
          <w:rFonts w:ascii="IRNazanin" w:hAnsi="IRNazanin" w:eastAsia="IRNazanin"/>
          <w:color w:val="111111"/>
          <w:sz w:val="28"/>
          <w:sz w:val="28"/>
          <w:szCs w:val="28"/>
          <w:rtl w:val="true"/>
          <w:lang w:bidi="fa-IR"/>
        </w:rPr>
        <w:t>المراد من الفاسق فلا یمکن أن یثبت به إلاّ ما لا یلتزم به القوم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بظاهر الفسق اللغویّ هنا غیر جائز، لکثرة الآیات المنطبق فیها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بأوسعیّة الدلیل من المدّعی، و لا منع من تقیید المفهوم، 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تحرّر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العلّیة التامّة المنحصرة الحقیقیّة إلی الإضافیّة</w:t>
      </w:r>
      <w:r>
        <w:rPr>
          <w:rStyle w:val="FootnoteAnchor"/>
          <w:rtl w:val="true"/>
        </w:rPr>
        <w:footnoteReference w:id="943"/>
      </w:r>
      <w:r>
        <w:rPr>
          <w:rFonts w:ascii="Amiri" w:hAnsi="Amiri" w:eastAsia="Amiri" w:cs="Amiri"/>
          <w:color w:val="111111"/>
          <w:sz w:val="28"/>
          <w:sz w:val="28"/>
          <w:szCs w:val="28"/>
          <w:rtl w:val="true"/>
          <w:lang w:bidi="ar-SA"/>
        </w:rPr>
        <w:t>، فتأمّل و تدبّر جیّداً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ناحیة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فی ناحیة المنطوق، فلازمه حتّی و لو کان عدم حجّیة خبر الکافر المتحرّز من الکذب، إلاّ أنّه أیضا قابل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أطلق کثیراً علی الکافر فی القرآن الشریف، إلاّ أنّه هنا أرید به المسلم لأنّ الولید من المسلمین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مرتکب الذنب، و إطلاقه علی الکافر، لأجل أنّ الکفر من الذنوب، فکونه بمعنی الکافر بحسب اصطلاح القرآن، غیر واضح و إن ذهب بعضهم إلیه، نظراً إلی أنّ الوعید بالنار فی مورد الفسّاق، یختصّ بالکفّار، و التفصیل فی محلّ آخر، فتدبّر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جهة أنّ الخطاب للمؤمنین، و مورده الفاسق، فلا یشمل الفسّاق و لو کان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المؤمن جائزاً فی اللغة و الکتاب </w:t>
      </w:r>
      <w:r>
        <w:rPr>
          <w:rStyle w:val="FootnoteAnchor"/>
          <w:rtl w:val="true"/>
        </w:rPr>
        <w:footnoteReference w:id="945"/>
      </w:r>
      <w:r>
        <w:rPr>
          <w:rFonts w:ascii="Amiri" w:hAnsi="Amiri" w:eastAsia="Amiri" w:cs="Amiri"/>
          <w:color w:val="111111"/>
          <w:sz w:val="28"/>
          <w:sz w:val="28"/>
          <w:szCs w:val="28"/>
          <w:rtl w:val="true"/>
          <w:lang w:bidi="ar-SA"/>
        </w:rPr>
        <w:t>، فتدبّر جیّداً</w:t>
      </w:r>
      <w:r>
        <w:rPr>
          <w:rFonts w:eastAsia="Amiri" w:cs="Amiri" w:ascii="Amiri" w:hAnsi="Amiri"/>
          <w:color w:val="111111"/>
          <w:sz w:val="28"/>
          <w:szCs w:val="28"/>
          <w:rtl w:val="true"/>
          <w:lang w:bidi="ar-SA"/>
        </w:rPr>
        <w:t>.</w:t>
      </w:r>
      <w:bookmarkStart w:id="773" w:name="pg13170_166593"/>
    </w:p>
    <w:p>
      <w:pPr>
        <w:pStyle w:val="Heading6"/>
        <w:numPr>
          <w:ilvl w:val="5"/>
          <w:numId w:val="1"/>
        </w:numPr>
        <w:rPr/>
      </w:pPr>
      <w:bookmarkStart w:id="774" w:name="__RefHeading___Toc624821_3244359995"/>
      <w:bookmarkStart w:id="775" w:name="_Toc290"/>
      <w:bookmarkEnd w:id="773"/>
      <w:bookmarkEnd w:id="774"/>
      <w:r>
        <w:rPr>
          <w:rtl w:val="true"/>
        </w:rPr>
        <w:t>الجهة الرابعة</w:t>
      </w:r>
      <w:r>
        <w:rPr>
          <w:rtl w:val="true"/>
        </w:rPr>
        <w:t xml:space="preserve">: </w:t>
      </w:r>
      <w:r>
        <w:rPr>
          <w:rtl w:val="true"/>
        </w:rPr>
        <w:t>فی محتملات المنطوق شرطاً و جزاءً</w:t>
      </w:r>
      <w:bookmarkEnd w:id="775"/>
    </w:p>
    <w:p>
      <w:pPr>
        <w:pStyle w:val="Heading6"/>
        <w:numPr>
          <w:ilvl w:val="5"/>
          <w:numId w:val="1"/>
        </w:numPr>
        <w:rPr/>
      </w:pPr>
      <w:bookmarkStart w:id="776" w:name="__RefHeading___Toc624823_3244359995"/>
      <w:bookmarkStart w:id="777" w:name="_Toc291"/>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فی منطوق هذه القضیّة الشرطیّة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کون النبأ، تمام الموضوع لإیجاب التبیّن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کون الفسق تمام العلّة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احتمال الاشتراک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کلّ واحد منهما علی نعت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النبأ علّة تامّة، و الفسق موجباً لتأکّد الإیجاب،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بعضاً من تلک الاحتمالات ربّما یمتنع ثبوتاً، و الأمر سهل بعد عدم مساعدة الإثبات معه،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الأوّل و الخامس، تسقط الآیة عن صلاحیة الاستدلال لحجّیة خبر العادل، و لازمها عدم حجّیة مطلق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من بینها هی دخالة الفسق، إمّا بالاستقلال، أو بالاشتراک، و علی هذا تکون الآیة من هذه الجهة، صالحةً للاستدلال، لو لا الإشکالات الاخر الآتیة فی الجهات اللاحقة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قد یظهر من أنّ التعلیل بالذاتیّ أولی من التعلیل بالعرضیّ </w:t>
      </w:r>
      <w:r>
        <w:rPr>
          <w:rStyle w:val="FootnoteAnchor"/>
          <w:rtl w:val="true"/>
        </w:rPr>
        <w:footnoteReference w:id="950"/>
      </w:r>
      <w:r>
        <w:rPr>
          <w:rFonts w:ascii="IRNazanin" w:hAnsi="IRNazanin" w:eastAsia="IRNazanin"/>
          <w:color w:val="111111"/>
          <w:sz w:val="28"/>
          <w:sz w:val="28"/>
          <w:szCs w:val="28"/>
          <w:rtl w:val="true"/>
          <w:lang w:bidi="fa-IR"/>
        </w:rPr>
        <w:t>، أو یقال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ذکر العرضیّ مع الذاتیّ، دلیل علی دخالة العرضیّ تماماً</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فکلّه خالٍ من التحصیل، لأنّ المقام لیس مقام لحاظ الذاتیّة و العرضیّة، بل المقام مقام مراعاة القضیّة الواردة، و کیفیّة أخذ القیود فیها، و لا ریب فی أنّ النبأ و إن کان بحسب الذات محتمل الصدق و الکذب، و لا یکون مأموناً من الخطأ و عدم الإصابة، و لکن یحصل الأمن من الجهة اللاحقة به، و هو المخبر، فإن کان کاذباً فلا یحصل الأمن، بخلاف ما إذا کان متحرّزاً من الکذب، فالفسق دخیل إمّا تماماً، أو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تحلیل القضیّة إلی أنّ فسق المخبر دخیل لا خبره، بعید عن الأفکار العرفیّة، یخطر بالبال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الفسق و الخبر موضوع مفید لإیجاب التبیّن، و سبب وجیه له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الإنصاف علی خلافه، و ذلک لأنّه لو کان الخبر دخیلاً فی الإیجاب، للزم دخالته فی حجّیة خبر العادل المنتزعة من عدم وجوب التبیّن، و لا معنی لکون الخبر دخیلاً فی الحجّیة و اللاحجّیة، فیکون الخبر حجّة و لا حجّة باعتبار المخبر الثقة و غیر الثقة، فهناک موضوع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علّة لعروض التالی و الجزاء علیه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فالفسق سبب عروض وجوب التبیّن علی الخبر، و النبأ و اللافسق سبب لاعتبار حجّیة الخبر بانتفاء وجوب التبیّن، لو لم یکن فی التبیّن إشکال آخر، فلا تخلط</w:t>
      </w:r>
      <w:r>
        <w:rPr>
          <w:rFonts w:eastAsia="IRNazanin" w:cs="IRNazanin"/>
          <w:color w:val="111111"/>
          <w:sz w:val="28"/>
          <w:szCs w:val="28"/>
          <w:rtl w:val="true"/>
          <w:lang w:bidi="fa-IR"/>
        </w:rPr>
        <w:t>.</w:t>
      </w:r>
      <w:bookmarkStart w:id="778" w:name="pg13170_166595"/>
    </w:p>
    <w:p>
      <w:pPr>
        <w:pStyle w:val="Heading6"/>
        <w:numPr>
          <w:ilvl w:val="5"/>
          <w:numId w:val="1"/>
        </w:numPr>
        <w:rPr/>
      </w:pPr>
      <w:bookmarkStart w:id="779" w:name="__RefHeading___Toc624825_3244359995"/>
      <w:bookmarkStart w:id="780" w:name="_Toc292"/>
      <w:bookmarkEnd w:id="778"/>
      <w:bookmarkEnd w:id="779"/>
      <w:r>
        <w:rPr>
          <w:rtl w:val="true"/>
        </w:rPr>
        <w:t>محتملات الجزاء</w:t>
      </w:r>
      <w:bookmarkEnd w:id="780"/>
    </w:p>
    <w:p>
      <w:pPr>
        <w:pStyle w:val="BookText"/>
        <w:rPr/>
      </w:pPr>
      <w:r>
        <w:rPr>
          <w:rFonts w:ascii="IRNazanin" w:hAnsi="IRNazanin" w:eastAsia="IRNazanin"/>
          <w:color w:val="111111"/>
          <w:sz w:val="28"/>
          <w:sz w:val="28"/>
          <w:szCs w:val="28"/>
          <w:rtl w:val="true"/>
          <w:lang w:bidi="fa-IR"/>
        </w:rPr>
        <w:t>ثمّ إنّ محتملات الجزاء أیضا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کون الهیئة للإیجاب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کونها للإیجاب الشرطیّ </w:t>
      </w:r>
      <w:r>
        <w:rPr>
          <w:rStyle w:val="FootnoteAnchor"/>
          <w:rtl w:val="true"/>
        </w:rPr>
        <w:footnoteReference w:id="952"/>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مصباح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کونها للإرشاد</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کونه واجباً مقدّمیاً عند إرادة العمل بالخبر الواحد</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سبیل إلی الأوّل 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الاحتمال الثالث فی ذاته قریب،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الآیة، لیس إلاّ مذمومیّة المبادرة بلا تأمّل و تدبّر، فإنّه الموجب للإصباح علی الندامة، و الإصابة بالجهالة، إلاّ أنّ قضیّة الأصل فی باب الهیئات، هو الحمل علی اللزوم النفسیّ، و إذا علمنا أنّ النفسیّ غیر مقصود، و لا یکون نفس التبیّن واجباً من الواجبات الإلهیّة الموضوعة للثواب و العقاب، فلا منع من حمل الهیئة علی الإلزام الشرعیّ، و علی إفادة شرطیّة جواز العمل بالخبر الواحد الجائی به الفاسق بالتبیّن و الإیضاح</w:t>
      </w:r>
      <w:r>
        <w:rPr>
          <w:rFonts w:eastAsia="IRNazanin" w:cs="IRNazanin"/>
          <w:color w:val="111111"/>
          <w:sz w:val="28"/>
          <w:szCs w:val="28"/>
          <w:rtl w:val="true"/>
          <w:lang w:bidi="fa-IR"/>
        </w:rPr>
        <w:t>.</w:t>
      </w:r>
    </w:p>
    <w:p>
      <w:pPr>
        <w:pStyle w:val="Heading6"/>
        <w:numPr>
          <w:ilvl w:val="5"/>
          <w:numId w:val="1"/>
        </w:numPr>
        <w:rPr/>
      </w:pPr>
      <w:bookmarkStart w:id="781" w:name="__RefHeading___Toc624827_3244359995"/>
      <w:bookmarkStart w:id="782" w:name="_Toc293"/>
      <w:bookmarkEnd w:id="781"/>
      <w:r>
        <w:rPr>
          <w:rtl w:val="true"/>
        </w:rPr>
        <w:t>منع دلالة الآیة علی حجّیة الخبر</w:t>
      </w:r>
      <w:bookmarkEnd w:id="78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الظهور و البروز، و الهیئة متعدّیة، فیکون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أوضحوه و أبرزوه، أی أبرزوا الخبر و النبأ الجائی به الفاسق، أو بمعنی تأمّلوه حتّی یتّضح صدقه و کذبه، و أظهروا صدقه و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کان نبأ الفاسق واضح الصدق، فلا یجب التبیّن، و لا التأمّل، و لو تأمّلوه و فتّشوا عن صدقه و کذبه، و لم یتمکّنوا منه، لا یجوز اتباعه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بالتبیّن کنایة عن أمر آخر، و لیس هو من الواجب النفسیّ، و لا الشرطیّ،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التبیّن و التأمّل بعنوانهما شرط</w:t>
      </w:r>
      <w:r>
        <w:rPr>
          <w:rStyle w:val="FootnoteAnchor"/>
          <w:rtl w:val="true"/>
        </w:rPr>
        <w:footnoteReference w:id="955"/>
      </w:r>
      <w:r>
        <w:rPr>
          <w:rFonts w:ascii="IRNazanin" w:hAnsi="IRNazanin" w:eastAsia="IRNazanin"/>
          <w:color w:val="111111"/>
          <w:sz w:val="28"/>
          <w:sz w:val="28"/>
          <w:szCs w:val="28"/>
          <w:rtl w:val="true"/>
          <w:lang w:bidi="fa-IR"/>
        </w:rPr>
        <w:t>، بل الشرط هو وضوح صدق الخبر، أو صدق المخبر، فإنّه موجب لجواز العمل به، و أمّا التبیّن المنتهی إلی الکذب، فهو و إن کان من التبیّن و الإیضاح عرفاً و لغة، و لکن لیس هو من العمل بالأمر، فیجوز العمل بالخبر، فإنّه باطل بالضرورة، فالجزاء جملة کنائیّة عن لزوم کون الخبر واضح الصدق، أو المخبر واضح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هو الفحص عن القرائن القائمة علی الصدق فی ناحیة المنطوق، و تکفی العدالة للقرینیّة فی ناحیة المفهوم </w:t>
      </w:r>
      <w:r>
        <w:rPr>
          <w:rStyle w:val="FootnoteAnchor"/>
          <w:rtl w:val="true"/>
        </w:rPr>
        <w:footnoteReference w:id="956"/>
      </w:r>
      <w:r>
        <w:rPr>
          <w:rFonts w:ascii="IRNazanin" w:hAnsi="IRNazanin" w:eastAsia="IRNazanin"/>
          <w:color w:val="111111"/>
          <w:sz w:val="28"/>
          <w:sz w:val="28"/>
          <w:szCs w:val="28"/>
          <w:rtl w:val="true"/>
          <w:lang w:bidi="fa-IR"/>
        </w:rPr>
        <w:t>، غیر صحیح، لأنّ التبیّن حتّی باللغة و التفسیر هو الإیضاح و الإبراز و الإظهار، و الضمیر یرجع إلی الخبر، أی تبیّنوه و أوضحوا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فاحتمال کون المقصود، إیضاح صدق المخبر و لو لم یکن الخبر صادقاً، لأنّ صدق المخبر میزانه مطابقة الخبر للاعتقاد، و صدق الخبر میزانه مطابقة الخبر للواقع </w:t>
      </w:r>
      <w:r>
        <w:rPr>
          <w:rStyle w:val="FootnoteAnchor"/>
          <w:rtl w:val="true"/>
        </w:rPr>
        <w:footnoteReference w:id="957"/>
      </w:r>
      <w:r>
        <w:rPr>
          <w:rFonts w:ascii="IRNazanin" w:hAnsi="IRNazanin" w:eastAsia="IRNazanin"/>
          <w:color w:val="111111"/>
          <w:sz w:val="28"/>
          <w:sz w:val="28"/>
          <w:szCs w:val="28"/>
          <w:rtl w:val="true"/>
          <w:lang w:bidi="fa-IR"/>
        </w:rPr>
        <w:t>،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التفصیل المذکور غیر تامّ، و محرّر فی محلّه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المنطوق هو التبیّن و إیضاح الخبر صدقاً، و أنّه کنایة عن</w:t>
      </w:r>
    </w:p>
    <w:p>
      <w:pPr>
        <w:pStyle w:val="BookText"/>
        <w:rPr/>
      </w:pPr>
      <w:r>
        <w:rPr>
          <w:rFonts w:ascii="IRNazanin" w:hAnsi="IRNazanin" w:eastAsia="IRNazanin"/>
          <w:color w:val="111111"/>
          <w:sz w:val="28"/>
          <w:sz w:val="28"/>
          <w:szCs w:val="28"/>
          <w:rtl w:val="true"/>
          <w:lang w:bidi="fa-IR"/>
        </w:rPr>
        <w:t>لزوم الاطلاع علی صدق الخبر، فلو جاء فاسق بنبإ، و کان معلوم الصدق، فلا وجوب، لأنّ النتیجة حاصلة، فالأمر بالتبیّن أمر بالمقدّمة الوجودیّة لحصول الشرط، و هو وضوح صدق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إیضاح الخبر صدقاً، واجب شرطیّ لجواز اتباعه، و یکون خبر الفاسق الواضح الصدق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النّظر فی المنطوق إلی حصول العلم و الظهور صدقاً، ففی ناحیة المفهوم یشکل الأمر، لأنّ المقصود فی ناحیة المنطوق إذا کان العلم الشخصیّ بصدق خبر الفاسق، سواء کان من العلم المنطقیّ، أو کان علماً عادیّاً، و هو الوثوق و الاطمئنان، فإنّه أیضا إیضاح و وضوح عرفا، و تبیّن لغةً، فلا بدّ فی ناحیة المفهوم من کون النبأ الجائی به العادل، أیضا متبیّناً من ناحیة کون المخبر عادلاً، فلا یثبت به شی‌ء، لأنّ المدّعی حجّیة خبر العادل، و إثبات کونه من الظنون النوعیّة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المفهوم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المخبر الفاسق واضح و متبیّن، و أنّه ظاهر فی عالم الادعاء، سواء کان واضحاً شخصیّا،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احتمال، و هنا 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المتعارف بین العقلاء و الناس، هو حصول الوثوق الشخصیّ من خبر العادل، دون خبر الفاسق، ففی ناحیة المنطوق أوجب إیضاح صدقه، فی قبال ما هو المتعارف فی ناحیة المفهوم و خبر العادل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الالتزام بلزوم الوضوح الشخصیّ فی ناحیة خبر الفاسق دون خبر العادل، غیر موافق لمرام الکلّ، ضرورة أنّ خبر الفاسق القائمة علی صدقه القرائن النوعیّة معتبر، فإذا فرضنا أنّ الآیة مثلاً، قائمة علی إفادة شرط خاصّ فی ناحیة المنطوق و خبر الفاسق تعبّداً، علی خلاف البناء العقلائیّ، فلا منع من هذا التعبّد فی ناحیة خبر العادل أیضا، إلاّ أنّ إفادة ذلک بالمنطوق، للإشعار إلی ما لا یکون حاصلا نوعاً و عادةً، و إفادة هذا بالمفهوم للإشعار إلی أنّه أمر حاصل نوعاً 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إیضاحه بالقرائن، و تکون العدالة فی ناحیة خبر العادل، من تلک القرائن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وجدانک، فهل تری فی مورد قیام القرائن غیر المنتهیة إلی الظنّ، أو المجتمعة مع الظنّ الشخصیّ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خبره واضح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فإذن لا تکفی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بالمفهوم، لا یثبت بها المدّعی، ضرورة أنّ لزوم کون خبر الفاسق، واضح الصدق فی ناحیة المنطوق، یقتضی أن لا یکون المعتبر إیضاح صدق خبر العادل لأجل أنّه واضح الصدق، و إلاّ لو کان النّظر إلی وضوح کذبه یلزم أسوئیّة حاله، فلا بدّ من ضمّ المقدّمة الخارجیّة حتّی علی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الأمر هنا شرطیّ، لأنّ معنی الشرط هو اشتراط کون خبر الفاسق واضح الصدق، و أمّا فی خبر العادل فلا یشترط لحجّیته وضوح الصدق، لعدم قابلیّته للحجّیة، و هذا هو معنی الأسوئیّة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قابلاً بالضرورة، فلا بدّ أن یرجع فی ناحیة المفهوم إلی أنّ إیضاح الصدق غیر واجب، لوضوحه، فإن کان المفهوم معناه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واضح الصدق، فیثبت عموم المدّعی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مفاد المفهوم، إیکال الأمر إلی المتعارف الخارجیّ، و أنّه بحسب العادة واضح الصدق، فلا یحتاج إلی الإیضاح، فلا یثبت به عموم المدّعی، و هو حجّیة خبر العادل مثلاً، أو خبر غیر الفاسق، سواء کان واضح الصدق تکویناً، أم لم یکن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التقریب المزبور لو کان للآیة مفهوم، یثبت ادّعاء الشرع أنّ خبر العادل علم، و واضح الصدق، و لیس ظنّاً، و لا ممنوع العمل، و ذلک لأجل أنّ</w:t>
      </w:r>
      <w:bookmarkStart w:id="783" w:name="pg13170_166599"/>
    </w:p>
    <w:p>
      <w:pPr>
        <w:pStyle w:val="BookText"/>
        <w:rPr/>
      </w:pPr>
      <w:bookmarkEnd w:id="783"/>
      <w:r>
        <w:rPr>
          <w:rFonts w:ascii="IRNazanin" w:hAnsi="IRNazanin" w:eastAsia="IRNazanin"/>
          <w:color w:val="111111"/>
          <w:sz w:val="28"/>
          <w:sz w:val="28"/>
          <w:szCs w:val="28"/>
          <w:rtl w:val="true"/>
          <w:lang w:bidi="fa-IR"/>
        </w:rPr>
        <w:t>العرف ینتقل من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إیجاب إیضاح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المفهوم لا یجب إیضاحه، لأنّه واضح الصدق عند المتکلّم، فاغتنم</w:t>
      </w:r>
      <w:r>
        <w:rPr>
          <w:rFonts w:eastAsia="IRNazanin" w:cs="IRNazanin"/>
          <w:color w:val="111111"/>
          <w:sz w:val="28"/>
          <w:szCs w:val="28"/>
          <w:rtl w:val="true"/>
          <w:lang w:bidi="fa-IR"/>
        </w:rPr>
        <w:t>.</w:t>
      </w:r>
    </w:p>
    <w:p>
      <w:pPr>
        <w:pStyle w:val="Heading6"/>
        <w:numPr>
          <w:ilvl w:val="5"/>
          <w:numId w:val="1"/>
        </w:numPr>
        <w:rPr/>
      </w:pPr>
      <w:bookmarkStart w:id="784" w:name="__RefHeading___Toc624829_3244359995"/>
      <w:bookmarkStart w:id="785" w:name="_Toc294"/>
      <w:bookmarkEnd w:id="784"/>
      <w:r>
        <w:rPr>
          <w:rtl w:val="true"/>
        </w:rPr>
        <w:t>تنبیه</w:t>
      </w:r>
      <w:r>
        <w:rPr>
          <w:rtl w:val="true"/>
        </w:rPr>
        <w:t xml:space="preserve">: </w:t>
      </w:r>
      <w:r>
        <w:rPr>
          <w:rtl w:val="true"/>
        </w:rPr>
        <w:t xml:space="preserve">حول قراءة </w:t>
      </w:r>
      <w:r>
        <w:rPr>
          <w:rtl w:val="true"/>
        </w:rPr>
        <w:t>«</w:t>
      </w:r>
      <w:r>
        <w:rPr>
          <w:rtl w:val="true"/>
        </w:rPr>
        <w:t>فتثبّتوا</w:t>
      </w:r>
      <w:r>
        <w:rPr>
          <w:rtl w:val="true"/>
        </w:rPr>
        <w:t>»</w:t>
      </w:r>
      <w:bookmarkEnd w:id="785"/>
    </w:p>
    <w:p>
      <w:pPr>
        <w:pStyle w:val="BookText"/>
        <w:rPr/>
      </w:pPr>
      <w:r>
        <w:rPr>
          <w:rFonts w:ascii="IRNazanin" w:hAnsi="IRNazanin" w:eastAsia="IRNazanin"/>
          <w:color w:val="111111"/>
          <w:sz w:val="28"/>
          <w:sz w:val="28"/>
          <w:szCs w:val="28"/>
          <w:rtl w:val="true"/>
          <w:lang w:bidi="fa-IR"/>
        </w:rPr>
        <w:t xml:space="preserve">قد حکی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و حمزة، و الکسائیّ، و هو بمعنی التوقّف </w:t>
      </w:r>
      <w:r>
        <w:rPr>
          <w:rStyle w:val="FootnoteAnchor"/>
          <w:rtl w:val="true"/>
        </w:rPr>
        <w:footnoteReference w:id="960"/>
      </w:r>
      <w:r>
        <w:rPr>
          <w:rFonts w:ascii="IRNazanin" w:hAnsi="IRNazanin" w:eastAsia="IRNazanin"/>
          <w:color w:val="111111"/>
          <w:sz w:val="28"/>
          <w:sz w:val="28"/>
          <w:szCs w:val="28"/>
          <w:rtl w:val="true"/>
          <w:lang w:bidi="fa-IR"/>
        </w:rPr>
        <w:t>، و مقتضی الآیة صدراً و ذیلاً و مورداً، هو لزوم التوقّف، کی یحصل صدق خبره، أو کی یحصل قیام القرائن علی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فالکلام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مقتضی المفهوم ادعاء صدق خبر العادل، و قد عرفت وجه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فمعنی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قیام القرائن علی صدقه، لوجود القرینة و هی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الإثبات، فلا یبعد لزوم تحصیل الصدق بمقتضی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یثبت شی‌ء فلا یثبت فی ناحیة المفهوم إلاّ القدر المتیقّن، لأنّ إجمال المنطوق یورث إجمال المفهوم طبعاً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خلال ما ذکرناه، تظهر وجوه المناقشة فی کلمات القوم حول مفاد الهیئة فی الجزاء، و أنّه نحتاج إلی المقدّمة الخارجیّة و لو کانت الهیئة لإفادة شرط الحجّیة</w:t>
      </w:r>
      <w:r>
        <w:rPr>
          <w:rStyle w:val="FootnoteAnchor"/>
          <w:rtl w:val="true"/>
        </w:rPr>
        <w:footnoteReference w:id="961"/>
      </w:r>
      <w:r>
        <w:rPr>
          <w:rFonts w:ascii="IRNazanin" w:hAnsi="IRNazanin" w:eastAsia="IRNazanin"/>
          <w:color w:val="111111"/>
          <w:sz w:val="28"/>
          <w:sz w:val="28"/>
          <w:szCs w:val="28"/>
          <w:rtl w:val="true"/>
          <w:lang w:bidi="fa-IR"/>
        </w:rPr>
        <w:t xml:space="preserve">، خلافاً لما یظهر من الشیخ قدس سره </w:t>
      </w:r>
      <w:r>
        <w:rPr>
          <w:rStyle w:val="FootnoteAnchor"/>
          <w:rtl w:val="true"/>
        </w:rPr>
        <w:footnoteReference w:id="962"/>
      </w:r>
      <w:r>
        <w:rPr>
          <w:rFonts w:ascii="IRNazanin" w:hAnsi="IRNazanin" w:eastAsia="IRNazanin"/>
          <w:color w:val="111111"/>
          <w:sz w:val="28"/>
          <w:sz w:val="28"/>
          <w:szCs w:val="28"/>
          <w:rtl w:val="true"/>
          <w:lang w:bidi="fa-IR"/>
        </w:rPr>
        <w:t>و غیر ذلک أی من وجوه المناقشة</w:t>
      </w:r>
      <w:r>
        <w:rPr>
          <w:rFonts w:eastAsia="IRNazanin" w:cs="IRNazanin"/>
          <w:color w:val="111111"/>
          <w:sz w:val="28"/>
          <w:szCs w:val="28"/>
          <w:rtl w:val="true"/>
          <w:lang w:bidi="fa-IR"/>
        </w:rPr>
        <w:t>.</w:t>
      </w:r>
      <w:bookmarkStart w:id="786" w:name="pg13170_166600"/>
    </w:p>
    <w:p>
      <w:pPr>
        <w:pStyle w:val="Heading6"/>
        <w:numPr>
          <w:ilvl w:val="5"/>
          <w:numId w:val="1"/>
        </w:numPr>
        <w:rPr/>
      </w:pPr>
      <w:bookmarkStart w:id="787" w:name="__RefHeading___Toc624831_3244359995"/>
      <w:bookmarkStart w:id="788" w:name="_Toc295"/>
      <w:bookmarkEnd w:id="786"/>
      <w:bookmarkEnd w:id="787"/>
      <w:r>
        <w:rPr>
          <w:rtl w:val="true"/>
        </w:rPr>
        <w:t>الجهة الخامسة</w:t>
      </w:r>
      <w:r>
        <w:rPr>
          <w:rtl w:val="true"/>
        </w:rPr>
        <w:t xml:space="preserve">: </w:t>
      </w:r>
      <w:r>
        <w:rPr>
          <w:rtl w:val="true"/>
        </w:rPr>
        <w:t xml:space="preserve">حول مفاد </w:t>
      </w:r>
      <w:r>
        <w:rPr>
          <w:rtl w:val="true"/>
        </w:rPr>
        <w:t>«</w:t>
      </w:r>
      <w:r>
        <w:rPr>
          <w:rtl w:val="true"/>
        </w:rPr>
        <w:t>النبأ</w:t>
      </w:r>
      <w:r>
        <w:rPr>
          <w:rtl w:val="true"/>
        </w:rPr>
        <w:t>»</w:t>
      </w:r>
      <w:bookmarkEnd w:id="788"/>
    </w:p>
    <w:p>
      <w:pPr>
        <w:pStyle w:val="Heading6"/>
        <w:numPr>
          <w:ilvl w:val="5"/>
          <w:numId w:val="1"/>
        </w:numPr>
        <w:rPr/>
      </w:pPr>
      <w:bookmarkStart w:id="789" w:name="__RefHeading___Toc624833_3244359995"/>
      <w:bookmarkStart w:id="790" w:name="_Toc296"/>
      <w:bookmarkEnd w:id="789"/>
      <w:r>
        <w:rPr>
          <w:rtl w:val="true"/>
        </w:rPr>
        <w:t>اشارة</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مترادفان حسب نظر اللغویّین البسطاء</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خبر، ذو فائدة عظیمة، یحصل به علم، أو غلبة الظنّ، و لا یقال للخبر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حتّی یتضمّن هذه الأشیاء الثلاثة و حقّ الخبر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أن یتعرّی عن الکذب، کالتواتر، و خبر اللّه تعالی، و خبر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لتضمّن النبأ معنی الخبر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أنبأته بکذا،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لتضمّنه معنی العلم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أنبأته کذا، کقولک أعلمته 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 إِنْ جاءَکُمْ فاسِقٌ بِنَبَإٍ فَتَبَیَّنُوا تنبیه أنّه إذا کان الخبر شیئا عظیما له قدر، فحقّه أن یتوقّف فیه و إن علم و غلب صحّته علی الظنّ، حتّی یعاد النّظر فیه، و یتبیّن فضل تبیّن</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کثیر من کتب التفسیر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بالخبر العظیم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توصیفه ب الْعَظِیمِ فی القرآن </w:t>
      </w:r>
      <w:r>
        <w:rPr>
          <w:rStyle w:val="FootnoteAnchor"/>
          <w:rtl w:val="true"/>
        </w:rPr>
        <w:footnoteReference w:id="966"/>
      </w:r>
      <w:r>
        <w:rPr>
          <w:rFonts w:ascii="IRNazanin" w:hAnsi="IRNazanin" w:eastAsia="IRNazanin"/>
          <w:color w:val="111111"/>
          <w:sz w:val="28"/>
          <w:sz w:val="28"/>
          <w:szCs w:val="28"/>
          <w:rtl w:val="true"/>
          <w:lang w:bidi="fa-IR"/>
        </w:rPr>
        <w:t>لا ینافیه، إن لم یکن مؤکّدا له، کما لا یخفی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إقدام النبیّ صلی اللَّه علیه و آله و سلم اعتمادا علی قول الفاسق،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خبره کان نبأ، و موجبا للعلم أو غلبة الظنّ، فأوحی اللَّه تعالی بالتأکید فی ذلک، لیکون المخبر فاسقا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حسب المرویّ، بعث خالد بن الولید للتثبّت، و لم</w:t>
      </w:r>
      <w:bookmarkStart w:id="791" w:name="pg13170_166601"/>
    </w:p>
    <w:p>
      <w:pPr>
        <w:pStyle w:val="BookText"/>
        <w:rPr/>
      </w:pPr>
      <w:bookmarkEnd w:id="791"/>
      <w:r>
        <w:rPr>
          <w:rFonts w:ascii="IRNazanin" w:hAnsi="IRNazanin" w:eastAsia="IRNazanin"/>
          <w:color w:val="111111"/>
          <w:sz w:val="28"/>
          <w:sz w:val="28"/>
          <w:szCs w:val="28"/>
          <w:rtl w:val="true"/>
          <w:lang w:bidi="fa-IR"/>
        </w:rPr>
        <w:t>یبادر إلی جهادهم، فلمّا رجع خالد، و حکی له أنّهم أهل الصلاة، نزلت الآیة</w:t>
      </w:r>
      <w:r>
        <w:rPr>
          <w:rStyle w:val="FootnoteAnchor"/>
          <w:rtl w:val="true"/>
        </w:rPr>
        <w:footnoteReference w:id="96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 ما حصّلناه، إمّا نصدّق الراغب، أو یحصل الشکّ، و علی کلّ تقدیر لا وجه لتصدیق نقل اللغویّین، لعدم الدلیل علیه، مع بعد الترادف فی ذاته، 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الرسول یشهد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لا یکفی مجرّد ثبوت المفهوم للآیة لتمامیّة المدّعی، کما یظهر من المتأخّرین </w:t>
      </w:r>
      <w:r>
        <w:rPr>
          <w:rStyle w:val="FootnoteAnchor"/>
          <w:rtl w:val="true"/>
        </w:rPr>
        <w:footnoteReference w:id="968"/>
      </w:r>
      <w:r>
        <w:rPr>
          <w:rFonts w:ascii="Amiri" w:hAnsi="Amiri" w:eastAsia="Amiri" w:cs="Amiri"/>
          <w:color w:val="111111"/>
          <w:sz w:val="28"/>
          <w:sz w:val="28"/>
          <w:szCs w:val="28"/>
          <w:rtl w:val="true"/>
          <w:lang w:bidi="ar-SA"/>
        </w:rPr>
        <w:t>إلاّ من شذّ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 فی الأمور المهتمّ بها، کما یساعده الذیل، و یقال الکلّیات، فلنا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الأخبار الحاکیة عن أحکام اللَّه، تکون من النبأ، لأنّ حکم اللَّه من الأمور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الإشکال فی أنّ النبأ یحتمل کونه الخبر المقرون بالعلم، أی الخبر الواضح الصادق المعلوم صدقه، أو الغالب علی الظنّ صدقه، و یکون لهذا الاحتمال منشأ عقلائیّ، کما أشیر إلیه </w:t>
      </w:r>
      <w:r>
        <w:rPr>
          <w:rStyle w:val="FootnoteAnchor"/>
          <w:rtl w:val="true"/>
        </w:rPr>
        <w:footnoteReference w:id="969"/>
      </w:r>
      <w:r>
        <w:rPr>
          <w:rFonts w:ascii="IRNazanin" w:hAnsi="IRNazanin" w:eastAsia="IRNazanin"/>
          <w:color w:val="111111"/>
          <w:sz w:val="28"/>
          <w:sz w:val="28"/>
          <w:szCs w:val="28"/>
          <w:rtl w:val="true"/>
          <w:lang w:bidi="fa-IR"/>
        </w:rPr>
        <w:t>، و یظهر من بعض الآیات الاخر</w:t>
      </w:r>
      <w:r>
        <w:rPr>
          <w:rStyle w:val="FootnoteAnchor"/>
          <w:rtl w:val="true"/>
        </w:rPr>
        <w:footnoteReference w:id="970"/>
      </w:r>
      <w:r>
        <w:rPr>
          <w:rFonts w:ascii="IRNazanin" w:hAnsi="IRNazanin" w:eastAsia="IRNazanin"/>
          <w:color w:val="111111"/>
          <w:sz w:val="28"/>
          <w:sz w:val="28"/>
          <w:szCs w:val="28"/>
          <w:rtl w:val="true"/>
          <w:lang w:bidi="fa-IR"/>
        </w:rPr>
        <w:t>، فحینئذٍ لا یمکن إثبات حجّیة الخبر العادل به</w:t>
      </w:r>
      <w:r>
        <w:rPr>
          <w:rFonts w:eastAsia="IRNazanin" w:cs="IRNazanin"/>
          <w:color w:val="111111"/>
          <w:sz w:val="28"/>
          <w:szCs w:val="28"/>
          <w:rtl w:val="true"/>
          <w:lang w:bidi="fa-IR"/>
        </w:rPr>
        <w:t>.</w:t>
      </w:r>
    </w:p>
    <w:p>
      <w:pPr>
        <w:pStyle w:val="Heading6"/>
        <w:numPr>
          <w:ilvl w:val="5"/>
          <w:numId w:val="1"/>
        </w:numPr>
        <w:rPr/>
      </w:pPr>
      <w:bookmarkStart w:id="792" w:name="__RefHeading___Toc624835_3244359995"/>
      <w:bookmarkStart w:id="793" w:name="_Toc297"/>
      <w:bookmarkEnd w:id="792"/>
      <w:r>
        <w:rPr>
          <w:rtl w:val="true"/>
        </w:rPr>
        <w:t>تذنیب</w:t>
      </w:r>
      <w:r>
        <w:rPr>
          <w:rtl w:val="true"/>
        </w:rPr>
        <w:t xml:space="preserve">: </w:t>
      </w:r>
      <w:r>
        <w:rPr>
          <w:rtl w:val="true"/>
        </w:rPr>
        <w:t>حول حجّیة خبر العادل واقعا و إن لم یصل إلینا</w:t>
      </w:r>
      <w:bookmarkEnd w:id="79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المنطوق وجوب إیضاح الخبر، و معناه أو لازمه العلم بصدق الخبر، فیلزم أن تکون حجّیة خبر الفاسق مشروطة بالعلم بالصدق، و العلم المذکور إمّا تمام الموضوع، أو جزؤه، و تصیر النتیجة فی ناحیة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العادل و إن لم یکن واضح الصدق، و معنی ذلک أنّ خبر العادل حجّة واقعیّة و إن</w:t>
      </w:r>
      <w:bookmarkStart w:id="794" w:name="pg13170_166602"/>
    </w:p>
    <w:p>
      <w:pPr>
        <w:pStyle w:val="BookText"/>
        <w:rPr/>
      </w:pPr>
      <w:bookmarkEnd w:id="794"/>
      <w:r>
        <w:rPr>
          <w:rFonts w:ascii="IRNazanin" w:hAnsi="IRNazanin" w:eastAsia="IRNazanin"/>
          <w:color w:val="111111"/>
          <w:sz w:val="28"/>
          <w:sz w:val="28"/>
          <w:szCs w:val="28"/>
          <w:rtl w:val="true"/>
          <w:lang w:bidi="fa-IR"/>
        </w:rPr>
        <w:t>لم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ناحیة المنطوق یکون الموضوع الخبر الواصل، لأنّ إیضاحه یقتضی ذلک، و أمّا فی ناحیة المفهوم فلا 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یلتزم به القوم، فإنّ حجّیة الخبر مخصوصة بالخبر الواصل، و لا یکون للحجّیة مقام الثبوت و الإثبات، بل الحجّیة ذات 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المجی‌ء إلیکم، هو اعتبار الخبر الواصل، ففی المنطوق قرینة أخری علی أنّ المفروض فی ناحیة المفهوم هو الخبر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خبر الفاسق، یظهر اعتبار وصوله من جملة الجزاء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هذا الإشکال علی الفرض المذکور، مع أنّ الوضوح غیر العلم، و لو کان یلازمه فلا یلزم أن یکون جزء أو تماما، بل ربّما یعدّ طریقا و لو کان مأخوذا فی نفس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به إذا أخلّ المکلّف فی فحصه، 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الاحتمال قبل الفحص منجّز</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غیر تامّ، بل ما هو المنجّز هو الخبر الواقعیّ، و قد مرّ تفصیل المسألة عند تحریر الأصل فی الشکّ فی الحجّیة بما لا مزید علیه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موقع 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الخبر الواصل، فراجع و تدبّر جدّاً</w:t>
      </w:r>
      <w:r>
        <w:rPr>
          <w:rFonts w:eastAsia="IRNazanin" w:cs="IRNazanin"/>
          <w:color w:val="111111"/>
          <w:sz w:val="28"/>
          <w:szCs w:val="28"/>
          <w:rtl w:val="true"/>
          <w:lang w:bidi="fa-IR"/>
        </w:rPr>
        <w:t>.</w:t>
      </w:r>
    </w:p>
    <w:p>
      <w:pPr>
        <w:pStyle w:val="Heading6"/>
        <w:numPr>
          <w:ilvl w:val="5"/>
          <w:numId w:val="1"/>
        </w:numPr>
        <w:rPr/>
      </w:pPr>
      <w:bookmarkStart w:id="795" w:name="__RefHeading___Toc624837_3244359995"/>
      <w:bookmarkStart w:id="796" w:name="_Toc298"/>
      <w:bookmarkEnd w:id="795"/>
      <w:r>
        <w:rPr>
          <w:rtl w:val="true"/>
        </w:rPr>
        <w:t>الجهة السادسة</w:t>
      </w:r>
      <w:r>
        <w:rPr>
          <w:rtl w:val="true"/>
        </w:rPr>
        <w:t xml:space="preserve">: </w:t>
      </w:r>
      <w:r>
        <w:rPr>
          <w:rtl w:val="true"/>
        </w:rPr>
        <w:t>فی مفاد قوله تعالی</w:t>
      </w:r>
      <w:r>
        <w:rPr>
          <w:rtl w:val="true"/>
        </w:rPr>
        <w:t xml:space="preserve">: </w:t>
      </w:r>
      <w:r>
        <w:rPr>
          <w:rtl w:val="true"/>
        </w:rPr>
        <w:t xml:space="preserve">أن تصیبوا قوما بجهالةٍ </w:t>
      </w:r>
      <w:r>
        <w:rPr>
          <w:rtl w:val="true"/>
        </w:rPr>
        <w:t>...</w:t>
      </w:r>
      <w:bookmarkEnd w:id="796"/>
    </w:p>
    <w:p>
      <w:pPr>
        <w:pStyle w:val="Heading6"/>
        <w:numPr>
          <w:ilvl w:val="5"/>
          <w:numId w:val="1"/>
        </w:numPr>
        <w:rPr/>
      </w:pPr>
      <w:bookmarkStart w:id="797" w:name="__RefHeading___Toc624839_3244359995"/>
      <w:bookmarkStart w:id="798" w:name="_Toc299"/>
      <w:bookmarkEnd w:id="797"/>
      <w:r>
        <w:rPr>
          <w:rtl w:val="true"/>
        </w:rPr>
        <w:t>اشارة</w:t>
      </w:r>
      <w:bookmarkEnd w:id="79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الجملة تعلیلیّة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 تکون حکمة و نکتة و علّة تشریع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تکون مفعولا به للفعل المحذوف، و هی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جاءَکُمْ فاسِقٌ بِنَبَإٍ فَتَبَیَّنُوا و اتقوا أَنْ تُصِیبُوا قَوْماً بِجَهالَةٍ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محتملات الجهالة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یراد منها الجهل قبال العلم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تکون بمعنی السفاهة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تکون بمعنی الجور و الغلظة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بعض التفاسیر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تُصِیبُوا قَوْماً بِجَهالَةٍ أی بخطإ</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فتصیر المحتملات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إجمال من المحتملات فی الذیل، و إلیک تفصیل لوازم تلک المحتملات، ثمّ بعد ذلک نشیر إلی ما هو الظاهر منها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الذیل إذا کان علّة تامّة شرعیّة لإیجاب التبیّن، و الجهالة هو ضدّ العلم، فبناء علیه لا معنی للمفهوم هنا، لأجل توقّف المفهوم للقضیّة الشرطیّة علی ثبوت الإطلاق، حسبما تحرّر</w:t>
      </w:r>
      <w:r>
        <w:rPr>
          <w:rStyle w:val="FootnoteAnchor"/>
          <w:rtl w:val="true"/>
        </w:rPr>
        <w:footnoteReference w:id="980"/>
      </w:r>
      <w:r>
        <w:rPr>
          <w:rFonts w:ascii="IRNazanin" w:hAnsi="IRNazanin" w:eastAsia="IRNazanin"/>
          <w:color w:val="111111"/>
          <w:sz w:val="28"/>
          <w:sz w:val="28"/>
          <w:szCs w:val="28"/>
          <w:rtl w:val="true"/>
          <w:lang w:bidi="fa-IR"/>
        </w:rPr>
        <w:t>، و لا معنی لإطلاق الشرط بعد نصوصیّة الکلام</w:t>
      </w:r>
    </w:p>
    <w:p>
      <w:pPr>
        <w:pStyle w:val="BookText"/>
        <w:rPr/>
      </w:pPr>
      <w:r>
        <w:rPr>
          <w:rFonts w:ascii="IRNazanin" w:hAnsi="IRNazanin" w:eastAsia="IRNazanin"/>
          <w:color w:val="111111"/>
          <w:sz w:val="28"/>
          <w:sz w:val="28"/>
          <w:szCs w:val="28"/>
          <w:rtl w:val="true"/>
          <w:lang w:bidi="fa-IR"/>
        </w:rPr>
        <w:t>فیما هو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إشکال أبدعه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اعتقد أنّه علی تقدیر تمامیّته لا تصل نوبة البحث إلی مسألة معارضة المفهوم و التعلیل، و إلی دعوی حکومة المفهوم علی التعلیل، و المناقشة فی تلک الحکومة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منع ثبوتا من الالتزام بالعلّتین، کما تحرّر فی باب المفاهیم </w:t>
      </w:r>
      <w:r>
        <w:rPr>
          <w:rStyle w:val="FootnoteAnchor"/>
          <w:rtl w:val="true"/>
        </w:rPr>
        <w:footnoteReference w:id="982"/>
      </w:r>
      <w:r>
        <w:rPr>
          <w:rFonts w:ascii="IRNazanin" w:hAnsi="IRNazanin" w:eastAsia="IRNazanin"/>
          <w:color w:val="111111"/>
          <w:sz w:val="28"/>
          <w:sz w:val="28"/>
          <w:szCs w:val="28"/>
          <w:rtl w:val="true"/>
          <w:lang w:bidi="fa-IR"/>
        </w:rPr>
        <w:t>، و تکون النتیجة انقلاب العلّة المنحصرة الحقیقیّة إلی الإضافیّة، و إذا کان ظاهر أخذ الفسق فی الشرط، دخالته فی الحکم، یلزم کون الفسق و الإصابة بالجهالة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ربّما تتّفق فی مورد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علّة واحدة، کما قد جمع الأصحاب بین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خفیت الجدران فقصّر</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فیکون کلّ واحد جزء العلّة فی صورة المقارنة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بین المثال و ما نحن فیه فرق من جهة أخری، و هو غیر مضرّ بالمقصود،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إذا انتفی الفسق ینتفی وجوب التبیّن فی مورد النبأ الجائی به العادل، و إذا لم یکن إشکال آخر، فلازمه حجّیة خبر الثقة و العدل،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إجمال الآیة الشریفة، لعدم إمکان الأخذ بالشرط و التعلیل</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غیر سدید</w:t>
      </w:r>
    </w:p>
    <w:p>
      <w:pPr>
        <w:pStyle w:val="BookText"/>
        <w:rPr/>
      </w:pPr>
      <w:r>
        <w:rPr>
          <w:rFonts w:ascii="IRNazanin" w:hAnsi="IRNazanin" w:eastAsia="IRNazanin"/>
          <w:color w:val="111111"/>
          <w:sz w:val="28"/>
          <w:sz w:val="28"/>
          <w:szCs w:val="28"/>
          <w:rtl w:val="true"/>
          <w:lang w:bidi="fa-IR"/>
        </w:rPr>
        <w:t xml:space="preserve">و هکذا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تردّد العلة بین کونه فسق المخبر، و بین ما فی الذیل</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فإنّه لا تتردّد العلّة، بل تترکّب العلّة منهما، و الوجوب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تلک اللوازم، أنّ مقتضی علّیة الدلیل، ممنوعیّة جمیع الظنون الخاصّة، و رادعیّة الآیة ذیلا عن کافّة الظنون،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 فیها نفسها و مفاد مفهومها، فلا بدّ عندئذٍ من الالتزام بالتخصیص الکثیر، مع أنّ الآیة تأبی عن تخصیص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ممنوع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أدلّة حجّیة الظنون الخاصّة، حاکمة علی عموم التعلیل </w:t>
      </w:r>
      <w:r>
        <w:rPr>
          <w:rStyle w:val="FootnoteAnchor"/>
          <w:rtl w:val="true"/>
        </w:rPr>
        <w:footnoteReference w:id="987"/>
      </w:r>
      <w:r>
        <w:rPr>
          <w:rFonts w:ascii="IRNazanin" w:hAnsi="IRNazanin" w:eastAsia="IRNazanin"/>
          <w:color w:val="111111"/>
          <w:sz w:val="28"/>
          <w:sz w:val="28"/>
          <w:szCs w:val="28"/>
          <w:rtl w:val="true"/>
          <w:lang w:bidi="fa-IR"/>
        </w:rPr>
        <w:t>، کحکومة الأدلّة المبیحة للربا علی الآیة الآبیة عن التخصیص، فإنّ الإباء عن الحکومة لا معنی له، غیر سدید، لما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مسألة تتمیم الکشف، لا أساس لها فی الآثار</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قضیّة ما تحرّر منّا لمفهوم الشرط هنا، هو لزوم کون خبر العادل واضحا ادعاء، و لکنّک عرفت ما فیه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ذلک فی مورد خبر الواحد و لکنّه غیر تامّ بالنسبة إلی بقیّة الطرق و الأمارات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ضدّ العلم، و لکنّ المراد من العلم هی الحجّة، فتکون أدلّة حجّیة الظنون، واردة علی عموم التعلیل و إطلاق الذیل </w:t>
      </w:r>
      <w:r>
        <w:rPr>
          <w:rStyle w:val="FootnoteAnchor"/>
          <w:rtl w:val="true"/>
        </w:rPr>
        <w:footnoteReference w:id="990"/>
      </w:r>
      <w:r>
        <w:rPr>
          <w:rFonts w:ascii="IRNazanin" w:hAnsi="IRNazanin" w:eastAsia="IRNazanin"/>
          <w:color w:val="111111"/>
          <w:sz w:val="28"/>
          <w:sz w:val="28"/>
          <w:szCs w:val="28"/>
          <w:rtl w:val="true"/>
          <w:lang w:bidi="fa-IR"/>
        </w:rPr>
        <w:t xml:space="preserve">، غیر تامّ إثباتا، لعدم الشاهد علیه فی محیط الآیة الشریفة، کما مرّ فی البحث السابق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الجملة علّة تامّة، 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السفاهة، و هی ضدّ الطریقة العقلائیّة، فلازمه حجّیة خبر العدل، لأنّ السفاهة موکولة إلی العقلاء و العرف تشخیصا، فیکون العمل بالخبر الواحد الجائی به العادل، خلاف السفاهة عند العقلاء بالضرورة، و 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الذیل علّة تامّة، و کان الفسق غیر دخیل، فلا یکون للقضیّة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التعلیل حینئذٍ حجّیة خبر العدل، لأنّه لیس من مورد الإصابة بجهالة حسب حکم العرف، و أمّا فی مورد خبر الفاسق، فإن صدّقنا العقلاء فی أنّه عمل غیر عقلائیّ فهو، و إلاّ مقتضی الشرط إیضاح أنّ اتباع خبر الفاسق غیر عقلائیّ، فالآیة حسب القضیّة الشرطیّة تعرّضت لموارد الجهالة، و حسب التعلیل تعرّضت لمعنی کبرویّ، و هو حجّیة خبر العادل، لجهة أنّه اتباع لأمر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إذا لم یکن للفسق دخالة فی إیجاب التبیّن، و إلاّ فالتقریب الأخیر لا یتمّ، للزوم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للإیجاب المزبور، و مقتضی انتفاء کلّ واحد من الجزءین، 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الالتزام بأنّ التعلیل هو الأصل، و أنّ القضیّة الشرطیّة لیست إلاّ لإفادة، أنّ اتباع خبر الفاسق غیر عقلائیّ، و فیه السفاهة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الثقة المتحرّز من الکذب و لو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هذا الاحتمال، أنّ فی المسائل المهتمّ بها، یکون اتباع خبر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العدول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السفاهة العقلائیّة، و لازم العلّیة و لو جزء، عدم حجّیة خبر العادل، فلا یتمّ عموم المدّعی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حجّیته فی الأمور المهتمّ بها، لیست مورد الادعاء،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بمهمّة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قصور شمول المفهوم لحجّیة خبر العادل فی المسائل المعتنی بها، أو قصور شمول التعلیل علی فرض کون الجهالة سفاهة،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فَتُصْبِحُوا عَلی ما فَعَلْتُمْ نادِمِینَ</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الإصباح نادما من تبعات مطلق التخلّف عن الواقع و عدم الإصابة و لو کان علما، مع أنّ حجیة العلم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التعلیل ملامة الآیة بالنسبة إلی الإصابة بجهالة، و هو أمر مربوط بمقام الإقدام، و یورث اعتبار کون الإقدام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فَتُصْبِحُوا فهی من آثار ذلک الإقدام، و قد أخذت فی الآیة ترغیبا إلی أن یتوجّه الأمّة إلی أن یکون إقدامهم عقلائیّا، لقلّة الإصابة بجهالة فی مورده، و لو کان الندم عامّا مشترکا بین کافّة الطرق التی تکون حجّة ذاتیّة و عرضیّة، و من هنا یظهر وجه ضعف ما فی کلام العلاّمة الأراکی قدس سره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الجهالة هی السفاهة، و کون الأمر بالتبیّن، لإیضاح صدق خبر الفاسق وضوحا أعمّ من العلم و الاطمئنان، کما مرّ</w:t>
      </w:r>
      <w:r>
        <w:rPr>
          <w:rStyle w:val="FootnoteAnchor"/>
          <w:rtl w:val="true"/>
        </w:rPr>
        <w:footnoteReference w:id="993"/>
      </w:r>
      <w:r>
        <w:rPr>
          <w:rFonts w:ascii="IRNazanin" w:hAnsi="IRNazanin" w:eastAsia="IRNazanin"/>
          <w:color w:val="111111"/>
          <w:sz w:val="28"/>
          <w:sz w:val="28"/>
          <w:szCs w:val="28"/>
          <w:rtl w:val="true"/>
          <w:lang w:bidi="fa-IR"/>
        </w:rPr>
        <w:t>، و تکون علّة الإیجاب هی السفاهة، لا الفسق، أو هی مع الفسق، کما أشیر إلیه، فعلی کلّ تقدیر، لازمه حجّیة خبر العادل إلاّ فیما مرّ، و لا یلزم هنا تخصیص، و لا تعارض، و لا حکومة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الجملة حکمة تشریع، و نکتة لإیجاب التبیّن، فلا یلزم الإشکال المزبور علی المفهوم، لو لم یکن إشکال آخر فی البین من الإشکالات</w:t>
      </w:r>
    </w:p>
    <w:p>
      <w:pPr>
        <w:pStyle w:val="BookText"/>
        <w:rPr/>
      </w:pPr>
      <w:r>
        <w:rPr>
          <w:rFonts w:ascii="IRNazanin" w:hAnsi="IRNazanin" w:eastAsia="IRNazanin"/>
          <w:color w:val="111111"/>
          <w:sz w:val="28"/>
          <w:sz w:val="28"/>
          <w:szCs w:val="28"/>
          <w:rtl w:val="true"/>
          <w:lang w:bidi="fa-IR"/>
        </w:rPr>
        <w:t xml:space="preserve">الآتیة المتوجّهة إلی أصل وجوده </w:t>
      </w:r>
      <w:r>
        <w:rPr>
          <w:rStyle w:val="FootnoteAnchor"/>
          <w:rtl w:val="true"/>
        </w:rPr>
        <w:footnoteReference w:id="994"/>
      </w:r>
      <w:r>
        <w:rPr>
          <w:rFonts w:ascii="IRNazanin" w:hAnsi="IRNazanin" w:eastAsia="IRNazanin"/>
          <w:color w:val="111111"/>
          <w:sz w:val="28"/>
          <w:sz w:val="28"/>
          <w:szCs w:val="28"/>
          <w:rtl w:val="true"/>
          <w:lang w:bidi="fa-IR"/>
        </w:rPr>
        <w:t>، و لا تخصیص، و لا معارضة، فتکون الآیة بمثابة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حجّا فقد أوجب اللَّه الحجّ سیاسة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 النتیجة هی النّظر فی الآیة إلی مسائل نوعیّة، و ملاحظة الغالبیّة و الأکثریّة، لا الشخصیة و الفردیّة الاستیعابیّة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الذیل مفعولا لفعل محذوف، کما احتمله فی تفسیر الفخر</w:t>
      </w:r>
      <w:r>
        <w:rPr>
          <w:rStyle w:val="FootnoteAnchor"/>
          <w:rtl w:val="true"/>
        </w:rPr>
        <w:footnoteReference w:id="995"/>
      </w:r>
      <w:r>
        <w:rPr>
          <w:rFonts w:ascii="IRNazanin" w:hAnsi="IRNazanin" w:eastAsia="IRNazanin"/>
          <w:color w:val="111111"/>
          <w:sz w:val="28"/>
          <w:sz w:val="28"/>
          <w:szCs w:val="28"/>
          <w:rtl w:val="true"/>
          <w:lang w:bidi="fa-IR"/>
        </w:rPr>
        <w:t>، فتکون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الحذف علی خلاف الأصل، فکون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w:t>
      </w:r>
      <w:r>
        <w:rPr>
          <w:rStyle w:val="FootnoteAnchor"/>
          <w:rtl w:val="true"/>
        </w:rPr>
        <w:footnoteReference w:id="996"/>
      </w:r>
      <w:r>
        <w:rPr>
          <w:rFonts w:ascii="IRNazanin" w:hAnsi="IRNazanin" w:eastAsia="IRNazanin"/>
          <w:color w:val="111111"/>
          <w:sz w:val="28"/>
          <w:sz w:val="28"/>
          <w:szCs w:val="28"/>
          <w:rtl w:val="true"/>
          <w:lang w:bidi="fa-IR"/>
        </w:rPr>
        <w:t>و حذرا</w:t>
      </w:r>
      <w:r>
        <w:rPr>
          <w:rStyle w:val="FootnoteAnchor"/>
          <w:rtl w:val="true"/>
        </w:rPr>
        <w:footnoteReference w:id="997"/>
      </w:r>
      <w:r>
        <w:rPr>
          <w:rFonts w:ascii="Amiri" w:hAnsi="Amiri" w:eastAsia="Amiri" w:cs="Amiri"/>
          <w:color w:val="111111"/>
          <w:sz w:val="28"/>
          <w:sz w:val="28"/>
          <w:szCs w:val="28"/>
          <w:rtl w:val="true"/>
          <w:lang w:bidi="ar-SA"/>
        </w:rPr>
        <w:t>و مخافة</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و غیر ذلک ممّا لا یناسب مقامه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الإصابة بجهالة ممنوع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الجهالة ضدّ العلم، یلزم المعارضة بین المفهوم و الذیل فی موارد کون خبر العدل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بمعنی السفاهة ضدّ الطریقة العقلائیّة، فلا یلزم تعارض، و رفع المعارضة و لو أمکن ثبوتا، و لکن قد عرفت عدم قیام الأدلّة علی أنّ خبر العدل علم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دعوی العلم، لا توجب حلا للإشکال، فإنّ الواقعیّة لا تتغیّر بالدعاوی، و عدم قابلیّة الذیل للتخصیص، لا تنقلب إلی القابلیّة فی موارد أدلّة الحکومة، فتأمّل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مجال لتوهّم إنکار المفهوم، بأنّ إطلاق الشرط غیر</w:t>
      </w:r>
      <w:bookmarkStart w:id="799" w:name="pg13170_166609"/>
    </w:p>
    <w:p>
      <w:pPr>
        <w:pStyle w:val="BookText"/>
        <w:rPr/>
      </w:pPr>
      <w:bookmarkEnd w:id="799"/>
      <w:r>
        <w:rPr>
          <w:rFonts w:ascii="IRNazanin" w:hAnsi="IRNazanin" w:eastAsia="IRNazanin"/>
          <w:color w:val="111111"/>
          <w:sz w:val="28"/>
          <w:sz w:val="28"/>
          <w:szCs w:val="28"/>
          <w:rtl w:val="true"/>
          <w:lang w:bidi="fa-IR"/>
        </w:rPr>
        <w:t>منعقد بعد تذیّله بالمنع عن الإصابة بجهالة، فإن ذلک مندفع بما مرّ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یخطر بالبال أنّ لازم هذا الاحتمال، هو الاتقاء فی موارد قیام خبر العدل، إذا کانت الجهالة ضدّ العلم، و نتیجة ذلک عدم حجّیته، فبمجرّد قیام خبر العدل و إن لم یجب التبیّن حسب المفهوم، و لکن لا منافاة بین عدم وجوب التبیّن من الصدق و الکذب، و لکن یجب الاتقاء، لکونه من الإصابة بجهالة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تعارض علی هذا الاحتمال بین المفهوم و الذیل، و یلزم الأخذ بهما فی مورد خبر العدل إذا لم یکن مقرونا بالوثوق و الاطمئنان، فإنّه بما أنّه خبر عدل لا یجب التبیّن، و بما أنّه جهالة یجب الاتقاء،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الجهالة علی هذا التقدیر إذا کانت بمعنی السفاهة، یلزم الاتقاء منها فی الأمور المهتمّ بها، لأنّ النبأ الجائی به العادل، لا یخرج اتباعه فی أمثالها عن السفاهة، و لکن خروج مثلها عن محلّ الاختلاف و محطّ النزاع، لا یضرّ بمهمّة المسألة، کما لا یخفی</w:t>
      </w:r>
      <w:r>
        <w:rPr>
          <w:rFonts w:eastAsia="IRNazanin" w:cs="IRNazanin"/>
          <w:color w:val="111111"/>
          <w:sz w:val="28"/>
          <w:szCs w:val="28"/>
          <w:rtl w:val="true"/>
          <w:lang w:bidi="fa-IR"/>
        </w:rPr>
        <w:t>.</w:t>
      </w:r>
    </w:p>
    <w:p>
      <w:pPr>
        <w:pStyle w:val="Heading6"/>
        <w:numPr>
          <w:ilvl w:val="5"/>
          <w:numId w:val="1"/>
        </w:numPr>
        <w:rPr/>
      </w:pPr>
      <w:bookmarkStart w:id="800" w:name="__RefHeading___Toc624841_3244359995"/>
      <w:bookmarkStart w:id="801" w:name="_Toc300"/>
      <w:bookmarkEnd w:id="800"/>
      <w:r>
        <w:rPr>
          <w:rtl w:val="true"/>
        </w:rPr>
        <w:t>بقی شی‌ء</w:t>
      </w:r>
      <w:r>
        <w:rPr>
          <w:rtl w:val="true"/>
        </w:rPr>
        <w:t xml:space="preserve">: </w:t>
      </w:r>
      <w:r>
        <w:rPr>
          <w:rtl w:val="true"/>
        </w:rPr>
        <w:t>و هو إبطال علّیة الذیل و حذف الفعل</w:t>
      </w:r>
      <w:bookmarkEnd w:id="801"/>
    </w:p>
    <w:p>
      <w:pPr>
        <w:pStyle w:val="BookText"/>
        <w:rPr/>
      </w:pPr>
      <w:r>
        <w:rPr>
          <w:rFonts w:ascii="IRNazanin" w:hAnsi="IRNazanin" w:eastAsia="IRNazanin"/>
          <w:color w:val="111111"/>
          <w:sz w:val="28"/>
          <w:sz w:val="28"/>
          <w:szCs w:val="28"/>
          <w:rtl w:val="true"/>
          <w:lang w:bidi="fa-IR"/>
        </w:rPr>
        <w:t>قد تبیّن من خلال ما ذکرناه، لوازم کون الجهالة بمعنی الجور و الغلظة و الخطأ، و لا یترتب علیها شی‌ء یعتنی به، و الّذی هو المهمّ بالبحث هو الخروج عن هذه الاحتمالات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بالعلّیة</w:t>
      </w:r>
      <w:r>
        <w:rPr>
          <w:rStyle w:val="FootnoteAnchor"/>
          <w:rtl w:val="true"/>
        </w:rPr>
        <w:footnoteReference w:id="1001"/>
      </w:r>
      <w:r>
        <w:rPr>
          <w:rFonts w:ascii="IRNazanin" w:hAnsi="IRNazanin" w:eastAsia="IRNazanin"/>
          <w:color w:val="111111"/>
          <w:sz w:val="28"/>
          <w:sz w:val="28"/>
          <w:szCs w:val="28"/>
          <w:rtl w:val="true"/>
          <w:lang w:bidi="fa-IR"/>
        </w:rPr>
        <w:t>، فهو بلا وجه جدّاً، لعدم الدلیل علیها إثباتا إلاّ المناسبة، و هی أعمّ من کونه علّة، أو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بأنّ المحذوف هو الفعل، فیکون الذیل مورد الأمر الآخر المولویّ، فهو أیضا مجرّد الاحتمال المساعد علیه الذوق أحیاناً، و لیس ذلک موجباً لأن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أن یکون الذیل حکمة لأصل الأمر بالتبیّن بالنظر إلی الجهات الغالبیّة النوعیّة، کما عرفت فی المثال السابق، فإنّ الأمر بالحجّ علی تقدیر الاستطاعة، معلول تلک الاستطاعة، حسب العلّیة الواقعیّة، و أمّا کون وجوب الحجّ سیاسة للأمّة، فهو من الحکم و العلل لأصل التشریع علی النحو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فإیجاب التبیّن عقیب خبر الفاسق عامّ أصولیّ، أو إطلاق انحلالیّ عرفیّ، و لازم علی کلّ أحد، لعلّیة الفسق، و لکن أصل إیجابه إجمالاً معلول الأمر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ملاحظة کثرة الخطأ فی هذه الناحیة، و قلّة الجهالة فی الناحیة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خبر العدل، و هذا لا ینافی عدم وجوب التبیّن فی مورد خبر العدل، و لو کان شخصاً مورد الجهالة و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أنّ القول بالتعلیل علیل، لزوم بعض الإشکالات علی بعض التقادیر، بوجه لا یمکن دفعها، بل یلزم إشکال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الجهالة هی السفاهة</w:t>
      </w:r>
      <w:r>
        <w:rPr>
          <w:rStyle w:val="FootnoteAnchor"/>
          <w:rtl w:val="true"/>
        </w:rPr>
        <w:footnoteReference w:id="1002"/>
      </w:r>
      <w:r>
        <w:rPr>
          <w:rFonts w:ascii="IRNazanin" w:hAnsi="IRNazanin" w:eastAsia="IRNazanin"/>
          <w:color w:val="111111"/>
          <w:sz w:val="28"/>
          <w:sz w:val="28"/>
          <w:szCs w:val="28"/>
          <w:rtl w:val="true"/>
          <w:lang w:bidi="fa-IR"/>
        </w:rPr>
        <w:t xml:space="preserve">، أم هی ضدّ العلم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خروج الأنباء المهتمّ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الذیل لیس تعلیلاً اصطلاحیّاً</w:t>
      </w:r>
      <w:r>
        <w:rPr>
          <w:rStyle w:val="FootnoteAnchor"/>
          <w:rtl w:val="true"/>
        </w:rPr>
        <w:footnoteReference w:id="1004"/>
      </w:r>
      <w:r>
        <w:rPr>
          <w:rFonts w:ascii="IRNazanin" w:hAnsi="IRNazanin" w:eastAsia="IRNazanin"/>
          <w:color w:val="111111"/>
          <w:sz w:val="28"/>
          <w:sz w:val="28"/>
          <w:szCs w:val="28"/>
          <w:rtl w:val="true"/>
          <w:lang w:bidi="fa-IR"/>
        </w:rPr>
        <w:t>، فلا محذور فی الآیة بحسب المفهوم و مفاد الذیل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التنازل عمّا ذکرناه، و الالتزام بالعلّیة، فالأظهر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فی الکتاب فهی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الجهالة إلاّ ضدّ العلم بالنسبة إلی عواقب الأمور و تبعات الأفاعیل، أو بالنسبة إلی نفس الفعل و العمل، و لیس ما اشتهر من تعدّد المعنی للجهالة، فی محلّه، و إنّما الاختلاف فی موارد الجهل، فإن کان الجهل بأصل الفعل، فهی ضدّ العلم، و إن کان الجهل بآثار الفعل و عواقبه، فإذا أقدم علیه یکون من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ضدّ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هو المراد هنا فهو الجاهل لعواقب التبعیّة لخبر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کون المراد منها لیس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استعملت فی أربع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عَمِلَ مِنْکُمْ سُوءاً بِجَهالَةٍ ثُمَّ تابَ مِنْ بَعْدِهِ وَ أَصْلَحَ فَأَنَّهُ غَفُورٌ رَحِیمٌ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الثانیة مثلها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عَلَی اللَّهِ لِلَّذِینَ یَعْمَلُونَ السُّوءَ بِجَهالَةٍ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معنی للتوبة فی مورد الجهل، فإنّ الجاهل معذور عقلا و شرعا، و لا یجب علیه التوبة و الإصلاح، فیعلم منه أنّ الجهالة هی السفاهة، و هی المناسبة للحکم و الموضوع، و لا معنی للمخاطبة مع الجاهلین إذا کانوا غیر ملفتین، بخلاف العالم بالقضیّة، و الجاهل بتبعات العمل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فَتُصْبِحُوا عَلی ما فَعَلْتُمْ نادِمِینَ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bookmarkStart w:id="802" w:name="pg13170_166612"/>
    </w:p>
    <w:p>
      <w:pPr>
        <w:pStyle w:val="BookText"/>
        <w:rPr/>
      </w:pPr>
      <w:bookmarkEnd w:id="802"/>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الملامة علی أصل تبعیّة المؤمنین لخبر الفسّاق، و الندامة بالنسبة إلی ما یصبحون علیه أحیانا عند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أنّ الذیل حکمة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تبعیّة خبر الفاسق، لا یلزم الندامة علی وجه عامّ، لإمکان اتفاق صدق خبره، فإذا کان الإصباح حکمة لا علّة، فالإصابة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الذیل حکمة بلا شبهة، و علیه لا فرق فی کون الجهالة منعا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علّة، فالتتبّع فی الآثار و الدقّة فی خصوصیّات الآیة، تعطی جزما أنّ المراد هو عدم العلم بتبعات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یندفع الإشکال عن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المکلف إمّا أن یکون عالما بخبر الفاسق، أو جاهلا، فإن کان عالما فلا مورد للذیل، و إن کان جاهلا فلا مورد للصدر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أنّه عالم بخبر الفاسق، و جاهل بعاقبة خبره و آثار نبئه عند التبعیّة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و لو کانت مشترکة لفظیّة بین ضدّ العلم و السفاهة، و لا یعقل فرض الاشتراک اللغویّ بینهما، بناء علی کونها من أوصاف الأفعال، و لا تکون من الصفات المحضة، و لکنّها هنا بمعنی السفاهة ظاهرا، للقرائن المشار إلیها</w:t>
      </w:r>
      <w:r>
        <w:rPr>
          <w:rFonts w:eastAsia="IRNazanin" w:cs="IRNazanin"/>
          <w:color w:val="111111"/>
          <w:sz w:val="28"/>
          <w:szCs w:val="28"/>
          <w:rtl w:val="true"/>
          <w:lang w:bidi="fa-IR"/>
        </w:rPr>
        <w:t>.</w:t>
      </w:r>
    </w:p>
    <w:p>
      <w:pPr>
        <w:pStyle w:val="Heading6"/>
        <w:numPr>
          <w:ilvl w:val="5"/>
          <w:numId w:val="1"/>
        </w:numPr>
        <w:rPr/>
      </w:pPr>
      <w:bookmarkStart w:id="803" w:name="__RefHeading___Toc624843_3244359995"/>
      <w:bookmarkStart w:id="804" w:name="_Toc301"/>
      <w:bookmarkEnd w:id="803"/>
      <w:r>
        <w:rPr>
          <w:rtl w:val="true"/>
        </w:rPr>
        <w:t>الجهة السابعة</w:t>
      </w:r>
      <w:r>
        <w:rPr>
          <w:rtl w:val="true"/>
        </w:rPr>
        <w:t xml:space="preserve">: </w:t>
      </w:r>
      <w:r>
        <w:rPr>
          <w:rtl w:val="true"/>
        </w:rPr>
        <w:t>حول التقاریب التی یتمسّک بها لحجّیة خبر العدل و الثقة</w:t>
      </w:r>
      <w:bookmarkEnd w:id="804"/>
    </w:p>
    <w:p>
      <w:pPr>
        <w:pStyle w:val="Heading6"/>
        <w:numPr>
          <w:ilvl w:val="5"/>
          <w:numId w:val="1"/>
        </w:numPr>
        <w:rPr/>
      </w:pPr>
      <w:bookmarkStart w:id="805" w:name="__RefHeading___Toc624845_3244359995"/>
      <w:bookmarkStart w:id="806" w:name="_Toc302"/>
      <w:bookmarkEnd w:id="805"/>
      <w:r>
        <w:rPr>
          <w:rtl w:val="true"/>
        </w:rPr>
        <w:t>اشارة</w:t>
      </w:r>
      <w:bookmarkEnd w:id="806"/>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البحث فیما مرّ حول منطوق الآیة علی تقدیر وجود المفهوم، و عدم وجود إشکال فی ناحیة إمکان أخذه، و أمّا فی هذه الجهة حول إمکان أخذه، و أنّه هل لها مفهوم أو وجه یستدلّ به علی حجّیة الخبر الواحد، أم لا؟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قیل بوجوه</w:t>
      </w:r>
      <w:r>
        <w:rPr>
          <w:rFonts w:eastAsia="IRNazanin" w:cs="IRNazanin"/>
          <w:color w:val="111111"/>
          <w:sz w:val="28"/>
          <w:szCs w:val="28"/>
          <w:rtl w:val="true"/>
          <w:lang w:bidi="fa-IR"/>
        </w:rPr>
        <w:t>:</w:t>
      </w:r>
      <w:bookmarkStart w:id="807" w:name="pg13170_166613"/>
    </w:p>
    <w:p>
      <w:pPr>
        <w:pStyle w:val="Heading6"/>
        <w:numPr>
          <w:ilvl w:val="5"/>
          <w:numId w:val="1"/>
        </w:numPr>
        <w:rPr/>
      </w:pPr>
      <w:bookmarkStart w:id="808" w:name="__RefHeading___Toc624847_3244359995"/>
      <w:bookmarkStart w:id="809" w:name="_Toc303"/>
      <w:bookmarkEnd w:id="807"/>
      <w:bookmarkEnd w:id="808"/>
      <w:r>
        <w:rPr>
          <w:rtl w:val="true"/>
        </w:rPr>
        <w:t>أحدها</w:t>
      </w:r>
      <w:r>
        <w:rPr>
          <w:rtl w:val="true"/>
        </w:rPr>
        <w:t xml:space="preserve">: </w:t>
      </w:r>
      <w:r>
        <w:rPr>
          <w:rtl w:val="true"/>
        </w:rPr>
        <w:t>التمسّک بمناسبة الحکم و الموضوع</w:t>
      </w:r>
      <w:bookmarkEnd w:id="809"/>
    </w:p>
    <w:p>
      <w:pPr>
        <w:pStyle w:val="BookText"/>
        <w:rPr/>
      </w:pPr>
      <w:r>
        <w:rPr>
          <w:rFonts w:ascii="IRNazanin" w:hAnsi="IRNazanin" w:eastAsia="IRNazanin"/>
          <w:color w:val="111111"/>
          <w:sz w:val="28"/>
          <w:sz w:val="28"/>
          <w:szCs w:val="28"/>
          <w:rtl w:val="true"/>
          <w:lang w:bidi="fa-IR"/>
        </w:rPr>
        <w:t>أنّ مقتضی مناسبة الحکم و الموضوع، کون التبیّن معلول الفسق، فیجب إیضاح خبر الفاسق، و إذا کان الخبر من العادل، فلا یجب إیضاحه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کونه غیر جائز العمل و لو کان واضح الصدق </w:t>
      </w:r>
      <w:r>
        <w:rPr>
          <w:rStyle w:val="FootnoteAnchor"/>
          <w:rtl w:val="true"/>
        </w:rPr>
        <w:footnoteReference w:id="1009"/>
      </w:r>
      <w:r>
        <w:rPr>
          <w:rFonts w:ascii="IRNazanin" w:hAnsi="IRNazanin" w:eastAsia="IRNazanin"/>
          <w:color w:val="111111"/>
          <w:sz w:val="28"/>
          <w:sz w:val="28"/>
          <w:szCs w:val="28"/>
          <w:rtl w:val="true"/>
          <w:lang w:bidi="fa-IR"/>
        </w:rPr>
        <w:t>، غیر صحیح، فیعلم منه جواز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المناسبة بین الحکم و الموضوع، کون الوجوب غیر نفسیّ، و لیس الوجوب شرطیّا، بمعنی أنّ جواز العمل بخبر الواحد، مشروط بالعلم بالصدق، ضرورة أنّه مع العلم بالصدق، لا یکون المستند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الوثوق، کما فی تقریرات العلاّمة الأراکی قدس سره حذرا من الإشکال المذکور</w:t>
      </w:r>
      <w:r>
        <w:rPr>
          <w:rStyle w:val="FootnoteAnchor"/>
          <w:rtl w:val="true"/>
        </w:rPr>
        <w:footnoteReference w:id="1010"/>
      </w:r>
      <w:r>
        <w:rPr>
          <w:rFonts w:ascii="IRNazanin" w:hAnsi="IRNazanin" w:eastAsia="IRNazanin"/>
          <w:color w:val="111111"/>
          <w:sz w:val="28"/>
          <w:sz w:val="28"/>
          <w:szCs w:val="28"/>
          <w:rtl w:val="true"/>
          <w:lang w:bidi="fa-IR"/>
        </w:rPr>
        <w:t>، غیر صحیح، لأنّ الوثوق و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بعنوانه، حسب خبر مسعدة بن صدقة،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الأشیاء کلّها علی ذلک حتّی تستبین</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ظاهر فی حجّیة الاستبانة التی هی أعمّ من العلم، فالوجوب شرطیّ لجواز العمل بمضمون الخبر، لا بخبر الفاسق، بحیث یکون خبر الفاسق مستندا، حتّی یقال ما یقال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کلام الشیخ أیضا غیر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وجوب التبیّن، شرط لجواز العمل بخبر الفاسق</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إلاّ إذا رجع إلی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إلغاء إضافة الخبر إلی الفاسق، و لا یکون المقصود حجّیة خبر الفاسق بالشرط، فعلی هذا تکون المناسبة مقتضیة لکون الإیجاب، معلول احتمال تعمّد الکذب، لا الکذب و الخطأ، لأنّ</w:t>
      </w:r>
    </w:p>
    <w:p>
      <w:pPr>
        <w:pStyle w:val="BookText"/>
        <w:rPr/>
      </w:pPr>
      <w:r>
        <w:rPr>
          <w:rFonts w:ascii="IRNazanin" w:hAnsi="IRNazanin" w:eastAsia="IRNazanin"/>
          <w:color w:val="111111"/>
          <w:sz w:val="28"/>
          <w:sz w:val="28"/>
          <w:szCs w:val="28"/>
          <w:rtl w:val="true"/>
          <w:lang w:bidi="fa-IR"/>
        </w:rPr>
        <w:t>احتمال الخطأ لا یناسب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أصالة عدم الخطأ العقلائیّة، معتبرة فی الفاسق و غیره، فالوجوب مترشّح عن جهة الفسق، و یرتفع قهرا بارتفاعه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إیجاب إیضاح صدق خبر الفاسق ممکن، لما لا حرمة للفاسق، و أمّا العادل فإیجاب إیضاح خبره، خلاف کونه عادلا متحرّزا من الکذب، و خلاف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وجوب الإیضاح من جهة عدم الأمن من التخلّف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الفسق، فهو لأجل أنّ عدم الأمن فیه أکثر، لعدم تحرزه من الکذب، فکأنّه أخذ الفسق للإشارة إلی فسق المخبر فی المورد، و إلی عدم الحرمة للفاسق بإیجاب إیضاح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عدم الأمن معلول الفسق غالبا</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الفسق طرح لدخالة عدم الأمن المشترک، و إشارة إلی أنّه و لو کان دخیلا ثبوتا و مناسبة، إلاّ أنّه عندنا غیر دخیل 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فی القضیّة الشرطیّة مفیدا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تصریح أهل الأدب،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بأنّ النّظر لیس إلی إرادة فسق المخبر فقط، و إلاّ کان المناسب إتیانه معرّفا، و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ظاهرا فی العهد الحضوریّ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بمضمون خبر الفاسق منوط بالعلم بالصدق، أو الوثوق و الاطمئنان، و أمّا العمل بمضمون خبر العادل، فلا یحتاج إلی الإیضاح و العلم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بهذا التقریب مدّعانا، لو لم یکن الغالب فی موارد قیام خبر العدل، حصول الوثوق و الاطمئنان بالصدق، فإنّه لأجل ذلک لا یتمّ التقریب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تظهر مواضع الضعف فی کلمات القوم هنا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الاتکال علی مفهوم الوصف، بل هو اتکال علی فهم</w:t>
      </w:r>
      <w:bookmarkStart w:id="810" w:name="pg13170_166615"/>
    </w:p>
    <w:p>
      <w:pPr>
        <w:pStyle w:val="BookText"/>
        <w:rPr/>
      </w:pPr>
      <w:bookmarkEnd w:id="810"/>
      <w:r>
        <w:rPr>
          <w:rFonts w:ascii="IRNazanin" w:hAnsi="IRNazanin" w:eastAsia="IRNazanin"/>
          <w:color w:val="111111"/>
          <w:sz w:val="28"/>
          <w:sz w:val="28"/>
          <w:szCs w:val="28"/>
          <w:rtl w:val="true"/>
          <w:lang w:bidi="fa-IR"/>
        </w:rPr>
        <w:t>العقلاء فی خصوص المسألة، و إلاّ فالبیان المزبور لا یجری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النّظر فی التقریب المذکور الظاهر من الشیخ قدس سره إلی بیان نکتة الاتکال علی ذکر الفسق </w:t>
      </w:r>
      <w:r>
        <w:rPr>
          <w:rStyle w:val="FootnoteAnchor"/>
          <w:rtl w:val="true"/>
        </w:rPr>
        <w:footnoteReference w:id="1015"/>
      </w:r>
      <w:r>
        <w:rPr>
          <w:rFonts w:ascii="IRNazanin" w:hAnsi="IRNazanin" w:eastAsia="IRNazanin"/>
          <w:color w:val="111111"/>
          <w:sz w:val="28"/>
          <w:sz w:val="28"/>
          <w:szCs w:val="28"/>
          <w:rtl w:val="true"/>
          <w:lang w:bidi="fa-IR"/>
        </w:rPr>
        <w:t>، و ما هو النکتة علی ما احتملناه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خبر الفاسق بما هو خبر فاسق، لا یستتبع الوثوق و الاطمئنان </w:t>
      </w:r>
      <w:r>
        <w:rPr>
          <w:rStyle w:val="FootnoteAnchor"/>
          <w:rtl w:val="true"/>
        </w:rPr>
        <w:footnoteReference w:id="1016"/>
      </w:r>
      <w:r>
        <w:rPr>
          <w:rFonts w:ascii="IRNazanin" w:hAnsi="IRNazanin" w:eastAsia="IRNazanin"/>
          <w:color w:val="111111"/>
          <w:sz w:val="28"/>
          <w:sz w:val="28"/>
          <w:szCs w:val="28"/>
          <w:rtl w:val="true"/>
          <w:lang w:bidi="fa-IR"/>
        </w:rPr>
        <w:t>مطلقا، و خبر العادل ربّما یستتبع الاطمئنان فی السبعین من المائة، فیکون ذکر الفسق لأجل تلک الغلبة، و هذا لا ینافی وجوب التبیّن فی الثلاثین من المائة فی خبر العادل، فاغتنم</w:t>
      </w:r>
      <w:r>
        <w:rPr>
          <w:rFonts w:eastAsia="IRNazanin" w:cs="IRNazanin"/>
          <w:color w:val="111111"/>
          <w:sz w:val="28"/>
          <w:szCs w:val="28"/>
          <w:rtl w:val="true"/>
          <w:lang w:bidi="fa-IR"/>
        </w:rPr>
        <w:t>.</w:t>
      </w:r>
    </w:p>
    <w:p>
      <w:pPr>
        <w:pStyle w:val="Heading6"/>
        <w:numPr>
          <w:ilvl w:val="5"/>
          <w:numId w:val="1"/>
        </w:numPr>
        <w:rPr/>
      </w:pPr>
      <w:bookmarkStart w:id="811" w:name="__RefHeading___Toc624849_3244359995"/>
      <w:bookmarkStart w:id="812" w:name="_Toc304"/>
      <w:bookmarkEnd w:id="811"/>
      <w:r>
        <w:rPr>
          <w:rtl w:val="true"/>
        </w:rPr>
        <w:t>ثانیها</w:t>
      </w:r>
      <w:r>
        <w:rPr>
          <w:rtl w:val="true"/>
        </w:rPr>
        <w:t xml:space="preserve">: </w:t>
      </w:r>
      <w:r>
        <w:rPr>
          <w:rtl w:val="true"/>
        </w:rPr>
        <w:t>التمسک بمفهوم الوصف</w:t>
      </w:r>
      <w:bookmarkEnd w:id="812"/>
    </w:p>
    <w:p>
      <w:pPr>
        <w:pStyle w:val="BookText"/>
        <w:rPr/>
      </w:pPr>
      <w:r>
        <w:rPr>
          <w:rFonts w:ascii="IRNazanin" w:hAnsi="IRNazanin" w:eastAsia="IRNazanin"/>
          <w:color w:val="111111"/>
          <w:sz w:val="28"/>
          <w:sz w:val="28"/>
          <w:szCs w:val="28"/>
          <w:rtl w:val="true"/>
          <w:lang w:bidi="fa-IR"/>
        </w:rPr>
        <w:t>مقتضی مفهوم الوصف، انتفاء وجوب التبیّن عند انتفاء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نحن فیه من الوصف غیر المعتمد، و یکون الوصف عنوانا و لقبا لمعنوناته، فلا یستفاد منه العلّیة الموجبة لانتفاء سنخ الحکم، أو المقتضیة لجعل سنخ الحکم، اللازم منه انتفاء وجوب التبیّن بانتفاء موضوعه، و هو الفاسق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المشتقّ مرکّب عرفا،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قیدا متکئا علی الموصوف و المقیّد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بساطته العرفیّة، فلا فرق بین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و غیر المعتمد، إلاّ فی أنّ الوصف المعتمد واسطة لثبوت الحکم للموصوف، و وساطة فی الثبوت فی الأحکام الشرعیّة، و فی الوصف غیر المعتمد تکون العلّة نفس الموضوع للحکم، و تقریبه فی باب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استشکلنا فی مفهوم الشرط و الوصف معا</w:t>
      </w:r>
      <w:r>
        <w:rPr>
          <w:rStyle w:val="FootnoteAnchor"/>
          <w:rtl w:val="true"/>
        </w:rPr>
        <w:footnoteReference w:id="1018"/>
      </w:r>
      <w:r>
        <w:rPr>
          <w:rFonts w:ascii="IRNazanin" w:hAnsi="IRNazanin" w:eastAsia="IRNazanin"/>
          <w:color w:val="111111"/>
          <w:sz w:val="28"/>
          <w:sz w:val="28"/>
          <w:szCs w:val="28"/>
          <w:rtl w:val="true"/>
          <w:lang w:bidi="fa-IR"/>
        </w:rPr>
        <w:t>، و لا یخصّ مفهوم الوصف بإشکال، بعد ظهوره فی أصل الدخالة، فإنّ الإطلاق کما یثبت کونه تمام الدخیل، یثبت الحصر،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انقداح تعلیل فی الأذهان عرفا، و هو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سیمرّ علیک وجه عدم حجّیة مفهوم الشرط إجمالا، و به یظهر وجهه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کتب المتأخّرین من التفصیل بحسب الکبری بین المفهومین </w:t>
      </w:r>
      <w:r>
        <w:rPr>
          <w:rStyle w:val="FootnoteAnchor"/>
          <w:rtl w:val="true"/>
        </w:rPr>
        <w:footnoteReference w:id="1019"/>
      </w:r>
      <w:r>
        <w:rPr>
          <w:rFonts w:ascii="IRNazanin" w:hAnsi="IRNazanin" w:eastAsia="IRNazanin"/>
          <w:color w:val="111111"/>
          <w:sz w:val="28"/>
          <w:sz w:val="28"/>
          <w:szCs w:val="28"/>
          <w:rtl w:val="true"/>
          <w:lang w:bidi="fa-IR"/>
        </w:rPr>
        <w:t>، غیر راجع إلی محصّل، لاتحاد المأخوذ شرطا مع المأخوذ عنوانا فی إمکان جریان المقدّمات المنتهیة إلی إثبات المفهوم،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قاله الشیخ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هذا الإشکال من الإشکالات التی لا یمکن دفعها</w:t>
      </w:r>
      <w:r>
        <w:rPr>
          <w:rFonts w:eastAsia="IRNazanin" w:cs="IRNazanin"/>
          <w:color w:val="111111"/>
          <w:sz w:val="28"/>
          <w:szCs w:val="28"/>
          <w:rtl w:val="true"/>
          <w:lang w:bidi="fa-IR"/>
        </w:rPr>
        <w:t>»</w:t>
      </w:r>
      <w:r>
        <w:rPr>
          <w:rStyle w:val="FootnoteAnchor"/>
          <w:rtl w:val="true"/>
        </w:rPr>
        <w:footnoteReference w:id="1020"/>
      </w:r>
      <w:r>
        <w:rPr>
          <w:rFonts w:ascii="Amiri" w:hAnsi="Amiri" w:eastAsia="Amiri" w:cs="Amiri"/>
          <w:color w:val="111111"/>
          <w:sz w:val="28"/>
          <w:sz w:val="28"/>
          <w:szCs w:val="28"/>
          <w:rtl w:val="true"/>
          <w:lang w:bidi="ar-SA"/>
        </w:rPr>
        <w:t>غیر صحیح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 الآیة صغرویّا فی ناحیة مفهوم الشرط، و لا یمکن ذلک فی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الإشکال الکبرویّ یسری فی المفهومین،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عنوان المشتقّ للإشارة إلی الذوات، و یکون العلم حکمة لا علّة</w:t>
      </w:r>
      <w:r>
        <w:rPr>
          <w:rStyle w:val="FootnoteAnchor"/>
          <w:rtl w:val="true"/>
        </w:rPr>
        <w:footnoteReference w:id="1021"/>
      </w:r>
      <w:r>
        <w:rPr>
          <w:rFonts w:ascii="IRNazanin" w:hAnsi="IRNazanin" w:eastAsia="IRNazanin"/>
          <w:color w:val="111111"/>
          <w:sz w:val="28"/>
          <w:sz w:val="28"/>
          <w:szCs w:val="28"/>
          <w:rtl w:val="true"/>
          <w:lang w:bidi="fa-IR"/>
        </w:rPr>
        <w:t>، فهو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فهم العقلاء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ممّا یمتنع، و العناوین المشیرة إلی الخارج من الأکاذیب، إلاّ علی القول بعموم الوضع، و خصوص الموضوع له، فتأمّل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ما فی کلماتهم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أخذ عنوان العالم فی المثال و الفاسق</w:t>
      </w:r>
      <w:bookmarkStart w:id="813" w:name="pg13170_166617"/>
    </w:p>
    <w:p>
      <w:pPr>
        <w:pStyle w:val="BookText"/>
        <w:rPr/>
      </w:pPr>
      <w:bookmarkEnd w:id="813"/>
      <w:r>
        <w:rPr>
          <w:rFonts w:ascii="IRNazanin" w:hAnsi="IRNazanin" w:eastAsia="IRNazanin"/>
          <w:color w:val="111111"/>
          <w:sz w:val="28"/>
          <w:sz w:val="28"/>
          <w:szCs w:val="28"/>
          <w:rtl w:val="true"/>
          <w:lang w:bidi="fa-IR"/>
        </w:rPr>
        <w:t>فی الآیة، لأهمّیة العلم و وجوب التبیّن فی مورد الفاسق</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 xml:space="preserve">فإنّه لو کان کذلک لکان أخذ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 الشرطیّة أیضا مثله</w:t>
      </w:r>
      <w:r>
        <w:rPr>
          <w:rFonts w:eastAsia="IRNazanin" w:cs="IRNazanin"/>
          <w:color w:val="111111"/>
          <w:sz w:val="28"/>
          <w:szCs w:val="28"/>
          <w:rtl w:val="true"/>
          <w:lang w:bidi="fa-IR"/>
        </w:rPr>
        <w:t>.</w:t>
      </w:r>
    </w:p>
    <w:p>
      <w:pPr>
        <w:pStyle w:val="Heading6"/>
        <w:numPr>
          <w:ilvl w:val="5"/>
          <w:numId w:val="1"/>
        </w:numPr>
        <w:rPr/>
      </w:pPr>
      <w:bookmarkStart w:id="814" w:name="__RefHeading___Toc624851_3244359995"/>
      <w:bookmarkStart w:id="815" w:name="_Toc305"/>
      <w:bookmarkEnd w:id="814"/>
      <w:r>
        <w:rPr>
          <w:rtl w:val="true"/>
        </w:rPr>
        <w:t>ثالثها</w:t>
      </w:r>
      <w:r>
        <w:rPr>
          <w:rtl w:val="true"/>
        </w:rPr>
        <w:t xml:space="preserve">: </w:t>
      </w:r>
      <w:r>
        <w:rPr>
          <w:rtl w:val="true"/>
        </w:rPr>
        <w:t>التمسّک بمفهوم الشرط</w:t>
      </w:r>
      <w:bookmarkEnd w:id="815"/>
    </w:p>
    <w:p>
      <w:pPr>
        <w:pStyle w:val="BookText"/>
        <w:rPr/>
      </w:pPr>
      <w:r>
        <w:rPr>
          <w:rFonts w:ascii="IRNazanin" w:hAnsi="IRNazanin" w:eastAsia="IRNazanin"/>
          <w:color w:val="111111"/>
          <w:sz w:val="28"/>
          <w:sz w:val="28"/>
          <w:szCs w:val="28"/>
          <w:rtl w:val="true"/>
          <w:lang w:bidi="fa-IR"/>
        </w:rPr>
        <w:t xml:space="preserve">مفهوم الشرط، و قد تحرّرت حجّیته کبرویّا فی مباحث المفهوم </w:t>
      </w:r>
      <w:r>
        <w:rPr>
          <w:rStyle w:val="FootnoteAnchor"/>
          <w:rtl w:val="true"/>
        </w:rPr>
        <w:footnoteReference w:id="1023"/>
      </w:r>
      <w:r>
        <w:rPr>
          <w:rFonts w:ascii="IRNazanin" w:hAnsi="IRNazanin" w:eastAsia="IRNazanin"/>
          <w:color w:val="111111"/>
          <w:sz w:val="28"/>
          <w:sz w:val="28"/>
          <w:szCs w:val="28"/>
          <w:rtl w:val="true"/>
          <w:lang w:bidi="fa-IR"/>
        </w:rPr>
        <w:t>، و أمّا هنا فإنّما الإشکال فی صغراه، ضرورة أنّ المفهوم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المفهوم الّذی یتصدّی لنقیض الحکم المذکور فی المنطوق، إیجابیّا کان، أو سلبیّا، فلو کان الحکم سلبیّا، فلا بدّ من کون المفهوم ذا موضوع، ضرورة أنّ مقتضی قاعدة الفرعیّة، وجوب وجود الموضوع فی القضایا الموجبة، و إذا کان المفهوم متصدّیا للحکم الإیجابیّ، فلا بدّ من وجود الموضوع له، و إذا کان المفهوم متصدّیا للحکم السلبیّ، کما نحن فیه، فلا بدّ أیضا من وجود الموضوع، حتّی یصحّ اعتبار عدم الوجوب شرعا، و إلاّ فعدم الوجوب الشرعیّ، غیر معقول بعد انتفاء الموضوع ذاتا، و یکون ذلک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فلا تختنه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فمفهومه إن لم ترزق اختنه، و هذا غیر معقول، لأنّ إثبات الاختتان عند عدم الولد منع، و إیجابه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عند عدم الولد، لا معنی لاعتبار عدم وجوب الاختتان أو تحریمه، لأنّه لغو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نحن فیه یکون مفهوم الآیة من هذا القبیل، فإنّ مفهومها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 الفاسق بالنبإ فلا تبیّنوه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لإیجاب عدم التبیّن أو تحریم التبیّن عند عدم وجود النبأ، لأنّه من قبیل السالبة بانتفاء الموضوع، أو هو من اللغو</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کلام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حجّیة المفهوم هنا ممنوعة، لکونها من السالبة</w:t>
      </w:r>
    </w:p>
    <w:p>
      <w:pPr>
        <w:pStyle w:val="BookText"/>
        <w:rPr/>
      </w:pPr>
      <w:r>
        <w:rPr>
          <w:rFonts w:ascii="IRNazanin" w:hAnsi="IRNazanin" w:eastAsia="IRNazanin"/>
          <w:color w:val="111111"/>
          <w:sz w:val="28"/>
          <w:sz w:val="28"/>
          <w:szCs w:val="28"/>
          <w:rtl w:val="true"/>
          <w:lang w:bidi="fa-IR"/>
        </w:rPr>
        <w:t>بانتفاء الموضوع</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غیر سدید، لأنّ القضیّة من القضایا الإنشائیّة، و لا منع ذاتا من السلب المذکور، و لکنّه من اللغو الممنوع ذاتا فی حقّ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تصدّی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الآیة ترجع إلی أنّ النبأ المجاء به إن کان الجائی به الفاسق فلا تبیّنوه، فیکون النبأ موجودا و موضوعا و مجاء به عندنا، فتخرج القضیّة عن الانتفاء بانتفاء الموضوع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البیان یجری فی الأمثلة المذکورة، لکون الشرط محقّق الموضوع، ففی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المرزوق إن کنت رزقت به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حینئذٍ لیس من السلب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تخیّل کفایة إمکان إرجاع القضیّة الموجودة إلی القضیّة المقصودة، و هو واضح المنع، لأنّ المناط مساعدة العرف علی ذلک،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 العلاّمة الأراکی قدس سره لحلّ المعضلة</w:t>
      </w:r>
      <w:r>
        <w:rPr>
          <w:rStyle w:val="FootnoteAnchor"/>
          <w:rtl w:val="true"/>
        </w:rPr>
        <w:footnoteReference w:id="1026"/>
      </w:r>
      <w:r>
        <w:rPr>
          <w:rFonts w:ascii="Amiri" w:hAnsi="Amiri" w:eastAsia="Amiri" w:cs="Amiri"/>
          <w:color w:val="111111"/>
          <w:sz w:val="28"/>
          <w:sz w:val="28"/>
          <w:szCs w:val="28"/>
          <w:rtl w:val="true"/>
          <w:lang w:bidi="ar-SA"/>
        </w:rPr>
        <w:t xml:space="preserve">، و هکذا توهّم العلاّمة المحشّی الأصفهانیّ رحمه اللَّه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 المشکلة منوط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تکون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الجائی بالنبإ فاسقا فتبیّنوه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العلاّمة النائینیّ رحمه اللَّه أیضا</w:t>
      </w:r>
      <w:r>
        <w:rPr>
          <w:rStyle w:val="FootnoteAnchor"/>
          <w:rtl w:val="true"/>
        </w:rPr>
        <w:footnoteReference w:id="1028"/>
      </w:r>
      <w:r>
        <w:rPr>
          <w:rFonts w:ascii="IRNazanin" w:hAnsi="IRNazanin" w:eastAsia="IRNazanin"/>
          <w:color w:val="111111"/>
          <w:sz w:val="28"/>
          <w:sz w:val="28"/>
          <w:szCs w:val="28"/>
          <w:rtl w:val="true"/>
          <w:lang w:bidi="fa-IR"/>
        </w:rPr>
        <w:t>، و علیه یثبت المفهوم، و ذلک لأنّ فی فرض عدم مجی‌ء الفاسق به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بانتفاء المحمول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مقتضی دلالة الاقتضاء حینئذٍ، حملها علی الثانی، کما فی کلام</w:t>
      </w:r>
    </w:p>
    <w:p>
      <w:pPr>
        <w:pStyle w:val="BookText"/>
        <w:rPr/>
      </w:pPr>
      <w:r>
        <w:rPr>
          <w:rFonts w:ascii="IRNazanin" w:hAnsi="IRNazanin" w:eastAsia="IRNazanin"/>
          <w:color w:val="111111"/>
          <w:sz w:val="28"/>
          <w:sz w:val="28"/>
          <w:szCs w:val="28"/>
          <w:rtl w:val="true"/>
          <w:lang w:bidi="fa-IR"/>
        </w:rPr>
        <w:t xml:space="preserve">بعضهم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التعبّد بنحو الإطلاق ممکن، و تستنتج منه حجّیة خبر العدل، لخروج القضیّة بذلک عن السالبة بانتفاء الموضوع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یحتاج بیانه إلی تتمیم أشرنا إلیه، و إلاّ فإطلاق المفهوم ممّا لا یمکن التعبّد به، و عندئذٍ یمکن أن یکون ذلک موجبا لانتفاء المفهوم، و أمّا إذا أضیفت إلیه تلک المقدّمة، فلازم التعبّد بالمفهوم، انحصار المفهوم بالسالبة بانتفاء المحمول،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هذا التقریب بما لا مزید علیه </w:t>
      </w:r>
      <w:r>
        <w:rPr>
          <w:rStyle w:val="FootnoteAnchor"/>
          <w:rtl w:val="true"/>
        </w:rPr>
        <w:footnoteReference w:id="103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نحتاج فی التقریب المذکور إلی قلب القضیّة الموجودة إلی القضیّة الأخری، و لیس نظرهم قدس سرهم إلی القلب ظاهرا،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المصداق الأظهر للمفهوم، هی صورة الانتفاء بانتفاء الموضوع، و بعد إمکان کون الشرط محقّقا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الأمثلة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لأخذ الإطلاق، ثمّ حمله علی الفرد غیر الواضح، فبعد هذا الوجه و الوجه الأوّل علی حدّ سواء،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تقریب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القضیّة الشرطیّة القانونیّة، قابلة للجعل و لو لم یکن للشرط مصداق خارجیّ، و یکون لها المفهوم و إن لم یکن للشرط المعتبر فی ناحیة المفهوم مصداق</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العالم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هذا القانون الکلّی المتصدّی لجعل الملازمة و لو لم یکن فی العالم عالم، أو کان عالم، و لم یجئ، و هکذا فی ناحیة</w:t>
      </w:r>
    </w:p>
    <w:p>
      <w:pPr>
        <w:pStyle w:val="BookText"/>
        <w:rPr/>
      </w:pPr>
      <w:r>
        <w:rPr>
          <w:rFonts w:ascii="IRNazanin" w:hAnsi="IRNazanin" w:eastAsia="IRNazanin"/>
          <w:color w:val="111111"/>
          <w:sz w:val="28"/>
          <w:sz w:val="28"/>
          <w:szCs w:val="28"/>
          <w:rtl w:val="true"/>
          <w:lang w:bidi="fa-IR"/>
        </w:rPr>
        <w:t>المفهوم، و إذا تحقّق موضوع القضیّة الشرطیّة المنطوق بها، یتنجّز الحکم، و هکذا فی ناحیة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فهو قضیّة صحیحة نافذة و لو لم یکن فی العالم فاسق، و لا نبأ،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یجئ إلیکم الفاسق بنبإ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مرحلة جعل القضایا الشرطیّة القانونیّة، لیس النّظر إلی وجود الشرط فی ناحیة المنطوق، و لا المفهوم، بل النّظر إلی بیان الملازمة بین الحکمین فی الناحیتین حکماً إیجابیّاً، و سلبیّاً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توجّهت إلی ذلک، فلیلتفت إلی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کما یکون فی ناحیة المنطوق وجود العالم و النبأ مفروضاً، لا واقعیّاً، لأنّ الواقعیّات خارجة عن محیط التقنین، کذلک الأمر فی ناحیة المفهوم، فیکون النبأ مفروضاً، و عدم مجی‌ء الفاسق به أیضا مفروضاً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المفروض عدم مجی‌ء الفاسق بالنبإ المفروض الوجود، و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حلّ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فی موارد الشکّ فی أنّ النبأ هل جاء به الفاسق، أم العادل و غیر الفاسق، یستصحب عدم مجی‌ء الفاسق به، و یکون النبأ محرزاً بالوجدان، کما هو مفروض الوجود فی القوانین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هذا التقریب خالٍ من المناقشة الثبوتیّة، و لا یحتاج إلی إثبات الإطلاق الشامل للصورتین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یستظهر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تعالی بِنَبَإٍ من متعلّقات الفعل المضاف إلی الفاسق، فیکون مفروض العدم عند فرض عدم مجیئه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 الاستظهار المذکور بالتأمّل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یجئک</w:t>
      </w:r>
    </w:p>
    <w:p>
      <w:pPr>
        <w:pStyle w:val="BookText"/>
        <w:rPr/>
      </w:pPr>
      <w:r>
        <w:rPr>
          <w:rFonts w:ascii="IRNazanin" w:hAnsi="IRNazanin" w:eastAsia="IRNazanin"/>
          <w:color w:val="111111"/>
          <w:sz w:val="28"/>
          <w:sz w:val="28"/>
          <w:szCs w:val="28"/>
          <w:rtl w:val="true"/>
          <w:lang w:bidi="fa-IR"/>
        </w:rPr>
        <w:t>زید بعالم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العالم کلّی یمکن أن یکون موجودا، و یمکن أن یکون معدوما، و مع ذلک ینقدح فی الذهن مفروضیّة وجوده، و فی المقام یکون الأمر کما تحرّر،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التقریب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القضیّة الشرطیّة علی الوجه المزبور، و إلاّ فلو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أنبأکم الفاسق فتبیّنوه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نبأ الفاسق فتبیّنوه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اختصاص النبأ بالذکر من غیر إضافة، بعد کون التنوین للتمکّن، بل و لو کان للتنکیر فلا یکون المقصود فاسقا خاصّا بالضرورة، فهو یومئ إلی أنّ النبأ مفروض الوجود، و عدم مجی‌ء الفاسق به أیضا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ذهن المستمع من عدم المجی‌ء إلی عدم تحقّقه، و من الفاسق إلی الفاسق الخارجیّ، و من النبأ أیضا إلی النبأ الخارجیّ، و تصیر النتیجة فرض عدم مجی‌ء الفاسق الخارجیّ بالنبإ الخارجیّ، من غیر کونه موضوعا لما فی الخارج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هذه الآیة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تلحظ فی محیط الموالی العرفیّین و العبید الذین یکون بینهما من الأنباء النادرة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فی محیط التشریعات و الأحکام الکثیرة المشروعة، المذاعة فی العالم بتوسّط المخبرین الفاسقین و العادلین و طائفة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لوحظت فی المحیط الأوّل، فلا یکون المفهوم ظاهرا فی مفروضیّة وجود النبأ، بخلاف المحیط الثانی، فإنّه إذا سمع کلّ واحد من المتشرّعین هذه الآیة، الذین یستمعون فی کلّ یوم أحکاما خاصّة بتوسّط الأصحاب و حملة الحدیث، فینقدح فی أذهانهم أنّ الأنباء الواصلة إلیکم علی قسمین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یجی‌ء به إلیکم الفاسق، و حکمه التبیّن</w:t>
      </w:r>
      <w:r>
        <w:rPr>
          <w:rFonts w:eastAsia="IRNazanin" w:cs="IRNazanin"/>
          <w:color w:val="111111"/>
          <w:sz w:val="28"/>
          <w:szCs w:val="28"/>
          <w:rtl w:val="true"/>
          <w:lang w:bidi="fa-IR"/>
        </w:rPr>
        <w:t>.</w:t>
      </w:r>
      <w:bookmarkStart w:id="816" w:name="pg13170_166622"/>
    </w:p>
    <w:p>
      <w:pPr>
        <w:pStyle w:val="BookText"/>
        <w:rPr/>
      </w:pPr>
      <w:bookmarkEnd w:id="816"/>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یجی‌ء به إلیکم الفاسق، و حکمه عدم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إنّها فی سورة الحجرات و هی مدنیّة، و قد کان أصحابه صلی اللَّه علیه و آله و سلم یخبرون عن الأحکام و ینقلونها، حسبما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و سلم قد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أرش الخدش</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فالمتبادر منها هو النبأ الحامل للحکم المتعارف بینکم، أو الموضوع ذی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المناقشة فی إشکال یتوجّه إلی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إطلاق الآیة غیر قابل للعمل به، ضرورة عدم وجوب التبیّن فی المسائل العادیّة و القضایا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صدق ذیلها فیها أیضا، فإنّ الآیة الشریفة کأنّها بصدد الردع عن اتباع قول الفاسق، فیما یرتبط بالوحی و أحکام اللَّه، و ما یکون موضوعا لها، و علی کلّ تقدیر تکون الآیة منصرفة عنها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المنطوق فی التعلیق، و أنّ الحکم معلّق علی مجی‌ء الفاسق، و أنّه لا یناسب الشرط، لکونه محقّقا للموضوع هنا، یورث قوّة کون المفروض فی المفهوم، ما لا یکون من السالبة بانتفاء الموضوع</w:t>
      </w:r>
      <w:r>
        <w:rPr>
          <w:rFonts w:eastAsia="IRNazanin" w:cs="IRNazanin"/>
          <w:color w:val="111111"/>
          <w:sz w:val="28"/>
          <w:szCs w:val="28"/>
          <w:rtl w:val="true"/>
          <w:lang w:bidi="fa-IR"/>
        </w:rPr>
        <w:t>.</w:t>
      </w:r>
    </w:p>
    <w:p>
      <w:pPr>
        <w:pStyle w:val="Heading6"/>
        <w:numPr>
          <w:ilvl w:val="5"/>
          <w:numId w:val="1"/>
        </w:numPr>
        <w:rPr/>
      </w:pPr>
      <w:bookmarkStart w:id="817" w:name="__RefHeading___Toc624853_3244359995"/>
      <w:bookmarkStart w:id="818" w:name="_Toc306"/>
      <w:bookmarkEnd w:id="817"/>
      <w:r>
        <w:rPr>
          <w:rtl w:val="true"/>
        </w:rPr>
        <w:t>مناقشاتنا فی الاستدلال بآیة النبأ</w:t>
      </w:r>
      <w:bookmarkEnd w:id="818"/>
    </w:p>
    <w:p>
      <w:pPr>
        <w:pStyle w:val="Heading6"/>
        <w:numPr>
          <w:ilvl w:val="5"/>
          <w:numId w:val="1"/>
        </w:numPr>
        <w:rPr/>
      </w:pPr>
      <w:bookmarkStart w:id="819" w:name="__RefHeading___Toc624855_3244359995"/>
      <w:bookmarkStart w:id="820" w:name="_Toc307"/>
      <w:bookmarkEnd w:id="819"/>
      <w:r>
        <w:rPr>
          <w:rtl w:val="true"/>
        </w:rPr>
        <w:t>اشارة</w:t>
      </w:r>
      <w:bookmarkEnd w:id="820"/>
    </w:p>
    <w:p>
      <w:pPr>
        <w:pStyle w:val="BookText"/>
        <w:rPr/>
      </w:pPr>
      <w:r>
        <w:rPr>
          <w:rFonts w:ascii="IRNazanin" w:hAnsi="IRNazanin" w:eastAsia="IRNazanin"/>
          <w:color w:val="111111"/>
          <w:sz w:val="28"/>
          <w:sz w:val="28"/>
          <w:szCs w:val="28"/>
          <w:rtl w:val="true"/>
          <w:lang w:bidi="fa-IR"/>
        </w:rPr>
        <w:t>إذا تبیّن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علی الآیة بعض مناقشات لا یمکن دفعها، بل قضیّة المناقشة الأولی دلالة المفهوم علی عدم حجّیة الخبر الواحد</w:t>
      </w:r>
      <w:r>
        <w:rPr>
          <w:rFonts w:eastAsia="IRNazanin" w:cs="IRNazanin"/>
          <w:color w:val="111111"/>
          <w:sz w:val="28"/>
          <w:szCs w:val="28"/>
          <w:rtl w:val="true"/>
          <w:lang w:bidi="fa-IR"/>
        </w:rPr>
        <w:t>:</w:t>
      </w:r>
    </w:p>
    <w:p>
      <w:pPr>
        <w:pStyle w:val="Heading6"/>
        <w:numPr>
          <w:ilvl w:val="5"/>
          <w:numId w:val="1"/>
        </w:numPr>
        <w:rPr/>
      </w:pPr>
      <w:bookmarkStart w:id="821" w:name="__RefHeading___Toc624857_3244359995"/>
      <w:bookmarkStart w:id="822" w:name="_Toc308"/>
      <w:bookmarkEnd w:id="821"/>
      <w:r>
        <w:rPr>
          <w:rtl w:val="true"/>
        </w:rPr>
        <w:t>المناقشة الأولی</w:t>
      </w:r>
      <w:r>
        <w:rPr>
          <w:rtl w:val="true"/>
        </w:rPr>
        <w:t>:</w:t>
      </w:r>
      <w:bookmarkEnd w:id="82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توضیحها یتوقّف علی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فاسق بنبإ، و کان النبأ صادقا بحسب الواقع، فهل یتنجّز التکلیف، أم لا؟</w:t>
      </w:r>
    </w:p>
    <w:p>
      <w:pPr>
        <w:pStyle w:val="BookText"/>
        <w:rPr/>
      </w:pPr>
      <w:r>
        <w:rPr>
          <w:rFonts w:ascii="IRNazanin" w:hAnsi="IRNazanin" w:eastAsia="IRNazanin"/>
          <w:color w:val="111111"/>
          <w:sz w:val="28"/>
          <w:sz w:val="28"/>
          <w:szCs w:val="28"/>
          <w:rtl w:val="true"/>
          <w:lang w:bidi="fa-IR"/>
        </w:rPr>
        <w:t>وجهان، إلاّ أنّ قضیّة الآیة تنجّزه، للأمر بالتبیّن علی إطلاقه، فإنّه ظاهر فی أنّ الإصابة تورث تنجّز المنجّز به، فلا یجوز عقلا الإخلال بالتبیّن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تبیّن و لم یتّضح صدقه، أو تبیّن کذبه، فلا یتنجّز و لو کان صادقا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الأمر بالتبیّن، أمرا عقلیّا مترشّحا من تنجّز الواقع فی صورة مجی‌ء الفاسق بالخبر، و لا یکون نفسیّا، و لا شرطیّا، و لا مقدّمیا، بل هو أمر عقلیّ ناشئ عن تبعات الحکم المنجّز بخبر الفاسق، نظرا إلی إطلاق الأمر بالتبیّن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الشرطیّة التی تکون محقّقة للموضوع و لا مفهوم لها، کلّها فی مورد یکون الجزاء مرتبطا بالشرط، و إلاّ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المفهوم، و لا یکون من تلک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نحن فیه إذا کان مفاد الجزاء تنجّز التکلیف واقعا، أی إن جاءکم فاسق بنبإ یکون مضمون خبر الفاسق منجّزا، فمفهومه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یجئکم فاسق بنبإ، فلا یتنجّز تکلیفکم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البطلان بالضرورة، لتنجّزه فی مورد خبر العادل قطعا، و علیه یلزم أن یکون مفهوم الآیة، دلیلا علی عدم حجّیة خبر العادل، لأنّه القدر المتیقّن من المفهوم الّذی له مصداقان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مصداق من السالبة بانتفاء الموضوع، و هو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مصداق من السالبة بانتفاء المحمول، و هو مورد المفهوم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لا بدّ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إنکار المفهوم لها، أو دعوی دلالته علی عدم حجّیة خبر العدل، و هو ضدّ المقصود</w:t>
      </w:r>
      <w:r>
        <w:rPr>
          <w:rFonts w:eastAsia="IRNazanin" w:cs="IRNazanin"/>
          <w:color w:val="111111"/>
          <w:sz w:val="28"/>
          <w:szCs w:val="28"/>
          <w:rtl w:val="true"/>
          <w:lang w:bidi="fa-IR"/>
        </w:rPr>
        <w:t>.</w:t>
      </w:r>
      <w:bookmarkStart w:id="823" w:name="pg13170_166624"/>
    </w:p>
    <w:p>
      <w:pPr>
        <w:pStyle w:val="BookText"/>
        <w:rPr/>
      </w:pPr>
      <w:bookmarkEnd w:id="823"/>
      <w:r>
        <w:rPr>
          <w:rFonts w:ascii="IRNazanin" w:hAnsi="IRNazanin" w:eastAsia="IRNazanin"/>
          <w:color w:val="111111"/>
          <w:sz w:val="28"/>
          <w:sz w:val="28"/>
          <w:szCs w:val="28"/>
          <w:rtl w:val="true"/>
          <w:lang w:bidi="fa-IR"/>
        </w:rPr>
        <w:t xml:space="preserve">و أمّا توهّم دلالة الآیة علی أنّ تنجّز التکلیف فی مورد خبر العادل، أمر مفروغ منه، و لا نحتاج إلی المفهوم، و لیس هذا الإشکال ممّا لا یمکن دفعه بالنسبة إلی المفهوم، بل فی خلاله تبین تقریب لحجّیة خبر العادل، فهو فاسد، لما یتوجّه إلیه ما مرّ فی ذیل الوجه الأوّل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الإشکال علی مفهوم الشرط باق علی حاله،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سیمرّ علیک مفاد المنطوق فی ذیل الإشکال الآخر الّذی لا یدفع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یشعر بما ذکرنا هنا حذف المفعول به، فإنّ فی حذفه إیماء إلی عدم ربط واقعیّ بین الجزاء و الشرط،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إلی أنّ الجزاء فی الحقیقة أمر آخر، و لعلّه هو منجّز التکلیف فی مورد خبر الفاسق عند الإصابة، و اللّه العالم، و علیه لا نحتاج إلی الضمیر الراجع، لأنّه من قبیل المثال الّذی عرفت</w:t>
      </w:r>
      <w:r>
        <w:rPr>
          <w:rFonts w:eastAsia="IRNazanin" w:cs="IRNazanin"/>
          <w:color w:val="111111"/>
          <w:sz w:val="28"/>
          <w:szCs w:val="28"/>
          <w:rtl w:val="true"/>
          <w:lang w:bidi="fa-IR"/>
        </w:rPr>
        <w:t>.</w:t>
      </w:r>
    </w:p>
    <w:p>
      <w:pPr>
        <w:pStyle w:val="Heading6"/>
        <w:numPr>
          <w:ilvl w:val="5"/>
          <w:numId w:val="1"/>
        </w:numPr>
        <w:rPr/>
      </w:pPr>
      <w:bookmarkStart w:id="824" w:name="__RefHeading___Toc624859_3244359995"/>
      <w:bookmarkStart w:id="825" w:name="_Toc309"/>
      <w:bookmarkEnd w:id="824"/>
      <w:r>
        <w:rPr>
          <w:rtl w:val="true"/>
        </w:rPr>
        <w:t>المناقشة الثانیة</w:t>
      </w:r>
      <w:r>
        <w:rPr>
          <w:rtl w:val="true"/>
        </w:rPr>
        <w:t>:</w:t>
      </w:r>
      <w:bookmarkEnd w:id="825"/>
    </w:p>
    <w:p>
      <w:pPr>
        <w:pStyle w:val="Heading6"/>
        <w:numPr>
          <w:ilvl w:val="5"/>
          <w:numId w:val="1"/>
        </w:numPr>
        <w:rPr/>
      </w:pPr>
      <w:bookmarkStart w:id="826" w:name="__RefHeading___Toc624861_3244359995"/>
      <w:bookmarkStart w:id="827" w:name="_Toc310"/>
      <w:bookmarkEnd w:id="826"/>
      <w:r>
        <w:rPr>
          <w:rtl w:val="true"/>
        </w:rPr>
        <w:t>اشارة</w:t>
      </w:r>
      <w:bookmarkEnd w:id="82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فی مورد خبر الفاسق، لا یجب التبیّن بالضرورة، و لا یکون الحکم منجّزا بالقطع، و لا معنی لحمل الآیة علی أنّ جواز العمل بالخبر الواحد، مشروط به، و أنّ رفع حرمة الاتباع لقوله منوط بالتبیّن </w:t>
      </w:r>
      <w:r>
        <w:rPr>
          <w:rStyle w:val="FootnoteAnchor"/>
          <w:rtl w:val="true"/>
        </w:rPr>
        <w:footnoteReference w:id="1035"/>
      </w:r>
      <w:r>
        <w:rPr>
          <w:rFonts w:ascii="IRNazanin" w:hAnsi="IRNazanin" w:eastAsia="IRNazanin"/>
          <w:color w:val="111111"/>
          <w:sz w:val="28"/>
          <w:sz w:val="28"/>
          <w:szCs w:val="28"/>
          <w:rtl w:val="true"/>
          <w:lang w:bidi="fa-IR"/>
        </w:rPr>
        <w:t>، لظهورها فی الوجوب المطلق، أو اللزوم المطلق المنشأ عن واجب عقلیّ مطلق، و هو الفرار من استحقاق العقوبة،</w:t>
      </w:r>
    </w:p>
    <w:p>
      <w:pPr>
        <w:pStyle w:val="BookText"/>
        <w:rPr/>
      </w:pPr>
      <w:r>
        <w:rPr>
          <w:rFonts w:ascii="IRNazanin" w:hAnsi="IRNazanin" w:eastAsia="IRNazanin"/>
          <w:color w:val="111111"/>
          <w:sz w:val="28"/>
          <w:sz w:val="28"/>
          <w:szCs w:val="28"/>
          <w:rtl w:val="true"/>
          <w:lang w:bidi="fa-IR"/>
        </w:rPr>
        <w:t xml:space="preserve">کما عرفت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مربوطة بموارد الوقوع فی المحذورین، و هو کون الخبر موجبا لوقوع المکلّف بین وجوب الاتباع، و حرمة الاتباع، کما هو شأن النزول، فإنّ القعود عن الحرب فی تلک القضیّة ممنوع شرعا و عقلا، و هکذا الإقدام، و یرتفع المحذور بالفحص و تبیّن خبر الفاسق، لئلا یقع الإنسان فیما لا یجوز الوقوع فیه، کالقتال، و هدر الأموال،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شرط لجواز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حاشیة العلاّمة الأصفهانیّ قدس سره </w:t>
      </w:r>
      <w:r>
        <w:rPr>
          <w:rStyle w:val="FootnoteAnchor"/>
          <w:rtl w:val="true"/>
        </w:rPr>
        <w:footnoteReference w:id="1037"/>
      </w:r>
      <w:r>
        <w:rPr>
          <w:rFonts w:ascii="IRNazanin" w:hAnsi="IRNazanin" w:eastAsia="IRNazanin"/>
          <w:color w:val="111111"/>
          <w:sz w:val="28"/>
          <w:sz w:val="28"/>
          <w:szCs w:val="28"/>
          <w:rtl w:val="true"/>
          <w:lang w:bidi="fa-IR"/>
        </w:rPr>
        <w:t xml:space="preserve">و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بل هو الظاهر من الأکثر</w:t>
      </w:r>
      <w:r>
        <w:rPr>
          <w:rStyle w:val="FootnoteAnchor"/>
          <w:rtl w:val="true"/>
        </w:rPr>
        <w:footnoteReference w:id="1039"/>
      </w:r>
      <w:r>
        <w:rPr>
          <w:rFonts w:ascii="IRNazanin" w:hAnsi="IRNazanin" w:eastAsia="IRNazanin"/>
          <w:color w:val="111111"/>
          <w:sz w:val="28"/>
          <w:sz w:val="28"/>
          <w:szCs w:val="28"/>
          <w:rtl w:val="true"/>
          <w:lang w:bidi="fa-IR"/>
        </w:rPr>
        <w:t>، غیر موافق لظاهر الآیة، فالآیة بحسب المورد و المنطوق و الذیل، مربوطة بمورد یکون خبر الفاسق موجبا لوقوع الإنسان فی المحذورین، و لا یمکن الخروج عنه إلاّ بالتبیّن، فتکون أجنبیّة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إطلاق الهیئة علی أنّ جواز العمل بالخبر مشروط بالشرط، أو علی أنّ نفی حرمة اتباع خبر الفاسق یمکن بالتبیّن </w:t>
      </w:r>
      <w:r>
        <w:rPr>
          <w:rStyle w:val="FootnoteAnchor"/>
          <w:rtl w:val="true"/>
        </w:rPr>
        <w:footnoteReference w:id="1040"/>
      </w:r>
      <w:r>
        <w:rPr>
          <w:rFonts w:ascii="IRNazanin" w:hAnsi="IRNazanin" w:eastAsia="IRNazanin"/>
          <w:color w:val="111111"/>
          <w:sz w:val="28"/>
          <w:sz w:val="28"/>
          <w:szCs w:val="28"/>
          <w:rtl w:val="true"/>
          <w:lang w:bidi="fa-IR"/>
        </w:rPr>
        <w:t>غیر جائز، فما دام یمکن الأخذ بالإطلاق یتعیّن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یدور الأمر بین کون الآیة ذات مفهوم یدلّ علی عدم حجّیة خبر العادل، کما هو مفاد المناقشة الأولی، أو تکون أجنبیّة عن مسألتنا، و لا ثالث،</w:t>
      </w:r>
      <w:bookmarkStart w:id="828" w:name="pg13170_166626"/>
    </w:p>
    <w:p>
      <w:pPr>
        <w:pStyle w:val="BookText"/>
        <w:rPr/>
      </w:pPr>
      <w:bookmarkEnd w:id="828"/>
      <w:r>
        <w:rPr>
          <w:rFonts w:ascii="IRNazanin" w:hAnsi="IRNazanin" w:eastAsia="IRNazanin"/>
          <w:color w:val="111111"/>
          <w:sz w:val="28"/>
          <w:sz w:val="28"/>
          <w:szCs w:val="28"/>
          <w:rtl w:val="true"/>
          <w:lang w:bidi="fa-IR"/>
        </w:rPr>
        <w:t>و حیث لا سبیل إلی الأوّل یتعیّن الثانی، و هو المساعد للاعتبار و لغیر ذلک، کما لا یخفی علی المتأمّل الخبیر البصیر، و الحمد للَّه أوّلا و آخرا، و ظاهرا و باطنا</w:t>
      </w:r>
      <w:r>
        <w:rPr>
          <w:rFonts w:eastAsia="IRNazanin" w:cs="IRNazanin"/>
          <w:color w:val="111111"/>
          <w:sz w:val="28"/>
          <w:szCs w:val="28"/>
          <w:rtl w:val="true"/>
          <w:lang w:bidi="fa-IR"/>
        </w:rPr>
        <w:t>.</w:t>
      </w:r>
    </w:p>
    <w:p>
      <w:pPr>
        <w:pStyle w:val="Heading6"/>
        <w:numPr>
          <w:ilvl w:val="5"/>
          <w:numId w:val="1"/>
        </w:numPr>
        <w:rPr/>
      </w:pPr>
      <w:bookmarkStart w:id="829" w:name="__RefHeading___Toc624863_3244359995"/>
      <w:bookmarkStart w:id="830" w:name="_Toc311"/>
      <w:bookmarkEnd w:id="829"/>
      <w:r>
        <w:rPr>
          <w:rtl w:val="true"/>
        </w:rPr>
        <w:t>فذلکة البحث</w:t>
      </w:r>
      <w:r>
        <w:rPr>
          <w:rtl w:val="true"/>
        </w:rPr>
        <w:t>:</w:t>
      </w:r>
      <w:bookmarkEnd w:id="830"/>
    </w:p>
    <w:p>
      <w:pPr>
        <w:pStyle w:val="BookText"/>
        <w:rPr/>
      </w:pPr>
      <w:r>
        <w:rPr>
          <w:rFonts w:ascii="IRNazanin" w:hAnsi="IRNazanin" w:eastAsia="IRNazanin"/>
          <w:color w:val="111111"/>
          <w:sz w:val="28"/>
          <w:sz w:val="28"/>
          <w:szCs w:val="28"/>
          <w:rtl w:val="true"/>
          <w:lang w:bidi="fa-IR"/>
        </w:rPr>
        <w:t>أنّ مقتضی إطلاق الأمر بالتبیّن بعد عدم کونه واجبا نفسیّا، هو وجوب توضیح خبر الفاسق، مع أنّ خبر الفاسق لا یوجب تنجّز التکلیف، و لا یجب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إمّا یکون النّظر إلی تنجیز مضمون خبره فی صورة الإصابة، و یکون الأمر بالتبیّن کنایة عن تنجّز مضمون خبره، و استحقاق العقوبة فی مورد الإصابة، فلازمه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تنجّز التکلیف فی مورد قیام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هذا ممنوعا، فلا بدّ إمّا من التصرّف فی هیئة الأمر، بکونها فی مقام إفادة اشتراط جواز العمل بخبر الفاسق بالتبیّن، و إلاّ فالاتباع محرّم، و هذا غیر جائز لأنّ الإطلاق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المتعیّن الاحتمال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المورد القائم علیه خبر الفاسق، إذا کان من دوران الأمر بین المحذورین، فلا بدّ من حلّ المشکلة بالتبیّن، کما هو کذلک فی شأن نزول الآیة، و یکون واجبا عقلا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دوران الأمر بین التصرّف فی الهیئة، أو التصرّف فی المادّة، بتقیید المورد، و لا مرجّح للثانی، غیر صحیح، فإنّ قضیّة شأن نزولها مرجوحیّة التصرّف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التردّد بین التصرّفین یوجب إجمال الآیة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یوجب التصرّف فی إطلاق مصبّ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بالتصرّف المذکور، یبقی للوجوب المطلق و اللزوم المطلق مورد، و إلاّ فیلزم سقوط الهیئة بالمرّة</w:t>
      </w:r>
      <w:r>
        <w:rPr>
          <w:rFonts w:eastAsia="IRNazanin" w:cs="IRNazanin"/>
          <w:color w:val="111111"/>
          <w:sz w:val="28"/>
          <w:szCs w:val="28"/>
          <w:rtl w:val="true"/>
          <w:lang w:bidi="fa-IR"/>
        </w:rPr>
        <w:t>.</w:t>
      </w:r>
      <w:bookmarkStart w:id="831" w:name="pg13170_166627"/>
    </w:p>
    <w:p>
      <w:pPr>
        <w:pStyle w:val="BookText"/>
        <w:rPr/>
      </w:pPr>
      <w:bookmarkEnd w:id="831"/>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إطلاق الهیئة، حجّیة خبر العادل فی مورد دوران الأمر بین المحذورین، و یثبت عموم المدّعی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لأنّ إطلاق الهیئة یرجع إلی أنّ الجزاء، هو تنجّز التکلیف فی مورد قیام خبر الفاسق، و مفهومه أیضا عدم تنجّزه فی مورد خبر العادل، و هو باطل بالضرورة، فلا مفهوم له رأسا، فمقتضی إطلاق الهیئة عدم المفهوم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یوجب تعیّن الاحتمال الثانی، بحفظ الإطلاق، و إنکار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فسّر القوم به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جواز العمل بقول الفاسق، مشروط بالتبیّن، و أنّه إذا أردتم العمل بخبر الفاسق فتبیّنوه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أن یکون مفاد المفهوم أیضا کذلک، أی جواز العمل بخبر العادل لیس مشروطا، و لا یستفاد من المفهوم تنجّز التکلیف فی مورد خبر العادل، مع أنّ المقصود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الهیئة هنا لإفادة المعنی الشرطیّ</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لازمه عدم تنجّز التکلیف فی مورد خبر العادل، و هذا ضروریّ البطلان، فافهم و اغتنم، و لا تخلط</w:t>
      </w:r>
      <w:r>
        <w:rPr>
          <w:rFonts w:eastAsia="IRNazanin" w:cs="IRNazanin"/>
          <w:color w:val="111111"/>
          <w:sz w:val="28"/>
          <w:szCs w:val="28"/>
          <w:rtl w:val="true"/>
          <w:lang w:bidi="fa-IR"/>
        </w:rPr>
        <w:t>.</w:t>
      </w:r>
    </w:p>
    <w:p>
      <w:pPr>
        <w:pStyle w:val="Heading6"/>
        <w:numPr>
          <w:ilvl w:val="5"/>
          <w:numId w:val="1"/>
        </w:numPr>
        <w:rPr/>
      </w:pPr>
      <w:bookmarkStart w:id="832" w:name="__RefHeading___Toc624865_3244359995"/>
      <w:bookmarkStart w:id="833" w:name="_Toc312"/>
      <w:bookmarkEnd w:id="832"/>
      <w:r>
        <w:rPr>
          <w:rtl w:val="true"/>
        </w:rPr>
        <w:t>بقی شی‌ء</w:t>
      </w:r>
      <w:r>
        <w:rPr>
          <w:rtl w:val="true"/>
        </w:rPr>
        <w:t xml:space="preserve">: </w:t>
      </w:r>
      <w:r>
        <w:rPr>
          <w:rtl w:val="true"/>
        </w:rPr>
        <w:t>حول التمسّک بالأولویة لحجّیة خبر العادل</w:t>
      </w:r>
      <w:bookmarkEnd w:id="833"/>
    </w:p>
    <w:p>
      <w:pPr>
        <w:pStyle w:val="BookText"/>
        <w:rPr/>
      </w:pPr>
      <w:r>
        <w:rPr>
          <w:rFonts w:ascii="IRNazanin" w:hAnsi="IRNazanin" w:eastAsia="IRNazanin"/>
          <w:color w:val="111111"/>
          <w:sz w:val="28"/>
          <w:sz w:val="28"/>
          <w:szCs w:val="28"/>
          <w:rtl w:val="true"/>
          <w:lang w:bidi="fa-IR"/>
        </w:rPr>
        <w:t>و هو أنّ مقتضی تنجّز التکلیف بخبر الفاسق الموجب لتبیّنه، تنجّز التکلیف بخبر العادل بالأولویّة، و هو تقریب آخر لحجّیة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و لو کان قریبا، إلاّ أنّه لا یتمّ به عموم المدّعی، لأنّ الأولویّة تکون فی مورد کون خبر العادل موجبا للوثوق و الاطمئنان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و مضمون خبر الفاسق، یتنجّز قبل التبیّن، و إنّما</w:t>
      </w:r>
      <w:bookmarkStart w:id="834" w:name="pg13170_166628"/>
    </w:p>
    <w:p>
      <w:pPr>
        <w:pStyle w:val="BookText"/>
        <w:rPr/>
      </w:pPr>
      <w:bookmarkEnd w:id="834"/>
      <w:r>
        <w:rPr>
          <w:rFonts w:ascii="IRNazanin" w:hAnsi="IRNazanin" w:eastAsia="IRNazanin"/>
          <w:color w:val="111111"/>
          <w:sz w:val="28"/>
          <w:sz w:val="28"/>
          <w:szCs w:val="28"/>
          <w:rtl w:val="true"/>
          <w:lang w:bidi="fa-IR"/>
        </w:rPr>
        <w:t>یجب التبیّن للفرار من الوقوع فی المحذورین، فمضمون خبر العادل أولی بالتنجیز، و لا معنی لوجوب تبیّنه، للزوم اشتراکهما فی الحکم، و هو واضح المنع،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کان خبره حجّة فی مورد دوران الأمر بین المحذورین من غیر أن یجب التبیّن، ففی غیر ذلک المورد أیضا لا یجب، للأولویّة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هذا التقریب البدیع حجّیة خبر العادل علی إطلاقه، و هو المأمول المقصود، فالآیة بحسب المفهوم تورث عدم حجّیة خبر العادل، و لکن تقتضی الأولویّة المذکورة ثبوت المدّعی بتمامه، و اللَّه العالم</w:t>
      </w:r>
      <w:r>
        <w:rPr>
          <w:rFonts w:eastAsia="IRNazanin" w:cs="IRNazanin"/>
          <w:color w:val="111111"/>
          <w:sz w:val="28"/>
          <w:szCs w:val="28"/>
          <w:rtl w:val="true"/>
          <w:lang w:bidi="fa-IR"/>
        </w:rPr>
        <w:t>.</w:t>
      </w:r>
    </w:p>
    <w:p>
      <w:pPr>
        <w:pStyle w:val="Heading6"/>
        <w:numPr>
          <w:ilvl w:val="5"/>
          <w:numId w:val="1"/>
        </w:numPr>
        <w:rPr/>
      </w:pPr>
      <w:bookmarkStart w:id="835" w:name="__RefHeading___Toc624867_3244359995"/>
      <w:bookmarkStart w:id="836" w:name="_Toc313"/>
      <w:bookmarkEnd w:id="835"/>
      <w:r>
        <w:rPr>
          <w:rtl w:val="true"/>
        </w:rPr>
        <w:t>المناقشة الثالثة</w:t>
      </w:r>
      <w:r>
        <w:rPr>
          <w:rtl w:val="true"/>
        </w:rPr>
        <w:t>:</w:t>
      </w:r>
      <w:bookmarkEnd w:id="836"/>
    </w:p>
    <w:p>
      <w:pPr>
        <w:pStyle w:val="BookText"/>
        <w:rPr/>
      </w:pPr>
      <w:r>
        <w:rPr>
          <w:rFonts w:ascii="IRNazanin" w:hAnsi="IRNazanin" w:eastAsia="IRNazanin"/>
          <w:color w:val="111111"/>
          <w:sz w:val="28"/>
          <w:sz w:val="28"/>
          <w:szCs w:val="28"/>
          <w:rtl w:val="true"/>
          <w:lang w:bidi="fa-IR"/>
        </w:rPr>
        <w:t>أنّ وجوب التبیّن حتّی و لو کان شرطیّا، یوجب انقداح مقصود المتکلّم فی ذهن المخاطب، و هو أنّ التبیّن لأجل إیضاح الخبر صدقا و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التبیّن معناه إیضاح الخبر، و یکون المنظور إیضاحه صدقا و کذبا، لأنّه لیس بواضح، لمجی‌ء الفاسق به، و مقتضی المفهوم عدم وجوب التبیّن، لوضوح خبر العادل طبعا، فلا تثبت به حجّیة خبر العادل و لو لم یکن واضح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یتعلّق بهذه المناقشة فی البحوث السابقة</w:t>
      </w:r>
      <w:r>
        <w:rPr>
          <w:rStyle w:val="FootnoteAnchor"/>
          <w:rtl w:val="true"/>
        </w:rPr>
        <w:footnoteReference w:id="104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624869_3244359995"/>
      <w:bookmarkStart w:id="838" w:name="_Toc314"/>
      <w:bookmarkEnd w:id="837"/>
      <w:r>
        <w:rPr>
          <w:rtl w:val="true"/>
        </w:rPr>
        <w:t>تذنیب</w:t>
      </w:r>
      <w:r>
        <w:rPr>
          <w:rtl w:val="true"/>
        </w:rPr>
        <w:t xml:space="preserve">: </w:t>
      </w:r>
      <w:r>
        <w:rPr>
          <w:rtl w:val="true"/>
        </w:rPr>
        <w:t>فی منع حجّیة المفاهیم</w:t>
      </w:r>
      <w:bookmarkEnd w:id="83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إنکار حجّیة المفهوم و لو کان للشرط، و ذلک لأنّ القضایا الشرطیّة، ربّما تکون ناشئة عن الأخذ بالقدر المتیقّن فی الدخالة فی الحکم، و تکون الأمور الأخر مجهولة من هذه الجهة</w:t>
      </w:r>
      <w:r>
        <w:rPr>
          <w:rFonts w:eastAsia="IRNazanin" w:cs="IRNazanin"/>
          <w:color w:val="111111"/>
          <w:sz w:val="28"/>
          <w:szCs w:val="28"/>
          <w:rtl w:val="true"/>
          <w:lang w:bidi="fa-IR"/>
        </w:rPr>
        <w:t>.</w:t>
      </w:r>
      <w:bookmarkStart w:id="839" w:name="pg13170_166629"/>
    </w:p>
    <w:p>
      <w:pPr>
        <w:pStyle w:val="BookText"/>
        <w:rPr/>
      </w:pPr>
      <w:bookmarkEnd w:id="839"/>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التعلیق لأجل أنّ مجی‌ء زید، معلوم عنده فی الدخالة، و له المصلحة المعلومة فی الحکم، دون مجی‌ء عمرو، و لا یکون عارفا بالواقعة فی مورد سائر الأمور، و عندئذ یصحّ أن یأتی بالقضیّة الشرطیّة، و لا یکون له المفهوم، و لا دلیل فی مرحلة الإثبات علی عرفانه بالواقعیّات فی الموالی العرفیّین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الوظیفة قیاس المسائل الشرعیّة بالعرفیّة فی مقام الاستنباط، فإنکار المفهوم ممکن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بامتناع القیاس المزبور، فلنا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المصالح تتبدّل باختلاف الأزمنة، فإذا ورد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التعلیق لیس إلاّ لأجل أنّ القدر المتیقّن فی عصر صدور الخبر، هو عدم التنجّس بالکریّة، و لا منع من حصول مصلحة فی عدم تنجّسه بالأمر الآخر الّذی یطرأ علی الماء، فلا یکون مفاد القضیّة الأولی، نفی سنخ الحکم حتّی یعارض بالمنطوق الآخر، و المسألة تطلب من محلّها، و اللَّه ولیّ التوفیق</w:t>
      </w:r>
      <w:r>
        <w:rPr>
          <w:rFonts w:eastAsia="IRNazanin" w:cs="IRNazanin"/>
          <w:color w:val="111111"/>
          <w:sz w:val="28"/>
          <w:szCs w:val="28"/>
          <w:rtl w:val="true"/>
          <w:lang w:bidi="fa-IR"/>
        </w:rPr>
        <w:t>.</w:t>
      </w:r>
    </w:p>
    <w:p>
      <w:pPr>
        <w:pStyle w:val="Heading6"/>
        <w:numPr>
          <w:ilvl w:val="5"/>
          <w:numId w:val="1"/>
        </w:numPr>
        <w:rPr/>
      </w:pPr>
      <w:bookmarkStart w:id="840" w:name="__RefHeading___Toc624871_3244359995"/>
      <w:bookmarkStart w:id="841" w:name="_Toc315"/>
      <w:bookmarkEnd w:id="840"/>
      <w:r>
        <w:rPr>
          <w:rtl w:val="true"/>
        </w:rPr>
        <w:t>ذنابة</w:t>
      </w:r>
      <w:r>
        <w:rPr>
          <w:rtl w:val="true"/>
        </w:rPr>
        <w:t xml:space="preserve">: </w:t>
      </w:r>
      <w:r>
        <w:rPr>
          <w:rtl w:val="true"/>
        </w:rPr>
        <w:t>حول خروج مورد نزول الآیة عن المفهوم</w:t>
      </w:r>
      <w:bookmarkEnd w:id="841"/>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لو کانت بصدد حجّیة خبر العادل، و لزوم الأخذ به، أو جوازه الملازم للزومه، للزم خروج المورد عن المفهوم، لعدم جواز الاتکال علیه فی الموضوعات، و لا سیّما تلک الموضوعات الخاصّة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نزلت لردع ما صنعوا، و هو الاتکال علی إخبار الفاسق، مع أنّ الاتکال علی إخبار العادل ممنوع فی المقام، فما فی کلام العلاّمة النائینیّ هنا</w:t>
      </w:r>
      <w:r>
        <w:rPr>
          <w:rStyle w:val="FootnoteAnchor"/>
          <w:rtl w:val="true"/>
        </w:rPr>
        <w:footnoteReference w:id="1043"/>
      </w:r>
      <w:r>
        <w:rPr>
          <w:rFonts w:ascii="IRNazanin" w:hAnsi="IRNazanin" w:eastAsia="IRNazanin"/>
          <w:color w:val="111111"/>
          <w:sz w:val="28"/>
          <w:sz w:val="28"/>
          <w:szCs w:val="28"/>
          <w:rtl w:val="true"/>
          <w:lang w:bidi="fa-IR"/>
        </w:rPr>
        <w:t>لا یخلو من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أفاده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لیس المورد ممّا خصّص المفهوم فیه، لأنّ انضمام خبر العادل الآخر إلیه، لیس طردا لقوله</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 xml:space="preserve">غیر سدید، لأنّ الظاهر المقصود هو حجّیة خبر العادل، و اشتراط الانضمام یساوق عدم حجّیته بالنسبة إلی المورد، و ینتج جواز ردعهم لو کانوا متّکئین علی خبر العادل، فتصدیق العلاّمة الأراکیّ لما أفاده </w:t>
      </w:r>
      <w:r>
        <w:rPr>
          <w:rStyle w:val="FootnoteAnchor"/>
          <w:rtl w:val="true"/>
        </w:rPr>
        <w:footnoteReference w:id="1045"/>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الآیة نزلت لردع اتکالهم الخارجیّ علی إخبار الفاسق</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غیر تامّ، لأنّ فی المسألة روایتین</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بعد إخبار الولید، أرسل إلیهم خالدا حتّی یتبیّن الأمر، فجاء خالد مکذّبا للولید، فنزلت الآیة</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أوفق بالاعتبار، من غیر الحاجة إلی فرض نبوّته صلی اللَّه علیه و آله و سلم بل و سائر العباد لا یتّکئ علی أخبار الآحاد فی هذه المسائل المهتمّ بها، فلا ملامة و لا توبیخ علی قصّة خارجیّة،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باشتراکه مع إخبار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الحکم فی حین نزول الآیة، هو جواز الاتکال فی الموضوعات مطلقا علی إخبار العادل، ثمّ اعتبر الانضمام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البشیع عقلا هو خروج المورد فی القضایا الشخصیّة، و أمّا مصلحة ضرب القانون الکلّی الأبدیّ فأقوی من هذه الأمور، و لو کان المورد الموجب للنزول خارجا عن ذلک القانون، فتأمّل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الموضوعات عن الآیة تخصیص الأکثر، أو تخصیصات</w:t>
      </w:r>
      <w:bookmarkStart w:id="842" w:name="pg13170_166631"/>
    </w:p>
    <w:p>
      <w:pPr>
        <w:pStyle w:val="BookText"/>
        <w:rPr/>
      </w:pPr>
      <w:bookmarkEnd w:id="842"/>
      <w:r>
        <w:rPr>
          <w:rFonts w:ascii="IRNazanin" w:hAnsi="IRNazanin" w:eastAsia="IRNazanin"/>
          <w:color w:val="111111"/>
          <w:sz w:val="28"/>
          <w:sz w:val="28"/>
          <w:szCs w:val="28"/>
          <w:rtl w:val="true"/>
          <w:lang w:bidi="fa-IR"/>
        </w:rPr>
        <w:t>کثیرة</w:t>
      </w:r>
      <w:r>
        <w:rPr>
          <w:rStyle w:val="FootnoteAnchor"/>
          <w:rtl w:val="true"/>
        </w:rPr>
        <w:footnoteReference w:id="1049"/>
      </w:r>
      <w:r>
        <w:rPr>
          <w:rFonts w:ascii="IRNazanin" w:hAnsi="IRNazanin" w:eastAsia="IRNazanin"/>
          <w:color w:val="111111"/>
          <w:sz w:val="28"/>
          <w:sz w:val="28"/>
          <w:szCs w:val="28"/>
          <w:rtl w:val="true"/>
          <w:lang w:bidi="fa-IR"/>
        </w:rPr>
        <w:t>، غیر مضرّ بعد کون المقدار الباقی ممّا یکثر جدّاً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للقول بحجّیة خبر الواحد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دلّ الدلیل بالخصوص علی خلافه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قویّا جدّاً</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624873_3244359995"/>
      <w:bookmarkStart w:id="844" w:name="_Toc316"/>
      <w:bookmarkEnd w:id="843"/>
      <w:r>
        <w:rPr>
          <w:rtl w:val="true"/>
        </w:rPr>
        <w:t>حول منع دلالة الآیات الأخر</w:t>
      </w:r>
      <w:bookmarkEnd w:id="844"/>
    </w:p>
    <w:p>
      <w:pPr>
        <w:pStyle w:val="BookText"/>
        <w:rPr/>
      </w:pPr>
      <w:r>
        <w:rPr>
          <w:rFonts w:ascii="IRNazanin" w:hAnsi="IRNazanin" w:eastAsia="IRNazanin"/>
          <w:color w:val="111111"/>
          <w:sz w:val="28"/>
          <w:sz w:val="28"/>
          <w:szCs w:val="28"/>
          <w:rtl w:val="true"/>
          <w:lang w:bidi="fa-IR"/>
        </w:rPr>
        <w:t>و هی آیة النفر</w:t>
      </w:r>
      <w:r>
        <w:rPr>
          <w:rStyle w:val="FootnoteAnchor"/>
          <w:rtl w:val="true"/>
        </w:rPr>
        <w:footnoteReference w:id="1051"/>
      </w:r>
      <w:r>
        <w:rPr>
          <w:rFonts w:ascii="IRNazanin" w:hAnsi="IRNazanin" w:eastAsia="IRNazanin"/>
          <w:color w:val="111111"/>
          <w:sz w:val="28"/>
          <w:sz w:val="28"/>
          <w:szCs w:val="28"/>
          <w:rtl w:val="true"/>
          <w:lang w:bidi="fa-IR"/>
        </w:rPr>
        <w:t xml:space="preserve">، و آیة الکتمان </w:t>
      </w:r>
      <w:r>
        <w:rPr>
          <w:rStyle w:val="FootnoteAnchor"/>
          <w:rtl w:val="true"/>
        </w:rPr>
        <w:footnoteReference w:id="1052"/>
      </w:r>
      <w:r>
        <w:rPr>
          <w:rFonts w:ascii="IRNazanin" w:hAnsi="IRNazanin" w:eastAsia="IRNazanin"/>
          <w:color w:val="111111"/>
          <w:sz w:val="28"/>
          <w:sz w:val="28"/>
          <w:szCs w:val="28"/>
          <w:rtl w:val="true"/>
          <w:lang w:bidi="fa-IR"/>
        </w:rPr>
        <w:t xml:space="preserve">، و آیة السؤال </w:t>
      </w:r>
      <w:r>
        <w:rPr>
          <w:rStyle w:val="FootnoteAnchor"/>
          <w:rtl w:val="true"/>
        </w:rPr>
        <w:footnoteReference w:id="1053"/>
      </w:r>
      <w:r>
        <w:rPr>
          <w:rFonts w:ascii="IRNazanin" w:hAnsi="IRNazanin" w:eastAsia="IRNazanin"/>
          <w:color w:val="111111"/>
          <w:sz w:val="28"/>
          <w:sz w:val="28"/>
          <w:szCs w:val="28"/>
          <w:rtl w:val="true"/>
          <w:lang w:bidi="fa-IR"/>
        </w:rPr>
        <w:t xml:space="preserve">، و آیة الأذن </w:t>
      </w:r>
      <w:r>
        <w:rPr>
          <w:rStyle w:val="FootnoteAnchor"/>
          <w:rtl w:val="true"/>
        </w:rPr>
        <w:footnoteReference w:id="1054"/>
      </w:r>
      <w:r>
        <w:rPr>
          <w:rFonts w:ascii="IRNazanin" w:hAnsi="IRNazanin" w:eastAsia="IRNazanin"/>
          <w:color w:val="111111"/>
          <w:sz w:val="28"/>
          <w:sz w:val="28"/>
          <w:szCs w:val="28"/>
          <w:rtl w:val="true"/>
          <w:lang w:bidi="fa-IR"/>
        </w:rPr>
        <w:t>، بل آیات الأمر بالمعروف، و النهی عن المنکر</w:t>
      </w:r>
      <w:r>
        <w:rPr>
          <w:rStyle w:val="FootnoteAnchor"/>
          <w:rtl w:val="true"/>
        </w:rPr>
        <w:footnoteReference w:id="1055"/>
      </w:r>
      <w:r>
        <w:rPr>
          <w:rFonts w:ascii="IRNazanin" w:hAnsi="IRNazanin" w:eastAsia="IRNazanin"/>
          <w:color w:val="111111"/>
          <w:sz w:val="28"/>
          <w:sz w:val="28"/>
          <w:szCs w:val="28"/>
          <w:rtl w:val="true"/>
          <w:lang w:bidi="fa-IR"/>
        </w:rPr>
        <w:t>، فإنّ هذه الآیات متضمّنة لمسألة احتکاک الناس بعضهم مع البعض، و مشتملة علی مسائل اجتماعیّة، فإن کان النفر و العود و الإنذار لازما مثلا، أو کان الکتمان ممنوعا، و الشهادة واجبة، أو کان السؤال لازما و غیر ذلک، فلازمه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من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إخبار العادل، و إلاّ تشبه المسألة السخریة و الاستهزاء، فلا معنی للأمر الإیجابیّ </w:t>
      </w:r>
      <w:r>
        <w:rPr>
          <w:rStyle w:val="FootnoteAnchor"/>
          <w:rtl w:val="true"/>
        </w:rPr>
        <w:footnoteReference w:id="1056"/>
      </w:r>
      <w:r>
        <w:rPr>
          <w:rFonts w:ascii="Amiri" w:hAnsi="Amiri" w:eastAsia="Amiri" w:cs="Amiri"/>
          <w:color w:val="111111"/>
          <w:sz w:val="28"/>
          <w:sz w:val="28"/>
          <w:szCs w:val="28"/>
          <w:rtl w:val="true"/>
          <w:lang w:bidi="ar-SA"/>
        </w:rPr>
        <w:t xml:space="preserve">أو الندبیّ </w:t>
      </w:r>
      <w:r>
        <w:rPr>
          <w:rStyle w:val="FootnoteAnchor"/>
          <w:rtl w:val="true"/>
        </w:rPr>
        <w:footnoteReference w:id="1057"/>
      </w:r>
      <w:r>
        <w:rPr>
          <w:rFonts w:ascii="IRNazanin" w:hAnsi="IRNazanin" w:eastAsia="IRNazanin"/>
          <w:color w:val="111111"/>
          <w:sz w:val="28"/>
          <w:sz w:val="28"/>
          <w:szCs w:val="28"/>
          <w:rtl w:val="true"/>
          <w:lang w:bidi="fa-IR"/>
        </w:rPr>
        <w:t>بهذه الأمور، مع المنع عن الاستماع إلیها، و عن ترتیب الأثر علیها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التقریب المشترک هو أسدّ ما یقال فی المسألة، و سائر التقاریب لا ترجع إلی محصّل</w:t>
      </w:r>
      <w:r>
        <w:rPr>
          <w:rFonts w:eastAsia="IRNazanin" w:cs="IRNazanin"/>
          <w:color w:val="111111"/>
          <w:sz w:val="28"/>
          <w:szCs w:val="28"/>
          <w:rtl w:val="true"/>
          <w:lang w:bidi="fa-IR"/>
        </w:rPr>
        <w:t>.</w:t>
      </w:r>
      <w:bookmarkStart w:id="845" w:name="pg13170_166632"/>
    </w:p>
    <w:p>
      <w:pPr>
        <w:pStyle w:val="BookText"/>
        <w:rPr/>
      </w:pPr>
      <w:bookmarkEnd w:id="845"/>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التقریب المذکور، حجّیة مطلق الخبر، سواء کان المخبر عادلاً، أو فاسقاً، أو کافراً، أو امرأة فاحشة، أو غیر ذلک، ثمّ بعد ذلک یلتزم بالتخصیص و التقیید، و هل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 و بین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الآیات فی هذه المواقف من العموم أو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هی آیات ترشد إلی لزوم هذه الأمور، من غیر کونها بصدد الإطلاق؟ بل هی آیات ترشد إلی کفایة هذه المسائل، و الواجبات الکفائیّة النظامیة ربّما تکون من المسائل الحکومیّة اللازم إجراؤها عند قیام حکومة عادلة، تحت عنوان وزارة الأمر بالمعروف و النهی عن المنکر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الآیات بإشکالات، و لکن إحالة البحث إلی المطوّلات، أولی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الحثّ و الترغیب الشدید، یقتضی حجّیة مطلق الخبر، و إذا لم یکن لها الإطلاق فالمقدار المتیقّن منه هو حجّیة خبر العدل، و هو المطلوب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الوثوق و الاطمئنان الشخصیّ الحاصل من خبر العادل قلیلا، حتّی یکون الأخذ بالمقدار المتیقّن منها نوع طرح لها، کی یستتبع حجّیة خبر العادل، لأنّه القدر المتیقّن و لو لم یحصل منه شی‌ء، أو حصل منه الظنّ بخلافه</w:t>
      </w:r>
      <w:r>
        <w:rPr>
          <w:rFonts w:eastAsia="IRNazanin" w:cs="IRNazanin"/>
          <w:color w:val="111111"/>
          <w:sz w:val="28"/>
          <w:szCs w:val="28"/>
          <w:rtl w:val="true"/>
          <w:lang w:bidi="fa-IR"/>
        </w:rPr>
        <w:t>.</w:t>
      </w:r>
    </w:p>
    <w:p>
      <w:pPr>
        <w:pStyle w:val="Heading6"/>
        <w:numPr>
          <w:ilvl w:val="5"/>
          <w:numId w:val="1"/>
        </w:numPr>
        <w:rPr/>
      </w:pPr>
      <w:bookmarkStart w:id="846" w:name="__RefHeading___Toc624875_3244359995"/>
      <w:bookmarkStart w:id="847" w:name="_Toc317"/>
      <w:bookmarkEnd w:id="846"/>
      <w:r>
        <w:rPr>
          <w:rtl w:val="true"/>
        </w:rPr>
        <w:t>بقی شی‌ء</w:t>
      </w:r>
      <w:r>
        <w:rPr>
          <w:rtl w:val="true"/>
        </w:rPr>
        <w:t xml:space="preserve">: </w:t>
      </w:r>
      <w:r>
        <w:rPr>
          <w:rtl w:val="true"/>
        </w:rPr>
        <w:t>فی بطلان الاحتجاج علی الظنون الخاصّة بالظواهر و الأخبار</w:t>
      </w:r>
      <w:bookmarkEnd w:id="847"/>
    </w:p>
    <w:p>
      <w:pPr>
        <w:pStyle w:val="BookText"/>
        <w:rPr/>
      </w:pPr>
      <w:r>
        <w:rPr>
          <w:rFonts w:ascii="IRNazanin" w:hAnsi="IRNazanin" w:eastAsia="IRNazanin"/>
          <w:color w:val="111111"/>
          <w:sz w:val="28"/>
          <w:sz w:val="28"/>
          <w:szCs w:val="28"/>
          <w:rtl w:val="true"/>
          <w:lang w:bidi="fa-IR"/>
        </w:rPr>
        <w:t>إنّ المفاسد المترتّبة علی الظنون الخاصّة کثیرة جدّاً، سواء کانت من المفاسد الدنیویّة، أو الأخرویّة، فهل تری من نفسک أنّ حجّیة هذه الظنون المستتبعة لتلک المفاسد، مرهونة بإطلاق دلیل، أو مفهوم، أو ترجیح إرجاع قید إلی المادّة دون الهیئة، أو العکس، أو غیر ذلک من المبادئ الاستنباطیّة؟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حجّیة تلک الظنون مع ما فیها من المفاسد، لیست مرهونة بهذه الأمور،</w:t>
      </w:r>
    </w:p>
    <w:p>
      <w:pPr>
        <w:pStyle w:val="BookText"/>
        <w:rPr/>
      </w:pPr>
      <w:r>
        <w:rPr>
          <w:rFonts w:ascii="IRNazanin" w:hAnsi="IRNazanin" w:eastAsia="IRNazanin"/>
          <w:color w:val="111111"/>
          <w:sz w:val="28"/>
          <w:sz w:val="28"/>
          <w:szCs w:val="28"/>
          <w:rtl w:val="true"/>
          <w:lang w:bidi="fa-IR"/>
        </w:rPr>
        <w:t>بحیث لو لا هذا الإطلاق فی آیة کذا، و ذاک المفهوم فی آیة کذا، أم تلک الهیئة فی تلک الآیة، لأمکن الالتزام بحجّیتها؟</w:t>
      </w:r>
    </w:p>
    <w:p>
      <w:pPr>
        <w:pStyle w:val="BookText"/>
        <w:rPr/>
      </w:pPr>
      <w:r>
        <w:rPr>
          <w:rFonts w:ascii="Amiri" w:hAnsi="Amiri" w:eastAsia="Amiri" w:cs="Amiri"/>
          <w:color w:val="111111"/>
          <w:sz w:val="28"/>
          <w:sz w:val="28"/>
          <w:szCs w:val="28"/>
          <w:rtl w:val="true"/>
          <w:lang w:bidi="ar-SA"/>
        </w:rPr>
        <w:t>و قد مرّ منا</w:t>
      </w:r>
      <w:r>
        <w:rPr>
          <w:rStyle w:val="FootnoteAnchor"/>
          <w:rtl w:val="true"/>
        </w:rPr>
        <w:footnoteReference w:id="1059"/>
      </w:r>
      <w:r>
        <w:rPr>
          <w:rFonts w:ascii="IRNazanin" w:hAnsi="IRNazanin" w:eastAsia="IRNazanin"/>
          <w:color w:val="111111"/>
          <w:sz w:val="28"/>
          <w:sz w:val="28"/>
          <w:szCs w:val="28"/>
          <w:rtl w:val="true"/>
          <w:lang w:bidi="fa-IR"/>
        </w:rPr>
        <w:t>وجه امتناع الردع عن حجّیة الظنون علی الإطلاق فی قبال شبهات ابن قبة، و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لیست کما تخیّلوها و توهّموها، حتّی یمکن سدّ باب العمل بالظنون الخاصّة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لو کان تلک الآیات مفهوم و منطوق دالّین علی حجّیة خبر الواحد، لما کان السند و المستند لحجّیته تلک الآیات، لعدم إمکان مقاومتها للمفاسد المترتّبة علی حجّیتها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تقاوم تلک المفاسد المصالح الاخر التی لا بدّ من لحاظها و رعایتها، مع عدم إمکان سدّ تلک المفاسد إلاّ بالدخول فی المفاسد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سلکه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و 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 علی حجّیة الظنون الخاصّة بالظواهر و الأخبار، بحیث یکون المستند تلک الظواهر و الأخبار، غیر راجع إلی محصّل، کما هو الواضح، فتدبّر</w:t>
      </w:r>
      <w:r>
        <w:rPr>
          <w:rFonts w:eastAsia="IRNazanin" w:cs="IRNazanin"/>
          <w:color w:val="111111"/>
          <w:sz w:val="28"/>
          <w:szCs w:val="28"/>
          <w:rtl w:val="true"/>
          <w:lang w:bidi="fa-IR"/>
        </w:rPr>
        <w:t>.</w:t>
      </w:r>
      <w:bookmarkStart w:id="848" w:name="pg13170_166634"/>
    </w:p>
    <w:p>
      <w:pPr>
        <w:pStyle w:val="Heading5"/>
        <w:numPr>
          <w:ilvl w:val="4"/>
          <w:numId w:val="1"/>
        </w:numPr>
        <w:rPr/>
      </w:pPr>
      <w:bookmarkStart w:id="849" w:name="__RefHeading___Toc624877_3244359995"/>
      <w:bookmarkStart w:id="850" w:name="_Toc318"/>
      <w:bookmarkEnd w:id="848"/>
      <w:bookmarkEnd w:id="849"/>
      <w:r>
        <w:rPr>
          <w:rtl w:val="true"/>
        </w:rPr>
        <w:t>الوجه الثانی السنّة</w:t>
      </w:r>
      <w:bookmarkEnd w:id="850"/>
    </w:p>
    <w:p>
      <w:pPr>
        <w:pStyle w:val="Heading6"/>
        <w:numPr>
          <w:ilvl w:val="5"/>
          <w:numId w:val="1"/>
        </w:numPr>
        <w:rPr/>
      </w:pPr>
      <w:bookmarkStart w:id="851" w:name="__RefHeading___Toc624879_3244359995"/>
      <w:bookmarkStart w:id="852" w:name="_Toc319"/>
      <w:bookmarkEnd w:id="851"/>
      <w:r>
        <w:rPr>
          <w:rtl w:val="true"/>
        </w:rPr>
        <w:t>اشارة</w:t>
      </w:r>
      <w:bookmarkEnd w:id="852"/>
    </w:p>
    <w:p>
      <w:pPr>
        <w:pStyle w:val="BookText"/>
        <w:rPr/>
      </w:pPr>
      <w:r>
        <w:rPr>
          <w:rFonts w:ascii="IRNazanin" w:hAnsi="IRNazanin" w:eastAsia="IRNazanin"/>
          <w:color w:val="111111"/>
          <w:sz w:val="28"/>
          <w:sz w:val="28"/>
          <w:szCs w:val="28"/>
          <w:rtl w:val="true"/>
          <w:lang w:bidi="fa-IR"/>
        </w:rPr>
        <w:t>و هی علی طوائف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 وجوب الرجوع إلی الثقات، و التسلیم لما روی عنهم علیهم السلام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إرجاعهم علیهم السلام الرّواة إلی ثقات الأصحاب و إلی کتبهم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الأخبار المتعارضة، و هی الأخبار العلاجیّة الظاهرة فی حجّیة غیر المبتلی بالمعارض، و حجّیة ما هو ذو المزیّة و الترجیح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 الترغیب فی الروایة و نقل الحدیث، و الحثّ علیه، و إبلاغ ما فی الکتب، و مدح أصحاب الحدیث و حفّاظه و کتّابه، و الترغیب فی مذاکراته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کیفیة نقله و أخذه و قبوله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bookmarkStart w:id="853" w:name="pg13170_166635"/>
    </w:p>
    <w:p>
      <w:pPr>
        <w:pStyle w:val="BookText"/>
        <w:rPr/>
      </w:pPr>
      <w:bookmarkEnd w:id="85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احتجاج بعض الصحابة علی بعضهم، أو علی الأئمّة بالروایات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المتفرّقات فی الأبواب المختلفة، البالغة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أکثر من مائة و عشرین، و ربّما یطّلع علی الأکثر المراجع فی طیّ المسائل، و قد حکی جملة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القضاء</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معنی لأن یتمسّک بمطلق خبر الواحد لحجّیة مطلق خبر الواحد، أو الخاصّ منه، و لا بأس بأن یتمسّک بالخبر الخاصّ لمطلق الخبر الواحد، إلاّ أنّه لا بدّ و أن یکون ذلک الخاصّ جامعا لمطلق الخصوصیّات المحتملة، أو جامعا للخصوصیّات المذکورة فی الأخبار، بعد کونه خبرا متواترا مقطوع الصدور، أو یکون فی حکم مقطوع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یکون الخبر المستند إلیه، جامعا للشرائط العقلیّة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بأس بأن نتکلّم إجمالا فی جهتین</w:t>
      </w:r>
      <w:r>
        <w:rPr>
          <w:rFonts w:eastAsia="IRNazanin" w:cs="IRNazanin"/>
          <w:color w:val="111111"/>
          <w:sz w:val="28"/>
          <w:szCs w:val="28"/>
          <w:rtl w:val="true"/>
          <w:lang w:bidi="fa-IR"/>
        </w:rPr>
        <w:t>:</w:t>
      </w:r>
    </w:p>
    <w:p>
      <w:pPr>
        <w:pStyle w:val="Heading6"/>
        <w:numPr>
          <w:ilvl w:val="5"/>
          <w:numId w:val="1"/>
        </w:numPr>
        <w:rPr/>
      </w:pPr>
      <w:bookmarkStart w:id="854" w:name="__RefHeading___Toc624881_3244359995"/>
      <w:bookmarkStart w:id="855" w:name="_Toc320"/>
      <w:bookmarkEnd w:id="854"/>
      <w:r>
        <w:rPr>
          <w:rtl w:val="true"/>
        </w:rPr>
        <w:t>الجهة الأولی</w:t>
      </w:r>
      <w:r>
        <w:rPr>
          <w:rtl w:val="true"/>
        </w:rPr>
        <w:t xml:space="preserve">: </w:t>
      </w:r>
      <w:r>
        <w:rPr>
          <w:rtl w:val="true"/>
        </w:rPr>
        <w:t>فی اعتبار تواتره</w:t>
      </w:r>
      <w:bookmarkEnd w:id="85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المتواتر اللفظیّ غیر موجود بالضرورة، و إنّما الکلام فی المتواتر المعنویّ و الإجمالیّ،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معنی للتواتر الإجمالیّ، لأنّ کلّ واحد من الأخبار واحد محتمل للکذب و الصدق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bookmarkStart w:id="856" w:name="pg13170_166636"/>
    </w:p>
    <w:p>
      <w:pPr>
        <w:pStyle w:val="BookText"/>
        <w:rPr/>
      </w:pPr>
      <w:bookmarkEnd w:id="856"/>
      <w:r>
        <w:rPr>
          <w:rFonts w:ascii="IRNazanin" w:hAnsi="IRNazanin" w:eastAsia="IRNazanin"/>
          <w:color w:val="111111"/>
          <w:sz w:val="28"/>
          <w:sz w:val="28"/>
          <w:szCs w:val="28"/>
          <w:rtl w:val="true"/>
          <w:lang w:bidi="fa-IR"/>
        </w:rPr>
        <w:t>نعم، یمکن المناقشة فی المتواتر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بوجود واحد من بینها صادر عنهم علیهم السلام لا یفید، لأنّه مجهول، فلا یمکن التمسّک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الأخذ بالقدر المتیقّن الجامع غیر ممکن أحیانا، لتباین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نحن فیه لا یکون الأمر کذلک، فعلیه یمکن کسب الخبر الواحد الجامع، کما إذا کان راویه من الإمامیّة العدول و الموثوق به المأمون علی الدین و الدنیا فی جمیع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بالتقسیم المذکور، کما تحرّر إمکان وجود التواتر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 التواتر الإجمالیّ، للزوم الأخذ بمطلق الخصوصیّات و إن لم تکن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دعوی القطع بعدم اعتبار الأزید منها ممکنة،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التواتر الاصطلاحیّ غیر ممکن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التواتر المفید للعلم، تابع لنفوس المراجعین المختلفة فی ذلک، فلا تخلط</w:t>
      </w:r>
      <w:r>
        <w:rPr>
          <w:rFonts w:eastAsia="IRNazanin" w:cs="IRNazanin"/>
          <w:color w:val="111111"/>
          <w:sz w:val="28"/>
          <w:szCs w:val="28"/>
          <w:rtl w:val="true"/>
          <w:lang w:bidi="fa-IR"/>
        </w:rPr>
        <w:t>.</w:t>
      </w:r>
    </w:p>
    <w:p>
      <w:pPr>
        <w:pStyle w:val="Heading6"/>
        <w:numPr>
          <w:ilvl w:val="5"/>
          <w:numId w:val="1"/>
        </w:numPr>
        <w:rPr/>
      </w:pPr>
      <w:bookmarkStart w:id="857" w:name="__RefHeading___Toc624883_3244359995"/>
      <w:bookmarkStart w:id="858" w:name="_Toc321"/>
      <w:bookmarkEnd w:id="857"/>
      <w:r>
        <w:rPr>
          <w:rtl w:val="true"/>
        </w:rPr>
        <w:t>الجهة الثانیة</w:t>
      </w:r>
      <w:r>
        <w:rPr>
          <w:rtl w:val="true"/>
        </w:rPr>
        <w:t xml:space="preserve">: </w:t>
      </w:r>
      <w:r>
        <w:rPr>
          <w:rtl w:val="true"/>
        </w:rPr>
        <w:t>فی وجود التواتر المعنویّ أو الإجمالیّ بعد عدم تحقّق اللفظیّ منه</w:t>
      </w:r>
      <w:bookmarkEnd w:id="85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العلاّمة النائینیّ رحمه اللَّه تحقّق المعنویّ </w:t>
      </w:r>
      <w:r>
        <w:rPr>
          <w:rStyle w:val="FootnoteAnchor"/>
          <w:rtl w:val="true"/>
        </w:rPr>
        <w:footnoteReference w:id="1069"/>
      </w:r>
      <w:r>
        <w:rPr>
          <w:rFonts w:ascii="IRNazanin" w:hAnsi="IRNazanin" w:eastAsia="IRNazanin"/>
          <w:color w:val="111111"/>
          <w:sz w:val="28"/>
          <w:sz w:val="28"/>
          <w:szCs w:val="28"/>
          <w:rtl w:val="true"/>
          <w:lang w:bidi="fa-IR"/>
        </w:rPr>
        <w:t>، و قد صدّقه بعض آخر</w:t>
      </w:r>
      <w:r>
        <w:rPr>
          <w:rStyle w:val="FootnoteAnchor"/>
          <w:rtl w:val="true"/>
        </w:rPr>
        <w:footnoteReference w:id="1070"/>
      </w:r>
      <w:r>
        <w:rPr>
          <w:rFonts w:ascii="Amiri" w:hAnsi="Amiri" w:eastAsia="Amiri" w:cs="Amiri"/>
          <w:color w:val="111111"/>
          <w:sz w:val="28"/>
          <w:sz w:val="28"/>
          <w:szCs w:val="28"/>
          <w:rtl w:val="true"/>
          <w:lang w:bidi="ar-SA"/>
        </w:rPr>
        <w:t>، و أنکره السیّد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 xml:space="preserve">، و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 xml:space="preserve">و غیره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أنّه رحمه اللَّه لم یلتفت إلی طرف المطلوب، فإنّ معنی التواتر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القطع بصدور خبر واحد من بین الأخبار الدالّة علی حجّیة مطلق الخبر، و إن لم یکن جامعا للخصوصیّات، و هذا 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وجود الإجمالیّ منه </w:t>
      </w:r>
      <w:r>
        <w:rPr>
          <w:rStyle w:val="FootnoteAnchor"/>
          <w:rtl w:val="true"/>
        </w:rPr>
        <w:footnoteReference w:id="1074"/>
      </w:r>
      <w:r>
        <w:rPr>
          <w:rFonts w:ascii="Amiri" w:hAnsi="Amiri" w:eastAsia="Amiri" w:cs="Amiri"/>
          <w:color w:val="111111"/>
          <w:sz w:val="28"/>
          <w:sz w:val="28"/>
          <w:szCs w:val="28"/>
          <w:rtl w:val="true"/>
          <w:lang w:bidi="ar-SA"/>
        </w:rPr>
        <w:t>، فیثبت الأعمّ بالأخصّ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حجّیة الخبر، أن یکون له الشاهد</w:t>
      </w:r>
      <w:r>
        <w:rPr>
          <w:rStyle w:val="FootnoteAnchor"/>
          <w:rtl w:val="true"/>
        </w:rPr>
        <w:footnoteReference w:id="1075"/>
      </w:r>
      <w:r>
        <w:rPr>
          <w:rFonts w:ascii="IRNazanin" w:hAnsi="IRNazanin" w:eastAsia="IRNazanin"/>
          <w:color w:val="111111"/>
          <w:sz w:val="28"/>
          <w:sz w:val="28"/>
          <w:szCs w:val="28"/>
          <w:rtl w:val="true"/>
          <w:lang w:bidi="fa-IR"/>
        </w:rPr>
        <w:t xml:space="preserve">أو الشاهدان </w:t>
      </w:r>
      <w:r>
        <w:rPr>
          <w:rStyle w:val="FootnoteAnchor"/>
          <w:rtl w:val="true"/>
        </w:rPr>
        <w:footnoteReference w:id="1076"/>
      </w:r>
      <w:r>
        <w:rPr>
          <w:rFonts w:ascii="IRNazanin" w:hAnsi="IRNazanin" w:eastAsia="IRNazanin"/>
          <w:color w:val="111111"/>
          <w:sz w:val="28"/>
          <w:sz w:val="28"/>
          <w:szCs w:val="28"/>
          <w:rtl w:val="true"/>
          <w:lang w:bidi="fa-IR"/>
        </w:rPr>
        <w:t>من کتاب اللَّه، و قد أنکروا دلالة الآیات علی حجّیته، و قد غفلوا عن هذه المسألة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التمسّک بالخبر المقطوع الحجّیة یفید حجّیة مطلق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احتمال دخالة عدم الواسطة فی الحجّیة، فلا یکون الخبر مع الواسطة حجّة</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فقد أشرنا إلیه فی ذیل الجهة السابقة، إلی أنّ دعوی القطع بعدم اعتباره ممکنة جدّاً، لاتفاق الأخبار علی أنّ نفیها لمطلق الخصوصیّات، لیس معتبرا فیما یتمسّک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الخصوصیّات فی الأخبار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المتواتر الإجمالیّ و المعنویّ غیر واضح تحقّقهما، بل الظاهر ممنوعیتهما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التمسّک بالخبر العالی السند، لإثبات المطلوب المطلق </w:t>
      </w:r>
      <w:r>
        <w:rPr>
          <w:rStyle w:val="FootnoteAnchor"/>
          <w:rtl w:val="true"/>
        </w:rPr>
        <w:footnoteReference w:id="1078"/>
      </w:r>
      <w:r>
        <w:rPr>
          <w:rFonts w:ascii="IRNazanin" w:hAnsi="IRNazanin" w:eastAsia="IRNazanin"/>
          <w:color w:val="111111"/>
          <w:sz w:val="28"/>
          <w:sz w:val="28"/>
          <w:szCs w:val="28"/>
          <w:rtl w:val="true"/>
          <w:lang w:bidi="fa-IR"/>
        </w:rPr>
        <w:t xml:space="preserve">، فإنّ مجرّد کون الطبقات عدولا إمامیّین و کذا و کذا لا یکفی، لأنّ قضیّة جملة من الأخبار حجّیة الخبر المطابق للکتاب </w:t>
      </w:r>
      <w:r>
        <w:rPr>
          <w:rStyle w:val="FootnoteAnchor"/>
          <w:rtl w:val="true"/>
        </w:rPr>
        <w:footnoteReference w:id="1079"/>
      </w:r>
      <w:r>
        <w:rPr>
          <w:rFonts w:ascii="IRNazanin" w:hAnsi="IRNazanin" w:eastAsia="IRNazanin"/>
          <w:color w:val="111111"/>
          <w:sz w:val="28"/>
          <w:sz w:val="28"/>
          <w:szCs w:val="28"/>
          <w:rtl w:val="true"/>
          <w:lang w:bidi="fa-IR"/>
        </w:rPr>
        <w:t>و القائم علیه منه الشاهد أو الشاهدان</w:t>
      </w:r>
      <w:r>
        <w:rPr>
          <w:rFonts w:eastAsia="IRNazanin" w:cs="IRNazanin"/>
          <w:color w:val="111111"/>
          <w:sz w:val="28"/>
          <w:szCs w:val="28"/>
          <w:rtl w:val="true"/>
          <w:lang w:bidi="fa-IR"/>
        </w:rPr>
        <w:t>.</w:t>
      </w:r>
      <w:bookmarkStart w:id="859" w:name="pg13170_166638"/>
    </w:p>
    <w:p>
      <w:pPr>
        <w:pStyle w:val="BookText"/>
        <w:rPr/>
      </w:pPr>
      <w:bookmarkEnd w:id="859"/>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القطع بعدم دخالة ذلک فی حجّیة الخبر، فالأخصّ مضمونا هو المحکیّ بالعدول الإمامیّین، و إذا ثبت ذلک یثبت به سائر المطلوب </w:t>
      </w:r>
      <w:r>
        <w:rPr>
          <w:rStyle w:val="FootnoteAnchor"/>
          <w:rtl w:val="true"/>
        </w:rPr>
        <w:footnoteReference w:id="1080"/>
      </w:r>
      <w:r>
        <w:rPr>
          <w:rFonts w:ascii="IRNazanin" w:hAnsi="IRNazanin" w:eastAsia="IRNazanin"/>
          <w:color w:val="111111"/>
          <w:sz w:val="28"/>
          <w:sz w:val="28"/>
          <w:szCs w:val="28"/>
          <w:rtl w:val="true"/>
          <w:lang w:bidi="fa-IR"/>
        </w:rPr>
        <w:t>و إطلاق المدّعی، فإذا صحّ ادعاء عدم اشتراط عدم الواسطة کما مرّ و بعض الشرائط الاخر، یمکن دعوی وجود الخبر الواحد الأخصّ الناهض علی عموم المدّعی، لأنّ کلیة الأخبار ذات إطلاق و لا معنی لدعوی أنّ القدر المتیقّن منها هو الخبر المفید للوثوق و الاطمئنان أو الظنّ، و إلاّ فلا یتمّ المطلوب أیضا من هذه الجهة</w:t>
      </w:r>
      <w:r>
        <w:rPr>
          <w:rStyle w:val="FootnoteAnchor"/>
          <w:rtl w:val="true"/>
        </w:rPr>
        <w:footnoteReference w:id="108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624885_3244359995"/>
      <w:bookmarkStart w:id="861" w:name="_Toc322"/>
      <w:bookmarkEnd w:id="860"/>
      <w:r>
        <w:rPr>
          <w:rtl w:val="true"/>
        </w:rPr>
        <w:t>فذلکة البحث</w:t>
      </w:r>
      <w:r>
        <w:rPr>
          <w:rtl w:val="true"/>
        </w:rPr>
        <w:t>:</w:t>
      </w:r>
      <w:bookmarkEnd w:id="861"/>
    </w:p>
    <w:p>
      <w:pPr>
        <w:pStyle w:val="BookText"/>
        <w:rPr/>
      </w:pPr>
      <w:r>
        <w:rPr>
          <w:rFonts w:ascii="IRNazanin" w:hAnsi="IRNazanin" w:eastAsia="IRNazanin"/>
          <w:color w:val="111111"/>
          <w:sz w:val="28"/>
          <w:sz w:val="28"/>
          <w:szCs w:val="28"/>
          <w:rtl w:val="true"/>
          <w:lang w:bidi="fa-IR"/>
        </w:rPr>
        <w:t>إنّ الخبر الجامع للشرائط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متواترا اصطلاحا، أو فی حکم المتواتر، بأن یکون موجبا للقطع بالصدور، و کون جهة صدوره تامّة، و للشرائط الشرعیّة، مثل کون المضمون ممّا قام علیه الشاهد أو الشاهدان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الإشکال فی وجود ذلک المتواتر، فإنّ التواتر اللفظیّ واضح المنع، و التواتر المعنویّ ممّا لا یکاد یخفی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التواتر الإجمالیّ، فبناء علی کونه موجبا للعلم الإجمالیّ بصدور واحد من بین المائة، مع احتمال کونه قسما من التواتر اللفظیّ، لدلالة کلّ واحد بالالتزام علی الصدور، فیکون واحد من بینها صادرا، فاغتنم، فهو فیما إذا کان فی البین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تحصیله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القیود المحتملة هو کونه حاکیا</w:t>
      </w:r>
    </w:p>
    <w:p>
      <w:pPr>
        <w:pStyle w:val="BookText"/>
        <w:rPr/>
      </w:pPr>
      <w:r>
        <w:rPr>
          <w:rFonts w:ascii="IRNazanin" w:hAnsi="IRNazanin" w:eastAsia="IRNazanin"/>
          <w:color w:val="111111"/>
          <w:sz w:val="28"/>
          <w:sz w:val="28"/>
          <w:szCs w:val="28"/>
          <w:rtl w:val="true"/>
          <w:lang w:bidi="fa-IR"/>
        </w:rPr>
        <w:t>لقول الإمام علیه السلام بلا واسطة</w:t>
      </w:r>
      <w:r>
        <w:rPr>
          <w:rStyle w:val="FootnoteAnchor"/>
          <w:rtl w:val="true"/>
        </w:rPr>
        <w:footnoteReference w:id="1082"/>
      </w:r>
      <w:r>
        <w:rPr>
          <w:rFonts w:ascii="IRNazanin" w:hAnsi="IRNazanin" w:eastAsia="IRNazanin"/>
          <w:color w:val="111111"/>
          <w:sz w:val="28"/>
          <w:sz w:val="28"/>
          <w:szCs w:val="28"/>
          <w:rtl w:val="true"/>
          <w:lang w:bidi="fa-IR"/>
        </w:rPr>
        <w:t>، فغیر وجیه، لأنّ المفروض تواتر الأخبار، فلا معنی لإیراد قید فی هذه الناحیة بعد فرض العلم الإجمالیّ بوجود صدور واحد من بین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إلیه 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ممّا یشهد علیه الشاهد أو الشاهدان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بعدم اعتبار ذلک فی حجّیة ذلک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الإشکال فی إطلاق ذلک المعلوم بالإجمال، فقد عرفت منعه، لما نجد أنّ ما بین أیدینا یکون کلّ ذا إطلاق </w:t>
      </w:r>
      <w:r>
        <w:rPr>
          <w:rStyle w:val="FootnoteAnchor"/>
          <w:rtl w:val="true"/>
        </w:rPr>
        <w:footnoteReference w:id="108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قضیّة ذلک الخبر و لو کانت حجّیة مطلق الخبر، و لکنّه مقیّد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المأمون علی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التعلیل الوارد فی الخبرین </w:t>
      </w:r>
      <w:r>
        <w:rPr>
          <w:rStyle w:val="FootnoteAnchor"/>
          <w:rtl w:val="true"/>
        </w:rPr>
        <w:footnoteReference w:id="1084"/>
      </w:r>
      <w:r>
        <w:rPr>
          <w:rFonts w:ascii="IRNazanin" w:hAnsi="IRNazanin" w:eastAsia="IRNazanin"/>
          <w:color w:val="111111"/>
          <w:sz w:val="28"/>
          <w:sz w:val="28"/>
          <w:szCs w:val="28"/>
          <w:rtl w:val="true"/>
          <w:lang w:bidi="fa-IR"/>
        </w:rPr>
        <w:t>، فلا یثبت به المدّعی إلاّ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الحجر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أخبار المسألة، منقولة عن غیر الکتب الأربعة، فدعوی العلم الإجمالیّ بصدور واحد بعد رجوع أکثر الأخبار فی مبادئ السلسلة إلی الآحاد و الأفراد،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کفایة الاطمئنان و الوثوق الشخصیّ، و هو کاف لصحّة الاستناد، و لا یعتبر العلم الجزمیّ المنطقیّ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و العلم فی الحجّیة مشترکان، کما هما مشترکان فی قابلیّة منعهما، کما تحرّر، فلا فارق بینهما</w:t>
      </w:r>
      <w:r>
        <w:rPr>
          <w:rFonts w:eastAsia="IRNazanin" w:cs="IRNazanin"/>
          <w:color w:val="111111"/>
          <w:sz w:val="28"/>
          <w:szCs w:val="28"/>
          <w:rtl w:val="true"/>
          <w:lang w:bidi="fa-IR"/>
        </w:rPr>
        <w:t>.</w:t>
      </w:r>
      <w:bookmarkStart w:id="862" w:name="pg13170_166640"/>
    </w:p>
    <w:p>
      <w:pPr>
        <w:pStyle w:val="Heading6"/>
        <w:numPr>
          <w:ilvl w:val="5"/>
          <w:numId w:val="1"/>
        </w:numPr>
        <w:rPr/>
      </w:pPr>
      <w:bookmarkStart w:id="863" w:name="__RefHeading___Toc624887_3244359995"/>
      <w:bookmarkStart w:id="864" w:name="_Toc323"/>
      <w:bookmarkEnd w:id="862"/>
      <w:bookmarkEnd w:id="863"/>
      <w:r>
        <w:rPr>
          <w:rtl w:val="true"/>
        </w:rPr>
        <w:t>بقی شی‌ء</w:t>
      </w:r>
      <w:r>
        <w:rPr>
          <w:rtl w:val="true"/>
        </w:rPr>
        <w:t xml:space="preserve">: </w:t>
      </w:r>
      <w:r>
        <w:rPr>
          <w:rtl w:val="true"/>
        </w:rPr>
        <w:t>حول استدلال الوالد المحقّق علی عموم المدعی و ما فیه</w:t>
      </w:r>
      <w:bookmarkEnd w:id="864"/>
    </w:p>
    <w:p>
      <w:pPr>
        <w:pStyle w:val="BookText"/>
        <w:rPr/>
      </w:pP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لنا إثبات عموم المدّعی، بانضمام قیام السیرة علی حجّیة خبر الواحد المحکیّ بالوسائط البالغة إلی الثلاث و الأربع، مع کونهم عدولا فقهاء، و من المبرّزین العلماء، فإذا وجدنا ذلک نستدلّ به علی المطلوب، ثمّ نتمسّک بالخبر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xml:space="preserve">عن أحمد بن إسحاق، عن أبی الحسن علیه السلام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التمسّک بالسنّة علی حجّیة الخبر الواحد، ضرورة أنّ التمسّک بها لا بدّ و أن یکون فی حدّ التمسّک بالکتاب علی حجّیة الخبر، لا فی حدّ التمسّک ببناء العقلاء،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خبر غیر الإمامیّ، و الإمامیّ غیر العادل و لو کان متحرّزا من الکذب، لأنّه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یفسّره ما فی الخبر الآخر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علی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التعلیل لیس من قبیل العلل المعمّمة و المخصّصة، بل هو تأکید لأمرهما، کما هو الأظهر، فلا یمکن إثبات حجّیة خبر مطلق الثقة، لأنّ الدستور فیه مخصوص بالعمری و ابنه، أو بمن یشابههما فی المقام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الخبر، هو السؤال عن الرجوع إلی غیر ناقلی الأخبار، فیکون الخبر أجنبیّا عن مسألتنا، فتدبّر</w:t>
      </w:r>
      <w:r>
        <w:rPr>
          <w:rFonts w:eastAsia="IRNazanin" w:cs="IRNazanin"/>
          <w:color w:val="111111"/>
          <w:sz w:val="28"/>
          <w:szCs w:val="28"/>
          <w:rtl w:val="true"/>
          <w:lang w:bidi="fa-IR"/>
        </w:rPr>
        <w:t>.</w:t>
      </w:r>
      <w:bookmarkStart w:id="865" w:name="pg13170_166641"/>
    </w:p>
    <w:p>
      <w:pPr>
        <w:pStyle w:val="Heading5"/>
        <w:numPr>
          <w:ilvl w:val="4"/>
          <w:numId w:val="1"/>
        </w:numPr>
        <w:rPr/>
      </w:pPr>
      <w:bookmarkStart w:id="866" w:name="__RefHeading___Toc624889_3244359995"/>
      <w:bookmarkStart w:id="867" w:name="_Toc324"/>
      <w:bookmarkEnd w:id="865"/>
      <w:bookmarkEnd w:id="866"/>
      <w:r>
        <w:rPr>
          <w:rtl w:val="true"/>
        </w:rPr>
        <w:t>الوجه الثالث الإجماع</w:t>
      </w:r>
      <w:bookmarkEnd w:id="86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یفید منقوله، و لا محصّله، بناء علی ما هو الحقّ عندنا</w:t>
      </w:r>
      <w:r>
        <w:rPr>
          <w:rStyle w:val="FootnoteAnchor"/>
          <w:rtl w:val="true"/>
        </w:rPr>
        <w:footnoteReference w:id="1087"/>
      </w:r>
      <w:r>
        <w:rPr>
          <w:rFonts w:ascii="IRNazanin" w:hAnsi="IRNazanin" w:eastAsia="IRNazanin"/>
          <w:color w:val="111111"/>
          <w:sz w:val="28"/>
          <w:sz w:val="28"/>
          <w:szCs w:val="28"/>
          <w:rtl w:val="true"/>
          <w:lang w:bidi="fa-IR"/>
        </w:rPr>
        <w:t xml:space="preserve">من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ذهاب المجمعین و اتفاقهم علی أمر، من غیر دخالة السبب فی ذلک، فإنّه أمر موکول إلی المنقول إلیهم و المحصّل لهم حسب اختلاف مشاربهم و مسالکهم، فحیث إنّ المسألة ذات الآیات و الروایات، و یساعدها البناءات العرفیّة و العقلائیّة، و یؤیدها الحکم العقلیّ، فلا یکشف به شی‌ء وراء ما هو البالغ إلینا، فلا تذهل</w:t>
      </w:r>
      <w:r>
        <w:rPr>
          <w:rFonts w:eastAsia="IRNazanin" w:cs="IRNazanin"/>
          <w:color w:val="111111"/>
          <w:sz w:val="28"/>
          <w:szCs w:val="28"/>
          <w:rtl w:val="true"/>
          <w:lang w:bidi="fa-IR"/>
        </w:rPr>
        <w:t>.</w:t>
      </w:r>
      <w:bookmarkStart w:id="868" w:name="pg13170_166642"/>
    </w:p>
    <w:p>
      <w:pPr>
        <w:pStyle w:val="Heading5"/>
        <w:numPr>
          <w:ilvl w:val="4"/>
          <w:numId w:val="1"/>
        </w:numPr>
        <w:rPr/>
      </w:pPr>
      <w:bookmarkStart w:id="869" w:name="__RefHeading___Toc624891_3244359995"/>
      <w:bookmarkStart w:id="870" w:name="_Toc325"/>
      <w:bookmarkEnd w:id="868"/>
      <w:bookmarkEnd w:id="869"/>
      <w:r>
        <w:rPr>
          <w:rtl w:val="true"/>
        </w:rPr>
        <w:t>الوجه الرابع بناء العقلاء</w:t>
      </w:r>
      <w:bookmarkEnd w:id="870"/>
    </w:p>
    <w:p>
      <w:pPr>
        <w:pStyle w:val="Heading6"/>
        <w:numPr>
          <w:ilvl w:val="5"/>
          <w:numId w:val="1"/>
        </w:numPr>
        <w:rPr/>
      </w:pPr>
      <w:bookmarkStart w:id="871" w:name="__RefHeading___Toc624893_3244359995"/>
      <w:bookmarkStart w:id="872" w:name="_Toc326"/>
      <w:bookmarkEnd w:id="871"/>
      <w:r>
        <w:rPr>
          <w:rtl w:val="true"/>
        </w:rPr>
        <w:t>اشارة</w:t>
      </w:r>
      <w:bookmarkEnd w:id="872"/>
    </w:p>
    <w:p>
      <w:pPr>
        <w:pStyle w:val="BookText"/>
        <w:rPr/>
      </w:pPr>
      <w:r>
        <w:rPr>
          <w:rFonts w:ascii="IRNazanin" w:hAnsi="IRNazanin" w:eastAsia="IRNazanin"/>
          <w:color w:val="111111"/>
          <w:sz w:val="28"/>
          <w:sz w:val="28"/>
          <w:szCs w:val="28"/>
          <w:rtl w:val="true"/>
          <w:lang w:bidi="fa-IR"/>
        </w:rPr>
        <w:t>و حیث یحتاج إلی الإمضاء، فلا بدّ إمّا من قیام الأدلّة اللفظیّة، أو نهوض دلیل عقلیّ، فإنّه أیضا کاف، ضرورة أنّ هذه الطریقة القطعیّة العریضة، کانت بمرأی و مسمع من الشرع، و حیث إنّ الشرع لا بدّ و أن یعلن الأحکام، و یبلّغ المصالح، فعلیه إعلام ذلک، و لو کان أعلن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فی کثیر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فیتبیّن من هنا أنّها طریقة مرضیّة ممضاة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فی جملة من الأخبار و الآثار، أو فی قسم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یشهد علی الرضا و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عدم الحاجة إلی کشف الارتضاء، بل یکفی عدم الردع </w:t>
      </w:r>
      <w:r>
        <w:rPr>
          <w:rStyle w:val="FootnoteAnchor"/>
          <w:rtl w:val="true"/>
        </w:rPr>
        <w:footnoteReference w:id="1088"/>
      </w:r>
      <w:r>
        <w:rPr>
          <w:rFonts w:ascii="IRNazanin" w:hAnsi="IRNazanin" w:eastAsia="IRNazanin"/>
          <w:color w:val="111111"/>
          <w:sz w:val="28"/>
          <w:sz w:val="28"/>
          <w:szCs w:val="28"/>
          <w:rtl w:val="true"/>
          <w:lang w:bidi="fa-IR"/>
        </w:rPr>
        <w:t xml:space="preserve">، فیکون الردع مانعا، فقد مرّ منّا مرارا عدم صحّة ذلک </w:t>
      </w:r>
      <w:r>
        <w:rPr>
          <w:rStyle w:val="FootnoteAnchor"/>
          <w:rtl w:val="true"/>
        </w:rPr>
        <w:footnoteReference w:id="1089"/>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موارد الشکّ یکون للشرع أصل هو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یکفی عدم الردع، لکان الحکم بکفایة عدم الردع إمّا حکما عقلیّا، کالأوّلیات التی لا یمکن الردع عنها، و هو 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هذا حکما شرعیّا، أو عقلائیّا، فإن کان شرعیّا فهو کاف، و یکون من الإمضاء، أو عقلائیّا فهو أوّل البحث</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فی مورد الشکّ فی نقل العین بعقد جدید، یستصحب الملکیّة، و هو معنی أصالة الفساد الحاکمة فی المسألة، فلا بدّ من کشف رضا الشرع فی قبال</w:t>
      </w:r>
      <w:bookmarkStart w:id="873" w:name="pg13170_166643"/>
    </w:p>
    <w:p>
      <w:pPr>
        <w:pStyle w:val="BookText"/>
        <w:rPr/>
      </w:pPr>
      <w:bookmarkEnd w:id="873"/>
      <w:r>
        <w:rPr>
          <w:rFonts w:ascii="IRNazanin" w:hAnsi="IRNazanin" w:eastAsia="IRNazanin"/>
          <w:color w:val="111111"/>
          <w:sz w:val="28"/>
          <w:sz w:val="28"/>
          <w:szCs w:val="28"/>
          <w:rtl w:val="true"/>
          <w:lang w:bidi="fa-IR"/>
        </w:rPr>
        <w:t>الاستصحاب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هذه المسألة هنا بعد کون السیرة قدیمة واضحة، و بمرأی و منظر من الشرع، و ما أفاده العلاّمة النائینیّ رحمه اللَّه هنا لا یخلو من نوع غرابة</w:t>
      </w:r>
      <w:r>
        <w:rPr>
          <w:rStyle w:val="FootnoteAnchor"/>
          <w:rtl w:val="true"/>
        </w:rPr>
        <w:footnoteReference w:id="1090"/>
      </w:r>
      <w:r>
        <w:rPr>
          <w:rFonts w:ascii="IRNazanin" w:hAnsi="IRNazanin" w:eastAsia="IRNazanin"/>
          <w:color w:val="111111"/>
          <w:sz w:val="28"/>
          <w:sz w:val="28"/>
          <w:szCs w:val="28"/>
          <w:rtl w:val="true"/>
          <w:lang w:bidi="fa-IR"/>
        </w:rPr>
        <w:t xml:space="preserve">، و لا شبهة فی أنّ السیرة العقلائیّة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عملیّة احتجاجیّة قائمة علی مطلق خبر المتحرّز من الکذب الصادق فی القول، و بها یتمّ تمام المراد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کونها لبّیة، و لها القدر المتیقّن، لا یستلزم الأخذ به بعد سعة دائرتها، کما مرّ فی الظواهر</w:t>
      </w:r>
      <w:r>
        <w:rPr>
          <w:rStyle w:val="FootnoteAnchor"/>
          <w:rtl w:val="true"/>
        </w:rPr>
        <w:footnoteReference w:id="1091"/>
      </w:r>
      <w:r>
        <w:rPr>
          <w:rFonts w:ascii="Amiri" w:hAnsi="Amiri" w:eastAsia="Amiri" w:cs="Amiri"/>
          <w:color w:val="111111"/>
          <w:sz w:val="28"/>
          <w:sz w:val="28"/>
          <w:szCs w:val="28"/>
          <w:rtl w:val="true"/>
          <w:lang w:bidi="ar-SA"/>
        </w:rPr>
        <w:t>، و مرّ</w:t>
      </w:r>
      <w:r>
        <w:rPr>
          <w:rStyle w:val="FootnoteAnchor"/>
          <w:rtl w:val="true"/>
        </w:rPr>
        <w:footnoteReference w:id="1092"/>
      </w:r>
      <w:r>
        <w:rPr>
          <w:rFonts w:ascii="IRNazanin" w:hAnsi="IRNazanin" w:eastAsia="IRNazanin"/>
          <w:color w:val="111111"/>
          <w:sz w:val="28"/>
          <w:sz w:val="28"/>
          <w:szCs w:val="28"/>
          <w:rtl w:val="true"/>
          <w:lang w:bidi="fa-IR"/>
        </w:rPr>
        <w:t>فی السابق بعض ما یتعلّق بمبادئ السیر العقلائیّة، و البناءات العرفیّة، و کیفیّة أمرها</w:t>
      </w:r>
      <w:r>
        <w:rPr>
          <w:rFonts w:eastAsia="IRNazanin" w:cs="IRNazanin"/>
          <w:color w:val="111111"/>
          <w:sz w:val="28"/>
          <w:szCs w:val="28"/>
          <w:rtl w:val="true"/>
          <w:lang w:bidi="fa-IR"/>
        </w:rPr>
        <w:t>.</w:t>
      </w:r>
    </w:p>
    <w:p>
      <w:pPr>
        <w:pStyle w:val="Heading6"/>
        <w:numPr>
          <w:ilvl w:val="5"/>
          <w:numId w:val="1"/>
        </w:numPr>
        <w:rPr/>
      </w:pPr>
      <w:bookmarkStart w:id="874" w:name="__RefHeading___Toc624895_3244359995"/>
      <w:bookmarkStart w:id="875" w:name="_Toc327"/>
      <w:bookmarkEnd w:id="874"/>
      <w:r>
        <w:rPr>
          <w:rtl w:val="true"/>
        </w:rPr>
        <w:t>بحث و تحصیل</w:t>
      </w:r>
      <w:r>
        <w:rPr>
          <w:rtl w:val="true"/>
        </w:rPr>
        <w:t xml:space="preserve">: </w:t>
      </w:r>
      <w:r>
        <w:rPr>
          <w:rtl w:val="true"/>
        </w:rPr>
        <w:t>فی عدم إمضاء السیرة و ردعها</w:t>
      </w:r>
      <w:bookmarkEnd w:id="875"/>
    </w:p>
    <w:p>
      <w:p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السیرة غیر قابل للإنکار، و لکن یکفی لعدم کونها مرضیّة إظهار الشرع و لو فی خلال آیة أو روایات، سواء ارتدع الناس عن ردع الشرع، أم لم یرتدعوا، فلا معنی لأن یترقّب انهدام السیر العقلائیّة بمجرّد الردع، کما نری ذلک فی مثل القمار و غیره، فعندئذ نجد الآیات الناهیة، و لا سیّما الأخبار الکثیرة المبرزة لعدم رضا الشرع، و لا أقلّ من الشکّ، فعلیه إذا وصلت النوبة إلی الشکّ، لا یکفی الدلیل العقلیّ المزبور، بل لا بدّ من إفادة الأدلّة اللفظیّة، لاحتمال کون الآیات الناهیة رادعة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الأخبار السابقة علی کثرة طوائفها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هنا مشکلة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وجود الأدلّة الرادعة عن السیرة فی</w:t>
      </w:r>
      <w:bookmarkStart w:id="876" w:name="pg13170_166644"/>
    </w:p>
    <w:p>
      <w:pPr>
        <w:pStyle w:val="BookText"/>
        <w:rPr/>
      </w:pPr>
      <w:bookmarkEnd w:id="876"/>
      <w:r>
        <w:rPr>
          <w:rFonts w:ascii="IRNazanin" w:hAnsi="IRNazanin" w:eastAsia="IRNazanin"/>
          <w:color w:val="111111"/>
          <w:sz w:val="28"/>
          <w:sz w:val="28"/>
          <w:szCs w:val="28"/>
          <w:rtl w:val="true"/>
          <w:lang w:bidi="fa-IR"/>
        </w:rPr>
        <w:t>الجملة، فإنّه حینئذٍ لا یمکن الأخذ بإطلاق السیرة، کما لا یخفی</w:t>
      </w:r>
      <w:r>
        <w:rPr>
          <w:rFonts w:eastAsia="IRNazanin" w:cs="IRNazanin"/>
          <w:color w:val="111111"/>
          <w:sz w:val="28"/>
          <w:szCs w:val="28"/>
          <w:rtl w:val="true"/>
          <w:lang w:bidi="fa-IR"/>
        </w:rPr>
        <w:t>.</w:t>
      </w:r>
    </w:p>
    <w:p>
      <w:pPr>
        <w:pStyle w:val="Heading6"/>
        <w:numPr>
          <w:ilvl w:val="5"/>
          <w:numId w:val="1"/>
        </w:numPr>
        <w:rPr/>
      </w:pPr>
      <w:bookmarkStart w:id="877" w:name="__RefHeading___Toc624897_3244359995"/>
      <w:bookmarkStart w:id="878" w:name="_Toc328"/>
      <w:bookmarkEnd w:id="877"/>
      <w:r>
        <w:rPr>
          <w:rtl w:val="true"/>
        </w:rPr>
        <w:t>مشکلات التمسک بالسیرة العقلائیّة و أجوبتها</w:t>
      </w:r>
      <w:bookmarkEnd w:id="878"/>
    </w:p>
    <w:p>
      <w:pPr>
        <w:pStyle w:val="Heading6"/>
        <w:numPr>
          <w:ilvl w:val="5"/>
          <w:numId w:val="1"/>
        </w:numPr>
        <w:rPr/>
      </w:pPr>
      <w:bookmarkStart w:id="879" w:name="__RefHeading___Toc624899_3244359995"/>
      <w:bookmarkStart w:id="880" w:name="_Toc329"/>
      <w:bookmarkEnd w:id="879"/>
      <w:r>
        <w:rPr>
          <w:rtl w:val="true"/>
        </w:rPr>
        <w:t>اشارة</w:t>
      </w:r>
      <w:bookmarkEnd w:id="880"/>
    </w:p>
    <w:p>
      <w:pPr>
        <w:pStyle w:val="BookText"/>
        <w:rPr/>
      </w:pPr>
      <w:r>
        <w:rPr>
          <w:rFonts w:ascii="IRNazanin" w:hAnsi="IRNazanin" w:eastAsia="IRNazanin"/>
          <w:color w:val="111111"/>
          <w:sz w:val="28"/>
          <w:sz w:val="28"/>
          <w:szCs w:val="28"/>
          <w:rtl w:val="true"/>
          <w:lang w:bidi="fa-IR"/>
        </w:rPr>
        <w:t>فبالجملة تحصّل أنّ هناک 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ردع أصل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السیرة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الدلیل العقلیّ المزبور عند الشکّ فی کفایة تلک الأدلّة الرادعة، فلا بدّ من الدلیل اللفظیّ المظهر لرضا الشرع بها، لإمکان کونها صالحة للردع، فلا یقاوم الاحتمال المذکور إلاّ الدلیل اللفظیّ المبرز لرضاه، کما هو الواضح</w:t>
      </w:r>
      <w:r>
        <w:rPr>
          <w:rFonts w:eastAsia="IRNazanin" w:cs="IRNazanin"/>
          <w:color w:val="111111"/>
          <w:sz w:val="28"/>
          <w:szCs w:val="28"/>
          <w:rtl w:val="true"/>
          <w:lang w:bidi="fa-IR"/>
        </w:rPr>
        <w:t>.</w:t>
      </w:r>
    </w:p>
    <w:p>
      <w:pPr>
        <w:pStyle w:val="Heading6"/>
        <w:numPr>
          <w:ilvl w:val="5"/>
          <w:numId w:val="1"/>
        </w:numPr>
        <w:rPr/>
      </w:pPr>
      <w:bookmarkStart w:id="881" w:name="__RefHeading___Toc624901_3244359995"/>
      <w:bookmarkStart w:id="882" w:name="_Toc330"/>
      <w:bookmarkEnd w:id="881"/>
      <w:r>
        <w:rPr>
          <w:rtl w:val="true"/>
        </w:rPr>
        <w:t>أمّا المشکلة الأولی</w:t>
      </w:r>
      <w:r>
        <w:rPr>
          <w:rtl w:val="true"/>
        </w:rPr>
        <w:t>:</w:t>
      </w:r>
      <w:bookmarkEnd w:id="882"/>
    </w:p>
    <w:p>
      <w:pPr>
        <w:pStyle w:val="BookText"/>
        <w:rPr/>
      </w:pPr>
      <w:r>
        <w:rPr>
          <w:rFonts w:ascii="IRNazanin" w:hAnsi="IRNazanin" w:eastAsia="IRNazanin"/>
          <w:color w:val="111111"/>
          <w:sz w:val="28"/>
          <w:sz w:val="28"/>
          <w:szCs w:val="28"/>
          <w:rtl w:val="true"/>
          <w:lang w:bidi="fa-IR"/>
        </w:rPr>
        <w:t xml:space="preserve">فالجواب الوحید ما مرّ من المناقشة فی صلاحیة الآیات </w:t>
      </w:r>
      <w:r>
        <w:rPr>
          <w:rStyle w:val="FootnoteAnchor"/>
          <w:rtl w:val="true"/>
        </w:rPr>
        <w:footnoteReference w:id="1093"/>
      </w:r>
      <w:r>
        <w:rPr>
          <w:rFonts w:ascii="IRNazanin" w:hAnsi="IRNazanin" w:eastAsia="IRNazanin"/>
          <w:color w:val="111111"/>
          <w:sz w:val="28"/>
          <w:sz w:val="28"/>
          <w:szCs w:val="28"/>
          <w:rtl w:val="true"/>
          <w:lang w:bidi="fa-IR"/>
        </w:rPr>
        <w:t>و الأخبار</w:t>
      </w:r>
      <w:r>
        <w:rPr>
          <w:rStyle w:val="FootnoteAnchor"/>
          <w:rtl w:val="true"/>
        </w:rPr>
        <w:footnoteReference w:id="1094"/>
      </w:r>
      <w:r>
        <w:rPr>
          <w:rFonts w:ascii="IRNazanin" w:hAnsi="IRNazanin" w:eastAsia="IRNazanin"/>
          <w:color w:val="111111"/>
          <w:sz w:val="28"/>
          <w:sz w:val="28"/>
          <w:szCs w:val="28"/>
          <w:rtl w:val="true"/>
          <w:lang w:bidi="fa-IR"/>
        </w:rPr>
        <w:t xml:space="preserve">للردع بما لا مزید علیه، بعد دفع ما أورده القوم علیها فراجع </w:t>
      </w:r>
      <w:r>
        <w:rPr>
          <w:rStyle w:val="FootnoteAnchor"/>
          <w:rtl w:val="true"/>
        </w:rPr>
        <w:footnoteReference w:id="1095"/>
      </w:r>
      <w:r>
        <w:rPr>
          <w:rFonts w:ascii="IRNazanin" w:hAnsi="IRNazanin" w:eastAsia="IRNazanin"/>
          <w:color w:val="111111"/>
          <w:sz w:val="28"/>
          <w:sz w:val="28"/>
          <w:szCs w:val="28"/>
          <w:rtl w:val="true"/>
          <w:lang w:bidi="fa-IR"/>
        </w:rPr>
        <w:t>، فإنّا و إن سددنا أطراف الآیات الشریفة، و دفعنا هجمات القوم حقّا، و لکن مع ذلک ذکرنا النّظر الأخیر فی مفادها و المنظور منها</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ینبغی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 فی الآیات من ناحیة حجّیة الظواهر و شمولها لنفسها</w:t>
      </w:r>
      <w:r>
        <w:rPr>
          <w:rStyle w:val="FootnoteAnchor"/>
          <w:rtl w:val="true"/>
        </w:rPr>
        <w:footnoteReference w:id="1097"/>
      </w:r>
      <w:r>
        <w:rPr>
          <w:rFonts w:ascii="IRNazanin" w:hAnsi="IRNazanin" w:eastAsia="IRNazanin"/>
          <w:color w:val="111111"/>
          <w:sz w:val="28"/>
          <w:sz w:val="28"/>
          <w:szCs w:val="28"/>
          <w:rtl w:val="true"/>
          <w:lang w:bidi="fa-IR"/>
        </w:rPr>
        <w:t>، لما مرّ سابقا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هنا مع القائلین بحجّیة</w:t>
      </w:r>
    </w:p>
    <w:p>
      <w:pPr>
        <w:pStyle w:val="BookText"/>
        <w:rPr/>
      </w:pPr>
      <w:r>
        <w:rPr>
          <w:rFonts w:ascii="IRNazanin" w:hAnsi="IRNazanin" w:eastAsia="IRNazanin"/>
          <w:color w:val="111111"/>
          <w:sz w:val="28"/>
          <w:sz w:val="28"/>
          <w:szCs w:val="28"/>
          <w:rtl w:val="true"/>
          <w:lang w:bidi="fa-IR"/>
        </w:rPr>
        <w:t>الظواهر، دون الخبر الواحد</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هنا قد أجبنا عنه فی السالف بما لا مزید علیه،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جوابا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علی تقدیر تصدیق الآیات و إطلاقها و الأخبار، و لکن لا یکفی للردع عن هذه الطریقة القویمة المغروسة العریضة، مجرّد بعض الإطلاقات أو أخبار الآحاد بالضرورة، فإنّ الشرع قام لردع القیاس بأکثر من خمسمائة حدیث، علی ما ربّما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 xml:space="preserve">و غیره </w:t>
      </w:r>
      <w:r>
        <w:rPr>
          <w:rStyle w:val="FootnoteAnchor"/>
          <w:rtl w:val="true"/>
        </w:rPr>
        <w:footnoteReference w:id="1100"/>
      </w:r>
      <w:r>
        <w:rPr>
          <w:rFonts w:ascii="IRNazanin" w:hAnsi="IRNazanin" w:eastAsia="IRNazanin"/>
          <w:color w:val="111111"/>
          <w:sz w:val="28"/>
          <w:sz w:val="28"/>
          <w:szCs w:val="28"/>
          <w:rtl w:val="true"/>
          <w:lang w:bidi="fa-IR"/>
        </w:rPr>
        <w:t>و إن لم تکن کلّها صادرة، و لکن القیاس لیس أمرا بمثابة الخبر الواحد، و مع ذلک قام بهذا العرض العریض لردع الأمّة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هذا الأمر باطلا، لکنّا نحتاج إلی الآیات الصریحة و الروایات المتواترة، و کلّ ما یمکن أن یتوسّل إلیه صاحب الشریعة، حتّی یتّضح للأمّة ما هو الحقّ الصحیح الصریح، فمن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الإطلاقات ناظرة إلی جهات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کذلک فیما إذا کان الشرع یری نفوذ نهیه، فإنّه عندئذ لا بدّ و أن یزید فی مهمّته، و أمّا فی مثل المسألة التی لا یعتنی العقلاء به، فعلیه إظهار عدم رضاه و إبرازه و لو فی ضمن آیات و روایات متواترة، حتّی یتوجّه المتشرّعة المتدیّنون مثلا إلی الأمر و حقیقة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النّظر إلی قلع مادّة الفساد، فإنّ هناک لا بدّ من الاهتمام بشأن الأمر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النّظر إلی إبراز عدم الرضا لِیَهْلِکَ مَنْ هَلَکَ عَنْ بَیِّنَةٍ وَ یَحْیی</w:t>
      </w:r>
    </w:p>
    <w:p>
      <w:pPr>
        <w:pStyle w:val="BookText"/>
        <w:rPr/>
      </w:pPr>
      <w:r>
        <w:rPr>
          <w:rFonts w:ascii="Amiri" w:hAnsi="Amiri" w:eastAsia="Amiri" w:cs="Amiri"/>
          <w:color w:val="111111"/>
          <w:sz w:val="28"/>
          <w:sz w:val="28"/>
          <w:szCs w:val="28"/>
          <w:rtl w:val="true"/>
          <w:lang w:bidi="ar-SA"/>
        </w:rPr>
        <w:t>مَنْ حَیَّ عَنْ بَیِّنَةٍ</w:t>
      </w:r>
      <w:r>
        <w:rPr>
          <w:rStyle w:val="FootnoteAnchor"/>
          <w:rtl w:val="true"/>
        </w:rPr>
        <w:footnoteReference w:id="1101"/>
      </w:r>
      <w:r>
        <w:rPr>
          <w:rFonts w:ascii="IRNazanin" w:hAnsi="IRNazanin" w:eastAsia="IRNazanin"/>
          <w:color w:val="111111"/>
          <w:sz w:val="28"/>
          <w:sz w:val="28"/>
          <w:szCs w:val="28"/>
          <w:rtl w:val="true"/>
          <w:lang w:bidi="fa-IR"/>
        </w:rPr>
        <w:t xml:space="preserve">فلا ینبغی الخلط بین المقامین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انصراف الآیات و المتواترات الناهیة عن الحجج العقلائیّة، لأنّها عند العقلاء علم و اطلاع واقعیّ علی الأمر، و لیست من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أنّ معنی ذلک ورود أو حکومة،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 ورود السیرة أو حکومتها، لتقوّمهما باللسان، و لا لسان للسیرة العملیّة</w:t>
      </w:r>
      <w:r>
        <w:rPr>
          <w:rStyle w:val="FootnoteAnchor"/>
          <w:rtl w:val="true"/>
        </w:rPr>
        <w:footnoteReference w:id="1103"/>
      </w:r>
      <w:r>
        <w:rPr>
          <w:rFonts w:ascii="IRNazanin" w:hAnsi="IRNazanin" w:eastAsia="IRNazanin"/>
          <w:color w:val="111111"/>
          <w:sz w:val="28"/>
          <w:sz w:val="28"/>
          <w:szCs w:val="28"/>
          <w:rtl w:val="true"/>
          <w:lang w:bidi="fa-IR"/>
        </w:rPr>
        <w:t>، بل نرید انصراف تلک الأدلّة فی محیط العقلاء، عن المسائل القائمة علیها السیرة و الجبلّة و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فی الأخبار المتواترة خبر صریح فی ذلک لکفی، و لکنّه غیر موجود، ضرورة أنّ التواتر الإجمالیّ فی الأخبار الناهیة ممنوع، فضلا عن اللفظیّ و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الآیات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إطلاق، و لا نصوصیّة لها، فدعوی الانصراف </w:t>
      </w:r>
      <w:r>
        <w:rPr>
          <w:rStyle w:val="FootnoteAnchor"/>
          <w:rtl w:val="true"/>
        </w:rPr>
        <w:footnoteReference w:id="1104"/>
      </w:r>
      <w:r>
        <w:rPr>
          <w:rFonts w:ascii="Amiri" w:hAnsi="Amiri" w:eastAsia="Amiri" w:cs="Amiri"/>
          <w:color w:val="111111"/>
          <w:sz w:val="28"/>
          <w:sz w:val="28"/>
          <w:szCs w:val="28"/>
          <w:rtl w:val="true"/>
          <w:lang w:bidi="ar-SA"/>
        </w:rPr>
        <w:t>قویّة جدّاً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الواحد حجّة قطعیّة عند العقلاء، و علیه السیرة العملیّة قطعا، فلا یخطر ببالهم من هذه الآیات شی‌ء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مفاد هذه الآیات الردع عنها، للزم سدّ الأسواق، و هدم الأساس، و الاختلال فی النظام، و لکثرت الأسئلة له صلی اللَّه علیه و آله و سلم بما لا یخفی علی أحد من المسلمین، و تواترت الأخبار و القضایا و الحکایات، مع أنّه غیر معهود، بل المعهود خلافه، کما فی قصّة شهادة الأعرابیّ برؤیة الهلال المأثورة فی الأخبار و الآثار</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إجمال منه فی ذکر أدلّة النافین </w:t>
      </w:r>
      <w:r>
        <w:rPr>
          <w:rStyle w:val="FootnoteAnchor"/>
          <w:rtl w:val="true"/>
        </w:rPr>
        <w:footnoteReference w:id="1106"/>
      </w:r>
      <w:r>
        <w:rPr>
          <w:rFonts w:ascii="IRNazanin" w:hAnsi="IRNazanin" w:eastAsia="IRNazanin"/>
          <w:color w:val="111111"/>
          <w:sz w:val="28"/>
          <w:sz w:val="28"/>
          <w:szCs w:val="28"/>
          <w:rtl w:val="true"/>
          <w:lang w:bidi="fa-IR"/>
        </w:rPr>
        <w:t>، 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رادعیّة هذه الآیات موقوفة علی عدم مخصّصیة السیرة لها، و عدم مخصّصیّتها موقوف علی رادعیّتها، فالرادعیّة موقوفة علی الرادعیّة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و لم یصدّقه ظاهرا أحد بعده، و لعلّه من مزالّ أقدامه قدس سره، فأنت خبیر بأنّ هذا التقریب، یجری فی مثل حرمة القمار القائمة علیها السیرة، فإنّ رادعیّة آیة التجارة، موقوفة علی عدم مخصّصیة السیرة القائمة علی القمار، و عدم مخصّصیة السیرة المذکورة، موقوف علی رادعیّتها، فیلزم توقّف الشی‌ء علی نفسه، فعلیه لا تکون آیة التجارة، صالحة لردع السیرة الناهضة علی القمار، کالسیرة القائمة علی العمل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لنا أن نقول بمثله فی مثل الرّبا و لو کانت الآیات صریحة فیه </w:t>
      </w:r>
      <w:r>
        <w:rPr>
          <w:rStyle w:val="FootnoteAnchor"/>
          <w:rtl w:val="true"/>
        </w:rPr>
        <w:footnoteReference w:id="1108"/>
      </w:r>
      <w:r>
        <w:rPr>
          <w:rFonts w:ascii="IRNazanin" w:hAnsi="IRNazanin" w:eastAsia="IRNazanin"/>
          <w:color w:val="111111"/>
          <w:sz w:val="28"/>
          <w:sz w:val="28"/>
          <w:szCs w:val="28"/>
          <w:rtl w:val="true"/>
          <w:lang w:bidi="fa-IR"/>
        </w:rPr>
        <w:t>، فإنّ الرّبا ممّا قامت علیه السیرة الخارجیّة قدیما و حدیثا، فعلیه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صلاحیة آیات الرّبا للردع عن الرّبا، موقوفة علی عدم معارضة السیرة الموجودة لها، و عدم معارضة السیرة لتلک الآیات، موقوف علی صلاحیة الآیات للمعارضة و الردع، فصلاحیة الآیات موقوفة علی الصلاحیة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محرّمیة الآیات للربا موقوفة علی محرّمیتها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قدس سره إشکالا علی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ینبغی أن ینتقل من الجواب إلی عدم أساس لما أتی به فی المسألة، و مع ذلک کلّه عقّب البحث بما لا ینبغی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الحلّ أنّ مطلق السیرة، لیست حجّة و مخصّصة لشی‌ء، و إنّما السیرة المرضیّة حجّة و مخصّصة، و إذا کان البحث فی حجّیة السیرة، فلا معنی لتشکیل الصغری و الکبری المذکورة رأسا، لأنّ الکلام حول أنّ السیرة مردوعة بالآیات </w:t>
      </w:r>
      <w:r>
        <w:rPr>
          <w:rStyle w:val="FootnoteAnchor"/>
          <w:rtl w:val="true"/>
        </w:rPr>
        <w:footnoteReference w:id="1110"/>
      </w:r>
      <w:r>
        <w:rPr>
          <w:rFonts w:ascii="IRNazanin" w:hAnsi="IRNazanin" w:eastAsia="IRNazanin"/>
          <w:color w:val="111111"/>
          <w:sz w:val="28"/>
          <w:sz w:val="28"/>
          <w:szCs w:val="28"/>
          <w:rtl w:val="true"/>
          <w:lang w:bidi="fa-IR"/>
        </w:rPr>
        <w:t>، أم لا، فلا معنی لفرض حجّیتها فی خلال البحث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لدعوی جواز تخصیص الآیات الناهیة بالسیرة لأخصّیتها، لأنّ السیرة الممضاة صالحة للمخصّصیة، دون مطلق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ما قرّره قدس سره فی محلّه، للزم أن تکون حجّیة الخاصّ اللفظیّ فی مورده دوریّة، و هکذا العامّ اللفظیّ، و لازمه عدم حجّیة کلّ شی‌ء،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فرض حجّیتها العقلائیّة المانعة عن قابلیّة الآیات للرادعیة، نظرا إلی الانصراف المذکور، أیضا صحیح یلیق بالتصدیق، و حقیق بالتحقیق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تبیّن من خلاله أیضا فساد توهّم الحکومة، کما فی کلام العلاّمة النائینیّ رحمه اللَّه </w:t>
      </w:r>
      <w:r>
        <w:rPr>
          <w:rStyle w:val="FootnoteAnchor"/>
          <w:rtl w:val="true"/>
        </w:rPr>
        <w:footnoteReference w:id="1111"/>
      </w:r>
      <w:r>
        <w:rPr>
          <w:rFonts w:ascii="IRNazanin" w:hAnsi="IRNazanin" w:eastAsia="IRNazanin"/>
          <w:color w:val="111111"/>
          <w:sz w:val="28"/>
          <w:sz w:val="28"/>
          <w:szCs w:val="28"/>
          <w:rtl w:val="true"/>
          <w:lang w:bidi="fa-IR"/>
        </w:rPr>
        <w:t>أو الورود، کما فی کلام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 فهذه الأجوبة غیر تامّة صناعة، و غیر صحیحة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جواب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أیضا فیما سلف </w:t>
      </w:r>
      <w:r>
        <w:rPr>
          <w:rStyle w:val="FootnoteAnchor"/>
          <w:rtl w:val="true"/>
        </w:rPr>
        <w:footnoteReference w:id="1113"/>
      </w:r>
      <w:r>
        <w:rPr>
          <w:rFonts w:ascii="IRNazanin" w:hAnsi="IRNazanin" w:eastAsia="IRNazanin"/>
          <w:color w:val="111111"/>
          <w:sz w:val="28"/>
          <w:sz w:val="28"/>
          <w:szCs w:val="28"/>
          <w:rtl w:val="true"/>
          <w:lang w:bidi="fa-IR"/>
        </w:rPr>
        <w:t>، 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الآیات الرادعة فی حکم العامّ المتأخّر، فإمّا تکون السیرة مخصّصة و مقیّدة، أو تقع المعارضة بین السیرة و تلک الآیات، فیرجع إلی استصحاب حجّیتها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الحجّیة لا أساس له، لرجوعه إلی استصحاب الحکم الکلّی، و قد منعنا جریانه الذاتیّ فی مطلق الأحکام التکلیفیّة و الوضعیّة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bookmarkStart w:id="883" w:name="pg13170_166649"/>
    </w:p>
    <w:p>
      <w:pPr>
        <w:pStyle w:val="BookText"/>
        <w:rPr/>
      </w:pPr>
      <w:bookmarkEnd w:id="883"/>
      <w:r>
        <w:rPr>
          <w:rFonts w:ascii="IRNazanin" w:hAnsi="IRNazanin" w:eastAsia="IRNazanin"/>
          <w:color w:val="111111"/>
          <w:sz w:val="28"/>
          <w:sz w:val="28"/>
          <w:szCs w:val="28"/>
          <w:rtl w:val="true"/>
          <w:lang w:bidi="fa-IR"/>
        </w:rPr>
        <w:t>و حدیث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النراقیّ قدس سره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هناک إلی أنّ الأحکام تدریجیّة الوجود، فربّما لا یکون صاحب الشرع راضیا بالسیرة، إلاّ أنّه یترقّب الأوقات المناسبة لإبراز عدم رضاه، فلا دلیل علی حجّیة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الحجّیة تنتزع من السیرة إذا مرّ الشرع علیها و لم یردع عنها، و هذا لا یحصل بمجرّد طلوع الشرع، أو مضیّ سنوات، فالقدر المتیقّن منها ذلک، و حیث إنّ المفروض نزول الآیات الناهیة، فلا محلّ لانتزاع الحجّیة عنها</w:t>
      </w:r>
      <w:r>
        <w:rPr>
          <w:rStyle w:val="FootnoteAnchor"/>
          <w:rtl w:val="true"/>
        </w:rPr>
        <w:footnoteReference w:id="1116"/>
      </w:r>
      <w:r>
        <w:rPr>
          <w:rFonts w:ascii="IRNazanin" w:hAnsi="IRNazanin" w:eastAsia="IRNazanin"/>
          <w:color w:val="111111"/>
          <w:sz w:val="28"/>
          <w:sz w:val="28"/>
          <w:szCs w:val="28"/>
          <w:rtl w:val="true"/>
          <w:lang w:bidi="fa-IR"/>
        </w:rPr>
        <w:t>، فما فی حواشی العلاّمة الخراسانیّ قدس سره هنا</w:t>
      </w:r>
      <w:r>
        <w:rPr>
          <w:rStyle w:val="FootnoteAnchor"/>
          <w:rtl w:val="true"/>
        </w:rPr>
        <w:footnoteReference w:id="1117"/>
      </w:r>
      <w:r>
        <w:rPr>
          <w:rFonts w:ascii="IRNazanin" w:hAnsi="IRNazanin" w:eastAsia="IRNazanin"/>
          <w:color w:val="111111"/>
          <w:sz w:val="28"/>
          <w:sz w:val="28"/>
          <w:szCs w:val="28"/>
          <w:rtl w:val="true"/>
          <w:lang w:bidi="fa-IR"/>
        </w:rPr>
        <w:t>، أیضا بعید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طیّ البحث أشرنا إلی الأجوبة الأخری، و لأنّه لمکان وضوح الأمر فیما سلف فی ذیل البحث عن أدلّة النافین عدلنا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تلک الأجوبة الالتزام بالتخصیص حسب الأدلّة اللفظیّة القائمة علی حجّیة الخبر الواحد</w:t>
      </w:r>
      <w:r>
        <w:rPr>
          <w:rStyle w:val="FootnoteAnchor"/>
          <w:rtl w:val="true"/>
        </w:rPr>
        <w:footnoteReference w:id="1118"/>
      </w:r>
      <w:r>
        <w:rPr>
          <w:rFonts w:ascii="Amiri" w:hAnsi="Amiri" w:eastAsia="Amiri" w:cs="Amiri"/>
          <w:color w:val="111111"/>
          <w:sz w:val="28"/>
          <w:sz w:val="28"/>
          <w:szCs w:val="28"/>
          <w:rtl w:val="true"/>
          <w:lang w:bidi="ar-SA"/>
        </w:rPr>
        <w:t xml:space="preserve">، و مرّ ما فیه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4" w:name="__RefHeading___Toc624903_3244359995"/>
      <w:bookmarkStart w:id="885" w:name="_Toc331"/>
      <w:bookmarkEnd w:id="884"/>
      <w:r>
        <w:rPr>
          <w:rtl w:val="true"/>
        </w:rPr>
        <w:t>و أمّا المشکلة الثانیة</w:t>
      </w:r>
      <w:r>
        <w:rPr>
          <w:rtl w:val="true"/>
        </w:rPr>
        <w:t>:</w:t>
      </w:r>
      <w:bookmarkEnd w:id="885"/>
    </w:p>
    <w:p>
      <w:pPr>
        <w:pStyle w:val="BookText"/>
        <w:rPr/>
      </w:pPr>
      <w:r>
        <w:rPr>
          <w:rFonts w:ascii="IRNazanin" w:hAnsi="IRNazanin" w:eastAsia="IRNazanin"/>
          <w:color w:val="111111"/>
          <w:sz w:val="28"/>
          <w:sz w:val="28"/>
          <w:szCs w:val="28"/>
          <w:rtl w:val="true"/>
          <w:lang w:bidi="fa-IR"/>
        </w:rPr>
        <w:t>فقد تعارف ردع الشرع عن السیرة العملیّة العقلائیّة فی الجملة فی غیر ما نحن فیه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المعاملات، یکون للشرع تعبّدیات صرفة علی خلاف البناءات العقلائیّة، و خیارات جعلیّة علی خلاف أصالة اللزوم العقلائیّة، و لازم ذلک ردع</w:t>
      </w:r>
    </w:p>
    <w:p>
      <w:pPr>
        <w:pStyle w:val="BookText"/>
        <w:rPr/>
      </w:pPr>
      <w:r>
        <w:rPr>
          <w:rFonts w:ascii="IRNazanin" w:hAnsi="IRNazanin" w:eastAsia="IRNazanin"/>
          <w:color w:val="111111"/>
          <w:sz w:val="28"/>
          <w:sz w:val="28"/>
          <w:szCs w:val="28"/>
          <w:rtl w:val="true"/>
          <w:lang w:bidi="fa-IR"/>
        </w:rPr>
        <w:t>البناء العملیّ العقلائیّ عمّا علیه جبلّتهم و سیرتهم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روایة واحدة أو إطلاق واحد غیر کاف، لکان یلزم طرح کثیر من تلک التعبّدیات فی المعاملات، کما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 xml:space="preserve">و قد مرّ ما یتعلّق به فی المشکلة الأولی </w:t>
      </w:r>
      <w:r>
        <w:rPr>
          <w:rStyle w:val="FootnoteAnchor"/>
          <w:rtl w:val="true"/>
        </w:rPr>
        <w:footnoteReference w:id="1121"/>
      </w:r>
      <w:r>
        <w:rPr>
          <w:rFonts w:ascii="IRNazanin" w:hAnsi="IRNazanin" w:eastAsia="IRNazanin"/>
          <w:color w:val="111111"/>
          <w:sz w:val="28"/>
          <w:sz w:val="28"/>
          <w:szCs w:val="28"/>
          <w:rtl w:val="true"/>
          <w:lang w:bidi="fa-IR"/>
        </w:rPr>
        <w:t xml:space="preserve">، و فی هذا الیوم </w:t>
      </w:r>
      <w:r>
        <w:rPr>
          <w:rStyle w:val="FootnoteAnchor"/>
          <w:rtl w:val="true"/>
        </w:rPr>
        <w:footnoteReference w:id="1122"/>
      </w:r>
      <w:r>
        <w:rPr>
          <w:rFonts w:ascii="IRNazanin" w:hAnsi="IRNazanin" w:eastAsia="IRNazanin"/>
          <w:color w:val="111111"/>
          <w:sz w:val="28"/>
          <w:sz w:val="28"/>
          <w:szCs w:val="28"/>
          <w:rtl w:val="true"/>
          <w:lang w:bidi="fa-IR"/>
        </w:rPr>
        <w:t>فرغنا من مسألة خیار الرؤیة، و هو قد نصّ علی أنّه خیار غیر عقلائیّ، و سنده خبر واحد</w:t>
      </w:r>
      <w:r>
        <w:rPr>
          <w:rStyle w:val="FootnoteAnchor"/>
          <w:rtl w:val="true"/>
        </w:rPr>
        <w:footnoteReference w:id="1123"/>
      </w:r>
      <w:r>
        <w:rPr>
          <w:rFonts w:ascii="IRNazanin" w:hAnsi="IRNazanin" w:eastAsia="IRNazanin"/>
          <w:color w:val="111111"/>
          <w:sz w:val="28"/>
          <w:sz w:val="28"/>
          <w:szCs w:val="28"/>
          <w:rtl w:val="true"/>
          <w:lang w:bidi="fa-IR"/>
        </w:rPr>
        <w:t>، فیعلم من ذلک عدم تمامیّة ما کان یفیده مرارا فی الجواب عن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مسألة الردع عن البناءات العقلائیّة، و قد مرّ آنفا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أنّ قضیّة ذیل آیة النبأ</w:t>
      </w:r>
      <w:r>
        <w:rPr>
          <w:rStyle w:val="FootnoteAnchor"/>
          <w:rtl w:val="true"/>
        </w:rPr>
        <w:footnoteReference w:id="1125"/>
      </w:r>
      <w:r>
        <w:rPr>
          <w:rFonts w:ascii="IRNazanin" w:hAnsi="IRNazanin" w:eastAsia="IRNazanin"/>
          <w:color w:val="111111"/>
          <w:sz w:val="28"/>
          <w:sz w:val="28"/>
          <w:szCs w:val="28"/>
          <w:rtl w:val="true"/>
          <w:lang w:bidi="fa-IR"/>
        </w:rPr>
        <w:t>، عدم حجّیة الخبر الواحد فی الجملة،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بالتواتر المعنویّ أو الإجمالیّ، لو کان یصحّ لحجّیة الخبر الواحد، لصحّ للردع عنه فی الجملة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لو کان بین الأخبار خبر جامع لشرائط الحجّیة المعتبرة شرعا و عقلائیّا، و کان مضمونه الردع عن بناء العرف، کان الأخذ به متعیّنا، ضرورة أنّه خبر حجّة، حسب السیرة، و حسب مضمونه، لکونه واجدا للشرائط، و هو کون جمیع الطبقات إمامیّین عدولا، و هذا الخبر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المعتبر المشتمل علی العطّار و الحمیریّ و أحمد بن إسحاق الماضی، فإنّ فیه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 قول من أقبل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 ابنه ثقتان، فما أدّیا إلیک عنی فعنیّ یؤدّیان، و ما قالا لک</w:t>
      </w:r>
    </w:p>
    <w:p>
      <w:pPr>
        <w:pStyle w:val="BookText"/>
        <w:rPr/>
      </w:pPr>
      <w:r>
        <w:rPr>
          <w:rFonts w:ascii="IRNazanin" w:hAnsi="IRNazanin" w:eastAsia="IRNazanin"/>
          <w:color w:val="111111"/>
          <w:sz w:val="28"/>
          <w:sz w:val="28"/>
          <w:szCs w:val="28"/>
          <w:rtl w:val="true"/>
          <w:lang w:bidi="fa-IR"/>
        </w:rPr>
        <w:t xml:space="preserve">فعنّی یقولان، فاسمع لهما و أطعهما، فإنّهما الثقتان المأمونان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التعلیل یفید أنّ المعتبر قول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المتحرّز من الکذب،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ذلک، فإنّه واضح الفساد، و یفسّر الخبر بما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الثقة المأمون علی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یوجد فی الأخبار ما یقرب منه، الظاهر فی اختصاص الحجّیة بالعدل الإمامیّ، فخبر غیر الإمامیّ و الإمامیّ غیر المأمون علی الدین و الدنیا مردود، و لازم ذلک عدم تمامیّة المدّعی فی دائرته الوسیعة،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التمسّک بذیل الآیة بتوهّم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الذیل تعلیل </w:t>
      </w:r>
      <w:r>
        <w:rPr>
          <w:rStyle w:val="FootnoteAnchor"/>
          <w:rtl w:val="true"/>
        </w:rPr>
        <w:footnoteReference w:id="1127"/>
      </w:r>
      <w:r>
        <w:rPr>
          <w:rFonts w:ascii="IRNazanin" w:hAnsi="IRNazanin" w:eastAsia="IRNazanin"/>
          <w:color w:val="111111"/>
          <w:sz w:val="28"/>
          <w:sz w:val="28"/>
          <w:szCs w:val="28"/>
          <w:rtl w:val="true"/>
          <w:lang w:bidi="fa-IR"/>
        </w:rPr>
        <w:t>، فعلیل، و المنع عن خبر الفاسق الفاجر، یصلح لذکر تلک النکتة و الحکمة لأصل التشریع و إیجاب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الأجوبة الأخری علی فرض علیّتها، فهی علیلة، کما مرّ فی محلّه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الخبر المذکور و ما یشبه ذلک </w:t>
      </w:r>
      <w:r>
        <w:rPr>
          <w:rStyle w:val="FootnoteAnchor"/>
          <w:rtl w:val="true"/>
        </w:rPr>
        <w:footnoteReference w:id="1129"/>
      </w:r>
      <w:r>
        <w:rPr>
          <w:rFonts w:ascii="IRNazanin" w:hAnsi="IRNazanin" w:eastAsia="IRNazanin"/>
          <w:color w:val="111111"/>
          <w:sz w:val="28"/>
          <w:sz w:val="28"/>
          <w:szCs w:val="28"/>
          <w:rtl w:val="true"/>
          <w:lang w:bidi="fa-IR"/>
        </w:rPr>
        <w:t>، حتّی و لو لم ننکر الظهور فی الجملة، و لم تقاومه أخبار الآحاد الاخر الناطقة بکفایة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کونها أعمّ من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کونها ذات سند مثل السند الأوّل، و لو کان کذلک فیخصّص بعموم التعلیل، و یقیّد به حسب الصناعة، إلاّ أنّ الظهور المزبور غیر مستقرّ جدّاً، کما أشیر إلیه فیما سلف، لأنّ هذا الخبر أصلا لیس مربوطا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بعض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بالخبر الواحد</w:t>
      </w:r>
      <w:r>
        <w:rPr>
          <w:rStyle w:val="FootnoteAnchor"/>
          <w:rtl w:val="true"/>
        </w:rPr>
        <w:footnoteReference w:id="1130"/>
      </w:r>
      <w:r>
        <w:rPr>
          <w:rFonts w:ascii="IRNazanin" w:hAnsi="IRNazanin" w:eastAsia="IRNazanin"/>
          <w:color w:val="111111"/>
          <w:sz w:val="28"/>
          <w:sz w:val="28"/>
          <w:szCs w:val="28"/>
          <w:rtl w:val="true"/>
          <w:lang w:bidi="fa-IR"/>
        </w:rPr>
        <w:t>، فإنّه لا معنی للأمر بإطاعة المرویّ له للراوی، مع أنّه ربّما یکون المرویّ له فی أعلی مراتب المعارف بالقیاس إلیه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من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فإنّ ظاهر هذه الجمل، کون الخبر فی</w:t>
      </w:r>
    </w:p>
    <w:p>
      <w:pPr>
        <w:pStyle w:val="BookText"/>
        <w:rPr/>
      </w:pPr>
      <w:r>
        <w:rPr>
          <w:rFonts w:ascii="IRNazanin" w:hAnsi="IRNazanin" w:eastAsia="IRNazanin"/>
          <w:color w:val="111111"/>
          <w:sz w:val="28"/>
          <w:sz w:val="28"/>
          <w:szCs w:val="28"/>
          <w:rtl w:val="true"/>
          <w:lang w:bidi="fa-IR"/>
        </w:rPr>
        <w:t>الأوساط الاخر الراجعة إلی أخذ المعارف و المسائل، لا مجرّد الخبر الأعمّ من کونه معارضا بالخبر الآخر، أو غیر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 التعلیل غیر واضح و إن نصّ علیه العلاّمة الأراکیّ و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و لکنّه فی کونه مؤکّدا لأمرهما، و أنّهما کذا و کذا، أقرب و أظهر من التعالیل فی الکبریات الشرعیّة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التعلیل فی ذیل الخبر المذکور فی مورد العمریّ و ابنه عن أبی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یکفی لعدم اعتبار الإمامة، تحمّل الخبر عن غیر الإمامیّ بالضرورة، و ذهاب المعظم إلی حجّیة خبر أمثال السّکونیّ و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اشتراط العدالة و إن یوهمه الأخبار العلاجیّة، إلاّ أنّ الأعدل یجتمع مع عدم کونهما عادلین واقعا، مع أنّهما عادلان بالنسبة،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الأفقه و الأورع، و إلاّ یلزم اشتراط الفقاهة، و هذا مقطوع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الرادع عن تلک السیرة الوسیعة ممنوع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احتمال التعبّد الشرعیّ، بعید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رواة الأئمّة کلّهم عدولا شرعیّین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بالعدالة التی یفسّرها المتأخّرون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قطعا، مع أنّهم یحکون ذلک، و یعتمدون أحیانا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فرضنا اعتبار بعض هذه الأمور، و لکنّک عرفت و أحطت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تلوناه علیک فی أوّل بحث حجّیة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المهمّ هنا قلیل النّفع، لقیام الضرورة علی صحّة الاحتجاج بما بین أیدینا، فتکون من</w:t>
      </w:r>
    </w:p>
    <w:p>
      <w:pPr>
        <w:pStyle w:val="BookText"/>
        <w:rPr/>
      </w:pPr>
      <w:r>
        <w:rPr>
          <w:rFonts w:ascii="IRNazanin" w:hAnsi="IRNazanin" w:eastAsia="IRNazanin"/>
          <w:color w:val="111111"/>
          <w:sz w:val="28"/>
          <w:sz w:val="28"/>
          <w:szCs w:val="28"/>
          <w:rtl w:val="true"/>
          <w:lang w:bidi="fa-IR"/>
        </w:rPr>
        <w:t>الأخبار المقرونة بالقرائن المختلفة، فتأمّل جیّدا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بالنسبة إلی حجّیته فی مطلق الموضوعات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المستفاد من هذه الأخبار، اعتبار الأمر الزائد فی الأحکام </w:t>
      </w:r>
      <w:r>
        <w:rPr>
          <w:rStyle w:val="FootnoteAnchor"/>
          <w:rtl w:val="true"/>
        </w:rPr>
        <w:footnoteReference w:id="1134"/>
      </w:r>
      <w:r>
        <w:rPr>
          <w:rFonts w:ascii="IRNazanin" w:hAnsi="IRNazanin" w:eastAsia="IRNazanin"/>
          <w:color w:val="111111"/>
          <w:sz w:val="28"/>
          <w:sz w:val="28"/>
          <w:szCs w:val="28"/>
          <w:rtl w:val="true"/>
          <w:lang w:bidi="fa-IR"/>
        </w:rPr>
        <w:t>، فإن صحّ الالتزام به فهو، و إلاّ فلا معنی للالتزام به فی الموضوعات الأجنبیّة، فأخذ الحکم عن أمثال العمریّ و ابنه لازم، دون غیره، لما أنّه المفروض فی السؤال، فلا تخلط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ذکرنا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التمسّک </w:t>
      </w:r>
      <w:r>
        <w:rPr>
          <w:rStyle w:val="FootnoteAnchor"/>
          <w:rtl w:val="true"/>
        </w:rPr>
        <w:footnoteReference w:id="1135"/>
      </w:r>
      <w:r>
        <w:rPr>
          <w:rFonts w:ascii="IRNazanin" w:hAnsi="IRNazanin" w:eastAsia="IRNazanin"/>
          <w:color w:val="111111"/>
          <w:sz w:val="28"/>
          <w:sz w:val="28"/>
          <w:szCs w:val="28"/>
          <w:rtl w:val="true"/>
          <w:lang w:bidi="fa-IR"/>
        </w:rPr>
        <w:t>بخبر مسعدة بن صدقة المشتمل علی قاعدة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کلّها علی ذلک، حتّی یستبین لک، أو تقوم علیها البیّنة</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فی غیر محلّه، لأنّه خبر غیر متواتر، و لا یصحّ لأن یستند إلیه للردع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صحّة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سنده إشکال حتّی علی المسلک الأعمّ </w:t>
      </w:r>
      <w:r>
        <w:rPr>
          <w:rStyle w:val="FootnoteAnchor"/>
          <w:rtl w:val="true"/>
        </w:rPr>
        <w:footnoteReference w:id="1137"/>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من المحتمل کون الخبر الواحد من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کونه من الاستبانة فهو باطل، للزوم لغویّة المقابلة،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معتبر أبی علیّ أحمد بن إسحاق </w:t>
      </w:r>
      <w:r>
        <w:rPr>
          <w:rStyle w:val="FootnoteAnchor"/>
          <w:rtl w:val="true"/>
        </w:rPr>
        <w:footnoteReference w:id="1138"/>
      </w:r>
      <w:r>
        <w:rPr>
          <w:rFonts w:ascii="IRNazanin" w:hAnsi="IRNazanin" w:eastAsia="IRNazanin"/>
          <w:color w:val="111111"/>
          <w:sz w:val="28"/>
          <w:sz w:val="28"/>
          <w:szCs w:val="28"/>
          <w:rtl w:val="true"/>
          <w:lang w:bidi="fa-IR"/>
        </w:rPr>
        <w:t>، إمّا یکون مربوطا بغیر مسألتنا، فالتعلیل فی محلّه، و یصحّ الأخذ به، و هذا هو المتعیّن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یکون مربوطا بمسألتنا، فالتعلیل رادع عن قطعة من السیرة، کما ردعت السیرة القائمة علی أصالة اللزوم فی کثیر من الموارد، للأخبار الخاصّة الواردة علی خلافها، و عندئذ و إن أمکن حمل التعلیل علی العلّة المصطلحة، و هو ربّما یکون فی</w:t>
      </w:r>
      <w:bookmarkStart w:id="886" w:name="pg13170_166654"/>
    </w:p>
    <w:p>
      <w:pPr>
        <w:pStyle w:val="BookText"/>
        <w:rPr/>
      </w:pPr>
      <w:bookmarkEnd w:id="886"/>
      <w:r>
        <w:rPr>
          <w:rFonts w:ascii="Amiri" w:hAnsi="Amiri" w:eastAsia="Amiri" w:cs="Amiri"/>
          <w:color w:val="111111"/>
          <w:sz w:val="28"/>
          <w:sz w:val="28"/>
          <w:szCs w:val="28"/>
          <w:rtl w:val="true"/>
          <w:lang w:bidi="ar-SA"/>
        </w:rPr>
        <w:t>حدّ ذاته قویّا، إلاّ أنّ حمله علی التأکید أیضا جائز، کما مرّ</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و الروایة موجبتان، فلا منع من الأخذ بهما، فغیر تامّ لأنّ ظهور التعلیل فی أنّ الحکم یدور مداره، أقوی من الإطلاق الثابت بالسیرة، لو کان فی البین إطلاق لفظیّ یکون کاشفاً عن الرضا، کإطلاق مفهوم الآیة، أو غیر ذلک، و إلاّ فلا معنی للمعارضة، لعدم حجّیة السیرة فی محطّ المعارضة، ضرورة أنّ البحث فی أنّها ممضاة و مرضیّة فی غیر العدل الإمامیّ، أم لا، لاحتمال مردوعیّته بالخبر المذکور، فافهم، و لا تخلط</w:t>
      </w:r>
      <w:r>
        <w:rPr>
          <w:rFonts w:eastAsia="IRNazanin" w:cs="IRNazanin"/>
          <w:color w:val="111111"/>
          <w:sz w:val="28"/>
          <w:szCs w:val="28"/>
          <w:rtl w:val="true"/>
          <w:lang w:bidi="fa-IR"/>
        </w:rPr>
        <w:t>.</w:t>
      </w:r>
    </w:p>
    <w:p>
      <w:pPr>
        <w:pStyle w:val="Heading6"/>
        <w:numPr>
          <w:ilvl w:val="5"/>
          <w:numId w:val="1"/>
        </w:numPr>
        <w:rPr/>
      </w:pPr>
      <w:bookmarkStart w:id="887" w:name="__RefHeading___Toc624905_3244359995"/>
      <w:bookmarkStart w:id="888" w:name="_Toc332"/>
      <w:bookmarkEnd w:id="887"/>
      <w:r>
        <w:rPr>
          <w:rtl w:val="true"/>
        </w:rPr>
        <w:t>و أمّا المشکلة الثالثة</w:t>
      </w:r>
      <w:r>
        <w:rPr>
          <w:rtl w:val="true"/>
        </w:rPr>
        <w:t>:</w:t>
      </w:r>
      <w:bookmarkEnd w:id="888"/>
    </w:p>
    <w:p>
      <w:pPr>
        <w:pStyle w:val="BookText"/>
        <w:rPr/>
      </w:pPr>
      <w:r>
        <w:rPr>
          <w:rFonts w:ascii="IRNazanin" w:hAnsi="IRNazanin" w:eastAsia="IRNazanin"/>
          <w:color w:val="111111"/>
          <w:sz w:val="28"/>
          <w:sz w:val="28"/>
          <w:szCs w:val="28"/>
          <w:rtl w:val="true"/>
          <w:lang w:bidi="fa-IR"/>
        </w:rPr>
        <w:t>و هی ما إذا وصلت النوبة إلی الشکّ فی جهة من الجهات، المنتهیة إلی الشکّ فی أنّ السیرة المزبورة مرضیّة،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الأدلّة اللفظیّة علی إمضاء السیرة غیر تامّة، و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هذه السیرة لو کانت مردوعة لتبیّن ردعها، و لوصل إلینا</w:t>
      </w:r>
      <w:r>
        <w:rPr>
          <w:rStyle w:val="FootnoteAnchor"/>
          <w:rtl w:val="true"/>
        </w:rPr>
        <w:footnoteReference w:id="1140"/>
      </w:r>
      <w:r>
        <w:rPr>
          <w:rFonts w:ascii="IRNazanin" w:hAnsi="IRNazanin" w:eastAsia="IRNazanin"/>
          <w:color w:val="111111"/>
          <w:sz w:val="28"/>
          <w:sz w:val="28"/>
          <w:szCs w:val="28"/>
          <w:rtl w:val="true"/>
          <w:lang w:bidi="fa-IR"/>
        </w:rPr>
        <w:t>، غیر تامّ أیضا، لإمکان اختفاء ذلک، لکثرة الدواعی، أو لعدم فهم العقلاء ذلک من تلک الأخبار، فتتوفر الدواعی فی هدمها، أو لغیر ذلک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شکّ فی ذلک لأجل أنّ الآیات المذکورة الناهیة صالحة، و یکون المراد منها ردع القوم عن العمل بالخبر الواحد، و أن یأخذوا جانب الاحتیاط أو البراءة، إلاّ بالمقدار الثابت بغیر الخبر الواحد المجرّد من القرائن، أو یشکّ لأمثال إجماع السیّد رحمه اللَّه و أتباعه، أو لمعارضة الأدلّة من الطرفین، فلا یبقی طریق إلی النفی أو</w:t>
      </w:r>
    </w:p>
    <w:p>
      <w:pPr>
        <w:pStyle w:val="BookText"/>
        <w:rPr/>
      </w:pPr>
      <w:r>
        <w:rPr>
          <w:rFonts w:ascii="IRNazanin" w:hAnsi="IRNazanin" w:eastAsia="IRNazanin"/>
          <w:color w:val="111111"/>
          <w:sz w:val="28"/>
          <w:sz w:val="28"/>
          <w:szCs w:val="28"/>
          <w:rtl w:val="true"/>
          <w:lang w:bidi="fa-IR"/>
        </w:rPr>
        <w:t>الإثبات، و قضیّة الأصل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طلوع الإسلام، و مروره علی هذه السیرة، إلی طلوع الآیات الناهیة و الأخبار الرادعة، هی حجّیة السیرة القائمة علی العمل بالخبر الواحد، فیستصحب تلک الحجّیة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مرّ، فإنّ من المحتمل ردع الشرع بغیر تلک الآیات، فلا شاهد علی عدم ردعه عن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منتزعة من مرور الشرع فی عصر التشریع، و عدم ردعه، و هذا ممّا لا یمکن بعد ورود 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الحجّیة منتزعة من أوّل طلوع الإسلام، کما هو ظاهر العلاّمة الخراسانیّ قدس سره </w:t>
      </w:r>
      <w:r>
        <w:rPr>
          <w:rStyle w:val="FootnoteAnchor"/>
          <w:rtl w:val="true"/>
        </w:rPr>
        <w:footnoteReference w:id="1142"/>
      </w:r>
      <w:r>
        <w:rPr>
          <w:rFonts w:ascii="IRNazanin" w:hAnsi="IRNazanin" w:eastAsia="IRNazanin"/>
          <w:color w:val="111111"/>
          <w:sz w:val="28"/>
          <w:sz w:val="28"/>
          <w:szCs w:val="28"/>
          <w:rtl w:val="true"/>
          <w:lang w:bidi="fa-IR"/>
        </w:rPr>
        <w:t>غیر سدید، لإمکان عدم رضا الشرع ثبوتا، و بنائه علی التأخیر فی البیان إثباتا، لمصالح اخر المنتهیة إلی تجویز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یستلزم رضا الشرع و لو بالعرض بالعمل بالسیرة، و هذا یکفی لصلاحیة السیرة للاحتجاج بها علی المدّعی،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الأحکام مطلقا غیر جار، لا الوضعیّة، و لا التکلیفیّة، لا الوجودیّة، و لا العدمیّة، کاستصحاب عدم الوجوب، أو عدم الحجّیة، و عدم الجهل، و کلّ ذلک منقّح فی مسائل الاستصحاب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طروّ الردع فی بدو الإسلام ممنوع قطعا، و الاستصحاب جار فی ذاته، و حدیث المعارضة غیر صحیح، کان لاستصحاب</w:t>
      </w:r>
      <w:bookmarkStart w:id="889" w:name="pg13170_166656"/>
    </w:p>
    <w:p>
      <w:pPr>
        <w:pStyle w:val="BookText"/>
        <w:rPr/>
      </w:pPr>
      <w:bookmarkEnd w:id="889"/>
      <w:r>
        <w:rPr>
          <w:rFonts w:ascii="IRNazanin" w:hAnsi="IRNazanin" w:eastAsia="IRNazanin"/>
          <w:color w:val="111111"/>
          <w:sz w:val="28"/>
          <w:sz w:val="28"/>
          <w:szCs w:val="28"/>
          <w:rtl w:val="true"/>
          <w:lang w:bidi="fa-IR"/>
        </w:rPr>
        <w:t>الحجّیة وجه، و قد مرّ بعض الکلام حوله حین تحریر الأصل فی المسألة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0" w:name="__RefHeading___Toc624907_3244359995"/>
      <w:bookmarkStart w:id="891" w:name="_Toc333"/>
      <w:bookmarkEnd w:id="890"/>
      <w:r>
        <w:rPr>
          <w:rtl w:val="true"/>
        </w:rPr>
        <w:t>تذنیب</w:t>
      </w:r>
      <w:r>
        <w:rPr>
          <w:rtl w:val="true"/>
        </w:rPr>
        <w:t xml:space="preserve">: </w:t>
      </w:r>
      <w:r>
        <w:rPr>
          <w:rtl w:val="true"/>
        </w:rPr>
        <w:t>فی حکم الشکّ فی إمضاء السیرة بالنسبة إلی الموضوعات مثلا</w:t>
      </w:r>
      <w:bookmarkEnd w:id="891"/>
    </w:p>
    <w:p>
      <w:pPr>
        <w:pStyle w:val="BookText"/>
        <w:rPr/>
      </w:pPr>
      <w:r>
        <w:rPr>
          <w:rFonts w:ascii="IRNazanin" w:hAnsi="IRNazanin" w:eastAsia="IRNazanin"/>
          <w:color w:val="111111"/>
          <w:sz w:val="28"/>
          <w:sz w:val="28"/>
          <w:szCs w:val="28"/>
          <w:rtl w:val="true"/>
          <w:lang w:bidi="fa-IR"/>
        </w:rPr>
        <w:t>قد عرفت فیما سبق حکم الشکّ فی أنّ السیرة الموجودة مرضیّة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إذا شکّ فی ارتضاء الشرع بالنسبة إلی قسم من السیرة المذکورة، مثلا إذا شکّ فی أنّ السیرة ممضاة فی الموضوعات، أم لا، فإنّه یشکل الأمر جدّاً، و ذلک لأنّ فی باب القضاء و الحکومة و فی کثیر من الموضوعات، نحتاج إلی البیّنة و الأکثر، و عندئذ لا یجوز الاتکال علی السیرة بالوجه المزبور، لإمکان ردع الشرع عن مطلق الموضوعات، و عدم وصوله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یتبیّن وجه إشکال جماعة کالفقیه الیزدیّ </w:t>
      </w:r>
      <w:r>
        <w:rPr>
          <w:rStyle w:val="FootnoteAnchor"/>
          <w:rtl w:val="true"/>
        </w:rPr>
        <w:footnoteReference w:id="1145"/>
      </w:r>
      <w:r>
        <w:rPr>
          <w:rFonts w:ascii="IRNazanin" w:hAnsi="IRNazanin" w:eastAsia="IRNazanin"/>
          <w:color w:val="111111"/>
          <w:sz w:val="28"/>
          <w:sz w:val="28"/>
          <w:szCs w:val="28"/>
          <w:rtl w:val="true"/>
          <w:lang w:bidi="fa-IR"/>
        </w:rPr>
        <w:t xml:space="preserve">و غیره </w:t>
      </w:r>
      <w:r>
        <w:rPr>
          <w:rStyle w:val="FootnoteAnchor"/>
          <w:rtl w:val="true"/>
        </w:rPr>
        <w:footnoteReference w:id="1146"/>
      </w:r>
      <w:r>
        <w:rPr>
          <w:rFonts w:ascii="IRNazanin" w:hAnsi="IRNazanin" w:eastAsia="IRNazanin"/>
          <w:color w:val="111111"/>
          <w:sz w:val="28"/>
          <w:sz w:val="28"/>
          <w:szCs w:val="28"/>
          <w:rtl w:val="true"/>
          <w:lang w:bidi="fa-IR"/>
        </w:rPr>
        <w:t>فی حجّیة الخبر الواحد فی مطلق الموضوعات، و وجه عدم جواز التمسّک بالسیرة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تمّت الأدلّة اللفظیّة فهو، و لکنّک عرفت عدم تمامیّتها، فافهم و اغتنم</w:t>
      </w:r>
      <w:r>
        <w:rPr>
          <w:rFonts w:eastAsia="IRNazanin" w:cs="IRNazanin"/>
          <w:color w:val="111111"/>
          <w:sz w:val="28"/>
          <w:szCs w:val="28"/>
          <w:rtl w:val="true"/>
          <w:lang w:bidi="fa-IR"/>
        </w:rPr>
        <w:t>.</w:t>
      </w:r>
      <w:bookmarkStart w:id="892" w:name="pg13170_166657"/>
    </w:p>
    <w:p>
      <w:pPr>
        <w:pStyle w:val="Heading5"/>
        <w:numPr>
          <w:ilvl w:val="4"/>
          <w:numId w:val="1"/>
        </w:numPr>
        <w:rPr/>
      </w:pPr>
      <w:bookmarkStart w:id="893" w:name="__RefHeading___Toc624909_3244359995"/>
      <w:bookmarkStart w:id="894" w:name="_Toc334"/>
      <w:bookmarkEnd w:id="892"/>
      <w:bookmarkEnd w:id="893"/>
      <w:r>
        <w:rPr>
          <w:rtl w:val="true"/>
        </w:rPr>
        <w:t>الوجه الخامس سیرة المتشرّعة</w:t>
      </w:r>
      <w:bookmarkEnd w:id="894"/>
    </w:p>
    <w:p>
      <w:pPr>
        <w:pStyle w:val="Heading6"/>
        <w:numPr>
          <w:ilvl w:val="5"/>
          <w:numId w:val="1"/>
        </w:numPr>
        <w:rPr/>
      </w:pPr>
      <w:bookmarkStart w:id="895" w:name="__RefHeading___Toc624911_3244359995"/>
      <w:bookmarkStart w:id="896" w:name="_Toc335"/>
      <w:bookmarkEnd w:id="895"/>
      <w:r>
        <w:rPr>
          <w:rtl w:val="true"/>
        </w:rPr>
        <w:t>اشارة</w:t>
      </w:r>
      <w:bookmarkEnd w:id="896"/>
    </w:p>
    <w:p>
      <w:pPr>
        <w:pStyle w:val="BookText"/>
        <w:rPr/>
      </w:pPr>
      <w:r>
        <w:rPr>
          <w:rFonts w:ascii="IRNazanin" w:hAnsi="IRNazanin" w:eastAsia="IRNazanin"/>
          <w:color w:val="111111"/>
          <w:sz w:val="28"/>
          <w:sz w:val="28"/>
          <w:szCs w:val="28"/>
          <w:rtl w:val="true"/>
          <w:lang w:bidi="fa-IR"/>
        </w:rPr>
        <w:t>قضیّة سیرة المتشرّعة حجّیة الخبر الواحد، و تقریبها أنّ الرجوع إلی ما بین أیدینا من العمل بالخبر الواحد عند الوضیع و الشریف، و الفقیه العالم و غیر الفقیه الجاهل، و کذا و کذا، یعطی أنّ هذا المعنی کان مستمرّا قهقریّا إلی عصر الأئمّة، و أنّ الإسلام و الشرع لو کان مبغضا بالنسبة إلی تلک السجیّة و العادة، لنهی عنها، کما نهی عن جلّ من المبغوضات الإلهیّة، فمن هذه الطریقة الموجودة بین أبناء المتشرّعة، یتبیّن ثبوت الحکم عند آبائهم، فیثبت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الوجهین فرق، فإنّه یتمسّک بالوجه الرابع لا بالقهقری، بخلاف الوجه الخامس، ثمّ إنّ هناک یتمسّک لکشف رضا الشرع، و هنا اشرب رضا الشرع فی أصل ذات السیرة، فإنّه إذا ثبت وجود سیرة المتشرّعة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هذا التقریب البدیع من الفرار عمّا فی تقریب آخر من الإشکالات، و الأمر سهل</w:t>
      </w:r>
      <w:r>
        <w:rPr>
          <w:rFonts w:eastAsia="IRNazanin" w:cs="IRNazanin"/>
          <w:color w:val="111111"/>
          <w:sz w:val="28"/>
          <w:szCs w:val="28"/>
          <w:rtl w:val="true"/>
          <w:lang w:bidi="fa-IR"/>
        </w:rPr>
        <w:t>.</w:t>
      </w:r>
    </w:p>
    <w:p>
      <w:pPr>
        <w:pStyle w:val="Heading6"/>
        <w:numPr>
          <w:ilvl w:val="5"/>
          <w:numId w:val="1"/>
        </w:numPr>
        <w:rPr/>
      </w:pPr>
      <w:bookmarkStart w:id="897" w:name="__RefHeading___Toc624913_3244359995"/>
      <w:bookmarkStart w:id="898" w:name="_Toc336"/>
      <w:bookmarkEnd w:id="897"/>
      <w:r>
        <w:rPr>
          <w:rtl w:val="true"/>
        </w:rPr>
        <w:t>بقی شی‌ء</w:t>
      </w:r>
      <w:r>
        <w:rPr>
          <w:rtl w:val="true"/>
        </w:rPr>
        <w:t xml:space="preserve">: </w:t>
      </w:r>
      <w:r>
        <w:rPr>
          <w:rtl w:val="true"/>
        </w:rPr>
        <w:t>و هو مناقشة فی اعتبار السیرة</w:t>
      </w:r>
      <w:bookmarkEnd w:id="89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التقریب الوحید للتمسّک بالسیرة، هو أنّها سیرة موجودة حیّة قائمة علی العمل بالخبر الواحد، و أنّه لو کان الشرع غیر راض بها، لوصلت إلینا الأدلّة الکاشفة عن عدم رضاه بها، کما وصل إلینا فی مثل القیاس أکثر</w:t>
      </w:r>
    </w:p>
    <w:p>
      <w:pPr>
        <w:pStyle w:val="BookText"/>
        <w:rPr/>
      </w:pPr>
      <w:r>
        <w:rPr>
          <w:rFonts w:ascii="Amiri" w:hAnsi="Amiri" w:eastAsia="Amiri" w:cs="Amiri"/>
          <w:color w:val="111111"/>
          <w:sz w:val="28"/>
          <w:sz w:val="28"/>
          <w:szCs w:val="28"/>
          <w:rtl w:val="true"/>
          <w:lang w:bidi="ar-SA"/>
        </w:rPr>
        <w:t xml:space="preserve">من خمسمائة حولها، فراجع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و علی ما أشرنا إلیه أخیرا، یمکن المناقشة من جهة أنّه یجوز للشرع الردع عن السیرة فی الجملة، کما ردع عنها فی مطلق الموضوعات، کما هو المشهور</w:t>
      </w:r>
      <w:r>
        <w:rPr>
          <w:rStyle w:val="FootnoteAnchor"/>
          <w:rtl w:val="true"/>
        </w:rPr>
        <w:footnoteReference w:id="1148"/>
      </w:r>
      <w:r>
        <w:rPr>
          <w:rFonts w:ascii="IRNazanin" w:hAnsi="IRNazanin" w:eastAsia="IRNazanin"/>
          <w:color w:val="111111"/>
          <w:sz w:val="28"/>
          <w:sz w:val="28"/>
          <w:szCs w:val="28"/>
          <w:rtl w:val="true"/>
          <w:lang w:bidi="fa-IR"/>
        </w:rPr>
        <w:t>، و فی الموضوعات الخاصّة</w:t>
      </w:r>
      <w:r>
        <w:rPr>
          <w:rStyle w:val="FootnoteAnchor"/>
          <w:rtl w:val="true"/>
        </w:rPr>
        <w:footnoteReference w:id="1149"/>
      </w:r>
      <w:r>
        <w:rPr>
          <w:rFonts w:ascii="IRNazanin" w:hAnsi="IRNazanin" w:eastAsia="IRNazanin"/>
          <w:color w:val="111111"/>
          <w:sz w:val="28"/>
          <w:sz w:val="28"/>
          <w:szCs w:val="28"/>
          <w:rtl w:val="true"/>
          <w:lang w:bidi="fa-IR"/>
        </w:rPr>
        <w:t>، فإذا أمکن الردع فی الجملة، و لا یمکن الردع عن أصل السیرة بإطلاقها، یجوز أن تکون قسمة من السیرة مورد الردع، و لکنّها لم تصل إلینا، أی الأخبار و النواهی بالنسبة إلی تلک القسمة، لم تصل إلینا، و علی هذا فی صورة الجهل بتلک القسمة، لا یمکن کشف الرضا بالنسبة إلیها مطلقا، لجهلنا بالواقع، فما هو المردوع قسمة منها، و لا یهتمّون و لا تتوافر الدواعی بالنسبة إلی قسمة منها، و إنّما تتوفّر الدواعی بالنسبة إلیها کلّها، و حیث إنّ تلک القسمة مجهولة، لا یمکن کشف الرضا الموجب للاتکاء علیها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الدلیل الوحید أیضا، لا یخلو من علّة و مناقشة، فما هو الوجه الوحید ما مرّ منّا فی ابتداء البحث عن حجّیة الخبر الواحد، و اللَّه العالم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کنّا نعلم إجمالا بارتضاء الشرع بالسیرة، و لکن لیس المقدار المعلوم یستفاد، و یکفی ذلک لعدم جواز الأخذ إلاّ بالقدر المتیقّن، و هو خبر الواحد العدل الفقیه الإمامیّ الورع مثلا، فاغتنم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عن السیرة فی الأحکام، لا یستلزم اختلال النظام، لعدم ارتباط نظام العقلاء بأحکام الإسلام، فما استدلّوا به من الاختلال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bookmarkStart w:id="899" w:name="pg13170_166659"/>
    </w:p>
    <w:p>
      <w:pPr>
        <w:pStyle w:val="BookText"/>
        <w:rPr/>
      </w:pPr>
      <w:bookmarkEnd w:id="899"/>
      <w:r>
        <w:rPr>
          <w:rFonts w:ascii="IRNazanin" w:hAnsi="IRNazanin" w:eastAsia="IRNazanin"/>
          <w:color w:val="111111"/>
          <w:sz w:val="28"/>
          <w:sz w:val="28"/>
          <w:szCs w:val="28"/>
          <w:rtl w:val="true"/>
          <w:lang w:bidi="fa-IR"/>
        </w:rPr>
        <w:t>و ما هو الموجب أحیانا لاختلال نظامهم، هو الردع عنها فی الموضوعات، مع أنّ المشهور قالوا بالردع إلاّ فی مواضع خاصّة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رحی اجتماعاتهم أمور عادیّة أجنبیّة عن الأحکام و موضوعاتها، فالدلیل الوحید المستند إلیه المحقّقون </w:t>
      </w:r>
      <w:r>
        <w:rPr>
          <w:rStyle w:val="FootnoteAnchor"/>
          <w:rtl w:val="true"/>
        </w:rPr>
        <w:footnoteReference w:id="1152"/>
      </w:r>
      <w:r>
        <w:rPr>
          <w:rFonts w:ascii="Amiri" w:hAnsi="Amiri" w:eastAsia="Amiri" w:cs="Amiri"/>
          <w:color w:val="111111"/>
          <w:sz w:val="28"/>
          <w:sz w:val="28"/>
          <w:szCs w:val="28"/>
          <w:rtl w:val="true"/>
          <w:lang w:bidi="ar-SA"/>
        </w:rPr>
        <w:t>غیر واضحة دلالته جدّاً</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624915_3244359995"/>
      <w:bookmarkStart w:id="901" w:name="_Toc337"/>
      <w:bookmarkEnd w:id="900"/>
      <w:r>
        <w:rPr>
          <w:rtl w:val="true"/>
        </w:rPr>
        <w:t>تنبیهات</w:t>
      </w:r>
      <w:bookmarkEnd w:id="901"/>
    </w:p>
    <w:p>
      <w:pPr>
        <w:pStyle w:val="Heading6"/>
        <w:numPr>
          <w:ilvl w:val="5"/>
          <w:numId w:val="1"/>
        </w:numPr>
        <w:rPr/>
      </w:pPr>
      <w:bookmarkStart w:id="902" w:name="__RefHeading___Toc624917_3244359995"/>
      <w:bookmarkStart w:id="903" w:name="_Toc338"/>
      <w:bookmarkEnd w:id="902"/>
      <w:r>
        <w:rPr>
          <w:rtl w:val="true"/>
        </w:rPr>
        <w:t>التنبیه الأوّل</w:t>
      </w:r>
      <w:r>
        <w:rPr>
          <w:rtl w:val="true"/>
        </w:rPr>
        <w:t xml:space="preserve">: </w:t>
      </w:r>
      <w:r>
        <w:rPr>
          <w:rtl w:val="true"/>
        </w:rPr>
        <w:t>حول استلزام حجّیة الخبر لعدم حجّیته</w:t>
      </w:r>
      <w:bookmarkEnd w:id="903"/>
    </w:p>
    <w:p>
      <w:pPr>
        <w:pStyle w:val="BookText"/>
        <w:rPr/>
      </w:pPr>
      <w:r>
        <w:rPr>
          <w:rFonts w:ascii="IRNazanin" w:hAnsi="IRNazanin" w:eastAsia="IRNazanin"/>
          <w:color w:val="111111"/>
          <w:sz w:val="28"/>
          <w:sz w:val="28"/>
          <w:szCs w:val="28"/>
          <w:rtl w:val="true"/>
          <w:lang w:bidi="fa-IR"/>
        </w:rPr>
        <w:t>قد أورد علی أدلّة حجّیة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مقتضاها حجّیة خبر السیّد، و قضیّة خبر السیّد رحمه اللَّه عدم حجّیة الأخبار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تقریب یوجد فی کلمات القوم مع أجوبته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مقتضی أدلّة حجّیة خبر الواحد، حجّیة إخبار السیّد رحمه اللَّه و حکایة الإجماع، و قضیّة الإجماع عدم حجّیة الخبر الغیر المقرون، لا مطلق الخبر، فیلزم عدم صحّة إطلاق مدّعی المثبتین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أجیب عن التقریبین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حجّیة إجماع السیّد فی ذاته، لأنّه مستند إلی الحدس، کما فی کلامهم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فی نقله صنع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السبب،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w:t>
      </w:r>
    </w:p>
    <w:p>
      <w:pPr>
        <w:pStyle w:val="BookText"/>
        <w:rPr/>
      </w:pPr>
      <w:r>
        <w:rPr>
          <w:rFonts w:ascii="IRNazanin" w:hAnsi="IRNazanin" w:eastAsia="IRNazanin"/>
          <w:color w:val="111111"/>
          <w:sz w:val="28"/>
          <w:sz w:val="28"/>
          <w:szCs w:val="28"/>
          <w:rtl w:val="true"/>
          <w:lang w:bidi="fa-IR"/>
        </w:rPr>
        <w:t xml:space="preserve">المسبّب إلیه، و ما هو النافع لنا هو الأوّل، کما تحرّر فی محلّه </w:t>
      </w:r>
      <w:r>
        <w:rPr>
          <w:rStyle w:val="FootnoteAnchor"/>
          <w:rtl w:val="true"/>
        </w:rPr>
        <w:footnoteReference w:id="1155"/>
      </w:r>
      <w:r>
        <w:rPr>
          <w:rFonts w:ascii="IRNazanin" w:hAnsi="IRNazanin" w:eastAsia="IRNazanin"/>
          <w:color w:val="111111"/>
          <w:sz w:val="28"/>
          <w:sz w:val="28"/>
          <w:szCs w:val="28"/>
          <w:rtl w:val="true"/>
          <w:lang w:bidi="fa-IR"/>
        </w:rPr>
        <w:t>، و هو أمر مستند إلی الحسّ، و ما هو رأیه الخاصّ غیر حجّة لنا،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أجیب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بمعارضة إجماع الشیخ لإجماعه، و نقله لنقله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الإجماعین اللبّیین لهما القدر المتیقّن، و القدر المتیقّن من کلّ واحد غیر الآخر، فلا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ذهاب السیّد فی الفقه إلی الاستناد بطائفة من الأخبار الواحدة بالضرورة</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حجّیة إجماع السیّد عدم حجّیته، لأنّه من الخبر العدل الواحد</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إجماعه الخبر غیر المقرون، و إجماعه و نقله من المقرون الحجّة بإجماع الشیخ </w:t>
      </w:r>
      <w:r>
        <w:rPr>
          <w:rStyle w:val="FootnoteAnchor"/>
          <w:rtl w:val="true"/>
        </w:rPr>
        <w:footnoteReference w:id="1159"/>
      </w:r>
      <w:r>
        <w:rPr>
          <w:rFonts w:ascii="IRNazanin" w:hAnsi="IRNazanin" w:eastAsia="IRNazanin"/>
          <w:color w:val="111111"/>
          <w:sz w:val="28"/>
          <w:sz w:val="28"/>
          <w:szCs w:val="28"/>
          <w:rtl w:val="true"/>
          <w:lang w:bidi="fa-IR"/>
        </w:rPr>
        <w:t>و غیره، فیکون التقریب الثانی أساسا للجواب عن أجوبتهم، أو إشکالا آخر علی عموم مدّعاهم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الملازمة المذکورة باعتبار شموله مشمولة لنفسه، و أمّا بالنسبة إلی سائر مدالیله فقابل خبر السیّد للحجّیة، نظرا إلی إمکان التفکیک</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خبر السیّد تنحلّ إلی لا حجّیة خبر زرارة، فکیف یعقل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أجیب عن الأوّل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الأمر یدور بین إبقاء عامّة الأفراد، و إخراج قوله بالتخصیص، أو العکس، و الأوّل متعیّن،</w:t>
      </w:r>
    </w:p>
    <w:p>
      <w:pPr>
        <w:pStyle w:val="BookText"/>
        <w:rPr/>
      </w:pP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لزوم التخصیص المستهجن البشیع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عن عدم حجّیة الخبر الواحد بلفظ یدلّ علی حجّیة عامّة الأفراد، ثمّ إخراج ما عدا الفرد الواحد الّذی یؤول إلی عدم حجّیة الکلّ إلاّ خبر السیّد، من اللغو و القبیح</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التقریب الثانی لیس عامّة الأفراد خارجین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المستشکل یرید توجیه المثبتین إلی عدم دلالة دلیل علی الحجّیة، لا أنّه یصدّقهم فی الدلالة، ثمّ یکذّبهم بهذه الحزازة القبیحة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مقرّا بالأدلّة، و أراد بهذا التقریب المناقشة فیها، فالجواب بالنسبة إلی الإشکال الأوّل فی محلّه، دون الإشکال الثانی المنتهی إلی عدم تمامیّة إطلاق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أجیب عن إجماع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أدلّة الحجّیة عنه، لأنّ ما یلزم من شموله عدم حجّیته، لا یکون مشمول الأدلّة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یفید بالنسبة إلی التقریب الثانی و الإشکال الّذی فی إطلاق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الجمع بین الأدلّة و إجماع السید، هو الالتزام بالحجّیة إلی العصر الأخیر الممکن أن یکون إجماع السیّد رحمه اللَّه کاشفا عن رأی المعصوم و السنّة المخالفة، و یکون کاشفا عن انتهائه زمن الحجّیة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الإجماع یکشف عن حکم إلهی عامّ لکلّ الأفراد، فی عامّة الأعصار و الأدوار</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غیر تامّ، لأنّه فیما إذا لم یکن فی البین دلیل معارض لمفاد الإجماع، فالقدر المتیقّن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به ترتفع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العلاّمة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بالحجّیة إلی زمان السیّد</w:t>
      </w:r>
      <w:r>
        <w:rPr>
          <w:rStyle w:val="FootnoteAnchor"/>
          <w:rtl w:val="true"/>
        </w:rPr>
        <w:footnoteReference w:id="1164"/>
      </w:r>
      <w:r>
        <w:rPr>
          <w:rFonts w:ascii="IRNazanin" w:hAnsi="IRNazanin" w:eastAsia="IRNazanin"/>
          <w:color w:val="111111"/>
          <w:sz w:val="28"/>
          <w:sz w:val="28"/>
          <w:szCs w:val="28"/>
          <w:rtl w:val="true"/>
          <w:lang w:bidi="fa-IR"/>
        </w:rPr>
        <w:t>، فی غیر محلّه، بل لا بدّ من انتهاء زمان الحجّیة فی عصر المعصوم المتأخّر، الّذی یمکن أن یکون إجماعه کاشفا عن نسبته، و لا شبهة فی أنّه لیس فی معاقد الإجماعات ما یعیّن ذلک،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لانتهاء أمد الحکم فی عصر السیّد ثبوتا، بل الحکم ینتهی ثبوتا فی عصر المعصوم الأخیر، و إنّما یدلّ علیه إثباتا إجماع السیّد، فعلیه یلزم عدم حجّیة إجماع السیّد أیضا،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أجیب کما فی کلام العلاّمة الأراکیّ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أدلّة حجّیة خبر الواحد، لو کانت تشمل خبر السیّد، للزم منه شمول إطلاق المفهوم مثلا لمرتبة الشکّ بمضمون نفسه، فإنّ التعبّد بإخبار السیّد بعدم حجّیة خبر الواحد، إنّما کان فی ظرف الشکّ فی الحجّیة و اللاحجّیة، الّذی هو عین الشکّ بمضمون الآیة، و من المعلوم استحالة شمول إطلاق مضمون الآیة لمرتبة الشکّ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هذا لا یمکن شموله لمثل خبر الشیخ الحاکی عن الحجّیة أیضا</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انتهی مرامه 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حجّیة خبر السیّد، یرجع إلی الشکّ فی دلیلیّة المفهوم مثلا، أو سائر أدلّة حجّیة خبر الواحد، و لا شکّ فی أنّه لا یمکن رفع هذا الشکّ بنفس تلک الأدلّة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الشکّ بمضمون الآیة، و هو من الشکّ الّذی لا یرتفع بالإطلاق، إلاّ أنّه له رافع آخر، لأنّه یرجع إلی الشکّ فی مطابقة المضمون الإنشائیّ للجدّی، و إذا جرت أصالة الجدّ، و دلّت الآیة و أدلّة حجّیة الخبر الواحد علی حجّیته، یرتفع الشکّ، و لا ینبغی بعد ذلک أن یشکّ فی حجّیة خبر السیّد لإطلاق الآیة الموافق</w:t>
      </w:r>
    </w:p>
    <w:p>
      <w:pPr>
        <w:pStyle w:val="BookText"/>
        <w:rPr/>
      </w:pPr>
      <w:r>
        <w:rPr>
          <w:rFonts w:ascii="IRNazanin" w:hAnsi="IRNazanin" w:eastAsia="IRNazanin"/>
          <w:color w:val="111111"/>
          <w:sz w:val="28"/>
          <w:sz w:val="28"/>
          <w:szCs w:val="28"/>
          <w:rtl w:val="true"/>
          <w:lang w:bidi="fa-IR"/>
        </w:rPr>
        <w:t>للجدّ، نظیر سائر الموارد، إذ الشکّ فیها فی الحکم الثابت بالدلیل الاجتهادیّ، فإنّه بعد ورود الدلیل علی حرمة الخمر مثلا، لا یمکن رفع الشکّ فی دلیلیّة دلیله بدلیله و إطلاقه، و مع ذلک یکون دلیل الخمر رافعا، لأنّ ما هو الظاهر مطابق للجدّ، و معناه حرمة الخمر علی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یرجع کلامه إلی حدیث أنّ الشکّ المزبور، من الأمور اللاحقة المتأخّرة، و لا یمکن رفعه به، فهو غیر تامّ کما برهن فی محلّه </w:t>
      </w:r>
      <w:r>
        <w:rPr>
          <w:rStyle w:val="FootnoteAnchor"/>
          <w:rtl w:val="true"/>
        </w:rPr>
        <w:footnoteReference w:id="1166"/>
      </w:r>
      <w:r>
        <w:rPr>
          <w:rFonts w:ascii="IRNazanin" w:hAnsi="IRNazanin" w:eastAsia="IRNazanin"/>
          <w:color w:val="111111"/>
          <w:sz w:val="28"/>
          <w:sz w:val="28"/>
          <w:szCs w:val="28"/>
          <w:rtl w:val="true"/>
          <w:lang w:bidi="fa-IR"/>
        </w:rPr>
        <w:t xml:space="preserve">، إلاّ أنّ الأظهر أنّ منظوره ما ذکرناه، لا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کلامه رحمه اللَّه 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المسألة من موارد دوران الأمر بین التخصیص و التخصّص، و الثانی متعیّن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إنّ المراجع لتقریبه یظهر له خلافه، و یحتاج کلامه إلی ضمّ مقدّمة، و الإحالة أولی من الإطالة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یسهّل الخطب و یهوّن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تبیّن فی سالف البحث، و هو أنّ إجماع السیّد لا یکشف عن شی‌ء عندنا</w:t>
      </w:r>
      <w:r>
        <w:rPr>
          <w:rStyle w:val="FootnoteAnchor"/>
          <w:rtl w:val="true"/>
        </w:rPr>
        <w:footnoteReference w:id="1169"/>
      </w:r>
      <w:r>
        <w:rPr>
          <w:rFonts w:ascii="IRNazanin" w:hAnsi="IRNazanin" w:eastAsia="IRNazanin"/>
          <w:color w:val="111111"/>
          <w:sz w:val="28"/>
          <w:sz w:val="28"/>
          <w:szCs w:val="28"/>
          <w:rtl w:val="true"/>
          <w:lang w:bidi="fa-IR"/>
        </w:rPr>
        <w:t>، لأنّه قد توافرت الأدلّة السمعیّة و العقلیّة علی عدم حجّیة الخبر الواحد، فیکون مستنده ذلک، و هکذا مستند سائر من فی رتبته من القائلین بعدم الحجّیة، فلو فرضنا وجود الإجماع التامّ و المحصّل فهو غیر نافع، فضلا عن إجماع السیّد غیر الکاشف عن اتفاق الأصحاب بالضرورة، بل الأمر بالعکس، أو لا أقلّ من الشکّ</w:t>
      </w:r>
      <w:r>
        <w:rPr>
          <w:rFonts w:eastAsia="IRNazanin" w:cs="IRNazanin"/>
          <w:color w:val="111111"/>
          <w:sz w:val="28"/>
          <w:szCs w:val="28"/>
          <w:rtl w:val="true"/>
          <w:lang w:bidi="fa-IR"/>
        </w:rPr>
        <w:t>.</w:t>
      </w:r>
      <w:bookmarkStart w:id="904" w:name="pg13170_166664"/>
    </w:p>
    <w:p>
      <w:pPr>
        <w:pStyle w:val="Heading6"/>
        <w:numPr>
          <w:ilvl w:val="5"/>
          <w:numId w:val="1"/>
        </w:numPr>
        <w:rPr/>
      </w:pPr>
      <w:bookmarkStart w:id="905" w:name="__RefHeading___Toc624919_3244359995"/>
      <w:bookmarkStart w:id="906" w:name="_Toc339"/>
      <w:bookmarkEnd w:id="904"/>
      <w:bookmarkEnd w:id="905"/>
      <w:r>
        <w:rPr>
          <w:rtl w:val="true"/>
        </w:rPr>
        <w:t>التنبیه الثانی</w:t>
      </w:r>
      <w:r>
        <w:rPr>
          <w:rtl w:val="true"/>
        </w:rPr>
        <w:t xml:space="preserve">: </w:t>
      </w:r>
      <w:r>
        <w:rPr>
          <w:rtl w:val="true"/>
        </w:rPr>
        <w:t>حول مشکلة الأخبار مع الوسائط</w:t>
      </w:r>
      <w:bookmarkEnd w:id="906"/>
    </w:p>
    <w:p>
      <w:pPr>
        <w:pStyle w:val="Heading6"/>
        <w:numPr>
          <w:ilvl w:val="5"/>
          <w:numId w:val="1"/>
        </w:numPr>
        <w:rPr/>
      </w:pPr>
      <w:bookmarkStart w:id="907" w:name="__RefHeading___Toc624921_3244359995"/>
      <w:bookmarkStart w:id="908" w:name="_Toc340"/>
      <w:bookmarkEnd w:id="907"/>
      <w:r>
        <w:rPr>
          <w:rtl w:val="true"/>
        </w:rPr>
        <w:t>اشارة</w:t>
      </w:r>
      <w:bookmarkEnd w:id="908"/>
    </w:p>
    <w:p>
      <w:pPr>
        <w:pStyle w:val="BookText"/>
        <w:rPr/>
      </w:pPr>
      <w:r>
        <w:rPr>
          <w:rFonts w:ascii="IRNazanin" w:hAnsi="IRNazanin" w:eastAsia="IRNazanin"/>
          <w:color w:val="111111"/>
          <w:sz w:val="28"/>
          <w:sz w:val="28"/>
          <w:szCs w:val="28"/>
          <w:rtl w:val="true"/>
          <w:lang w:bidi="fa-IR"/>
        </w:rPr>
        <w:t>لو سلّمنا تمامیّة الأدلّة الناهضة علی حجّیة الخبر الواحد، بحسب الکبری الکلّیة، و لکن أخبار کتب الأخبار، و آثار الأئمّة علیهم السلام کلّها مورد الإشکال، لکونها من الأخبار مع الواسطة، فما هو مهمّة المثبتین خارج عن کبری دلیلهم، و ذلک لإشکالات بین ما تکون عرفیّة عقلائیّة، و بین ما هی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هی بین ما یشترک بین الوسائط الکثیرة و الواسطة الواحدة، و بین ما یختصّ بالوسائط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الأدلّة اللفظیّة عن شمول الأخبار مع الوسائط الکثیرة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معنی له، لأنّ کلّ خبر حاک للخبر المتّصل به، و هو إخبار عن إخبار</w:t>
      </w:r>
      <w:r>
        <w:rPr>
          <w:rStyle w:val="FootnoteAnchor"/>
          <w:rtl w:val="true"/>
        </w:rPr>
        <w:footnoteReference w:id="1171"/>
      </w:r>
      <w:r>
        <w:rPr>
          <w:rFonts w:ascii="IRNazanin" w:hAnsi="IRNazanin" w:eastAsia="IRNazanin"/>
          <w:color w:val="111111"/>
          <w:sz w:val="28"/>
          <w:sz w:val="28"/>
          <w:szCs w:val="28"/>
          <w:rtl w:val="true"/>
          <w:lang w:bidi="fa-IR"/>
        </w:rPr>
        <w:t>، فی غیر محلّه، لأنّا نری قصور الأدلّة و انصرافها جدّاً، فیما إذا کان الخبر فی هذا العصر إلی عصر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 و لیس ذلک إلاّ لأنّ العقلاء لا یرون الخبر إلاّ مضمون المخبر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وجه لدعوی الانصراف فی الأربعة و السبعة و الثمانیة، و فی أخبارنا لا یزید علیها إلاّ شاذّا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الانصراف فالأصل اللفظیّ متّبع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اللفظیّة غیر موجودة فی حجّیة الخبر الواحد، حتّی یدّعی الانصراف</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ما هو الدلیل الوحید عن الإخبار مع الوسائط، لأنّ بناءات</w:t>
      </w:r>
    </w:p>
    <w:p>
      <w:pPr>
        <w:pStyle w:val="BookText"/>
        <w:rPr/>
      </w:pPr>
      <w:r>
        <w:rPr>
          <w:rFonts w:ascii="IRNazanin" w:hAnsi="IRNazanin" w:eastAsia="IRNazanin"/>
          <w:color w:val="111111"/>
          <w:sz w:val="28"/>
          <w:sz w:val="28"/>
          <w:szCs w:val="28"/>
          <w:rtl w:val="true"/>
          <w:lang w:bidi="fa-IR"/>
        </w:rPr>
        <w:t>العقلاء المرضیّة التی بمرأی و منظر من الشرع، لیست إلاّ بناءات عملیّة، و هی لا تزید علی الواسطتین، أو الثلاث، و ربّما یمکن ردعها إذا کانت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 أیدینا من الأخبار غیر معلوم حجّیتها بالبناء العرفیّ، و ما هو الثابت به غیر ذلک </w:t>
      </w:r>
      <w:r>
        <w:rPr>
          <w:rStyle w:val="FootnoteAnchor"/>
          <w:rtl w:val="true"/>
        </w:rPr>
        <w:footnoteReference w:id="1172"/>
      </w:r>
      <w:r>
        <w:rPr>
          <w:rFonts w:ascii="IRNazanin" w:hAnsi="IRNazanin" w:eastAsia="IRNazanin"/>
          <w:color w:val="111111"/>
          <w:sz w:val="28"/>
          <w:sz w:val="28"/>
          <w:szCs w:val="28"/>
          <w:rtl w:val="true"/>
          <w:lang w:bidi="fa-IR"/>
        </w:rPr>
        <w:t xml:space="preserve">، و قد مرّ منا المناقشة فیه من جهة أخری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تنقیح المناط و إلغاء الخصوصیّة، فهو محلّ خلاف بین الأعلام، لاختلاف النفوس فی ذلک مع أنّ فی صورة کثرة الوسائل لا یمکن تنقیح المناط و إلغاؤها، لأنّ الخبر حینئذ أبعد عن الواقع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الوحید قاصر عن شمول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العقلاء یحتجّون بما وصل إلیهم بوسائط کثیرة، أکثر ممّا هو الموجود عندنا</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فهو لا ینفع، لأنّ احتجاج العقلاء ما دام لم ینضمّ إلیه الرضا لا یفید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الحلّ لهذا الإشکال 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خصوص هذه الأخبار الموجودة بین أیدینا، ینهض دلیل الحجّیة، لأنّها أخبار شخصیّة کانت بین أیادی الرّواة إلی أن وصلت إلی عصر التألیف، فصارت مضبوطة فی کتبهم، و کانوا یحتجّون و یعملون بها بعد مراعاة شرائط العمل </w:t>
      </w:r>
      <w:r>
        <w:rPr>
          <w:rStyle w:val="FootnoteAnchor"/>
          <w:rtl w:val="true"/>
        </w:rPr>
        <w:footnoteReference w:id="1175"/>
      </w:r>
      <w:r>
        <w:rPr>
          <w:rFonts w:ascii="IRNazanin" w:hAnsi="IRNazanin" w:eastAsia="IRNazanin"/>
          <w:color w:val="111111"/>
          <w:sz w:val="28"/>
          <w:sz w:val="28"/>
          <w:szCs w:val="28"/>
          <w:rtl w:val="true"/>
          <w:lang w:bidi="fa-IR"/>
        </w:rPr>
        <w:t>، فلا ینبغی الخلط بین خبر یحکی لنا فی الیوم بوسائط کثیرة راجعة عن موضوع فی عصر إسماعیل و إبراهیم علیهما السلام و بین هذه الأخبار التی کانت یحکیها الرّواة أوّلا بلا واسطة، ثمّ صارت مع الواسطتین، ثمّ صارت مع الوسائط الثلاث، إلی الأربع، و السبع، و التسع أحیانا، فإنّ</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ألف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لأنّ شخص هذه الأخبار کانت مورد العمل و الاحتجاج بمرأی الأئمّة المتأخّرین، فکان بمرأی العسکریّ علیه السلام العمل بها مع الوسائط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الأخبار مع الوسائط الکثیرة مورد المناقشة، کما إذا أخبر بوسائط کثیرة عادل بطهارة المسبوق بالنجاسة، فربّما یشکل بناء العقلاء علیه، للکثرة المورثة لضعف الصدق أحیانا، و لکن فی خصوص مهمّتنا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أخبار کتب الحدیث الموجودة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حتّی إذا ورد الدلیل علی عدم حجّیة الإخبار مع الوسائط الکثیرة، فإنّ هذه الأخبار خارجة عنها، لما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التمسّک بخبر عالی السند تکون وسائطه ثلاثا، لإثبات حجّیة مطلق خبر الثقة و لو کانت وسائطه کثیرة</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فهو لو کان الخبر المزبور صحیح الدلالة کان متینا، و لکنّک عرفت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بحسب المعنی أجنبیّ عن مسألة الخبر و الأخبار، و أنّ التعلیل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الثقتان المأمونان</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یفید بالنسبة إلی الرجوع إلی أهل النّظر فی المسائل الشرعیّة و أخذ معالم الدین، فتدبّر جیّدا</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من الخبر الحجّة هو الخبر الحاکی للحکم، أو لموضوع ذی حکم، و یکون التعبّد به باعتبار التعبّد بمضمونه الّذی هو الحکم، أو الموضوع ذو الحکم، و الأخبار مع الواسطة و لو کانت واحدة، لا یتعبّد بالخبر الثانی إلاّ باعتبار التعبّد المتأخّر عنه بالواسطة، و کأنّه لا أثر للخبر فی مبدأ السلسلة، و إذا</w:t>
      </w:r>
    </w:p>
    <w:p>
      <w:pPr>
        <w:pStyle w:val="BookText"/>
        <w:rPr/>
      </w:pPr>
      <w:r>
        <w:rPr>
          <w:rFonts w:ascii="IRNazanin" w:hAnsi="IRNazanin" w:eastAsia="IRNazanin"/>
          <w:color w:val="111111"/>
          <w:sz w:val="28"/>
          <w:sz w:val="28"/>
          <w:szCs w:val="28"/>
          <w:rtl w:val="true"/>
          <w:lang w:bidi="fa-IR"/>
        </w:rPr>
        <w:t>فقد الأثر فقد التعبّد</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فإنّ فیما إذا لم یکن واسطة أصلا، لا یکفی التعبّد بالصدور للعمل ما دام لم ینضمّ إلیه سائر الأصول، کأصالة الحقیقة، و الجدّ، و الجهة، فعلیه یکفی کون الخبر مع الواسطة، منتهیا إلی أن ینضمّ إلیه التعبّد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مع الواسطة الواحدة، قطعیّ احتجاج العقلاء به، و هو کان بمرأی و منظر، فعلیه لا وجه للإشکال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العرف هناک إخبارات و تعبّدات، بل هنا إخبار مع الواسطة،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من الإشکالات العقلیّة، لزوم کون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حکم المعلول بالنسبة إلی الموضوع و إن لم یکن معلولا واقعا، لأنّه معلول الجاعل، و لکنّه لا یمکن أن یستند إلیه الموضوع فی الوجود و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لذلک الموضوع، و هو من المستحیل و لو فی الأمور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الخبر المحکیّ للسنّة خبرا وجدانیّا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إخبار الکلینیّ، عن العطّار المخبر عن الحمیریّ، عن ابن إسحاق، عن أبی الحسن علیه السلام فهو و إن کان وجدانیّا، إلاّ أنّ خبر العطّار لیس وجدانیّا حتّی یجب تصدیقه، و لا یقتضی أصل محرز وجود ذلک الخبر، بل قضیّة الأصل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یلزم أن یکون وجوب تصدیق خبر الکلینیّ، محقّقا لخبر العطّار أوّلا، ثمّ یترتّب علیه وجوب تصدیقه علیه، و هذا من المحال، لأنّ إیجاد الموضوع بالحکم المترتّب علیه، فرع وجود الحکم، مع أنّ الحکم فرع وجود الموضوع</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مع أنّ الحکم لا یکون متقدّما علی الموضوع و لو رتبة، و یلزم هنا تقدّمه علیه، و هو محال، لکونه من الدور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تقریب القوم فی تحریر</w:t>
      </w:r>
    </w:p>
    <w:p>
      <w:pPr>
        <w:pStyle w:val="BookText"/>
        <w:rPr/>
      </w:pPr>
      <w:r>
        <w:rPr>
          <w:rFonts w:ascii="IRNazanin" w:hAnsi="IRNazanin" w:eastAsia="IRNazanin"/>
          <w:color w:val="111111"/>
          <w:sz w:val="28"/>
          <w:sz w:val="28"/>
          <w:szCs w:val="28"/>
          <w:rtl w:val="true"/>
          <w:lang w:bidi="fa-IR"/>
        </w:rPr>
        <w:t>الإشکال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مشکلة غیر قابلة للحلّ، و هی أنّ خبر الکلینیّ وجدانیّ یترتّب علیه حکمه، و هو وجوب تصدیقه، و خبر العطّار لیس وجدانیّا، و لا محرزا بأصل، فکیف یمکن ترتّب الأثر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العطّار یثبت تعبّدا بإخبار الکلینیّ و وجوب تصدیقه، فمن وجوب تصدیق هذا الإخبار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الواصل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تعبّدا خبر العطّار، و هذا مقدّم علی الأصل النافی،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 حلّ هذه المشکلة الإشکال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إثبات خبر العطّار بوجوب تصدیق خبر الکلینیّ، من إثبات موضوع الحکم بنفس ذلک الحکم، و هو ممنوع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الغنیّ عن البیان، أنّ إیجاب التصدیق لا بدّ و أن یکون باعتبار أثر شرعیّ، کالحرمة أو الوجوب المحکیّ بقول العادل، أو باعتبار موضوع ذی أثر، فإذا أخبر الکلینیّ رحمه اللَّه بوجوب کذا، أو أنّ زیدا عادل، أو أنّ حدّ الحرم و حدّ عرفات إلی کذا، فهو من الإخبار المترتّب علیه الأثر، فیجوز إیجاب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إذا کان یخبر عن خبر العطّار، فلا أثر یترتّب علیه بالضرورة إلاّ وجوب التصدیق المترتّب علیه بعد ثبوت خبره، فیلزم أن یکون وجوب تصدیق الکلینیّ، أثره وجوب التصدیق، و هو أوضح فسادا، للزوم کون الدلیل المتکفّل للتعبّد بالمخبر به، ناظرا إلی نفسه، و أن یکون نفس وجوب التصدیق، أثر إیجاب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التصدیق أثر إیجابه، و هذا ممنوع</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یجعل الإشکال المذکور أیضا حلاًّ للإشکال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لا بدّ و أن یکون فی کلّ مورد یجب تصدیق خبر العادل من أثر، و لا أثر فی الإخبار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ینحلّ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أثره وجوب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کون الوجوب المذکور أثرا لنفسه، فیبقی الإشکال المزبور بلا حلّ،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هذین الإشکالین یستوعبان الإشکال علی تمام السلسلة، لأنّ خبر الکلینیّ سلیم عن الإشکال الأوّل دون الثانی، و خبر ابن إسحاق سلیم عن الإشکال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استقرّ الإشکال الأوّل، یلزم سقوط خبر الکلینی أیضا و لو کان وجدانیّا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استقرّ الإشکال الثانی، لا یترتّب الأثر علی إخبار ابن إسحاق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الإشکالین فرق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یثبت الفرق بینهما بجهة مبدأ السلسلة و منتهاها، و أنّ الإشکال الأوّل ناشئ من ناحیة موضوع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یلزم أن یحقّق الحکم موضوع تلک القضیّة، و الإشکال الآخر من محموله، حیث یلزم أن یکون التعبّد باعتبار نفس وجوب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فیما کان الخبر مع الواسطة، یلزم حکومة دلیل علی نفسه، أو اتحاد دلیل الحاکم و المحکوم، ضرورة أنّ الحکومة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بالتوسعة، 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بالتضییق، و فیما نحن فیه لو کان خبر العطّار ثابتا بإخبار الکلینیّ الواجب تصدیقه، ثمّ بعد ثبوت خبره یکون هو أیضا واجب التصدیق، یلزم أن یکون دلیل وجوب تصدیق خبر العادل، حاکما علی نفسه، و هو مستحیل، للمناقضة و الخلف</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الأصل السببیّ علی المسبّبی، ربّما تکون فی الموضوعات،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و علی کلّ تقدیر یلزم هناک أیضا اتحاد دلیل</w:t>
      </w:r>
      <w:bookmarkStart w:id="909" w:name="pg13170_166670"/>
    </w:p>
    <w:p>
      <w:pPr>
        <w:pStyle w:val="BookText"/>
        <w:rPr/>
      </w:pPr>
      <w:bookmarkEnd w:id="909"/>
      <w:r>
        <w:rPr>
          <w:rFonts w:ascii="IRNazanin" w:hAnsi="IRNazanin" w:eastAsia="IRNazanin"/>
          <w:color w:val="111111"/>
          <w:sz w:val="28"/>
          <w:sz w:val="28"/>
          <w:szCs w:val="28"/>
          <w:rtl w:val="true"/>
          <w:lang w:bidi="fa-IR"/>
        </w:rPr>
        <w:t>الحاکم و المحکوم، و فیما نحن فیه لا یلزم إلاّ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عبارة العلاّمة النائینیّ رحمه اللَّه من جعل الإشکال الخامس تحریرا آخر للإشکال الرابع </w:t>
      </w:r>
      <w:r>
        <w:rPr>
          <w:rStyle w:val="FootnoteAnchor"/>
          <w:rtl w:val="true"/>
        </w:rPr>
        <w:footnoteReference w:id="1180"/>
      </w:r>
      <w:r>
        <w:rPr>
          <w:rFonts w:ascii="IRNazanin" w:hAnsi="IRNazanin" w:eastAsia="IRNazanin"/>
          <w:color w:val="111111"/>
          <w:sz w:val="28"/>
          <w:sz w:val="28"/>
          <w:szCs w:val="28"/>
          <w:rtl w:val="true"/>
          <w:lang w:bidi="fa-IR"/>
        </w:rPr>
        <w:t>، فی غیر محلّه، بل هو تقریر للإشکال الثالث، کما لا یخفی،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إشکال علی حلّ مشکلة الخبر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التعبّد بالوجوب الثابت بأدلّة حجّیة خبر الواحد، کاف و لو کان وجوبا طریقیّا إمضائیّا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کون الدلیل حاکما علی نفسه</w:t>
      </w:r>
      <w:r>
        <w:rPr>
          <w:rFonts w:eastAsia="IRNazanin" w:cs="IRNazanin"/>
          <w:color w:val="111111"/>
          <w:sz w:val="28"/>
          <w:szCs w:val="28"/>
          <w:rtl w:val="true"/>
          <w:lang w:bidi="fa-IR"/>
        </w:rPr>
        <w:t>.</w:t>
      </w:r>
    </w:p>
    <w:p>
      <w:pPr>
        <w:pStyle w:val="Heading6"/>
        <w:numPr>
          <w:ilvl w:val="5"/>
          <w:numId w:val="1"/>
        </w:numPr>
        <w:rPr/>
      </w:pPr>
      <w:bookmarkStart w:id="910" w:name="__RefHeading___Toc624923_3244359995"/>
      <w:bookmarkStart w:id="911" w:name="_Toc341"/>
      <w:bookmarkEnd w:id="910"/>
      <w:r>
        <w:rPr>
          <w:rtl w:val="true"/>
        </w:rPr>
        <w:t>أجوبة أخری</w:t>
      </w:r>
      <w:r>
        <w:rPr>
          <w:rtl w:val="true"/>
        </w:rPr>
        <w:t xml:space="preserve">: </w:t>
      </w:r>
      <w:r>
        <w:rPr>
          <w:rtl w:val="true"/>
        </w:rPr>
        <w:t>عن مشکلة الإخبار مع الوسائط</w:t>
      </w:r>
      <w:bookmarkEnd w:id="9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أجوبة لا بأس بالإشارة إلیها مع رعایة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الإشکالات المذکورة، تنحلّ لأجل انحلال القضیّة المزبورة إلی قضایا کثیرة، ضرورة أنّ وجوب تصدیق خبر الکلینیّ، یحقّق خبر العطّار، و الوجوب الثابت المترتّب علیه بعد ذلک، هو الوجوب الآخر، و هذا ممّا لا امتناع فیه، و التعبّد بالوجوب الثابت لخبر الکلینیّ، غیر التعبّد بالوجوب الثابت بخبر العطّار، لأنّه هناک إخبارات و وجوبات، فلا یلزم اتحاد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اختلفت کلماتهم فی بیان هذا و تصدیقه، فذهب الوالد المحقّق إلی عدم کفایة الانحلال بالنسبة إلی الإشکال الثانی، و أنّه لو کان مفاد أدلّة حجّیة خبر العادل، وجوب العمل، و لزوم التمسّک، فلا ینفع الانحلال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العلاّمة الأراکیّ قدس سره أنّه علی جمیع المبانی، یکون الانحلال</w:t>
      </w:r>
    </w:p>
    <w:p>
      <w:pPr>
        <w:pStyle w:val="BookText"/>
        <w:rPr/>
      </w:pPr>
      <w:r>
        <w:rPr>
          <w:rFonts w:ascii="IRNazanin" w:hAnsi="IRNazanin" w:eastAsia="IRNazanin"/>
          <w:color w:val="111111"/>
          <w:sz w:val="28"/>
          <w:sz w:val="28"/>
          <w:szCs w:val="28"/>
          <w:rtl w:val="true"/>
          <w:lang w:bidi="fa-IR"/>
        </w:rPr>
        <w:t>مفیدا</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ینفع إذا کان المجعول هی الواسطة و تتمیم الکشف، بل لا إشکال رأسا فی المسألة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هذه المشاکل، من الشبهة فی قبال البدیهة، فلو کانت الشبهة فرضا راسخة، فلا معنی للقول بعدم حجّیة الأخبار مع الواسطة، لأنّ الضرورة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بین أیدینا من الأدلّة، ما ینتهی إلی قضیّة شرعیّة کلّیة قانونیّة منحلّة إلی قضایا، بل هناک شی‌ء واحد، و هو العلم برضا الشرع بالعمل بالخبر الواحد، أو العلم بلزوم العمل و تمامیّة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سیرة علی قبول الأصحاب، و هی السیرة العملیّة، فمن أین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تأتی هذه المسائل الکثیرة، و القضایا المختلفة الحاکمة و المحکومة، و غیر ذلک، و کی یلزم هذه المشاکل العقلیّة، أو بعض المشکلات العرفیّة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وجود القضیّة المذکورة، أو استنبطناها من مفهوم الآیة</w:t>
      </w:r>
      <w:r>
        <w:rPr>
          <w:rStyle w:val="FootnoteAnchor"/>
          <w:rtl w:val="true"/>
        </w:rPr>
        <w:footnoteReference w:id="1184"/>
      </w:r>
      <w:r>
        <w:rPr>
          <w:rFonts w:ascii="IRNazanin" w:hAnsi="IRNazanin" w:eastAsia="IRNazanin"/>
          <w:color w:val="111111"/>
          <w:sz w:val="28"/>
          <w:sz w:val="28"/>
          <w:szCs w:val="28"/>
          <w:rtl w:val="true"/>
          <w:lang w:bidi="fa-IR"/>
        </w:rPr>
        <w:t>، کما هو ظاهرهم، و لذلک ذکروا هذه المشاکل فی ذیل مفهوم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لم یکن فی البین دلیل لفظیّ، لم یکن وجه للمشاکل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فالحقّ أنّ الانحلال علی کلّ تقدیر، غیر قابل للتصدیق، و لا ینحلّ بهذا الانحلال، جمیع هذه التقاریب أو الإشکالات علی جمیع المبانی فی باب حجّیة الطرق و الأمارات، و ذلک لأنّه لو کان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إثبات خبر العطّار تعبّدا، و إمکان إثبات مصداق تعبّدی للخبر، لکان</w:t>
      </w:r>
    </w:p>
    <w:p>
      <w:pPr>
        <w:pStyle w:val="BookText"/>
        <w:rPr/>
      </w:pPr>
      <w:r>
        <w:rPr>
          <w:rFonts w:ascii="IRNazanin" w:hAnsi="IRNazanin" w:eastAsia="IRNazanin"/>
          <w:color w:val="111111"/>
          <w:sz w:val="28"/>
          <w:sz w:val="28"/>
          <w:szCs w:val="28"/>
          <w:rtl w:val="true"/>
          <w:lang w:bidi="fa-IR"/>
        </w:rPr>
        <w:t>له إمکان إثبات عدالته إذا کان مشکوک العدالة، ضرورة أنّ إخبار العطّار کما لا یکون ثابتا بالوجدان، و یقتضیه وجوب تصدیق الکلینیّ بلازمه، کذلک عدالته أیضا ممّا یقتضیها بلازمه، و لا حاجة إلی العلم الوجدانیّ بالنسبة إلی عدالته أیضا، أو إثبات عدالته من طریق تنصیص علماء الرّجال، لأنّ مقتضی إطلاق التصدیق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مفاد أدلّة حجّیة خبر الواحد، تتمیم الکشف و الواسطیّة فی الإثبات، و إثبات مصداق الخبر تعبّدا، لأنّ الکلینیّ أخبر عن العطّار، فلازم تصدیق الکلینیّ ثبوت خبره، و لازم إطلاق وجوب تصدیقه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کان غیر عادل فالإطلاق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الجواب عن هذه العویصة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العویصة السابقة التی ینبغی أن تکون شرعیّة، فی قبال العویصات العرفیّة و العقلیّة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ممنوع، و من اللازم أن یحرز عدالة الوسائط بطرق أخری، لأمکن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وجوب تصدیق خبر الکلینیّ أیضا ممنوع، فإنّه کما لا معنی لکشف عدالة المخبر به، کذلک لا معنی لکشف إخبار العطّار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أفرادیّ، لکان هو فی اتصافه بالإطلاق الأحوالی أولی، فلو کان یشمل المصداق التعبّدی الثابت بالخبر الوجدانیّ، لکان قضیّة إطلاقه عدالة المخبر المزبور، فکما لا إطلاق له بالنسبة إلی الإخبار عن الفاسق و مشکوک الفسق، کذلک لا إطلاق له بالنسبة إلی شموله للمصداق التعبّدی للخبر، فالانحلال إلی التعبّدی غیر جائز، و إلی الوجدانیّ صحیح، و لکنّه غیر نافع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یثبت به خبر العطّار، لما کان فی وجوب تصدیق الکلینیّ أثر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یخبر عن مشکوک الفاسق، لما کان فی وجوب تصدیقه أثر، فلا یلزم الأثر لإخبار الکلینی إلاّ إذا کان إخبار الوسائط و عدالتهم وجدانیّة، أو ثابتة</w:t>
      </w:r>
    </w:p>
    <w:p>
      <w:pPr>
        <w:pStyle w:val="BookText"/>
        <w:rPr/>
      </w:pPr>
      <w:r>
        <w:rPr>
          <w:rFonts w:ascii="IRNazanin" w:hAnsi="IRNazanin" w:eastAsia="IRNazanin"/>
          <w:color w:val="111111"/>
          <w:sz w:val="28"/>
          <w:sz w:val="28"/>
          <w:szCs w:val="28"/>
          <w:rtl w:val="true"/>
          <w:lang w:bidi="fa-IR"/>
        </w:rPr>
        <w:t xml:space="preserve">بطرق اخر، فإذا ثبت خبر العطّار بطریق آخر، و هکذا عدالته، فیترتّب علیه الأثر، لأنّ من الاحتمالات احتمال خطأ العطّار و الکلینیّ و غیرهما من الوسائط، و ذلک الاحتمال مدفوع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فی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ثابت للموضوع الوجدانیّ فقط، فلا یشمل الوسائط، و إمّا یثبت للتعبّدی أیضا فتثبت به عدالة المخبر، و حیث لا سبیل إلی الثانی فالأوّل مثله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بناء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المشکلة الأولی و هی الرئیسة، غیر قابلة للحلّ، لعدم تمامیّة الانحلال المزبور، و من غیر فرق بین المسالک فی باب الطرق، لأنّ أساس حلّ المعضلة إثبات الخبر التعبّدی بإخبار الکلینیّ الوجدانیّ، فإنّه إذا ثبت ذلک ینقّح موضوع العامّ الأصولیّ بالحکم المترتّب علی الموضوع الآخر، فلا یلزم شی‌ء ممّا ذکر أو إثبات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عرفت عدم إمکان الإثبات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مشکلة ناظریّة الحکم إلی نفسه لا تنحل بالانحلال، لأنّها مشکلة فی مرحلة الجعل و التشریع، لا فی مرحلة الإعمال و التنفیذ و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حکومة مصداق علی مصداق، ممّا لا أصل لها حتّی فی قاعدة نفی الضرر و الحرج و الاستصحاب، لأنّ الحکومة بجمیع معانیها عرفیّة عقلائیّة، و لا سبیل لها فی مثل هذه الموارد، فلاحظ جیّدا، و تفصیل المسألة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وجه حلّ المشکلة الثانیة العقلیّة من غیر طریق الانحلال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کلّ واحد من أخبار الوسائط إلی أوّل السلسلة، فیمکن حلّ مشکلة ناظریّة الحکم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یؤدّیان عنّی فعنّی یؤدّیان</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یستلزم التنزیل فی جمیع مراتب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بمعزل عن التحقیق، ضرورة أنّ قبل الوصول إلی مبدأ السلسلة و أوّلها، لا بدّ من فرض الأثر، و لا أثر هناک إلاّ وجوب التصدیق، و بعد الوصول ینقلب الأثر أو یتعدّد، و لا ضیر فیه، ضرورة أنّه بعد الوصول إلی إخبار أبی إسحاق، عن الهادی علیه السلام یرجع قول أبی إسحاق إلی قوله علیه السلام و هکذا إلی الکلینیّ، فیکون قوله قوله علیه السلام و یکون الأثر ذلک،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أولادی قدس سره و شیخ مشایخی رحمه اللَّه و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العادل إذا أخبر عن شی‌ء، و کان له لازم عقلیّ، أو عرفیّ، أو شرعیّ، یثبت بقوله ذلک اللازم، و إخبار الکلینیّ بالوسائط له لازم شرعیّ، و هو قول الإمام علیه السلام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فإنّ هذا الجواب صحیح عن المشکلة الثالثة من المشکلات العقلائیّة، و أمّا المشاکل العقلیّة فهی ناظرة إلی ذلک الأثر اللازم الشرعیّ، فإنّ قوله علیه السلام لیس لازم قول الکلینیّ، لأنّه لم یخبر عنه، فما هو لازم شرعیّ لقول الکلینیّ، وجوب تصدیق إخبار العطّار، فیأتی الإشکال،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مفاد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التصدیق العملیّ و علی هذا ینحصر فیما تنتهی إلیه هذه الأخبار و هو قول الإمام علیه السلام فقضیّة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إلیه فقط</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الأمر کذلک، فلا یصحّ القول بحجّیة الأخبار مع الواسطة، لأنّ الأثر منحصر بمنتهی الخبر، و ما فی الوسائط لا أثر له عملیّاً، و لا قلبیّاً، فلا معنی لحجّیته، فالإشکال عائد بصعوبة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یکفی للأثر جواز الإسناد إلی الوسائط، بناءً علی کفایة ذلک، أو کفایته و لو بشرط الانضمام، فإنّه أیضا من الأثر، أو فیما إذا حصل منه الوثوق</w:t>
      </w:r>
    </w:p>
    <w:p>
      <w:pPr>
        <w:pStyle w:val="BookText"/>
        <w:rPr/>
      </w:pPr>
      <w:r>
        <w:rPr>
          <w:rFonts w:ascii="IRNazanin" w:hAnsi="IRNazanin" w:eastAsia="IRNazanin"/>
          <w:color w:val="111111"/>
          <w:sz w:val="28"/>
          <w:sz w:val="28"/>
          <w:szCs w:val="28"/>
          <w:rtl w:val="true"/>
          <w:lang w:bidi="fa-IR"/>
        </w:rPr>
        <w:t xml:space="preserve">و الاطمئنان، فیصحّ الإسناد و الإخبار عن العطّار و الحمیریّ و أبی إسحاق، لحصول الاطمئنان من إخباراتهم،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هذا الأثر مخصوص بصورة قیام البیّنة</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ممنوع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 مشکلة ناظریّة الدلیل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القطع باتحاد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التصدیق فی عرض سائر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و لو لم یکن نفس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 إلیه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ناظریّة الدلیل إلی نفسه لو کانت ممتنعة، فدعوی القطع بالاتحاد غیر تامّة، لما أشیر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تصدیق العادل هو التصدیق العملیّ، و لا عمل فی الوسائط، فلا یمکن حلّ المشکلة بدعوی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الناظریّة لیست ممتنعة، لا لأجل أنّ الإقرار علی الإقرار نافذ، أو البیّنة علی البیّنة معتبرة، مع أنّه لا دلیل بالخصوص علی الاعتراف الثانی المکذّب للاعتراف الأوّل، و لا علی نفوذ البیّنة الثانیة، و ذلک لأنّ انحلال القضیّة إلی القضایا جائز حکماً، و واقع بالضرورة فی الإنشائیّات القانونیّة، و فی المثالین یکون کلّ واحد من الإقرار الثانی و البیّنة الثانیة وجدانیّاً، و هما کافیان بلازمهما، 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الوجه لجواز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ناظراً إلی مطلق الآثار، و لا إلی أثر هو نفسه، بل هو بعث إلی تصدیق خبر العادل، و لزوم کونه ذا أثر حکم عقلائیّ یدرکه العقلاء بعد سماع هذه القضیّة، فیدرکون أنّ نفس الوجوب مثلاً من الآثار، لو لا الإشکال السابق</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جائز، إلاّ أنّه هنا لا ینحلّ إلی المصادیق التعبّدیة</w:t>
      </w:r>
      <w:bookmarkStart w:id="912" w:name="pg13170_166676"/>
    </w:p>
    <w:p>
      <w:pPr>
        <w:pStyle w:val="BookText"/>
        <w:rPr/>
      </w:pPr>
      <w:bookmarkEnd w:id="912"/>
      <w:r>
        <w:rPr>
          <w:rFonts w:ascii="IRNazanin" w:hAnsi="IRNazanin" w:eastAsia="IRNazanin"/>
          <w:color w:val="111111"/>
          <w:sz w:val="28"/>
          <w:sz w:val="28"/>
          <w:szCs w:val="28"/>
          <w:rtl w:val="true"/>
          <w:lang w:bidi="fa-IR"/>
        </w:rPr>
        <w:t>و الواقعیّة، و ناظریّة الحکم إلی نفسه قابلة للدفع، إلاّ أنّها هنا غیر نافعة، لأنّه لا بدّ و أن ینحلّ المشکل الأوّل من المشاکل العقلیّة، حتّی یفید حلّ المشکلة الثانیة</w:t>
      </w:r>
      <w:r>
        <w:rPr>
          <w:rFonts w:eastAsia="IRNazanin" w:cs="IRNazanin"/>
          <w:color w:val="111111"/>
          <w:sz w:val="28"/>
          <w:szCs w:val="28"/>
          <w:rtl w:val="true"/>
          <w:lang w:bidi="fa-IR"/>
        </w:rPr>
        <w:t>.</w:t>
      </w:r>
    </w:p>
    <w:p>
      <w:pPr>
        <w:pStyle w:val="Heading6"/>
        <w:numPr>
          <w:ilvl w:val="5"/>
          <w:numId w:val="1"/>
        </w:numPr>
        <w:rPr/>
      </w:pPr>
      <w:bookmarkStart w:id="913" w:name="__RefHeading___Toc624925_3244359995"/>
      <w:bookmarkStart w:id="914" w:name="_Toc342"/>
      <w:bookmarkEnd w:id="913"/>
      <w:r>
        <w:rPr>
          <w:rtl w:val="true"/>
        </w:rPr>
        <w:t>جولة حول ما ذکرناه</w:t>
      </w:r>
      <w:bookmarkEnd w:id="914"/>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تصدیق العادل حکم حیثیّ، أی به یحرز تعبّداً جزء موضوعه، لا الجزء الآخر، و هو عدالة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حلّلنا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 إلی حکم، و موضوع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المضاف إلیه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و العدالة و لو کانا مشکوکی الوجود، إلاّ أنّ ببرکة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الشکّ الأوّل إلی الوجود التعبّدی، دون الشکّ الثانی، لأنّه خارج عن إخبار الکلینیّ بالضرورة، و حیث لا إطلاق له إلاّ حیثیّ، فلا یستکشف به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لعدالة المخبر المجهول الحال، لما کان فیه أثر شرعیّ و فائدة، فإنّ إخبار الکلینیّ بما أنّه من العقلاء، مورد أصالة عدم الاشتباه و الغفلة و النسیان العقلائیّة، و بما أنّه عادل، لا معنی لاحتمال الکذب العمدیّ، للزوم الخلف، حیث إنّ عدالته وجدانیّة، فالأثر المترتّب علیه ینحصر بکشف حال المخبر عنه، بعد تحقّق المخبر به بإخباره حسب الأصول العقلائیّة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الإطلاق الحیثیّ متین وجیه، إلاّ أنّه بمعنی عدم الاحتیاج فی خروج الإخبار عن الفاسق إلی التقیید، لا بمعنی عدم کشف حال المخبر، فلو کان یکفی کشف وجود الخبر بإلغاء احتمال الخلاف، لأجل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أخبر عن المخبر المشکوک، فلا بدّ و أن یکشف بلازمه أیضا حال المخبر، نظیر ما</w:t>
      </w:r>
      <w:bookmarkStart w:id="915" w:name="pg13170_166677"/>
    </w:p>
    <w:p>
      <w:pPr>
        <w:pStyle w:val="BookText"/>
        <w:rPr/>
      </w:pPr>
      <w:bookmarkEnd w:id="915"/>
      <w:r>
        <w:rPr>
          <w:rFonts w:ascii="IRNazanin" w:hAnsi="IRNazanin" w:eastAsia="IRNazanin"/>
          <w:color w:val="111111"/>
          <w:sz w:val="28"/>
          <w:sz w:val="28"/>
          <w:szCs w:val="28"/>
          <w:rtl w:val="true"/>
          <w:lang w:bidi="fa-IR"/>
        </w:rPr>
        <w:t>مرّ فی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مقتضی تجویز التمسّک بالعامّ فی الشبهة المصداقیّة، کشف حال المصداق بعموم العامّ، فلاحظ و اغتنم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و أن یکون إخبار الکلینیّ عن العادل، حتّی یثبت بوجوب تصدیقه خبر العطّار، أوّل الکلام، لأنّه إذا کان یحرز بهذا الوجوب جزء الموضوع، فلا منع من إحراز جزئه الآخر، و إذا صحّ کشف خبر العطّار المستور عنّا بوجوب التصدیق الثابت لخبر الکلینیّ، صحّ کشف عدالته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المعارضة بین البیّنة القائمة علی فسق زید، و بین لازم وجوب تصدیق خبر عمرو عن زید، بعد کون عمرو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هو حلّ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و لیس فی البین إلاّ ما هو الأمر العملیّ و السیرة العملیّة التی لا لسان لها، و هی قائمة علی الإخبار مطلقاً، فتدبّر جیّداً</w:t>
      </w:r>
      <w:r>
        <w:rPr>
          <w:rFonts w:eastAsia="IRNazanin" w:cs="IRNazanin"/>
          <w:color w:val="111111"/>
          <w:sz w:val="28"/>
          <w:szCs w:val="28"/>
          <w:rtl w:val="true"/>
          <w:lang w:bidi="fa-IR"/>
        </w:rPr>
        <w:t>.</w:t>
      </w:r>
    </w:p>
    <w:p>
      <w:pPr>
        <w:pStyle w:val="Heading6"/>
        <w:numPr>
          <w:ilvl w:val="5"/>
          <w:numId w:val="1"/>
        </w:numPr>
        <w:rPr/>
      </w:pPr>
      <w:bookmarkStart w:id="916" w:name="__RefHeading___Toc624927_3244359995"/>
      <w:bookmarkStart w:id="917" w:name="_Toc343"/>
      <w:bookmarkEnd w:id="916"/>
      <w:r>
        <w:rPr>
          <w:rtl w:val="true"/>
        </w:rPr>
        <w:t>تذنیب</w:t>
      </w:r>
      <w:r>
        <w:rPr>
          <w:rtl w:val="true"/>
        </w:rPr>
        <w:t xml:space="preserve">: </w:t>
      </w:r>
      <w:r>
        <w:rPr>
          <w:rtl w:val="true"/>
        </w:rPr>
        <w:t>حول إخبار العدول عن شی‌ء واحد</w:t>
      </w:r>
      <w:bookmarkEnd w:id="917"/>
    </w:p>
    <w:p>
      <w:pPr>
        <w:pStyle w:val="BookText"/>
        <w:rPr/>
      </w:pPr>
      <w:r>
        <w:rPr>
          <w:rFonts w:ascii="IRNazanin" w:hAnsi="IRNazanin" w:eastAsia="IRNazanin"/>
          <w:color w:val="111111"/>
          <w:sz w:val="28"/>
          <w:sz w:val="28"/>
          <w:szCs w:val="28"/>
          <w:rtl w:val="true"/>
          <w:lang w:bidi="fa-IR"/>
        </w:rPr>
        <w:t>لو أخبر العدول عن وجوب شی‌ء، فهل یکون أثر کلّ واحد ذلک الوجوب الواحد، أم یکون واحد من بینها حجّة، أو لا یکون الکلّ حجّة، للترجیح بلا مرجّح لا سبیل إلی الثلاثة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الکثیر مع وحدة الأثر، فیکون الکلّ بحکم العدل الواحد، فإذا کان العدول العرضیّین حکمهم ذلک، فکیف بالعدول الطولیّین؟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 و تأمّل</w:t>
      </w:r>
      <w:r>
        <w:rPr>
          <w:rFonts w:eastAsia="IRNazanin" w:cs="IRNazanin"/>
          <w:color w:val="111111"/>
          <w:sz w:val="28"/>
          <w:szCs w:val="28"/>
          <w:rtl w:val="true"/>
          <w:lang w:bidi="fa-IR"/>
        </w:rPr>
        <w:t>.</w:t>
      </w:r>
      <w:bookmarkStart w:id="918" w:name="pg13170_166678"/>
    </w:p>
    <w:p>
      <w:pPr>
        <w:pStyle w:val="Heading6"/>
        <w:numPr>
          <w:ilvl w:val="5"/>
          <w:numId w:val="1"/>
        </w:numPr>
        <w:rPr/>
      </w:pPr>
      <w:bookmarkStart w:id="919" w:name="__RefHeading___Toc624929_3244359995"/>
      <w:bookmarkStart w:id="920" w:name="_Toc344"/>
      <w:bookmarkEnd w:id="918"/>
      <w:bookmarkEnd w:id="919"/>
      <w:r>
        <w:rPr>
          <w:rtl w:val="true"/>
        </w:rPr>
        <w:t>التنبیه الثالث</w:t>
      </w:r>
      <w:r>
        <w:rPr>
          <w:rtl w:val="true"/>
        </w:rPr>
        <w:t xml:space="preserve">: </w:t>
      </w:r>
      <w:r>
        <w:rPr>
          <w:rtl w:val="true"/>
        </w:rPr>
        <w:t>حول الإشکال الناشئ من عدم حجیة الخبر فی الموضوعات</w:t>
      </w:r>
      <w:bookmarkEnd w:id="920"/>
    </w:p>
    <w:p>
      <w:pPr>
        <w:pStyle w:val="BookText"/>
        <w:rPr/>
      </w:pPr>
      <w:r>
        <w:rPr>
          <w:rFonts w:ascii="IRNazanin" w:hAnsi="IRNazanin" w:eastAsia="IRNazanin"/>
          <w:color w:val="111111"/>
          <w:sz w:val="28"/>
          <w:sz w:val="28"/>
          <w:szCs w:val="28"/>
          <w:rtl w:val="true"/>
          <w:lang w:bidi="fa-IR"/>
        </w:rPr>
        <w:t>قد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خبر الواحد حجة فی الأحکام، دون الموضوعات</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فلو کان ذلک مورد الإجماع، أو المستفاد من الآثار و الأخبار، فربّما یشکل الأمر، لأنّ جمیع الأخبار تکون إنباءً عن الموضوعات، ضرورة أنّ أمثال زرارة و الرّواة الأوّلین، یروون قول الإمام علیه السلام و هو إخبار عن الموضوع، و لا یجوز الاتکال علی خبر زرارة لو کان یخبر عن وجوب شی‌ء، لاحتمال تخلّل اجتهاده، فلو کان المخبر به حکماً واقعاً فلا حجّیة لخبره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المخبر به قوله علیه السلام فالقول من الموضوعات، و إخباره عن إخبار الإمام من الموضوعات، کسائر الوسائط، فإنّ الکلّ من الموضوعات، فلا یکون حجّة إلاّ بالبیّنة، أو ما بحکمها، کالوثوق الشخصیّ، أو الاطمئنان الخاصّ، بناءً علی کفایته، فمسألة حجّیة الخبر الواحد تصبح بلا أثر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مقتضی دلیل حجّیة الخبر الواحد، حجّیته فی مطلق الموضوعات، و خرج عن إطلاق السیرة خصوص الموضوعات الخاصّة، فإخبار الرّواة و لو کان موضوعاً و إخباراً عنه، إلاّ أنّ المنظور من الأحکام لیس إلاّ ذلک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الشبهة فی الحقیقة إشکال علی التعبیر، و إلاّ فلا یضرّ بالمطلوب، و لذلک لو حکی زرارة عن الإمام علیه السلام ما یتعلّق بموضوع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کحدود عرفات و منی، و حدود الحائر،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حجّة عند القائلین بالحجّیة، مع</w:t>
      </w:r>
      <w:bookmarkStart w:id="921" w:name="pg13170_166679"/>
    </w:p>
    <w:p>
      <w:pPr>
        <w:pStyle w:val="BookText"/>
        <w:rPr/>
      </w:pPr>
      <w:bookmarkEnd w:id="921"/>
      <w:r>
        <w:rPr>
          <w:rFonts w:ascii="Amiri" w:hAnsi="Amiri" w:eastAsia="Amiri" w:cs="Amiri"/>
          <w:color w:val="111111"/>
          <w:sz w:val="28"/>
          <w:sz w:val="28"/>
          <w:szCs w:val="28"/>
          <w:rtl w:val="true"/>
          <w:lang w:bidi="ar-SA"/>
        </w:rPr>
        <w:t>أنّه أجنبیّ عن الأحکام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ربّما یروی الراوی فتوی المعصوم علیه السلام أو العادل فتوی الفقیه، فإنّه لیس من الموضوعات، و لا یلزم مجرّد نقل الفتوی أن یکون الاجتهاد متخلّلاً فیه، کما نراه فی الأعصار و الأمصار من نقل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الأئمّة علیهم السلام یکون المتعارف القریب من الاتفاق، نقل قول المعصوم و إخباره، فلاحظ</w:t>
      </w:r>
      <w:r>
        <w:rPr>
          <w:rFonts w:eastAsia="IRNazanin" w:cs="IRNazanin"/>
          <w:color w:val="111111"/>
          <w:sz w:val="28"/>
          <w:szCs w:val="28"/>
          <w:rtl w:val="true"/>
          <w:lang w:bidi="fa-IR"/>
        </w:rPr>
        <w:t>.</w:t>
      </w:r>
    </w:p>
    <w:p>
      <w:pPr>
        <w:pStyle w:val="Heading6"/>
        <w:numPr>
          <w:ilvl w:val="5"/>
          <w:numId w:val="1"/>
        </w:numPr>
        <w:rPr/>
      </w:pPr>
      <w:bookmarkStart w:id="922" w:name="__RefHeading___Toc624931_3244359995"/>
      <w:bookmarkStart w:id="923" w:name="_Toc345"/>
      <w:bookmarkEnd w:id="922"/>
      <w:r>
        <w:rPr>
          <w:rtl w:val="true"/>
        </w:rPr>
        <w:t>التنبیه الرابع</w:t>
      </w:r>
      <w:r>
        <w:rPr>
          <w:rtl w:val="true"/>
        </w:rPr>
        <w:t xml:space="preserve">: </w:t>
      </w:r>
      <w:r>
        <w:rPr>
          <w:rtl w:val="true"/>
        </w:rPr>
        <w:t>حول مغایرة حجّیة الخبر لوجوب العمل به</w:t>
      </w:r>
      <w:bookmarkEnd w:id="923"/>
    </w:p>
    <w:p>
      <w:pPr>
        <w:pStyle w:val="BookText"/>
        <w:rPr/>
      </w:pPr>
      <w:r>
        <w:rPr>
          <w:rFonts w:ascii="IRNazanin" w:hAnsi="IRNazanin" w:eastAsia="IRNazanin"/>
          <w:color w:val="111111"/>
          <w:sz w:val="28"/>
          <w:sz w:val="28"/>
          <w:szCs w:val="28"/>
          <w:rtl w:val="true"/>
          <w:lang w:bidi="fa-IR"/>
        </w:rPr>
        <w:t>حدیث حجّیة الخبر الواحد، غیر حدیث وجوب العمل بالخبر الواحد، فإنّ الحجّیة کما یصحّ انتزاعها عن الثانی، یصحّ انتزاعها عن الأوّل، فلو کان مقتضی الأدلّة جواز العمل، فلا یلزم منه وجوبه، فالوجوب یحتاج إلی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بعد تحریر أصالة عدم الحجّیة، اتباع الخبر الواحد، إلاّ إذا قام الدلیل علی جوازه، فلو قام خبر الواحد علی وجوب صلاة الجمعة، أو علی جزئیّة کذا، أو شرطیّة کذا، فیجوز الإتیان بها، بمعنی أنّه لو خالف الواقع یکون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تنجّز الواقع علیه، بحیث یستحقّ العقوبة، فهو أمر آخر، لإمکان تصرّف الشرع فی ذلک، بأن یعتبر خبر الواحد حجّة بالمقدار الخاصّ، و هو تجویز الإفتاء و العمل علی طبقه، و بعبارة أخری بالمقدار المخرج عن الحرمة الذاتیّة، أو التشریعیّة، و أمّا الزائد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اتباعه، فلا یکون معذوراً عند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اعتبار آخر یحتاج إلی الدلیل الخاصّ</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فإفتاء الأصحاب عن الجهة الثانیة بالأولی، و توهم أنّ جواز العمل مساوق للوجوب، و أنّ حجّیته بمقدار الخروج عن الحرمة، تساوق حجّیته علی قطع العذر</w:t>
      </w:r>
    </w:p>
    <w:p>
      <w:pPr>
        <w:pStyle w:val="BookText"/>
        <w:rPr/>
      </w:pPr>
      <w:r>
        <w:rPr>
          <w:rFonts w:ascii="IRNazanin" w:hAnsi="IRNazanin" w:eastAsia="IRNazanin"/>
          <w:color w:val="111111"/>
          <w:sz w:val="28"/>
          <w:sz w:val="28"/>
          <w:szCs w:val="28"/>
          <w:rtl w:val="true"/>
          <w:lang w:bidi="fa-IR"/>
        </w:rPr>
        <w:t xml:space="preserve">و لزوم الاتباع و تنجّز الواقع </w:t>
      </w:r>
      <w:r>
        <w:rPr>
          <w:rStyle w:val="FootnoteAnchor"/>
          <w:rtl w:val="true"/>
        </w:rPr>
        <w:footnoteReference w:id="1193"/>
      </w:r>
      <w:r>
        <w:rPr>
          <w:rFonts w:ascii="IRNazanin" w:hAnsi="IRNazanin" w:eastAsia="IRNazanin"/>
          <w:color w:val="111111"/>
          <w:sz w:val="28"/>
          <w:sz w:val="28"/>
          <w:szCs w:val="28"/>
          <w:rtl w:val="true"/>
          <w:lang w:bidi="fa-IR"/>
        </w:rPr>
        <w:t>، غیر صحیح کما عرفت، فما تعارف من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الوجوب، تخیّلاً أنّه یستفاد من مفهوم آیة النبأ</w:t>
      </w:r>
      <w:r>
        <w:rPr>
          <w:rStyle w:val="FootnoteAnchor"/>
          <w:rtl w:val="true"/>
        </w:rPr>
        <w:footnoteReference w:id="1194"/>
      </w:r>
      <w:r>
        <w:rPr>
          <w:rFonts w:ascii="IRNazanin" w:hAnsi="IRNazanin" w:eastAsia="IRNazanin"/>
          <w:color w:val="111111"/>
          <w:sz w:val="28"/>
          <w:sz w:val="28"/>
          <w:szCs w:val="28"/>
          <w:rtl w:val="true"/>
          <w:lang w:bidi="fa-IR"/>
        </w:rPr>
        <w:t>، غیر واقع فی محلّه، کما ذکرنا هناک بعض ما یتعلّق به، فلا تخلط</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التفکیک فی سائر الآثار، و هی جواز الإفتاء، و جواز الإتیان، و التعبّد، و الإسناد، فیکون دلیل حجّیة الخبر الواحد مثلاً، مقتضیاً لبعض هذه الآثار دون بعض، کذلک یجوز التفکیک بین تلک الآثار و الأثر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تنجیز الواقع، و تصحیح العقوبة علیه، و لا ملازمة ثبوتاً بین جواز العمل، و وجوبه، حتّی یستلزم الجواز وجوبه، و إذا أمکن ثبوتاً التفکیک، فلا بدّ إثباتاً من اقتضاء الدلیل وجوب العمل فی موارد قیام الخبر الواحد علی وجوب شی‌ء و حرمته، و إلاّ فالقدر المسلّم هو الجواز الأعمّ، کما لا یخفی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تجویز العمل دون إیجابه، غیر معقول، لأنّ فی مورد قیام الخبر الواحد علی وجوب شی‌ء، لا یعقل الترخیص فی العمل، بل لا بدّ من الإیجاب، للزوم المناقضة، فکما أنّه لا یتصوّر الإیجاب الطریقیّ فی موارد قیام الخبر الواحد علی الاستحباب و الکراهة، کذلک لا معنی لنفی الوجوب فی موارد قیام الخبر علی وجوب شی‌ء و حرمته، مع إثبات جوازه، للزوم اللغویّة، ضرورة أنّ إیجاب ذلک الشی‌ء نفساً، مع ترخیص ترک العمل، لا یجتمعان، و لذلک ذهب المحقّقون إلی الملازمة، حسبما یستفاد من سیرهم فی المسألة، و أنّه بعد الفراغ من</w:t>
      </w:r>
    </w:p>
    <w:p>
      <w:pPr>
        <w:pStyle w:val="BookText"/>
        <w:rPr/>
      </w:pPr>
      <w:r>
        <w:rPr>
          <w:rFonts w:ascii="IRNazanin" w:hAnsi="IRNazanin" w:eastAsia="IRNazanin"/>
          <w:color w:val="111111"/>
          <w:sz w:val="28"/>
          <w:sz w:val="28"/>
          <w:szCs w:val="28"/>
          <w:rtl w:val="true"/>
          <w:lang w:bidi="fa-IR"/>
        </w:rPr>
        <w:t xml:space="preserve">أصل الجواز، التزموا بوجوبه الطریقی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المثال المذکور لا یعقل الإیجاب الطریقیّ، بعد کون ذی الطریق أمرا استحبابیّاً، لأنّ الفرع لا یزید علی الأصل بالضرورة، و أمّا فیما نحن فیه فالإیجاب الثابت بالخبر الواحد، لیس إلاّ ثبوتاً ظنّیاً، فلا یثبت به الوجوب الواقعیّ حتّی تلزم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لزوم اللغویّة إجمالا، للعلم الإجمالیّ بإصابة إحدی الطرق للواقع، فهی قابلة للدفع، بدعوی العلم الإجمالیّ بعمل طائفة بذلک الخبر القائم علی وجوب شی‌ء، و ترک طائفة للعمل بالقائم علی حرمة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 الإیجاب منتفٍ، غیر سدید، لأنّ الإتیان بمتعلّقه کافٍ، و لا یعتبر قصد الوجه فی سقوط الأمر الإیجابیّ، و هکذا فی ناحیة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دعوی العلم الإجمالیّ المذکور، لا تنافی إمکان التفکیک ثبوتاً، بل هی مؤیّدة له، و لکن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وجوب العمل إثباتاً، غیر صحیح، لما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المشکلة تشترک فیها مطلق الأمارات، و سیمرّ علیک کلام فی الاستصحاب،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 بعض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حجّة علی نعت الترخیص، لا الإیجاب و الإلزام، فانتظر حتّی حین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البناءات العقلائیّة، و صحّة الاحتجاجات الموجودة بین الموالی و العبید، تنجّز التکلیف الثابت بالخبر الواحد، و صحّة العقوبة عند الإصابة، و حیث إنّ الشرع لم یخترع فی هذا الباب أمراً جدیداً، فجواز العمل بالخبر الواحد الثابت، یساوی لزومه فی صورة قیامه علی التکلیف الإلزامیّ</w:t>
      </w:r>
      <w:r>
        <w:rPr>
          <w:rFonts w:eastAsia="IRNazanin" w:cs="IRNazanin"/>
          <w:color w:val="111111"/>
          <w:sz w:val="28"/>
          <w:szCs w:val="28"/>
          <w:rtl w:val="true"/>
          <w:lang w:bidi="fa-IR"/>
        </w:rPr>
        <w:t>.</w:t>
      </w:r>
      <w:bookmarkStart w:id="924" w:name="pg13170_166682"/>
    </w:p>
    <w:p>
      <w:pPr>
        <w:pStyle w:val="BookText"/>
        <w:rPr/>
      </w:pPr>
      <w:bookmarkEnd w:id="924"/>
      <w:r>
        <w:rPr>
          <w:rFonts w:ascii="IRNazanin" w:hAnsi="IRNazanin" w:eastAsia="IRNazanin"/>
          <w:color w:val="111111"/>
          <w:sz w:val="28"/>
          <w:sz w:val="28"/>
          <w:szCs w:val="28"/>
          <w:rtl w:val="true"/>
          <w:lang w:bidi="fa-IR"/>
        </w:rPr>
        <w:t>و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بناء غیر محرز رضا الشرع به، غیر صحیحة، لأنّه بمرأی و منظر من الشرع، فالتفکیک و لو کان جائزاً ثبوتاً، و لکنّه غیر واقع إثباتاً، للحاجة إلی صراحة الأدلّة فی ذلک، کما لا یخفی،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الکتاب وجوب الإطاعة، فإذا ثبت وجوب شی‌ء أو حرمته بالخبر الواحد، فالعمل علی طبقه واجب، لأنّه من الإطاعة الواجبة بحکم العقل المؤیّد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الطاعة لا ینحلّ إلی الوجوبات الکثیرة، لأنّه یسقط بالمصداق الأوّل، و إلاّ یلزم التسلسل، غیر صحیحة</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طائفة من السنّة الأمر بالأخذ، کالأمر بأخذ ما رووه فی بنی فضّال، و أنّ الموالی لیس لهم التشکیک فیما یرویه الثقات، و لا یکونون معذورین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واضحة جدّاً، و لو أمکن المناقشة فی الوجهین الأوّلین، لما أمکن ذلک فی الأخیر، فتدبّر</w:t>
      </w:r>
      <w:r>
        <w:rPr>
          <w:rFonts w:eastAsia="IRNazanin" w:cs="IRNazanin"/>
          <w:color w:val="111111"/>
          <w:sz w:val="28"/>
          <w:szCs w:val="28"/>
          <w:rtl w:val="true"/>
          <w:lang w:bidi="fa-IR"/>
        </w:rPr>
        <w:t>.</w:t>
      </w:r>
    </w:p>
    <w:p>
      <w:pPr>
        <w:pStyle w:val="Heading6"/>
        <w:numPr>
          <w:ilvl w:val="5"/>
          <w:numId w:val="1"/>
        </w:numPr>
        <w:rPr/>
      </w:pPr>
      <w:bookmarkStart w:id="925" w:name="__RefHeading___Toc624933_3244359995"/>
      <w:bookmarkStart w:id="926" w:name="_Toc346"/>
      <w:bookmarkEnd w:id="925"/>
      <w:r>
        <w:rPr>
          <w:rtl w:val="true"/>
        </w:rPr>
        <w:t>التنبیه الخامس</w:t>
      </w:r>
      <w:r>
        <w:rPr>
          <w:rtl w:val="true"/>
        </w:rPr>
        <w:t xml:space="preserve">: </w:t>
      </w:r>
      <w:r>
        <w:rPr>
          <w:rtl w:val="true"/>
        </w:rPr>
        <w:t>فی أنّه لا فائدة فی تقسیم الخبر إلی أقسامه</w:t>
      </w:r>
      <w:bookmarkEnd w:id="926"/>
    </w:p>
    <w:p>
      <w:pPr>
        <w:pStyle w:val="BookText"/>
        <w:rPr/>
      </w:pPr>
      <w:r>
        <w:rPr>
          <w:rFonts w:ascii="IRNazanin" w:hAnsi="IRNazanin" w:eastAsia="IRNazanin"/>
          <w:color w:val="111111"/>
          <w:sz w:val="28"/>
          <w:sz w:val="28"/>
          <w:szCs w:val="28"/>
          <w:rtl w:val="true"/>
          <w:lang w:bidi="fa-IR"/>
        </w:rPr>
        <w:t>بناءً علی حجّیة الخبر الواحد، فالأقوی عدم الفرق بین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الصحیح، و الموثّق، و القویّ، و الحسن، و المنجبر بالعمل، کما مرّ بتفصیل، فإنّ دلیل حجّیة الخبر الواحد أعمّ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اختصاص الحجّیة بالطائفة الأولی، لأنّ فی الأخبار ما یومئ إلی حجّیة الصحیح فقط</w:t>
      </w:r>
      <w:r>
        <w:rPr>
          <w:rStyle w:val="FootnoteAnchor"/>
          <w:rtl w:val="true"/>
        </w:rPr>
        <w:footnoteReference w:id="1198"/>
      </w:r>
      <w:r>
        <w:rPr>
          <w:rFonts w:ascii="IRNazanin" w:hAnsi="IRNazanin" w:eastAsia="IRNazanin"/>
          <w:color w:val="111111"/>
          <w:sz w:val="28"/>
          <w:sz w:val="28"/>
          <w:szCs w:val="28"/>
          <w:rtl w:val="true"/>
          <w:lang w:bidi="fa-IR"/>
        </w:rPr>
        <w:t>، کما مرّ فی طیّ البحوث السابقة</w:t>
      </w:r>
      <w:r>
        <w:rPr>
          <w:rStyle w:val="FootnoteAnchor"/>
          <w:rtl w:val="true"/>
        </w:rPr>
        <w:footnoteReference w:id="1199"/>
      </w:r>
      <w:r>
        <w:rPr>
          <w:rFonts w:ascii="IRNazanin" w:hAnsi="IRNazanin" w:eastAsia="IRNazanin"/>
          <w:color w:val="111111"/>
          <w:sz w:val="28"/>
          <w:sz w:val="28"/>
          <w:szCs w:val="28"/>
          <w:rtl w:val="true"/>
          <w:lang w:bidi="fa-IR"/>
        </w:rPr>
        <w:t>، فهو بمعزل عن التحقیق،</w:t>
      </w:r>
      <w:bookmarkStart w:id="927" w:name="pg13170_166683"/>
    </w:p>
    <w:p>
      <w:pPr>
        <w:pStyle w:val="BookText"/>
        <w:rPr/>
      </w:pPr>
      <w:bookmarkEnd w:id="927"/>
      <w:r>
        <w:rPr>
          <w:rFonts w:ascii="IRNazanin" w:hAnsi="IRNazanin" w:eastAsia="IRNazanin"/>
          <w:color w:val="111111"/>
          <w:sz w:val="28"/>
          <w:sz w:val="28"/>
          <w:szCs w:val="28"/>
          <w:rtl w:val="true"/>
          <w:lang w:bidi="fa-IR"/>
        </w:rPr>
        <w:t xml:space="preserve">لما عرفت أنّ الأخبار العلاجیّة، لا تکون فی هذا الموقف </w:t>
      </w:r>
      <w:r>
        <w:rPr>
          <w:rStyle w:val="FootnoteAnchor"/>
          <w:rtl w:val="true"/>
        </w:rPr>
        <w:footnoteReference w:id="1200"/>
      </w:r>
      <w:r>
        <w:rPr>
          <w:rFonts w:ascii="IRNazanin" w:hAnsi="IRNazanin" w:eastAsia="IRNazanin"/>
          <w:color w:val="111111"/>
          <w:sz w:val="28"/>
          <w:sz w:val="28"/>
          <w:szCs w:val="28"/>
          <w:rtl w:val="true"/>
          <w:lang w:bidi="fa-IR"/>
        </w:rPr>
        <w:t>، و معتبر أبی إسحاق أیضا لیس بصدد حجّیة الخبر الواحد،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الثقة المأمون علی الدین و الدنیا حجّة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صنعه الجمال ابن طاوس قدس سره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التقسیم </w:t>
      </w:r>
      <w:r>
        <w:rPr>
          <w:rStyle w:val="FootnoteAnchor"/>
          <w:rtl w:val="true"/>
        </w:rPr>
        <w:footnoteReference w:id="1202"/>
      </w:r>
      <w:r>
        <w:rPr>
          <w:rFonts w:ascii="IRNazanin" w:hAnsi="IRNazanin" w:eastAsia="IRNazanin"/>
          <w:color w:val="111111"/>
          <w:sz w:val="28"/>
          <w:sz w:val="28"/>
          <w:szCs w:val="28"/>
          <w:rtl w:val="true"/>
          <w:lang w:bidi="fa-IR"/>
        </w:rPr>
        <w:t xml:space="preserve">، و تبعه تلمیذه العلاّمة قدس سره </w:t>
      </w:r>
      <w:r>
        <w:rPr>
          <w:rStyle w:val="FootnoteAnchor"/>
          <w:rtl w:val="true"/>
        </w:rPr>
        <w:footnoteReference w:id="1203"/>
      </w:r>
      <w:r>
        <w:rPr>
          <w:rFonts w:ascii="IRNazanin" w:hAnsi="IRNazanin" w:eastAsia="IRNazanin"/>
          <w:color w:val="111111"/>
          <w:sz w:val="28"/>
          <w:sz w:val="28"/>
          <w:szCs w:val="28"/>
          <w:rtl w:val="true"/>
          <w:lang w:bidi="fa-IR"/>
        </w:rPr>
        <w:t xml:space="preserve">و الآخرون </w:t>
      </w:r>
      <w:r>
        <w:rPr>
          <w:rStyle w:val="FootnoteAnchor"/>
          <w:rtl w:val="true"/>
        </w:rPr>
        <w:footnoteReference w:id="1204"/>
      </w:r>
      <w:r>
        <w:rPr>
          <w:rFonts w:ascii="IRNazanin" w:hAnsi="IRNazanin" w:eastAsia="IRNazanin"/>
          <w:color w:val="111111"/>
          <w:sz w:val="28"/>
          <w:sz w:val="28"/>
          <w:szCs w:val="28"/>
          <w:rtl w:val="true"/>
          <w:lang w:bidi="fa-IR"/>
        </w:rPr>
        <w:t xml:space="preserve">، غیر تامّ، لأنّ الخبر إذا وصل إلی نصاب الحجّیة و میقات الاعتبار، فلا فارق بین أقسامه حتّی عند المعارضة حسب البناءات العقلائیّة، لسقوط المتعارضین معا، أو لا أقلّ من الشکّ فی حجّیة المعارض القویّ بالتعارض مع المعتبر الآخر الّذی لیس فی رتبته، فأمر الخبر المحتجّ به فی الفقه دائر بین کونه معتبراً، و غیر معتبر، و توصیفه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و الموثّق، و الحسن، و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أثر عملیّ، فکم من الأوقات الشریفة ضیّعت فی الأباطیل، و منها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یستحسن ذلک، لکونه تقسیماً للأحادیث المنسوبة إلی الأئمّة علیهم السلام و لکونه سبباً للغور فیها، و مع ذلک فالغور فیما هو الحقّ أولی و ألیق، و الأخذ بما هو الطریق المستقیم أحسن و أشوق، و اللَّه هو المستعان، و علیه التکلان</w:t>
      </w:r>
      <w:r>
        <w:rPr>
          <w:rFonts w:eastAsia="IRNazanin" w:cs="IRNazanin"/>
          <w:color w:val="111111"/>
          <w:sz w:val="28"/>
          <w:szCs w:val="28"/>
          <w:rtl w:val="true"/>
          <w:lang w:bidi="fa-IR"/>
        </w:rPr>
        <w:t>.</w:t>
      </w:r>
    </w:p>
    <w:p>
      <w:pPr>
        <w:pStyle w:val="Heading6"/>
        <w:numPr>
          <w:ilvl w:val="5"/>
          <w:numId w:val="1"/>
        </w:numPr>
        <w:rPr/>
      </w:pPr>
      <w:bookmarkStart w:id="928" w:name="__RefHeading___Toc624935_3244359995"/>
      <w:bookmarkStart w:id="929" w:name="_Toc347"/>
      <w:bookmarkEnd w:id="928"/>
      <w:r>
        <w:rPr>
          <w:rtl w:val="true"/>
        </w:rPr>
        <w:t>تذنیب</w:t>
      </w:r>
      <w:r>
        <w:rPr>
          <w:rtl w:val="true"/>
        </w:rPr>
        <w:t xml:space="preserve">: </w:t>
      </w:r>
      <w:r>
        <w:rPr>
          <w:rtl w:val="true"/>
        </w:rPr>
        <w:t>فی الوجه العقلیّ علی حجّیة الخبر</w:t>
      </w:r>
      <w:bookmarkEnd w:id="92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من خلال أدلّة حجّیة خبر الواحد، إمکان المناقشة فیها کلّها، و أنّ</w:t>
      </w:r>
    </w:p>
    <w:p>
      <w:pPr>
        <w:pStyle w:val="BookText"/>
        <w:rPr/>
      </w:pPr>
      <w:r>
        <w:rPr>
          <w:rFonts w:ascii="IRNazanin" w:hAnsi="IRNazanin" w:eastAsia="IRNazanin"/>
          <w:color w:val="111111"/>
          <w:sz w:val="28"/>
          <w:sz w:val="28"/>
          <w:szCs w:val="28"/>
          <w:rtl w:val="true"/>
          <w:lang w:bidi="fa-IR"/>
        </w:rPr>
        <w:t>الدلیل القویّ الوحید هی السیرة</w:t>
      </w:r>
      <w:r>
        <w:rPr>
          <w:rStyle w:val="FootnoteAnchor"/>
          <w:rtl w:val="true"/>
        </w:rPr>
        <w:footnoteReference w:id="1205"/>
      </w:r>
      <w:r>
        <w:rPr>
          <w:rFonts w:ascii="IRNazanin" w:hAnsi="IRNazanin" w:eastAsia="IRNazanin"/>
          <w:color w:val="111111"/>
          <w:sz w:val="28"/>
          <w:sz w:val="28"/>
          <w:szCs w:val="28"/>
          <w:rtl w:val="true"/>
          <w:lang w:bidi="fa-IR"/>
        </w:rPr>
        <w:t>، و قد مرّت وجوه المناقشة فیها بما لا مزید علیها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تصل نوبة البحث إلی تحریر الوجوه العقلیّة، و قد مرّ فی أوائل بحث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الموجودة عندنا المضبوطة فی الکتب المعتبرة، کانت بید الاحتجاج منذ عصر صدورها إلی عصر انضباطها فی رسائل الأصحاب الأوّلین، و إلی عصر التألیف و التصنیف، فهی حجّة، لکونها بخصوصها کانت حجّة فی عصر الأئمّة المتأخّرین علیهم السلام فإنّ کثیراً منها کانت بمرأی و منظر فی العصور الأخیرة المنتهیة إلی العسکریّین علیهما السلام، فلا وجه للمناقشة فیها بعد تمامیّة سائر شرائطها، و انضمام سائر القیود إلیها</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الخبر الواحد مع أنّه مسألة کلّیة و أصولیّة، حجّة شرعیّة عامّة فی مطلق الأحکام و الموضوعات، و لکن تلک الأخبار مفروغ من حجّیتها، إلاّ ما شذّ منها ممّا لا یکون مقروناً بالقرائن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لا یوجد فی الفقه منها شی‌ء و لو واحداً، کما مرّ فی أوائل البحث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لا حاجة إلی التشبّث بالوجوه العقلیّة، لأنّها ناهضة علی خصوص الأخبار الموجودة، و لیست بصدد حجّیة الخبر الواحد علی نعت کلیّ،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بأس بالإشارة إلی التحریر الأمتن الّذی به یعلم سائر التحریرات، و من عدم تمامیّته یعلم وجه فساد غیره، نقول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قضیة العلم الإجمالیّ بوجود التکالیف و الواقعیّات الإلزامیّة، و مقتضی</w:t>
      </w:r>
    </w:p>
    <w:p>
      <w:pPr>
        <w:pStyle w:val="BookText"/>
        <w:rPr/>
      </w:pPr>
      <w:r>
        <w:rPr>
          <w:rFonts w:ascii="IRNazanin" w:hAnsi="IRNazanin" w:eastAsia="IRNazanin"/>
          <w:color w:val="111111"/>
          <w:sz w:val="28"/>
          <w:sz w:val="28"/>
          <w:szCs w:val="28"/>
          <w:rtl w:val="true"/>
          <w:lang w:bidi="fa-IR"/>
        </w:rPr>
        <w:t>العلم الإجمالیّ بأنّ تلک الواقعیّات، مندرجة و بالغة إلینا من خلال وصول الأخبار و الروایات و الأمارات المعتبرة و غیر المعتبرة، و مقتضی أنّ العلم الإجمالیّ الأوّل، ینحلّ بالعلم الإجمالیّ الثانی، و العلم الإجمالیّ الثانی لا یبقی بعد مراعاة الکتب المعتبرة و الروایات المعتبرة، لکثرتها الموجودة بین أیدینا، فینحلّ بالعلم الإجمالیّ الثالث العلم الثانی، و لازمه حجّیة ما فی الکتب المعتبرة إلاّ ما خرج بالخصوص عن الاعتبار، کالأخبار الضعیفة، فإنّه بخروجها لا یتضرّر العلم الإجمالیّ المذکور، لکثرة الأحادیث الباقیة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هذا التحریر و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الثقة بأقسامه، لا حجّیة مطلق ما فی الکتب، و لا حجّیة الظّنّ أو المظنونات الشخصیّة، و کم من تقاریر تنتهی إمّا إلی حجّیة ما فی مطلق الکتب المعتبرة و غیرها، أو إلی حجّیة مطلق ما فی الکتب المعتبرة، مرسلة کانت،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بأسرها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الانحلال المذکور یجوز التمسّک بالبراءة، أو القول بالاحتیاط فیما وراء ذلک، لما لا یلزم من إجرائها و من الأخذ به فساد و تضییع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دعوی العلم الإجمالیّ الثانی المتوسّط، بل یکفی لحجّیة ما فی الکتب المعتبرة من الأحادیث المعتبرة، وجود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المعلوم بالإجمال من التکالیف الإلزامیّة، ینحلّ بها، فالعلم الإجمالیّ المتوسّط غیر لازم فی أخذ النتیجة المقصودة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تحرّر، لا بدّ عقلاً من الالتزام بأنّ الشرع لا یعقل منه الردع عنها، و لا تجویز طرحها، لأنّه یلازم طرح الشریعة، و هدم أساس الدیانة، لأنّ المفروض وجود القوانین الإسلامیّة فی تلک الأخبار البالغة إلینا، و لو کان یحتمل أو نعلم بوجود تکالیف اخر غیر بالغة، أو تکالیف غیر شرعیّة فیها، و لکنّه لا یضرّ بأساس</w:t>
      </w:r>
    </w:p>
    <w:p>
      <w:pPr>
        <w:pStyle w:val="BookText"/>
        <w:rPr/>
      </w:pPr>
      <w:r>
        <w:rPr>
          <w:rFonts w:ascii="IRNazanin" w:hAnsi="IRNazanin" w:eastAsia="IRNazanin"/>
          <w:color w:val="111111"/>
          <w:sz w:val="28"/>
          <w:sz w:val="28"/>
          <w:szCs w:val="28"/>
          <w:rtl w:val="true"/>
          <w:lang w:bidi="fa-IR"/>
        </w:rPr>
        <w:t>هذه الدعوی، لأنّ الشریعة الإسلامیّة، لا تضمحلّ و لا تنهدم بإجراء البراءة بالنسبة إلی موارد الشکّ و الشبهة، و لو کان مقروناً بالعلم الإجمالیّ، لأنّه من القلیل فی الکثیر احتمالاً، فلا تکن من الخالطین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التقریر حجّیة أخبار الثقات، و أنّ ما یثبت بهذا التحریر، عین ما یثبت بأدلّة حجّیة الخبر الواحد لو کانت تامّة، و لا یزید علیه، و لا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الثابت به هی الحجّیة بمعناها العقلائیّ، و هی الوسطیّة فی الإثبات و الطریقیّة، لأنّ العقل یکشف عن رضا الشرع بذلک، لما تحرّر من امتناع حکومة العقل علی شی‌ء، و لا سیّما فی حدود المسائل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الکشف فینکشف به ما یستکشف بالسیرة و الدلیل العقلائیّ، فکما أنّ المستفاد منها هی الحجّیة الخاصّة الثابتة للأمارات الحاکمة علی الأصول عند المعارضة، و المقدّمة علی الأصول اللفظیّة، کعموم العامّ و إطلاق المقیّد عند المخاصمة، کذلک هی الحجّیة العقلائیّة الراجعة إلی التعذیر و التنجیز بالنسبة إلی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تلک الأخبار دائر بین 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ردع الشرع عنها، و هو خلف، أو إمضاؤها علی سبیل الأمارات الاخر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ممضاة و مرضیّة بوجه ثالث و لو کان ممکناً، إلاّ أنّه مقطوع العدم، و سیمرّ علیک تفصیل المسألة علی وجه تنحلّ به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تحرّر، إلاّ أنّ الأخذ بالأخبار المحکیّة عن الثقات، کما یوجب انحلال ذلک العلم، کذلک الأخذ بالمحکیّة عن غیرهم، فلا یثبت به المطلوب</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من ترجیح المرجوح علی الراجح، و من الأخذ بما هو البعید عن الواقع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ینحلّ ذلک العلم الإجمالیّ بأخذها، لقوّة تخطّیها عن الواقع بخلافها، فالعلم بالاشتغال یقتضی الفراغ الیقینیّ، و هذا لا یحصل بالأخذ بها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لکون الأخبار حجّة حاکمة علی الأصول المعارضة، للزوم تقدّمها علی الأصول المثبتة للتکالیف، و هو یرجع إلی خلاف المعلوم بالإجمال، فعلی هذا أیضا لا یتعیّن الأخذ بالخبر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العلم الإجمالیّ، لیس أکثر ممّا یثبت به التکلیف الإلزامیّ الأعمّ من النفسیّ و الغیریّ، ضرورة أنّه کثیر جدّاً فی الفقه، و لا نعلم بوجود التکالیف الإسلامیّة الإلزامیّة أکثر ممّا یثبت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نحتمل ذلک فی موارد الأخبار النافیة، و نعلم إجمالاً بنحو القلیل و الکثیر فی التکالیف الواقعیّة غیر الواصلة، و غیر الموجودة فیها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الأخذ بالأخبار النافیة فی موارد الأصول و لو کانت مثبتة، لأنّها قلیلة، ضرورة أنّ المقصود من الأصول المثبتة، لیس الأصول الجزئیّة الجاریة فی الشبهات الموضوعیّة، و قد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المثبت للتکلیف لو کان مثل الاستصحاب، فهو غیر جار فی الشبهات الحکمیّة الکلّیة رأساً، فلا أساس لهذا البحث، فهذا الإشکال أیضا منتفٍ عن التقریب المذکور</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مثل أصل الاشتغال، فلا یوجد فی الأخبار النافیة ما یزاحمه بالمقدار الّذی نقطع بأنّ المعلوم بالإجمال أکثر فیما بین الأخبار المثبتة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إشکالات الشیخ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علی التقریب المذکور</w:t>
      </w:r>
      <w:r>
        <w:rPr>
          <w:rStyle w:val="FootnoteAnchor"/>
          <w:rtl w:val="true"/>
        </w:rPr>
        <w:footnoteReference w:id="1210"/>
      </w:r>
      <w:r>
        <w:rPr>
          <w:rFonts w:ascii="IRNazanin" w:hAnsi="IRNazanin" w:eastAsia="IRNazanin"/>
          <w:color w:val="111111"/>
          <w:sz w:val="28"/>
          <w:sz w:val="28"/>
          <w:szCs w:val="28"/>
          <w:rtl w:val="true"/>
          <w:lang w:bidi="fa-IR"/>
        </w:rPr>
        <w:t>کلّها قابلة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المخصّصات و المقیّدات، لا تثبت بهذا الوجه، و هو خلاف المقصود</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المخصّصات و المقیّدات کثیرة جدّاً، بحیث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الأمثال المشهورة، فإخراجها یستلزم خلاف ما هو المقطوع، و هی حجّیة الأخبار الموجودة المحکیّة بالثقات المضبوطة فی الکتب المعتبرة إجمالاً، و لا یمکن تعیین طائفة خاصّة لجواز العمل، للزوم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المخصّصات بین ما هی الإلزامیّات، و بین ما هی الرخصات، و عندئذٍ یمکن التعیین، و یتعیّن الأولی، لکونها مورد المعلوم بالإجمال، بخلاف الثانیة، فإنّها تنتج عکس المطلوب، غیر مقبولة، لأنّ الرخصات و لو کانت قابلة لنفی الجواز عنها، إلاّ أنّ العمل بها لا ینتج عکس المطلوب، ضرورة أنّ الإلزام الثابت بالعامّ أو الإطلاق، باقٍ فی غیر مورد التخصیص و التقیید، فیکون خروج بعض أفرادهما غیر مضرّ بالمعلوم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الآراء تختلف فی فهم الخاصّ المرخّص و الخاصّ الملزم، فربّما ینتهی تجویز ترک العمل بالطائفة الثانیة، إلی ترک العمل بالأولی المنتهی إلی خلاف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تکون جمیع الأخبار المحکیّة فی الکتب المعتبرة بالثقات من الرّواة حجّة، و تکون حجّیتها علی الکشف و الطریقیّة، لأجل کشف العقل رضا الشرع بذلک علی نحو الکشف بالسیرة مثلاً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إجمالاً بأنّ هذه الأخبار المشار إلیها، إمّا لا تکون حجّة و یجب الاحتیاط فی الجملة، أو یکون الظنّ حجّة، کما فی باب الانسداد، أو تکون حجّة علی سبیل حجّیة الأمارات، و لا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کونها حجّة بالنسبة إلی جواز</w:t>
      </w:r>
    </w:p>
    <w:p>
      <w:pPr>
        <w:pStyle w:val="BookText"/>
        <w:rPr/>
      </w:pPr>
      <w:r>
        <w:rPr>
          <w:rFonts w:ascii="IRNazanin" w:hAnsi="IRNazanin" w:eastAsia="IRNazanin"/>
          <w:color w:val="111111"/>
          <w:sz w:val="28"/>
          <w:sz w:val="28"/>
          <w:szCs w:val="28"/>
          <w:rtl w:val="true"/>
          <w:lang w:bidi="fa-IR"/>
        </w:rPr>
        <w:t>العمل فقط و وجوب الاتباع، دون سائر الآثار</w:t>
      </w:r>
      <w:r>
        <w:rPr>
          <w:rStyle w:val="FootnoteAnchor"/>
          <w:rtl w:val="true"/>
        </w:rPr>
        <w:footnoteReference w:id="1212"/>
      </w:r>
      <w:r>
        <w:rPr>
          <w:rFonts w:ascii="IRNazanin" w:hAnsi="IRNazanin" w:eastAsia="IRNazanin"/>
          <w:color w:val="111111"/>
          <w:sz w:val="28"/>
          <w:sz w:val="28"/>
          <w:szCs w:val="28"/>
          <w:rtl w:val="true"/>
          <w:lang w:bidi="fa-IR"/>
        </w:rPr>
        <w:t>، ممنوع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اللتیّا و التی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التقریر أیضا له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الکلّی غیر واجب، بل ممنوع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الکلّیة بالنسبة إلی کلّ مشکوک ممنوعة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المرجوح علی الراجح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بلا مرجّح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إجمالاً بتکالیف إلزامیّة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المعلوم بالإجمال، ینحلّ بما هو الموجود عندنا من الآثار المحکیّة بنقل الثقات فی الکتب المعتبرة، فلا حاجة إلی العلم الإجمالیّ الثانی، کما عرفت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الأحکام الکلّیة غیر جار، سواء کان الحکم الإثباتیّ الوجودیّ، أو العدمیّ، و تحقیقه فی محلّه </w:t>
      </w:r>
      <w:r>
        <w:rPr>
          <w:rStyle w:val="FootnoteAnchor"/>
          <w:rtl w:val="true"/>
        </w:rPr>
        <w:footnoteReference w:id="1214"/>
      </w:r>
      <w:r>
        <w:rPr>
          <w:rFonts w:ascii="IRNazanin" w:hAnsi="IRNazanin" w:eastAsia="IRNazanin"/>
          <w:color w:val="111111"/>
          <w:sz w:val="28"/>
          <w:sz w:val="28"/>
          <w:szCs w:val="28"/>
          <w:rtl w:val="true"/>
          <w:lang w:bidi="fa-IR"/>
        </w:rPr>
        <w:t>، و سواء فیه الأحکام الوضعیّة، و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لا نحتاج إلیه، لعدم الابتلاء باستصحاب الحکم الإلزامیّ المثبت إلاّ شاذاً، و لا یلزم من تحکیم الخبر علیه إخلال بالمعلوم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یحرّر للوجه العقلیّ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الأسف إنّه أیضا غیر تامّ، و ذلک لأنّ المعلوم بالإجمال، ینحلّ بالتکالیف الإلزامیّة الموجودة فی الکتاب الإلهیّ، و بالأخبار التی تکون فی حکم التواتر و الاستفاضة، و بالشهرات و الإجماعات التی تکون حجّة عندنا، و إن شئت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بالأخبار المورثة للوثوق و الاطمئنان، فإنّ دعوی العلم الإجمالیّ بعد ذلک بالنسبة إلی ما وراء تلک الأمارات، غیر صحیحة، لکثرتها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بقاء أثر العلم الإجمالیّ و لو انحلّ بالنسبة إلی ما وراء ذلک، غیر صحیح، 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بقاء الأثر بالنسبة إلی غیر الأخبار المحکیّة بالمجاهیل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ما وراءه مورد العلم الإجمالیّ،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الأثر و لو انحلّ العلم، ضرورة أنّ هذا الانحلال حقیقیّ، لا حکمیّ،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فرغنا من تسوید هذه المبیضّات لیلة الثلاثاء السادس و العشرین من شهر جمادی الثانیة عام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علی مشرّفه آلاف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نرجوه أن یفیض علینا من فیوضاته الخاصّة به، و أن یکون شفیعاً لی و لأولیائه یوم لا یشفع الشافعون إلاّ بإذنه تبارک و تعالی، و هو ولی الحمد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 عاد من عاداه، و انصر من نصره و اخذل من خذله و اسقنا من کأس أخیه کأساً ملیئة هنیئة لذّة 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القوچانی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العلم بالقواعد الممهدة لاستنباط الأحکام الشرعیة الفرعیة، و هذا التعریف أشهر التعاریف،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نجزم بمراده قدس سره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اشتهر القول بذلک فی کلمات الفلاسفة و المتکلمین، لاحظ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الأصول، القوچانی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فصل طریق ثبوت النجاسة،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المحقق العراقی علی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الحدائق الناظرة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لاحظ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تقریرات المجدد الشیرازی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القوچانی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القوچانی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القوچانی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الشیخ الأنصاری فی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لاحظ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بحر الفوائد إلی الأکثرین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فی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لاحظ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ادعاء الإجماع منسوب إلی العلامة الحلی رحمه اللَّه، کما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لکن للتأمل فی هذه النسبة مجال واسع، لاحظ 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 الاتفاق علیه فی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أفتی به فی قواعد الأحکام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الشیخ الأنصاری عدم الخلاف إلی الأصحاب فی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أفتی به فی 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یحشر الناس علی نیاتهم یوم القیامة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روایات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بسیئة لم تکتب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السطور الأخیرة، فوائد الأصول،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 التنبیه الخامس من تنبیهات مباحث الطلب و الإرادة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کالأخبار الواردة فی ذم الکبر و الحسد، لاحظ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المحقق العراقی علی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 ما یناسبه،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أول من تکلم فی القاعدة و أشار إلیه هو بدر الدین الزرکشی، 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 التجارة،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المشهور و قد خالفهم المؤلف قدس سره تبعا لوالده العلامة الإمام الخمینی قدس سره، لاحظ تحریرات فی الأصول،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و الأوانی،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لبس ثوبا لا ینبغی له لبسه و هو محرم ففعل ذلک ناسیا أو جاهلا فلا شی‌ء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السفر،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 ما یناسبه،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عجالة فی مظانه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و ابنه ثقتان فما أدیا إلیک عنی فعنی یؤدیان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بلغنا إلی هنا یوم پنج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بمناسبت تعطیلی تابستان به تأخیر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کتاب الشهادات،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الجزء الثامن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نهایة الأفکار القسم الثانی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قوم تقارعوا و فوضوا أمرهم إلی اللَّه إلا خرج سهم المحقق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العناوین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الرسائل،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الذهب المسکوک فی اللباس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کفایة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کتاب البیع للمؤلف قدس سره مفقودة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مشارق الشموس فی 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یکون فیه حلال و حرام فهو حلال لک أبدا حتی أن تعرف الحرام منه بعینه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معه إناءان فیهما ماء وقع فی أحدهما قذر و لا یدری أیهما هو و لیس یقدر علی ماء 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یهریقهما جمیعا و یتیمم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القبلة،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درر الفوائد، المحقق الحائری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کتاب الحج، الفصل الثالث،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الواجبات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 ما یناسبه،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إلا ما ذکره الشیخ رحمه اللَّه بنحو التوهم و أجاب عنه، و لاحظ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التزم بالطولیة بین المرتبتین کما فی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منهم من التزم بالعرضیة بینها کما فی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فِیهِما آلِهَةٌ إِلَّا اللَّهُ لَفَسَدَتا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الکلام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للمؤلّف قدس سره مفقود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المکاسب المحرّمة،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مباحث کتاب البیع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الجزء الثالث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مصباح الفقیه،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کتاب الحج، الفصل الثالث،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ذیل ترجمة أبان بن تغلب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تحریرات فی الفقه، کتاب الصوم، الموقف الثانی، المفطر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علی اللَّه و رسوله صلی اللَّه علیه و آله و سلم و الأئمة علیهم السلام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من تحریرات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قرره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أیضا تحریرات فی الفقه، واجبات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الطهارة، أحکام النجاسات، أحکام لبن الجاریة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القطع بعدم الحجّیة، کالقطع بعدم ترکّب الجسم من الأجزاء، و هذا لا یستلزم صحّة الإسناد، فإنّ القطع بعدم حجّیة الظنّ عند العقلاء، لا ربط له بالشرع، لأنّ ذلک لیس مثل القطع بوجوب کذا، و حرمة کذا، و برکعتی الفجر مثلا، لأنّ عدم الحجّیة لیس مجعولا شرعیّا، و لا معتبرا، لأنّ القضیّة سالبة محصّلة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أجرینا الاستصحاب صحّ،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الخیار،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أبواب التیمم،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الکسوف و الآیات،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للمؤلّف قدس سره، الفاتحة، المبحث الأوّل، فیما یتعلّق بمجموع السورة، المسألة الرابعة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کیفیّة الحکم و أحکام الدعوی،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ه</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الکوه‌کمری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یأتی 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الباقر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یأتی عنکم الخبران أو الحدیثان المتعارضان فبأیّهما آخذ؟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خذ بما اشتهر بین أصحابک، و دع الشاذ النادر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أنّهما معا مشهوران مرویّان مأثوران عنکم؟ فقال‌ع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بقول أعدلهما عندک و أوثقهما فی نفسک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إلی ما کان من روایاتهما عنّا فی ذلک الّذی حکما به، المجمع علیه عند أصحابک، فیؤخذ به من حکمنا، و یترک الشاذّ الّذی لیس بمشهور عند أصحابک، فإنّ المجمع علیه لا ریب فیه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الذّکر،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الماء المطلق،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أبواب میراث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المحقّق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تَقْفُ ما لَیْسَ لَکَ بِهِ عِلْمٌ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یأتی فی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تَقْفُ ما لَیْسَ لَکَ بِهِ 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المحقّق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تَقْرَبُوا مالَ الْیَتِیمِ إِلَّا بِالَّتِی هِیَ أَحْسَنُ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أَوْفُوا الْکَیْلَ إِذا کِلْتُمْ وَ زِنُوا بِالْقِسْطاسِ الْمُسْتَقِیمِ ذلِکَ خَیْرٌ وَ أَحْسَنُ تَأْوِیلًا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تَمْشِ فِی الْأَرْضِ مَرَحاً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تَقْرَبُوا الزِّنی </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تَقْتُلُوا النَّفْسَ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تَقْتُلُوا أَوْلادَکُمْ خَشْیَةَ إِمْلاقٍ </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الظَّنَّ لا یُغْنِی مِنَ الْحَقِّ شَیْئاً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المحقّق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المحقّق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المحقّق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أبواب المقدّمات، باب ما یعالج به تعارض الروایات،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الأمالی و المجالس،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میزان الاعتدال، للذهبی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تدریب الراوی،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أبواب میراث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الإعراب و النحو</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الفخر الرازی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الجهة السابعة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شروح التلخیص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النبأ العظیم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الفخر الرازی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الجزء الخامس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العبارة بعینها فی کتب الحدیث و لکن وردت مضمونها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لاحظ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الفخر الرازی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الفخر الرازی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المقدّمات، باب حجّیة أخبار الثقات، الحدیث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المقدّمات، باب حجّیة أخبار الثقات، الحدیث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المقدّمات، باب ما یعالج به تعارض الروایات،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المقدّمات، باب حجّیة أخبار الثقات، الحدیث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المقدّمات، باب حجّیة أخبار الثقات، الحدیث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المقدّمات، باب حجّیة أخبار الثقات، الحدیث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المقدّمات، باب حجّیة أخبار الثقات،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المقدّمات، باب عدم حجّیة القیاس و الرّأی،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کفایة الأصول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الفائدة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الأربعاء، السادس من شهر جمادی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الإمام الخمینی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باب حجّیة أخبار الثقات، الحدیث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المحقّق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فصل ماء البئر،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 النجاسات،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footnotes" Target="footnotes.xml"/><Relationship Id="rId532" Type="http://schemas.openxmlformats.org/officeDocument/2006/relationships/numbering" Target="numbering.xml"/><Relationship Id="rId533" Type="http://schemas.openxmlformats.org/officeDocument/2006/relationships/fontTable" Target="fontTable.xml"/><Relationship Id="rId534" Type="http://schemas.openxmlformats.org/officeDocument/2006/relationships/settings" Target="settings.xml"/><Relationship Id="rId5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46682</Words>
  <Characters>199607</Characters>
  <CharactersWithSpaces>244801</CharactersWithSpaces>
  <Paragraphs>1489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2026-08-24T01:15:07Z</dcterms:created>
  <dc:creator>ghaemiyeh.com</dc:creator>
  <dc:description/>
  <dc:language>en-US</dc:language>
  <cp:lastModifiedBy/>
  <dcterms:modified xsi:type="dcterms:W3CDTF">2026-08-24T04:45:34Z</dcterms:modified>
  <cp:revision>1</cp:revision>
  <dc:subject/>
  <dc:title>تحریرات فی الاصول جلد 6</dc:title>
</cp:coreProperties>
</file>

<file path=docProps/custom.xml><?xml version="1.0" encoding="utf-8"?>
<Properties xmlns="http://schemas.openxmlformats.org/officeDocument/2006/custom-properties" xmlns:vt="http://schemas.openxmlformats.org/officeDocument/2006/docPropsVTypes"/>
</file>