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التعلیقه علی فرائد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6260_3224264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646262_3224264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646264_3224264995">
            <w:r>
              <w:rPr>
                <w:webHidden/>
                <w:rStyle w:val="IndexLink"/>
                <w:rtl w:val="true"/>
              </w:rPr>
              <w:t>[</w:t>
            </w:r>
            <w:r>
              <w:rPr>
                <w:rStyle w:val="IndexLink"/>
                <w:rtl w:val="true"/>
              </w:rPr>
              <w:t>تتمة مباحث الظن</w:t>
            </w:r>
            <w:r>
              <w:rPr>
                <w:rStyle w:val="IndexLink"/>
                <w:rtl w:val="true"/>
              </w:rPr>
              <w:t>]</w:t>
              <w:tab/>
            </w:r>
            <w:r>
              <w:rPr>
                <w:rStyle w:val="IndexLink"/>
              </w:rPr>
              <w:t>20</w:t>
            </w:r>
          </w:hyperlink>
        </w:p>
        <w:p>
          <w:pPr>
            <w:pStyle w:val="Contents3"/>
            <w:tabs>
              <w:tab w:val="clear" w:pos="8459"/>
              <w:tab w:val="right" w:pos="9026" w:leader="dot"/>
            </w:tabs>
            <w:rPr/>
          </w:pPr>
          <w:hyperlink w:anchor="__RefHeading___Toc2646266_3224264995">
            <w:r>
              <w:rPr>
                <w:webHidden/>
                <w:rStyle w:val="IndexLink"/>
                <w:rtl w:val="true"/>
              </w:rPr>
              <w:t>[</w:t>
            </w:r>
            <w:r>
              <w:rPr>
                <w:rStyle w:val="IndexLink"/>
                <w:rtl w:val="true"/>
              </w:rPr>
              <w:t xml:space="preserve">الثانی حجیة مطلق الظن </w:t>
            </w:r>
            <w:r>
              <w:rPr>
                <w:rStyle w:val="IndexLink"/>
                <w:rtl w:val="true"/>
              </w:rPr>
              <w:t>(</w:t>
            </w:r>
            <w:r>
              <w:rPr>
                <w:rStyle w:val="IndexLink"/>
                <w:rtl w:val="true"/>
              </w:rPr>
              <w:t>فی مقابل ظنون المعتبرة</w:t>
            </w:r>
            <w:r>
              <w:rPr>
                <w:rStyle w:val="IndexLink"/>
                <w:rtl w:val="true"/>
              </w:rPr>
              <w:t>)]</w:t>
              <w:tab/>
            </w:r>
            <w:r>
              <w:rPr>
                <w:rStyle w:val="IndexLink"/>
              </w:rPr>
              <w:t>20</w:t>
            </w:r>
          </w:hyperlink>
        </w:p>
        <w:p>
          <w:pPr>
            <w:pStyle w:val="Contents4"/>
            <w:tabs>
              <w:tab w:val="clear" w:pos="8176"/>
              <w:tab w:val="right" w:pos="9026" w:leader="dot"/>
            </w:tabs>
            <w:rPr/>
          </w:pPr>
          <w:hyperlink w:anchor="__RefHeading___Toc2646268_3224264995">
            <w:r>
              <w:rPr>
                <w:webHidden/>
                <w:rStyle w:val="IndexLink"/>
                <w:rtl w:val="true"/>
              </w:rPr>
              <w:t>[</w:t>
            </w:r>
            <w:r>
              <w:rPr>
                <w:rStyle w:val="IndexLink"/>
                <w:rtl w:val="true"/>
              </w:rPr>
              <w:t>الاول دفع الضرر المحتمل</w:t>
            </w:r>
            <w:r>
              <w:rPr>
                <w:rStyle w:val="IndexLink"/>
                <w:rtl w:val="true"/>
              </w:rPr>
              <w:t>]</w:t>
              <w:tab/>
            </w:r>
            <w:r>
              <w:rPr>
                <w:rStyle w:val="IndexLink"/>
              </w:rPr>
              <w:t>20</w:t>
            </w:r>
          </w:hyperlink>
        </w:p>
        <w:p>
          <w:pPr>
            <w:pStyle w:val="Contents5"/>
            <w:tabs>
              <w:tab w:val="clear" w:pos="7892"/>
              <w:tab w:val="right" w:pos="9026" w:leader="dot"/>
            </w:tabs>
            <w:rPr/>
          </w:pPr>
          <w:hyperlink w:anchor="__RefHeading___Toc2646270_3224264995">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2646272_3224264995">
            <w:r>
              <w:rPr>
                <w:webHidden/>
                <w:rStyle w:val="IndexLink"/>
                <w:rtl w:val="true"/>
              </w:rPr>
              <w:t>تذنیب</w:t>
            </w:r>
            <w:r>
              <w:rPr>
                <w:rStyle w:val="IndexLink"/>
                <w:rtl w:val="true"/>
              </w:rPr>
              <w:tab/>
            </w:r>
            <w:r>
              <w:rPr>
                <w:rStyle w:val="IndexLink"/>
              </w:rPr>
              <w:t>21</w:t>
            </w:r>
          </w:hyperlink>
        </w:p>
        <w:p>
          <w:pPr>
            <w:pStyle w:val="Contents5"/>
            <w:tabs>
              <w:tab w:val="clear" w:pos="7892"/>
              <w:tab w:val="right" w:pos="9026" w:leader="dot"/>
            </w:tabs>
            <w:rPr/>
          </w:pPr>
          <w:hyperlink w:anchor="__RefHeading___Toc2646274_3224264995">
            <w:r>
              <w:rPr>
                <w:webHidden/>
                <w:rStyle w:val="IndexLink"/>
                <w:rtl w:val="true"/>
              </w:rPr>
              <w:t>[</w:t>
            </w:r>
            <w:r>
              <w:rPr>
                <w:rStyle w:val="IndexLink"/>
                <w:rtl w:val="true"/>
              </w:rPr>
              <w:t>النظر فی ما نقله عن الضوابط فی قاعدة دفع الضرر</w:t>
            </w:r>
            <w:r>
              <w:rPr>
                <w:rStyle w:val="IndexLink"/>
                <w:rtl w:val="true"/>
              </w:rPr>
              <w:t>]</w:t>
              <w:tab/>
            </w:r>
            <w:r>
              <w:rPr>
                <w:rStyle w:val="IndexLink"/>
              </w:rPr>
              <w:t>21</w:t>
            </w:r>
          </w:hyperlink>
        </w:p>
        <w:p>
          <w:pPr>
            <w:pStyle w:val="Contents5"/>
            <w:tabs>
              <w:tab w:val="clear" w:pos="7892"/>
              <w:tab w:val="right" w:pos="9026" w:leader="dot"/>
            </w:tabs>
            <w:rPr/>
          </w:pPr>
          <w:hyperlink w:anchor="__RefHeading___Toc2646276_3224264995">
            <w:r>
              <w:rPr>
                <w:webHidden/>
                <w:rStyle w:val="IndexLink"/>
                <w:rtl w:val="true"/>
              </w:rPr>
              <w:t>[</w:t>
            </w:r>
            <w:r>
              <w:rPr>
                <w:rStyle w:val="IndexLink"/>
                <w:rtl w:val="true"/>
              </w:rPr>
              <w:t>النظر فی ما نقله عن نتائج الأفکار فی قاعدة الضرر</w:t>
            </w:r>
            <w:r>
              <w:rPr>
                <w:rStyle w:val="IndexLink"/>
                <w:rtl w:val="true"/>
              </w:rPr>
              <w:t>]</w:t>
              <w:tab/>
            </w:r>
            <w:r>
              <w:rPr>
                <w:rStyle w:val="IndexLink"/>
              </w:rPr>
              <w:t>22</w:t>
            </w:r>
          </w:hyperlink>
        </w:p>
        <w:p>
          <w:pPr>
            <w:pStyle w:val="Contents5"/>
            <w:tabs>
              <w:tab w:val="clear" w:pos="7892"/>
              <w:tab w:val="right" w:pos="9026" w:leader="dot"/>
            </w:tabs>
            <w:rPr/>
          </w:pPr>
          <w:hyperlink w:anchor="__RefHeading___Toc2646278_3224264995">
            <w:r>
              <w:rPr>
                <w:webHidden/>
                <w:rStyle w:val="IndexLink"/>
                <w:rtl w:val="true"/>
              </w:rPr>
              <w:t>[</w:t>
            </w:r>
            <w:r>
              <w:rPr>
                <w:rStyle w:val="IndexLink"/>
                <w:rtl w:val="true"/>
              </w:rPr>
              <w:t>اشارة إلی سبب الانصراف</w:t>
            </w:r>
            <w:r>
              <w:rPr>
                <w:rStyle w:val="IndexLink"/>
                <w:rtl w:val="true"/>
              </w:rPr>
              <w:t>]</w:t>
              <w:tab/>
            </w:r>
            <w:r>
              <w:rPr>
                <w:rStyle w:val="IndexLink"/>
              </w:rPr>
              <w:t>25</w:t>
            </w:r>
          </w:hyperlink>
        </w:p>
        <w:p>
          <w:pPr>
            <w:pStyle w:val="Contents4"/>
            <w:tabs>
              <w:tab w:val="clear" w:pos="8176"/>
              <w:tab w:val="right" w:pos="9026" w:leader="dot"/>
            </w:tabs>
            <w:rPr/>
          </w:pPr>
          <w:hyperlink w:anchor="__RefHeading___Toc2646280_3224264995">
            <w:r>
              <w:rPr>
                <w:webHidden/>
                <w:rStyle w:val="IndexLink"/>
                <w:rtl w:val="true"/>
              </w:rPr>
              <w:t>[</w:t>
            </w:r>
            <w:r>
              <w:rPr>
                <w:rStyle w:val="IndexLink"/>
                <w:rtl w:val="true"/>
              </w:rPr>
              <w:t>الثانی انه لو لم یؤخذ بالظن لزم ترجیح المرجوح علی الراجح و هو قبیح</w:t>
            </w:r>
            <w:r>
              <w:rPr>
                <w:rStyle w:val="IndexLink"/>
                <w:rtl w:val="true"/>
              </w:rPr>
              <w:t>]</w:t>
              <w:tab/>
            </w:r>
            <w:r>
              <w:rPr>
                <w:rStyle w:val="IndexLink"/>
              </w:rPr>
              <w:t>26</w:t>
            </w:r>
          </w:hyperlink>
        </w:p>
        <w:p>
          <w:pPr>
            <w:pStyle w:val="Contents4"/>
            <w:tabs>
              <w:tab w:val="clear" w:pos="8176"/>
              <w:tab w:val="right" w:pos="9026" w:leader="dot"/>
            </w:tabs>
            <w:rPr/>
          </w:pPr>
          <w:hyperlink w:anchor="__RefHeading___Toc2646282_3224264995">
            <w:r>
              <w:rPr>
                <w:webHidden/>
                <w:rStyle w:val="IndexLink"/>
                <w:rtl w:val="true"/>
              </w:rPr>
              <w:t>[</w:t>
            </w:r>
            <w:r>
              <w:rPr>
                <w:rStyle w:val="IndexLink"/>
                <w:rtl w:val="true"/>
              </w:rPr>
              <w:t>الثالث ما حکاه الاستاذ عن استاذه السید طباطبائی قدس سرهما</w:t>
            </w:r>
            <w:r>
              <w:rPr>
                <w:rStyle w:val="IndexLink"/>
                <w:rtl w:val="true"/>
              </w:rPr>
              <w:t>]</w:t>
              <w:tab/>
            </w:r>
            <w:r>
              <w:rPr>
                <w:rStyle w:val="IndexLink"/>
              </w:rPr>
              <w:t>27</w:t>
            </w:r>
          </w:hyperlink>
        </w:p>
        <w:p>
          <w:pPr>
            <w:pStyle w:val="Contents4"/>
            <w:tabs>
              <w:tab w:val="clear" w:pos="8176"/>
              <w:tab w:val="right" w:pos="9026" w:leader="dot"/>
            </w:tabs>
            <w:rPr/>
          </w:pPr>
          <w:hyperlink w:anchor="__RefHeading___Toc2646284_3224264995">
            <w:r>
              <w:rPr>
                <w:webHidden/>
                <w:rStyle w:val="IndexLink"/>
                <w:rtl w:val="true"/>
              </w:rPr>
              <w:t>[</w:t>
            </w:r>
            <w:r>
              <w:rPr>
                <w:rStyle w:val="IndexLink"/>
                <w:rtl w:val="true"/>
              </w:rPr>
              <w:t>الدلیل الرابع هو الدلیل المعروف بدلیل الانسداد</w:t>
            </w:r>
            <w:r>
              <w:rPr>
                <w:rStyle w:val="IndexLink"/>
                <w:rtl w:val="true"/>
              </w:rPr>
              <w:t>]</w:t>
              <w:tab/>
            </w:r>
            <w:r>
              <w:rPr>
                <w:rStyle w:val="IndexLink"/>
              </w:rPr>
              <w:t>28</w:t>
            </w:r>
          </w:hyperlink>
        </w:p>
        <w:p>
          <w:pPr>
            <w:pStyle w:val="Contents5"/>
            <w:tabs>
              <w:tab w:val="clear" w:pos="7892"/>
              <w:tab w:val="right" w:pos="9026" w:leader="dot"/>
            </w:tabs>
            <w:rPr/>
          </w:pPr>
          <w:hyperlink w:anchor="__RefHeading___Toc2646286_3224264995">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2646288_3224264995">
            <w:r>
              <w:rPr>
                <w:webHidden/>
                <w:rStyle w:val="IndexLink"/>
                <w:rtl w:val="true"/>
              </w:rPr>
              <w:t>[</w:t>
            </w:r>
            <w:r>
              <w:rPr>
                <w:rStyle w:val="IndexLink"/>
                <w:rtl w:val="true"/>
              </w:rPr>
              <w:t>تسدید دلیل الانسداد</w:t>
            </w:r>
            <w:r>
              <w:rPr>
                <w:rStyle w:val="IndexLink"/>
                <w:rtl w:val="true"/>
              </w:rPr>
              <w:t>]</w:t>
              <w:tab/>
            </w:r>
            <w:r>
              <w:rPr>
                <w:rStyle w:val="IndexLink"/>
              </w:rPr>
              <w:t>30</w:t>
            </w:r>
          </w:hyperlink>
        </w:p>
        <w:p>
          <w:pPr>
            <w:pStyle w:val="Contents5"/>
            <w:tabs>
              <w:tab w:val="clear" w:pos="7892"/>
              <w:tab w:val="right" w:pos="9026" w:leader="dot"/>
            </w:tabs>
            <w:rPr/>
          </w:pPr>
          <w:hyperlink w:anchor="__RefHeading___Toc2646290_3224264995">
            <w:r>
              <w:rPr>
                <w:webHidden/>
                <w:rStyle w:val="IndexLink"/>
                <w:rtl w:val="true"/>
              </w:rPr>
              <w:t>[</w:t>
            </w:r>
            <w:r>
              <w:rPr>
                <w:rStyle w:val="IndexLink"/>
                <w:rtl w:val="true"/>
              </w:rPr>
              <w:t>مورد الحاجة إلی دلیل الانسداد علی حجّیة مطلق الظن</w:t>
            </w:r>
            <w:r>
              <w:rPr>
                <w:rStyle w:val="IndexLink"/>
                <w:rtl w:val="true"/>
              </w:rPr>
              <w:t>]</w:t>
              <w:tab/>
            </w:r>
            <w:r>
              <w:rPr>
                <w:rStyle w:val="IndexLink"/>
              </w:rPr>
              <w:t>31</w:t>
            </w:r>
          </w:hyperlink>
        </w:p>
        <w:p>
          <w:pPr>
            <w:pStyle w:val="Contents5"/>
            <w:tabs>
              <w:tab w:val="clear" w:pos="7892"/>
              <w:tab w:val="right" w:pos="9026" w:leader="dot"/>
            </w:tabs>
            <w:rPr/>
          </w:pPr>
          <w:hyperlink w:anchor="__RefHeading___Toc2646292_3224264995">
            <w:r>
              <w:rPr>
                <w:webHidden/>
                <w:rStyle w:val="IndexLink"/>
                <w:rtl w:val="true"/>
              </w:rPr>
              <w:t>[</w:t>
            </w:r>
            <w:r>
              <w:rPr>
                <w:rStyle w:val="IndexLink"/>
                <w:rtl w:val="true"/>
              </w:rPr>
              <w:t>رجوع جلّ مقدّمات الاجتهاد إلی مطلق الظن غالبا</w:t>
            </w:r>
            <w:r>
              <w:rPr>
                <w:rStyle w:val="IndexLink"/>
                <w:rtl w:val="true"/>
              </w:rPr>
              <w:t>]</w:t>
              <w:tab/>
            </w:r>
            <w:r>
              <w:rPr>
                <w:rStyle w:val="IndexLink"/>
              </w:rPr>
              <w:t>31</w:t>
            </w:r>
          </w:hyperlink>
        </w:p>
        <w:p>
          <w:pPr>
            <w:pStyle w:val="Contents5"/>
            <w:tabs>
              <w:tab w:val="clear" w:pos="7892"/>
              <w:tab w:val="right" w:pos="9026" w:leader="dot"/>
            </w:tabs>
            <w:rPr/>
          </w:pPr>
          <w:hyperlink w:anchor="__RefHeading___Toc2646294_3224264995">
            <w:r>
              <w:rPr>
                <w:webHidden/>
                <w:rStyle w:val="IndexLink"/>
                <w:rtl w:val="true"/>
              </w:rPr>
              <w:t>[</w:t>
            </w:r>
            <w:r>
              <w:rPr>
                <w:rStyle w:val="IndexLink"/>
                <w:rtl w:val="true"/>
              </w:rPr>
              <w:t>المتیقن من حجّیة الظن فی تشخیص الظواهر و دفع الموانع</w:t>
            </w:r>
            <w:r>
              <w:rPr>
                <w:rStyle w:val="IndexLink"/>
                <w:rtl w:val="true"/>
              </w:rPr>
              <w:t>]</w:t>
              <w:tab/>
            </w:r>
            <w:r>
              <w:rPr>
                <w:rStyle w:val="IndexLink"/>
              </w:rPr>
              <w:t>32</w:t>
            </w:r>
          </w:hyperlink>
        </w:p>
        <w:p>
          <w:pPr>
            <w:pStyle w:val="Contents5"/>
            <w:tabs>
              <w:tab w:val="clear" w:pos="7892"/>
              <w:tab w:val="right" w:pos="9026" w:leader="dot"/>
            </w:tabs>
            <w:rPr/>
          </w:pPr>
          <w:hyperlink w:anchor="__RefHeading___Toc2646296_3224264995">
            <w:r>
              <w:rPr>
                <w:webHidden/>
                <w:rStyle w:val="IndexLink"/>
                <w:rtl w:val="true"/>
              </w:rPr>
              <w:t>[</w:t>
            </w:r>
            <w:r>
              <w:rPr>
                <w:rStyle w:val="IndexLink"/>
                <w:rtl w:val="true"/>
              </w:rPr>
              <w:t>اشارة إلی حجّیة ظن الخبیر من باب الظن الخاص</w:t>
            </w:r>
            <w:r>
              <w:rPr>
                <w:rStyle w:val="IndexLink"/>
                <w:rtl w:val="true"/>
              </w:rPr>
              <w:t>]</w:t>
              <w:tab/>
            </w:r>
            <w:r>
              <w:rPr>
                <w:rStyle w:val="IndexLink"/>
              </w:rPr>
              <w:t>36</w:t>
            </w:r>
          </w:hyperlink>
        </w:p>
        <w:p>
          <w:pPr>
            <w:pStyle w:val="Contents5"/>
            <w:tabs>
              <w:tab w:val="clear" w:pos="7892"/>
              <w:tab w:val="right" w:pos="9026" w:leader="dot"/>
            </w:tabs>
            <w:rPr/>
          </w:pPr>
          <w:hyperlink w:anchor="__RefHeading___Toc2646298_3224264995">
            <w:r>
              <w:rPr>
                <w:webHidden/>
                <w:rStyle w:val="IndexLink"/>
                <w:rtl w:val="true"/>
              </w:rPr>
              <w:t>[</w:t>
            </w:r>
            <w:r>
              <w:rPr>
                <w:rStyle w:val="IndexLink"/>
                <w:rtl w:val="true"/>
              </w:rPr>
              <w:t>عدم اعتبار اجتهاد أهل الخبرة لمثله ممّن یخالفه فی الرأی فی محلّ الخلاف</w:t>
            </w:r>
            <w:r>
              <w:rPr>
                <w:rStyle w:val="IndexLink"/>
                <w:rtl w:val="true"/>
              </w:rPr>
              <w:t>]</w:t>
              <w:tab/>
            </w:r>
            <w:r>
              <w:rPr>
                <w:rStyle w:val="IndexLink"/>
              </w:rPr>
              <w:t>37</w:t>
            </w:r>
          </w:hyperlink>
        </w:p>
        <w:p>
          <w:pPr>
            <w:pStyle w:val="Contents5"/>
            <w:tabs>
              <w:tab w:val="clear" w:pos="7892"/>
              <w:tab w:val="right" w:pos="9026" w:leader="dot"/>
            </w:tabs>
            <w:rPr/>
          </w:pPr>
          <w:hyperlink w:anchor="__RefHeading___Toc2646300_3224264995">
            <w:r>
              <w:rPr>
                <w:webHidden/>
                <w:rStyle w:val="IndexLink"/>
                <w:rtl w:val="true"/>
              </w:rPr>
              <w:t>[</w:t>
            </w:r>
            <w:r>
              <w:rPr>
                <w:rStyle w:val="IndexLink"/>
                <w:rtl w:val="true"/>
              </w:rPr>
              <w:t>تقلید المیت</w:t>
            </w:r>
            <w:r>
              <w:rPr>
                <w:rStyle w:val="IndexLink"/>
                <w:rtl w:val="true"/>
              </w:rPr>
              <w:t>]</w:t>
              <w:tab/>
            </w:r>
            <w:r>
              <w:rPr>
                <w:rStyle w:val="IndexLink"/>
              </w:rPr>
              <w:t>37</w:t>
            </w:r>
          </w:hyperlink>
        </w:p>
        <w:p>
          <w:pPr>
            <w:pStyle w:val="Contents5"/>
            <w:tabs>
              <w:tab w:val="clear" w:pos="7892"/>
              <w:tab w:val="right" w:pos="9026" w:leader="dot"/>
            </w:tabs>
            <w:rPr/>
          </w:pPr>
          <w:hyperlink w:anchor="__RefHeading___Toc2646302_3224264995">
            <w:r>
              <w:rPr>
                <w:webHidden/>
                <w:rStyle w:val="IndexLink"/>
                <w:rtl w:val="true"/>
              </w:rPr>
              <w:t>[</w:t>
            </w:r>
            <w:r>
              <w:rPr>
                <w:rStyle w:val="IndexLink"/>
                <w:rtl w:val="true"/>
              </w:rPr>
              <w:t>المراد من استلزام اجراء البراءة للخروج من الدین</w:t>
            </w:r>
            <w:r>
              <w:rPr>
                <w:rStyle w:val="IndexLink"/>
                <w:rtl w:val="true"/>
              </w:rPr>
              <w:t>]</w:t>
              <w:tab/>
            </w:r>
            <w:r>
              <w:rPr>
                <w:rStyle w:val="IndexLink"/>
              </w:rPr>
              <w:t>38</w:t>
            </w:r>
          </w:hyperlink>
        </w:p>
        <w:p>
          <w:pPr>
            <w:pStyle w:val="Contents5"/>
            <w:tabs>
              <w:tab w:val="clear" w:pos="7892"/>
              <w:tab w:val="right" w:pos="9026" w:leader="dot"/>
            </w:tabs>
            <w:rPr/>
          </w:pPr>
          <w:hyperlink w:anchor="__RefHeading___Toc2646304_3224264995">
            <w:r>
              <w:rPr>
                <w:webHidden/>
                <w:rStyle w:val="IndexLink"/>
                <w:rtl w:val="true"/>
              </w:rPr>
              <w:t>[</w:t>
            </w:r>
            <w:r>
              <w:rPr>
                <w:rStyle w:val="IndexLink"/>
                <w:rtl w:val="true"/>
              </w:rPr>
              <w:t>النظر فی کلام الماتن حیث استشهد بکلام العلّامة و الفاضل المقداد</w:t>
            </w:r>
            <w:r>
              <w:rPr>
                <w:rStyle w:val="IndexLink"/>
                <w:rtl w:val="true"/>
              </w:rPr>
              <w:t>]</w:t>
              <w:tab/>
            </w:r>
            <w:r>
              <w:rPr>
                <w:rStyle w:val="IndexLink"/>
              </w:rPr>
              <w:t>39</w:t>
            </w:r>
          </w:hyperlink>
        </w:p>
        <w:p>
          <w:pPr>
            <w:pStyle w:val="Contents5"/>
            <w:tabs>
              <w:tab w:val="clear" w:pos="7892"/>
              <w:tab w:val="right" w:pos="9026" w:leader="dot"/>
            </w:tabs>
            <w:rPr/>
          </w:pPr>
          <w:hyperlink w:anchor="__RefHeading___Toc2646306_3224264995">
            <w:r>
              <w:rPr>
                <w:webHidden/>
                <w:rStyle w:val="IndexLink"/>
                <w:rtl w:val="true"/>
              </w:rPr>
              <w:t>[</w:t>
            </w:r>
            <w:r>
              <w:rPr>
                <w:rStyle w:val="IndexLink"/>
                <w:rtl w:val="true"/>
              </w:rPr>
              <w:t>لا یستحیل اجتماع الظن بالبراءة مع العلم الإجمالی علی مذهب صاحب القوانین</w:t>
            </w:r>
            <w:r>
              <w:rPr>
                <w:rStyle w:val="IndexLink"/>
                <w:rtl w:val="true"/>
              </w:rPr>
              <w:t>]</w:t>
              <w:tab/>
            </w:r>
            <w:r>
              <w:rPr>
                <w:rStyle w:val="IndexLink"/>
              </w:rPr>
              <w:t>40</w:t>
            </w:r>
          </w:hyperlink>
        </w:p>
        <w:p>
          <w:pPr>
            <w:pStyle w:val="Contents5"/>
            <w:tabs>
              <w:tab w:val="clear" w:pos="7892"/>
              <w:tab w:val="right" w:pos="9026" w:leader="dot"/>
            </w:tabs>
            <w:rPr/>
          </w:pPr>
          <w:hyperlink w:anchor="__RefHeading___Toc2646308_3224264995">
            <w:r>
              <w:rPr>
                <w:webHidden/>
                <w:rStyle w:val="IndexLink"/>
                <w:rtl w:val="true"/>
              </w:rPr>
              <w:t>[</w:t>
            </w:r>
            <w:r>
              <w:rPr>
                <w:rStyle w:val="IndexLink"/>
                <w:rtl w:val="true"/>
              </w:rPr>
              <w:t>قبح العقاب بلا بیان حکم شرعی</w:t>
            </w:r>
            <w:r>
              <w:rPr>
                <w:rStyle w:val="IndexLink"/>
                <w:rtl w:val="true"/>
              </w:rPr>
              <w:t>]</w:t>
              <w:tab/>
            </w:r>
            <w:r>
              <w:rPr>
                <w:rStyle w:val="IndexLink"/>
              </w:rPr>
              <w:t>41</w:t>
            </w:r>
          </w:hyperlink>
        </w:p>
        <w:p>
          <w:pPr>
            <w:pStyle w:val="Contents5"/>
            <w:tabs>
              <w:tab w:val="clear" w:pos="7892"/>
              <w:tab w:val="right" w:pos="9026" w:leader="dot"/>
            </w:tabs>
            <w:rPr/>
          </w:pPr>
          <w:hyperlink w:anchor="__RefHeading___Toc2646310_3224264995">
            <w:r>
              <w:rPr>
                <w:webHidden/>
                <w:rStyle w:val="IndexLink"/>
                <w:rtl w:val="true"/>
              </w:rPr>
              <w:t>[</w:t>
            </w:r>
            <w:r>
              <w:rPr>
                <w:rStyle w:val="IndexLink"/>
                <w:rtl w:val="true"/>
              </w:rPr>
              <w:t>النظر إلی المعجزة</w:t>
            </w:r>
            <w:r>
              <w:rPr>
                <w:rStyle w:val="IndexLink"/>
                <w:rtl w:val="true"/>
              </w:rPr>
              <w:t>]</w:t>
              <w:tab/>
            </w:r>
            <w:r>
              <w:rPr>
                <w:rStyle w:val="IndexLink"/>
              </w:rPr>
              <w:t>44</w:t>
            </w:r>
          </w:hyperlink>
        </w:p>
        <w:p>
          <w:pPr>
            <w:pStyle w:val="Contents5"/>
            <w:tabs>
              <w:tab w:val="clear" w:pos="7892"/>
              <w:tab w:val="right" w:pos="9026" w:leader="dot"/>
            </w:tabs>
            <w:rPr/>
          </w:pPr>
          <w:hyperlink w:anchor="__RefHeading___Toc2646312_3224264995">
            <w:r>
              <w:rPr>
                <w:webHidden/>
                <w:rStyle w:val="IndexLink"/>
                <w:rtl w:val="true"/>
              </w:rPr>
              <w:t>[</w:t>
            </w:r>
            <w:r>
              <w:rPr>
                <w:rStyle w:val="IndexLink"/>
                <w:rtl w:val="true"/>
              </w:rPr>
              <w:t>عدم کفایة أصل عدم ترتّب الأثر فی جمیع الفقه</w:t>
            </w:r>
            <w:r>
              <w:rPr>
                <w:rStyle w:val="IndexLink"/>
                <w:rtl w:val="true"/>
              </w:rPr>
              <w:t>]</w:t>
              <w:tab/>
            </w:r>
            <w:r>
              <w:rPr>
                <w:rStyle w:val="IndexLink"/>
              </w:rPr>
              <w:t>45</w:t>
            </w:r>
          </w:hyperlink>
        </w:p>
        <w:p>
          <w:pPr>
            <w:pStyle w:val="Contents5"/>
            <w:tabs>
              <w:tab w:val="clear" w:pos="7892"/>
              <w:tab w:val="right" w:pos="9026" w:leader="dot"/>
            </w:tabs>
            <w:rPr/>
          </w:pPr>
          <w:hyperlink w:anchor="__RefHeading___Toc2646314_3224264995">
            <w:r>
              <w:rPr>
                <w:webHidden/>
                <w:rStyle w:val="IndexLink"/>
                <w:rtl w:val="true"/>
              </w:rPr>
              <w:t>[</w:t>
            </w:r>
            <w:r>
              <w:rPr>
                <w:rStyle w:val="IndexLink"/>
                <w:rtl w:val="true"/>
              </w:rPr>
              <w:t>دفع وهم عن الاجماع علی عدم وجوب الاحتیاط فی جمیع الشبهات</w:t>
            </w:r>
            <w:r>
              <w:rPr>
                <w:rStyle w:val="IndexLink"/>
                <w:rtl w:val="true"/>
              </w:rPr>
              <w:t>]</w:t>
              <w:tab/>
            </w:r>
            <w:r>
              <w:rPr>
                <w:rStyle w:val="IndexLink"/>
              </w:rPr>
              <w:t>45</w:t>
            </w:r>
          </w:hyperlink>
        </w:p>
        <w:p>
          <w:pPr>
            <w:pStyle w:val="Contents5"/>
            <w:tabs>
              <w:tab w:val="clear" w:pos="7892"/>
              <w:tab w:val="right" w:pos="9026" w:leader="dot"/>
            </w:tabs>
            <w:rPr/>
          </w:pPr>
          <w:hyperlink w:anchor="__RefHeading___Toc2646316_3224264995">
            <w:r>
              <w:rPr>
                <w:webHidden/>
                <w:rStyle w:val="IndexLink"/>
                <w:rtl w:val="true"/>
              </w:rPr>
              <w:t>[</w:t>
            </w:r>
            <w:r>
              <w:rPr>
                <w:rStyle w:val="IndexLink"/>
                <w:rtl w:val="true"/>
              </w:rPr>
              <w:t>عدم الحاجة إلی تقدیم الاجماع علی عدم وجوب الاحتیاط مقدمة لدلیل الانسداد</w:t>
            </w:r>
            <w:r>
              <w:rPr>
                <w:rStyle w:val="IndexLink"/>
                <w:rtl w:val="true"/>
              </w:rPr>
              <w:t>]</w:t>
              <w:tab/>
            </w:r>
            <w:r>
              <w:rPr>
                <w:rStyle w:val="IndexLink"/>
              </w:rPr>
              <w:t>46</w:t>
            </w:r>
          </w:hyperlink>
        </w:p>
        <w:p>
          <w:pPr>
            <w:pStyle w:val="Contents5"/>
            <w:tabs>
              <w:tab w:val="clear" w:pos="7892"/>
              <w:tab w:val="right" w:pos="9026" w:leader="dot"/>
            </w:tabs>
            <w:rPr/>
          </w:pPr>
          <w:hyperlink w:anchor="__RefHeading___Toc2646318_3224264995">
            <w:r>
              <w:rPr>
                <w:webHidden/>
                <w:rStyle w:val="IndexLink"/>
                <w:rtl w:val="true"/>
              </w:rPr>
              <w:t>[</w:t>
            </w:r>
            <w:r>
              <w:rPr>
                <w:rStyle w:val="IndexLink"/>
                <w:rtl w:val="true"/>
              </w:rPr>
              <w:t>نفی العسر و الحرج بالأدلّة الأربعة و دفع الایراد عنه</w:t>
            </w:r>
            <w:r>
              <w:rPr>
                <w:rStyle w:val="IndexLink"/>
                <w:rtl w:val="true"/>
              </w:rPr>
              <w:t>]</w:t>
              <w:tab/>
            </w:r>
            <w:r>
              <w:rPr>
                <w:rStyle w:val="IndexLink"/>
              </w:rPr>
              <w:t>47</w:t>
            </w:r>
          </w:hyperlink>
        </w:p>
        <w:p>
          <w:pPr>
            <w:pStyle w:val="Contents5"/>
            <w:tabs>
              <w:tab w:val="clear" w:pos="7892"/>
              <w:tab w:val="right" w:pos="9026" w:leader="dot"/>
            </w:tabs>
            <w:rPr/>
          </w:pPr>
          <w:hyperlink w:anchor="__RefHeading___Toc2646320_3224264995">
            <w:r>
              <w:rPr>
                <w:webHidden/>
                <w:rStyle w:val="IndexLink"/>
                <w:rtl w:val="true"/>
              </w:rPr>
              <w:t>[</w:t>
            </w:r>
            <w:r>
              <w:rPr>
                <w:rStyle w:val="IndexLink"/>
                <w:rtl w:val="true"/>
              </w:rPr>
              <w:t>معنی العسر المنفی عن الدین</w:t>
            </w:r>
            <w:r>
              <w:rPr>
                <w:rStyle w:val="IndexLink"/>
                <w:rtl w:val="true"/>
              </w:rPr>
              <w:t>]</w:t>
              <w:tab/>
            </w:r>
            <w:r>
              <w:rPr>
                <w:rStyle w:val="IndexLink"/>
              </w:rPr>
              <w:t>47</w:t>
            </w:r>
          </w:hyperlink>
        </w:p>
        <w:p>
          <w:pPr>
            <w:pStyle w:val="Contents5"/>
            <w:tabs>
              <w:tab w:val="clear" w:pos="7892"/>
              <w:tab w:val="right" w:pos="9026" w:leader="dot"/>
            </w:tabs>
            <w:rPr/>
          </w:pPr>
          <w:hyperlink w:anchor="__RefHeading___Toc2646322_3224264995">
            <w:r>
              <w:rPr>
                <w:webHidden/>
                <w:rStyle w:val="IndexLink"/>
                <w:rtl w:val="true"/>
              </w:rPr>
              <w:t>[</w:t>
            </w:r>
            <w:r>
              <w:rPr>
                <w:rStyle w:val="IndexLink"/>
                <w:rtl w:val="true"/>
              </w:rPr>
              <w:t>أدلّة نفی العسر و الحرج تتعرّض لحال سائر القواعد و العمومات</w:t>
            </w:r>
            <w:r>
              <w:rPr>
                <w:rStyle w:val="IndexLink"/>
                <w:rtl w:val="true"/>
              </w:rPr>
              <w:t>]</w:t>
              <w:tab/>
            </w:r>
            <w:r>
              <w:rPr>
                <w:rStyle w:val="IndexLink"/>
              </w:rPr>
              <w:t>50</w:t>
            </w:r>
          </w:hyperlink>
        </w:p>
        <w:p>
          <w:pPr>
            <w:pStyle w:val="Contents5"/>
            <w:tabs>
              <w:tab w:val="clear" w:pos="7892"/>
              <w:tab w:val="right" w:pos="9026" w:leader="dot"/>
            </w:tabs>
            <w:rPr/>
          </w:pPr>
          <w:hyperlink w:anchor="__RefHeading___Toc2646324_3224264995">
            <w:r>
              <w:rPr>
                <w:webHidden/>
                <w:rStyle w:val="IndexLink"/>
                <w:rtl w:val="true"/>
              </w:rPr>
              <w:t>[</w:t>
            </w:r>
            <w:r>
              <w:rPr>
                <w:rStyle w:val="IndexLink"/>
                <w:rtl w:val="true"/>
              </w:rPr>
              <w:t>المرفوع بحدیث رفع العسر و الحرج</w:t>
            </w:r>
            <w:r>
              <w:rPr>
                <w:rStyle w:val="IndexLink"/>
                <w:rtl w:val="true"/>
              </w:rPr>
              <w:t>]</w:t>
              <w:tab/>
            </w:r>
            <w:r>
              <w:rPr>
                <w:rStyle w:val="IndexLink"/>
              </w:rPr>
              <w:t>55</w:t>
            </w:r>
          </w:hyperlink>
        </w:p>
        <w:p>
          <w:pPr>
            <w:pStyle w:val="Contents5"/>
            <w:tabs>
              <w:tab w:val="clear" w:pos="7892"/>
              <w:tab w:val="right" w:pos="9026" w:leader="dot"/>
            </w:tabs>
            <w:rPr/>
          </w:pPr>
          <w:hyperlink w:anchor="__RefHeading___Toc2646326_3224264995">
            <w:r>
              <w:rPr>
                <w:webHidden/>
                <w:rStyle w:val="IndexLink"/>
                <w:rtl w:val="true"/>
              </w:rPr>
              <w:t>[</w:t>
            </w:r>
            <w:r>
              <w:rPr>
                <w:rStyle w:val="IndexLink"/>
                <w:rtl w:val="true"/>
              </w:rPr>
              <w:t>جمیع مراتب التکلیف لا یخلو عن نوع من العسر</w:t>
            </w:r>
            <w:r>
              <w:rPr>
                <w:rStyle w:val="IndexLink"/>
                <w:rtl w:val="true"/>
              </w:rPr>
              <w:t>]</w:t>
              <w:tab/>
            </w:r>
            <w:r>
              <w:rPr>
                <w:rStyle w:val="IndexLink"/>
              </w:rPr>
              <w:t>55</w:t>
            </w:r>
          </w:hyperlink>
        </w:p>
        <w:p>
          <w:pPr>
            <w:pStyle w:val="Contents5"/>
            <w:tabs>
              <w:tab w:val="clear" w:pos="7892"/>
              <w:tab w:val="right" w:pos="9026" w:leader="dot"/>
            </w:tabs>
            <w:rPr/>
          </w:pPr>
          <w:hyperlink w:anchor="__RefHeading___Toc2646328_3224264995">
            <w:r>
              <w:rPr>
                <w:webHidden/>
                <w:rStyle w:val="IndexLink"/>
                <w:rtl w:val="true"/>
              </w:rPr>
              <w:t>[</w:t>
            </w:r>
            <w:r>
              <w:rPr>
                <w:rStyle w:val="IndexLink"/>
                <w:rtl w:val="true"/>
              </w:rPr>
              <w:t>تعریض باستظهار النراقی کلام صاحب القوانین</w:t>
            </w:r>
            <w:r>
              <w:rPr>
                <w:rStyle w:val="IndexLink"/>
                <w:rtl w:val="true"/>
              </w:rPr>
              <w:t>]</w:t>
              <w:tab/>
            </w:r>
            <w:r>
              <w:rPr>
                <w:rStyle w:val="IndexLink"/>
              </w:rPr>
              <w:t>56</w:t>
            </w:r>
          </w:hyperlink>
        </w:p>
        <w:p>
          <w:pPr>
            <w:pStyle w:val="Contents5"/>
            <w:tabs>
              <w:tab w:val="clear" w:pos="7892"/>
              <w:tab w:val="right" w:pos="9026" w:leader="dot"/>
            </w:tabs>
            <w:rPr/>
          </w:pPr>
          <w:hyperlink w:anchor="__RefHeading___Toc2646330_3224264995">
            <w:r>
              <w:rPr>
                <w:webHidden/>
                <w:rStyle w:val="IndexLink"/>
                <w:rtl w:val="true"/>
              </w:rPr>
              <w:t>[</w:t>
            </w:r>
            <w:r>
              <w:rPr>
                <w:rStyle w:val="IndexLink"/>
                <w:rtl w:val="true"/>
              </w:rPr>
              <w:t>هل المدار علی العسر الشخصی أو النوعی منه</w:t>
            </w:r>
            <w:r>
              <w:rPr>
                <w:rStyle w:val="IndexLink"/>
                <w:rtl w:val="true"/>
              </w:rPr>
              <w:t>]</w:t>
              <w:tab/>
            </w:r>
            <w:r>
              <w:rPr>
                <w:rStyle w:val="IndexLink"/>
              </w:rPr>
              <w:t>56</w:t>
            </w:r>
          </w:hyperlink>
        </w:p>
        <w:p>
          <w:pPr>
            <w:pStyle w:val="Contents5"/>
            <w:tabs>
              <w:tab w:val="clear" w:pos="7892"/>
              <w:tab w:val="right" w:pos="9026" w:leader="dot"/>
            </w:tabs>
            <w:rPr/>
          </w:pPr>
          <w:hyperlink w:anchor="__RefHeading___Toc2646332_3224264995">
            <w:r>
              <w:rPr>
                <w:webHidden/>
                <w:rStyle w:val="IndexLink"/>
                <w:rtl w:val="true"/>
              </w:rPr>
              <w:t>[</w:t>
            </w:r>
            <w:r>
              <w:rPr>
                <w:rStyle w:val="IndexLink"/>
                <w:rtl w:val="true"/>
              </w:rPr>
              <w:t>أحکام الشرع و سیاساته مبنیّة علی طبق أحکام العقلاء و سیاساتهم</w:t>
            </w:r>
            <w:r>
              <w:rPr>
                <w:rStyle w:val="IndexLink"/>
                <w:rtl w:val="true"/>
              </w:rPr>
              <w:t>]</w:t>
              <w:tab/>
            </w:r>
            <w:r>
              <w:rPr>
                <w:rStyle w:val="IndexLink"/>
              </w:rPr>
              <w:t>57</w:t>
            </w:r>
          </w:hyperlink>
        </w:p>
        <w:p>
          <w:pPr>
            <w:pStyle w:val="Contents5"/>
            <w:tabs>
              <w:tab w:val="clear" w:pos="7892"/>
              <w:tab w:val="right" w:pos="9026" w:leader="dot"/>
            </w:tabs>
            <w:rPr/>
          </w:pPr>
          <w:hyperlink w:anchor="__RefHeading___Toc2646334_3224264995">
            <w:r>
              <w:rPr>
                <w:webHidden/>
                <w:rStyle w:val="IndexLink"/>
                <w:rtl w:val="true"/>
              </w:rPr>
              <w:t>[</w:t>
            </w:r>
            <w:r>
              <w:rPr>
                <w:rStyle w:val="IndexLink"/>
                <w:rtl w:val="true"/>
              </w:rPr>
              <w:t>توجیه امکان اجتماع الظن التفصیلی علی خلاف العلم الإجمالی</w:t>
            </w:r>
            <w:r>
              <w:rPr>
                <w:rStyle w:val="IndexLink"/>
                <w:rtl w:val="true"/>
              </w:rPr>
              <w:t>]</w:t>
              <w:tab/>
            </w:r>
            <w:r>
              <w:rPr>
                <w:rStyle w:val="IndexLink"/>
              </w:rPr>
              <w:t>59</w:t>
            </w:r>
          </w:hyperlink>
        </w:p>
        <w:p>
          <w:pPr>
            <w:pStyle w:val="Contents5"/>
            <w:tabs>
              <w:tab w:val="clear" w:pos="7892"/>
              <w:tab w:val="right" w:pos="9026" w:leader="dot"/>
            </w:tabs>
            <w:rPr/>
          </w:pPr>
          <w:hyperlink w:anchor="__RefHeading___Toc2646336_3224264995">
            <w:r>
              <w:rPr>
                <w:webHidden/>
                <w:rStyle w:val="IndexLink"/>
                <w:rtl w:val="true"/>
              </w:rPr>
              <w:t>[</w:t>
            </w:r>
            <w:r>
              <w:rPr>
                <w:rStyle w:val="IndexLink"/>
                <w:rtl w:val="true"/>
              </w:rPr>
              <w:t>ایراد علی کلام الماتن فی ردّ الاشکال بالمعارضة بین أدلّة نفی العسر و الحرج و أدلّة حرمة العمل بالظن</w:t>
            </w:r>
            <w:r>
              <w:rPr>
                <w:rStyle w:val="IndexLink"/>
                <w:rtl w:val="true"/>
              </w:rPr>
              <w:t>]</w:t>
              <w:tab/>
            </w:r>
            <w:r>
              <w:rPr>
                <w:rStyle w:val="IndexLink"/>
              </w:rPr>
              <w:t>59</w:t>
            </w:r>
          </w:hyperlink>
        </w:p>
        <w:p>
          <w:pPr>
            <w:pStyle w:val="Contents5"/>
            <w:tabs>
              <w:tab w:val="clear" w:pos="7892"/>
              <w:tab w:val="right" w:pos="9026" w:leader="dot"/>
            </w:tabs>
            <w:rPr/>
          </w:pPr>
          <w:hyperlink w:anchor="__RefHeading___Toc2646338_3224264995">
            <w:r>
              <w:rPr>
                <w:webHidden/>
                <w:rStyle w:val="IndexLink"/>
                <w:rtl w:val="true"/>
              </w:rPr>
              <w:t>[</w:t>
            </w:r>
            <w:r>
              <w:rPr>
                <w:rStyle w:val="IndexLink"/>
                <w:rtl w:val="true"/>
              </w:rPr>
              <w:t>تعمیم المنفی للدفع و الرفع و لما جاء من قبل المکلّف</w:t>
            </w:r>
            <w:r>
              <w:rPr>
                <w:rStyle w:val="IndexLink"/>
                <w:rtl w:val="true"/>
              </w:rPr>
              <w:t>]</w:t>
              <w:tab/>
            </w:r>
            <w:r>
              <w:rPr>
                <w:rStyle w:val="IndexLink"/>
              </w:rPr>
              <w:t>61</w:t>
            </w:r>
          </w:hyperlink>
        </w:p>
        <w:p>
          <w:pPr>
            <w:pStyle w:val="Contents5"/>
            <w:tabs>
              <w:tab w:val="clear" w:pos="7892"/>
              <w:tab w:val="right" w:pos="9026" w:leader="dot"/>
            </w:tabs>
            <w:rPr/>
          </w:pPr>
          <w:hyperlink w:anchor="__RefHeading___Toc2646340_3224264995">
            <w:r>
              <w:rPr>
                <w:webHidden/>
                <w:rStyle w:val="IndexLink"/>
                <w:rtl w:val="true"/>
              </w:rPr>
              <w:t>[</w:t>
            </w:r>
            <w:r>
              <w:rPr>
                <w:rStyle w:val="IndexLink"/>
                <w:rtl w:val="true"/>
              </w:rPr>
              <w:t>الأقوال فی وجوب الاحتیاط</w:t>
            </w:r>
            <w:r>
              <w:rPr>
                <w:rStyle w:val="IndexLink"/>
                <w:rtl w:val="true"/>
              </w:rPr>
              <w:t>]</w:t>
              <w:tab/>
            </w:r>
            <w:r>
              <w:rPr>
                <w:rStyle w:val="IndexLink"/>
              </w:rPr>
              <w:t>63</w:t>
            </w:r>
          </w:hyperlink>
        </w:p>
        <w:p>
          <w:pPr>
            <w:pStyle w:val="Contents5"/>
            <w:tabs>
              <w:tab w:val="clear" w:pos="7892"/>
              <w:tab w:val="right" w:pos="9026" w:leader="dot"/>
            </w:tabs>
            <w:rPr/>
          </w:pPr>
          <w:hyperlink w:anchor="__RefHeading___Toc2646342_3224264995">
            <w:r>
              <w:rPr>
                <w:webHidden/>
                <w:rStyle w:val="IndexLink"/>
                <w:rtl w:val="true"/>
              </w:rPr>
              <w:t>[</w:t>
            </w:r>
            <w:r>
              <w:rPr>
                <w:rStyle w:val="IndexLink"/>
                <w:rtl w:val="true"/>
              </w:rPr>
              <w:t>دراسة النظر فی الأقوال فی المسألة</w:t>
            </w:r>
            <w:r>
              <w:rPr>
                <w:rStyle w:val="IndexLink"/>
                <w:rtl w:val="true"/>
              </w:rPr>
              <w:t>]</w:t>
              <w:tab/>
            </w:r>
            <w:r>
              <w:rPr>
                <w:rStyle w:val="IndexLink"/>
              </w:rPr>
              <w:t>63</w:t>
            </w:r>
          </w:hyperlink>
        </w:p>
        <w:p>
          <w:pPr>
            <w:pStyle w:val="Contents5"/>
            <w:tabs>
              <w:tab w:val="clear" w:pos="7892"/>
              <w:tab w:val="right" w:pos="9026" w:leader="dot"/>
            </w:tabs>
            <w:rPr/>
          </w:pPr>
          <w:hyperlink w:anchor="__RefHeading___Toc2646344_3224264995">
            <w:r>
              <w:rPr>
                <w:webHidden/>
                <w:rStyle w:val="IndexLink"/>
                <w:rtl w:val="true"/>
              </w:rPr>
              <w:t>[</w:t>
            </w:r>
            <w:r>
              <w:rPr>
                <w:rStyle w:val="IndexLink"/>
                <w:rtl w:val="true"/>
              </w:rPr>
              <w:t>دلیل المشهور علی وجوب الاحتیاط بمجرّد العلم الإجمالی</w:t>
            </w:r>
            <w:r>
              <w:rPr>
                <w:rStyle w:val="IndexLink"/>
                <w:rtl w:val="true"/>
              </w:rPr>
              <w:t>]</w:t>
              <w:tab/>
            </w:r>
            <w:r>
              <w:rPr>
                <w:rStyle w:val="IndexLink"/>
              </w:rPr>
              <w:t>64</w:t>
            </w:r>
          </w:hyperlink>
        </w:p>
        <w:p>
          <w:pPr>
            <w:pStyle w:val="Contents5"/>
            <w:tabs>
              <w:tab w:val="clear" w:pos="7892"/>
              <w:tab w:val="right" w:pos="9026" w:leader="dot"/>
            </w:tabs>
            <w:rPr/>
          </w:pPr>
          <w:hyperlink w:anchor="__RefHeading___Toc2646346_3224264995">
            <w:r>
              <w:rPr>
                <w:webHidden/>
                <w:rStyle w:val="IndexLink"/>
                <w:rtl w:val="true"/>
              </w:rPr>
              <w:t>[</w:t>
            </w:r>
            <w:r>
              <w:rPr>
                <w:rStyle w:val="IndexLink"/>
                <w:rtl w:val="true"/>
              </w:rPr>
              <w:t>الأحکام الواقعیة امور متأصّلة</w:t>
            </w:r>
            <w:r>
              <w:rPr>
                <w:rStyle w:val="IndexLink"/>
                <w:rtl w:val="true"/>
              </w:rPr>
              <w:t>]</w:t>
              <w:tab/>
            </w:r>
            <w:r>
              <w:rPr>
                <w:rStyle w:val="IndexLink"/>
              </w:rPr>
              <w:t>65</w:t>
            </w:r>
          </w:hyperlink>
        </w:p>
        <w:p>
          <w:pPr>
            <w:pStyle w:val="Contents5"/>
            <w:tabs>
              <w:tab w:val="clear" w:pos="7892"/>
              <w:tab w:val="right" w:pos="9026" w:leader="dot"/>
            </w:tabs>
            <w:rPr/>
          </w:pPr>
          <w:hyperlink w:anchor="__RefHeading___Toc2646348_3224264995">
            <w:r>
              <w:rPr>
                <w:webHidden/>
                <w:rStyle w:val="IndexLink"/>
                <w:rtl w:val="true"/>
              </w:rPr>
              <w:t>[</w:t>
            </w:r>
            <w:r>
              <w:rPr>
                <w:rStyle w:val="IndexLink"/>
                <w:rtl w:val="true"/>
              </w:rPr>
              <w:t>تنجز الأحکام الواقعیة عقلا و شرعا بالبیان</w:t>
            </w:r>
            <w:r>
              <w:rPr>
                <w:rStyle w:val="IndexLink"/>
                <w:rtl w:val="true"/>
              </w:rPr>
              <w:t>]</w:t>
              <w:tab/>
            </w:r>
            <w:r>
              <w:rPr>
                <w:rStyle w:val="IndexLink"/>
              </w:rPr>
              <w:t>65</w:t>
            </w:r>
          </w:hyperlink>
        </w:p>
        <w:p>
          <w:pPr>
            <w:pStyle w:val="Contents5"/>
            <w:tabs>
              <w:tab w:val="clear" w:pos="7892"/>
              <w:tab w:val="right" w:pos="9026" w:leader="dot"/>
            </w:tabs>
            <w:rPr/>
          </w:pPr>
          <w:hyperlink w:anchor="__RefHeading___Toc2646350_3224264995">
            <w:r>
              <w:rPr>
                <w:webHidden/>
                <w:rStyle w:val="IndexLink"/>
                <w:rtl w:val="true"/>
              </w:rPr>
              <w:t>[</w:t>
            </w:r>
            <w:r>
              <w:rPr>
                <w:rStyle w:val="IndexLink"/>
                <w:rtl w:val="true"/>
              </w:rPr>
              <w:t>العقاب منفی مع عدم البیان سواء کان البیان من شأن الشارع أم لا</w:t>
            </w:r>
            <w:r>
              <w:rPr>
                <w:rStyle w:val="IndexLink"/>
                <w:rtl w:val="true"/>
              </w:rPr>
              <w:t>]</w:t>
              <w:tab/>
            </w:r>
            <w:r>
              <w:rPr>
                <w:rStyle w:val="IndexLink"/>
              </w:rPr>
              <w:t>66</w:t>
            </w:r>
          </w:hyperlink>
        </w:p>
        <w:p>
          <w:pPr>
            <w:pStyle w:val="Contents5"/>
            <w:tabs>
              <w:tab w:val="clear" w:pos="7892"/>
              <w:tab w:val="right" w:pos="9026" w:leader="dot"/>
            </w:tabs>
            <w:rPr/>
          </w:pPr>
          <w:hyperlink w:anchor="__RefHeading___Toc2646352_3224264995">
            <w:r>
              <w:rPr>
                <w:webHidden/>
                <w:rStyle w:val="IndexLink"/>
                <w:rtl w:val="true"/>
              </w:rPr>
              <w:t>[</w:t>
            </w:r>
            <w:r>
              <w:rPr>
                <w:rStyle w:val="IndexLink"/>
                <w:rtl w:val="true"/>
              </w:rPr>
              <w:t>نفی بیانیة العلم الإجمالی</w:t>
            </w:r>
            <w:r>
              <w:rPr>
                <w:rStyle w:val="IndexLink"/>
                <w:rtl w:val="true"/>
              </w:rPr>
              <w:t>]</w:t>
              <w:tab/>
            </w:r>
            <w:r>
              <w:rPr>
                <w:rStyle w:val="IndexLink"/>
              </w:rPr>
              <w:t>66</w:t>
            </w:r>
          </w:hyperlink>
        </w:p>
        <w:p>
          <w:pPr>
            <w:pStyle w:val="Contents5"/>
            <w:tabs>
              <w:tab w:val="clear" w:pos="7892"/>
              <w:tab w:val="right" w:pos="9026" w:leader="dot"/>
            </w:tabs>
            <w:rPr/>
          </w:pPr>
          <w:hyperlink w:anchor="__RefHeading___Toc2646354_3224264995">
            <w:r>
              <w:rPr>
                <w:webHidden/>
                <w:rStyle w:val="IndexLink"/>
                <w:rtl w:val="true"/>
              </w:rPr>
              <w:t>[</w:t>
            </w:r>
            <w:r>
              <w:rPr>
                <w:rStyle w:val="IndexLink"/>
                <w:rtl w:val="true"/>
              </w:rPr>
              <w:t>الألفاظ موضوعة للمعانی الواقعیة</w:t>
            </w:r>
            <w:r>
              <w:rPr>
                <w:rStyle w:val="IndexLink"/>
                <w:rtl w:val="true"/>
              </w:rPr>
              <w:t>]</w:t>
              <w:tab/>
            </w:r>
            <w:r>
              <w:rPr>
                <w:rStyle w:val="IndexLink"/>
              </w:rPr>
              <w:t>66</w:t>
            </w:r>
          </w:hyperlink>
        </w:p>
        <w:p>
          <w:pPr>
            <w:pStyle w:val="Contents5"/>
            <w:tabs>
              <w:tab w:val="clear" w:pos="7892"/>
              <w:tab w:val="right" w:pos="9026" w:leader="dot"/>
            </w:tabs>
            <w:rPr/>
          </w:pPr>
          <w:hyperlink w:anchor="__RefHeading___Toc2646356_3224264995">
            <w:r>
              <w:rPr>
                <w:webHidden/>
                <w:rStyle w:val="IndexLink"/>
                <w:rtl w:val="true"/>
              </w:rPr>
              <w:t>[</w:t>
            </w:r>
            <w:r>
              <w:rPr>
                <w:rStyle w:val="IndexLink"/>
                <w:rtl w:val="true"/>
              </w:rPr>
              <w:t>العلم بالحکم طریق لتنجّز الحکم لا موضوع له</w:t>
            </w:r>
            <w:r>
              <w:rPr>
                <w:rStyle w:val="IndexLink"/>
                <w:rtl w:val="true"/>
              </w:rPr>
              <w:t>]</w:t>
              <w:tab/>
            </w:r>
            <w:r>
              <w:rPr>
                <w:rStyle w:val="IndexLink"/>
              </w:rPr>
              <w:t>66</w:t>
            </w:r>
          </w:hyperlink>
        </w:p>
        <w:p>
          <w:pPr>
            <w:pStyle w:val="Contents5"/>
            <w:tabs>
              <w:tab w:val="clear" w:pos="7892"/>
              <w:tab w:val="right" w:pos="9026" w:leader="dot"/>
            </w:tabs>
            <w:rPr/>
          </w:pPr>
          <w:hyperlink w:anchor="__RefHeading___Toc2646358_3224264995">
            <w:r>
              <w:rPr>
                <w:webHidden/>
                <w:rStyle w:val="IndexLink"/>
                <w:rtl w:val="true"/>
              </w:rPr>
              <w:t>[</w:t>
            </w:r>
            <w:r>
              <w:rPr>
                <w:rStyle w:val="IndexLink"/>
                <w:rtl w:val="true"/>
              </w:rPr>
              <w:t>ثمرة الخلاف فی انّ الألفاظ موضوعة للمعانی الواقعیة أو المعلومة</w:t>
            </w:r>
            <w:r>
              <w:rPr>
                <w:rStyle w:val="IndexLink"/>
                <w:rtl w:val="true"/>
              </w:rPr>
              <w:t>]</w:t>
              <w:tab/>
            </w:r>
            <w:r>
              <w:rPr>
                <w:rStyle w:val="IndexLink"/>
              </w:rPr>
              <w:t>66</w:t>
            </w:r>
          </w:hyperlink>
        </w:p>
        <w:p>
          <w:pPr>
            <w:pStyle w:val="Contents5"/>
            <w:tabs>
              <w:tab w:val="clear" w:pos="7892"/>
              <w:tab w:val="right" w:pos="9026" w:leader="dot"/>
            </w:tabs>
            <w:rPr/>
          </w:pPr>
          <w:hyperlink w:anchor="__RefHeading___Toc2646360_3224264995">
            <w:r>
              <w:rPr>
                <w:webHidden/>
                <w:rStyle w:val="IndexLink"/>
                <w:rtl w:val="true"/>
              </w:rPr>
              <w:t>[</w:t>
            </w:r>
            <w:r>
              <w:rPr>
                <w:rStyle w:val="IndexLink"/>
                <w:rtl w:val="true"/>
              </w:rPr>
              <w:t>ثمرة الخلاف فی تنجّز التکلیف بالعلم الإجمالی و عدمه</w:t>
            </w:r>
            <w:r>
              <w:rPr>
                <w:rStyle w:val="IndexLink"/>
                <w:rtl w:val="true"/>
              </w:rPr>
              <w:t>]</w:t>
              <w:tab/>
            </w:r>
            <w:r>
              <w:rPr>
                <w:rStyle w:val="IndexLink"/>
              </w:rPr>
              <w:t>67</w:t>
            </w:r>
          </w:hyperlink>
        </w:p>
        <w:p>
          <w:pPr>
            <w:pStyle w:val="Contents5"/>
            <w:tabs>
              <w:tab w:val="clear" w:pos="7892"/>
              <w:tab w:val="right" w:pos="9026" w:leader="dot"/>
            </w:tabs>
            <w:rPr/>
          </w:pPr>
          <w:hyperlink w:anchor="__RefHeading___Toc2646362_3224264995">
            <w:r>
              <w:rPr>
                <w:webHidden/>
                <w:rStyle w:val="IndexLink"/>
                <w:rtl w:val="true"/>
              </w:rPr>
              <w:t>[</w:t>
            </w:r>
            <w:r>
              <w:rPr>
                <w:rStyle w:val="IndexLink"/>
                <w:rtl w:val="true"/>
              </w:rPr>
              <w:t>کفایة إطلاق ألفاظ الأحکام فی تنجّزها بالعلم الإجمالی</w:t>
            </w:r>
            <w:r>
              <w:rPr>
                <w:rStyle w:val="IndexLink"/>
                <w:rtl w:val="true"/>
              </w:rPr>
              <w:t>]</w:t>
              <w:tab/>
            </w:r>
            <w:r>
              <w:rPr>
                <w:rStyle w:val="IndexLink"/>
              </w:rPr>
              <w:t>68</w:t>
            </w:r>
          </w:hyperlink>
        </w:p>
        <w:p>
          <w:pPr>
            <w:pStyle w:val="Contents5"/>
            <w:tabs>
              <w:tab w:val="clear" w:pos="7892"/>
              <w:tab w:val="right" w:pos="9026" w:leader="dot"/>
            </w:tabs>
            <w:rPr/>
          </w:pPr>
          <w:hyperlink w:anchor="__RefHeading___Toc2646364_3224264995">
            <w:r>
              <w:rPr>
                <w:webHidden/>
                <w:rStyle w:val="IndexLink"/>
                <w:rtl w:val="true"/>
              </w:rPr>
              <w:t>[</w:t>
            </w:r>
            <w:r>
              <w:rPr>
                <w:rStyle w:val="IndexLink"/>
                <w:rtl w:val="true"/>
              </w:rPr>
              <w:t>النقض علی انکار اطلاقات الأحکام</w:t>
            </w:r>
            <w:r>
              <w:rPr>
                <w:rStyle w:val="IndexLink"/>
                <w:rtl w:val="true"/>
              </w:rPr>
              <w:t>]</w:t>
              <w:tab/>
            </w:r>
            <w:r>
              <w:rPr>
                <w:rStyle w:val="IndexLink"/>
              </w:rPr>
              <w:t>68</w:t>
            </w:r>
          </w:hyperlink>
        </w:p>
        <w:p>
          <w:pPr>
            <w:pStyle w:val="Contents5"/>
            <w:tabs>
              <w:tab w:val="clear" w:pos="7892"/>
              <w:tab w:val="right" w:pos="9026" w:leader="dot"/>
            </w:tabs>
            <w:rPr/>
          </w:pPr>
          <w:hyperlink w:anchor="__RefHeading___Toc2646366_3224264995">
            <w:r>
              <w:rPr>
                <w:webHidden/>
                <w:rStyle w:val="IndexLink"/>
                <w:rtl w:val="true"/>
              </w:rPr>
              <w:t>[</w:t>
            </w:r>
            <w:r>
              <w:rPr>
                <w:rStyle w:val="IndexLink"/>
                <w:rtl w:val="true"/>
              </w:rPr>
              <w:t>العلم الإجمالی ببقاء الأحکام دلیل علی استحقاق الجاهل المقصّر للعقاب</w:t>
            </w:r>
            <w:r>
              <w:rPr>
                <w:rStyle w:val="IndexLink"/>
                <w:rtl w:val="true"/>
              </w:rPr>
              <w:t>]</w:t>
              <w:tab/>
            </w:r>
            <w:r>
              <w:rPr>
                <w:rStyle w:val="IndexLink"/>
              </w:rPr>
              <w:t>68</w:t>
            </w:r>
          </w:hyperlink>
        </w:p>
        <w:p>
          <w:pPr>
            <w:pStyle w:val="Contents5"/>
            <w:tabs>
              <w:tab w:val="clear" w:pos="7892"/>
              <w:tab w:val="right" w:pos="9026" w:leader="dot"/>
            </w:tabs>
            <w:rPr/>
          </w:pPr>
          <w:hyperlink w:anchor="__RefHeading___Toc2646368_3224264995">
            <w:r>
              <w:rPr>
                <w:webHidden/>
                <w:rStyle w:val="IndexLink"/>
                <w:rtl w:val="true"/>
              </w:rPr>
              <w:t>[</w:t>
            </w:r>
            <w:r>
              <w:rPr>
                <w:rStyle w:val="IndexLink"/>
                <w:rtl w:val="true"/>
              </w:rPr>
              <w:t>المطلق عند المشهور</w:t>
            </w:r>
            <w:r>
              <w:rPr>
                <w:rStyle w:val="IndexLink"/>
                <w:rtl w:val="true"/>
              </w:rPr>
              <w:t>]</w:t>
              <w:tab/>
            </w:r>
            <w:r>
              <w:rPr>
                <w:rStyle w:val="IndexLink"/>
              </w:rPr>
              <w:t>69</w:t>
            </w:r>
          </w:hyperlink>
        </w:p>
        <w:p>
          <w:pPr>
            <w:pStyle w:val="Contents5"/>
            <w:tabs>
              <w:tab w:val="clear" w:pos="7892"/>
              <w:tab w:val="right" w:pos="9026" w:leader="dot"/>
            </w:tabs>
            <w:rPr/>
          </w:pPr>
          <w:hyperlink w:anchor="__RefHeading___Toc2646370_3224264995">
            <w:r>
              <w:rPr>
                <w:webHidden/>
                <w:rStyle w:val="IndexLink"/>
                <w:rtl w:val="true"/>
              </w:rPr>
              <w:t>[</w:t>
            </w:r>
            <w:r>
              <w:rPr>
                <w:rStyle w:val="IndexLink"/>
                <w:rtl w:val="true"/>
              </w:rPr>
              <w:t>الأحکام عند العدلیّة تابعة للمصالح و المفاسد</w:t>
            </w:r>
            <w:r>
              <w:rPr>
                <w:rStyle w:val="IndexLink"/>
                <w:rtl w:val="true"/>
              </w:rPr>
              <w:t>]</w:t>
              <w:tab/>
            </w:r>
            <w:r>
              <w:rPr>
                <w:rStyle w:val="IndexLink"/>
              </w:rPr>
              <w:t>69</w:t>
            </w:r>
          </w:hyperlink>
        </w:p>
        <w:p>
          <w:pPr>
            <w:pStyle w:val="Contents5"/>
            <w:tabs>
              <w:tab w:val="clear" w:pos="7892"/>
              <w:tab w:val="right" w:pos="9026" w:leader="dot"/>
            </w:tabs>
            <w:rPr/>
          </w:pPr>
          <w:hyperlink w:anchor="__RefHeading___Toc2646372_3224264995">
            <w:r>
              <w:rPr>
                <w:webHidden/>
                <w:rStyle w:val="IndexLink"/>
                <w:rtl w:val="true"/>
              </w:rPr>
              <w:t>[</w:t>
            </w:r>
            <w:r>
              <w:rPr>
                <w:rStyle w:val="IndexLink"/>
                <w:rtl w:val="true"/>
              </w:rPr>
              <w:t>أدلّة الاشتراک توجب اشتراکنا فی ما علم تکلیفهم به</w:t>
            </w:r>
            <w:r>
              <w:rPr>
                <w:rStyle w:val="IndexLink"/>
                <w:rtl w:val="true"/>
              </w:rPr>
              <w:t>]</w:t>
              <w:tab/>
            </w:r>
            <w:r>
              <w:rPr>
                <w:rStyle w:val="IndexLink"/>
              </w:rPr>
              <w:t>70</w:t>
            </w:r>
          </w:hyperlink>
        </w:p>
        <w:p>
          <w:pPr>
            <w:pStyle w:val="Contents5"/>
            <w:tabs>
              <w:tab w:val="clear" w:pos="7892"/>
              <w:tab w:val="right" w:pos="9026" w:leader="dot"/>
            </w:tabs>
            <w:rPr/>
          </w:pPr>
          <w:hyperlink w:anchor="__RefHeading___Toc2646374_3224264995">
            <w:r>
              <w:rPr>
                <w:webHidden/>
                <w:rStyle w:val="IndexLink"/>
                <w:rtl w:val="true"/>
              </w:rPr>
              <w:t>[</w:t>
            </w:r>
            <w:r>
              <w:rPr>
                <w:rStyle w:val="IndexLink"/>
                <w:rtl w:val="true"/>
              </w:rPr>
              <w:t>جواز التمسّک بالاطلاق لغیر المشافهین بالمطلق بشرط وحدة الصنف</w:t>
            </w:r>
            <w:r>
              <w:rPr>
                <w:rStyle w:val="IndexLink"/>
                <w:rtl w:val="true"/>
              </w:rPr>
              <w:t>]</w:t>
              <w:tab/>
            </w:r>
            <w:r>
              <w:rPr>
                <w:rStyle w:val="IndexLink"/>
              </w:rPr>
              <w:t>70</w:t>
            </w:r>
          </w:hyperlink>
        </w:p>
        <w:p>
          <w:pPr>
            <w:pStyle w:val="Contents5"/>
            <w:tabs>
              <w:tab w:val="clear" w:pos="7892"/>
              <w:tab w:val="right" w:pos="9026" w:leader="dot"/>
            </w:tabs>
            <w:rPr/>
          </w:pPr>
          <w:hyperlink w:anchor="__RefHeading___Toc2646376_3224264995">
            <w:r>
              <w:rPr>
                <w:webHidden/>
                <w:rStyle w:val="IndexLink"/>
                <w:rtl w:val="true"/>
              </w:rPr>
              <w:t>[</w:t>
            </w:r>
            <w:r>
              <w:rPr>
                <w:rStyle w:val="IndexLink"/>
                <w:rtl w:val="true"/>
              </w:rPr>
              <w:t>عدم جواز مقایسة الأوامر الشرعیة بالأوامر العرفیة</w:t>
            </w:r>
            <w:r>
              <w:rPr>
                <w:rStyle w:val="IndexLink"/>
                <w:rtl w:val="true"/>
              </w:rPr>
              <w:t>]</w:t>
              <w:tab/>
            </w:r>
            <w:r>
              <w:rPr>
                <w:rStyle w:val="IndexLink"/>
              </w:rPr>
              <w:t>71</w:t>
            </w:r>
          </w:hyperlink>
        </w:p>
        <w:p>
          <w:pPr>
            <w:pStyle w:val="Contents5"/>
            <w:tabs>
              <w:tab w:val="clear" w:pos="7892"/>
              <w:tab w:val="right" w:pos="9026" w:leader="dot"/>
            </w:tabs>
            <w:rPr/>
          </w:pPr>
          <w:hyperlink w:anchor="__RefHeading___Toc2646378_3224264995">
            <w:r>
              <w:rPr>
                <w:webHidden/>
                <w:rStyle w:val="IndexLink"/>
                <w:rtl w:val="true"/>
              </w:rPr>
              <w:t>[</w:t>
            </w:r>
            <w:r>
              <w:rPr>
                <w:rStyle w:val="IndexLink"/>
                <w:rtl w:val="true"/>
              </w:rPr>
              <w:t>عدم صحّة مقایسة المرکّبات الشرعیة بالمرکّبات العرفیة</w:t>
            </w:r>
            <w:r>
              <w:rPr>
                <w:rStyle w:val="IndexLink"/>
                <w:rtl w:val="true"/>
              </w:rPr>
              <w:t>]</w:t>
              <w:tab/>
            </w:r>
            <w:r>
              <w:rPr>
                <w:rStyle w:val="IndexLink"/>
              </w:rPr>
              <w:t>72</w:t>
            </w:r>
          </w:hyperlink>
        </w:p>
        <w:p>
          <w:pPr>
            <w:pStyle w:val="Contents5"/>
            <w:tabs>
              <w:tab w:val="clear" w:pos="7892"/>
              <w:tab w:val="right" w:pos="9026" w:leader="dot"/>
            </w:tabs>
            <w:rPr/>
          </w:pPr>
          <w:hyperlink w:anchor="__RefHeading___Toc2646380_3224264995">
            <w:r>
              <w:rPr>
                <w:webHidden/>
                <w:rStyle w:val="IndexLink"/>
                <w:rtl w:val="true"/>
              </w:rPr>
              <w:t>[</w:t>
            </w:r>
            <w:r>
              <w:rPr>
                <w:rStyle w:val="IndexLink"/>
                <w:rtl w:val="true"/>
              </w:rPr>
              <w:t>الاحتیاط فی الدماء و الفروج و أموال الناس</w:t>
            </w:r>
            <w:r>
              <w:rPr>
                <w:rStyle w:val="IndexLink"/>
                <w:rtl w:val="true"/>
              </w:rPr>
              <w:t>]</w:t>
              <w:tab/>
            </w:r>
            <w:r>
              <w:rPr>
                <w:rStyle w:val="IndexLink"/>
              </w:rPr>
              <w:t>72</w:t>
            </w:r>
          </w:hyperlink>
        </w:p>
        <w:p>
          <w:pPr>
            <w:pStyle w:val="Contents5"/>
            <w:tabs>
              <w:tab w:val="clear" w:pos="7892"/>
              <w:tab w:val="right" w:pos="9026" w:leader="dot"/>
            </w:tabs>
            <w:rPr/>
          </w:pPr>
          <w:hyperlink w:anchor="__RefHeading___Toc2646382_3224264995">
            <w:r>
              <w:rPr>
                <w:webHidden/>
                <w:rStyle w:val="IndexLink"/>
                <w:rtl w:val="true"/>
              </w:rPr>
              <w:t>[</w:t>
            </w:r>
            <w:r>
              <w:rPr>
                <w:rStyle w:val="IndexLink"/>
                <w:rtl w:val="true"/>
              </w:rPr>
              <w:t>حرمة المخالفة القطعیة للعمل الإجمالی</w:t>
            </w:r>
            <w:r>
              <w:rPr>
                <w:rStyle w:val="IndexLink"/>
                <w:rtl w:val="true"/>
              </w:rPr>
              <w:t>]</w:t>
              <w:tab/>
            </w:r>
            <w:r>
              <w:rPr>
                <w:rStyle w:val="IndexLink"/>
              </w:rPr>
              <w:t>72</w:t>
            </w:r>
          </w:hyperlink>
        </w:p>
        <w:p>
          <w:pPr>
            <w:pStyle w:val="Contents5"/>
            <w:tabs>
              <w:tab w:val="clear" w:pos="7892"/>
              <w:tab w:val="right" w:pos="9026" w:leader="dot"/>
            </w:tabs>
            <w:rPr/>
          </w:pPr>
          <w:hyperlink w:anchor="__RefHeading___Toc2646384_3224264995">
            <w:r>
              <w:rPr>
                <w:webHidden/>
                <w:rStyle w:val="IndexLink"/>
                <w:rtl w:val="true"/>
              </w:rPr>
              <w:t>[</w:t>
            </w:r>
            <w:r>
              <w:rPr>
                <w:rStyle w:val="IndexLink"/>
                <w:rtl w:val="true"/>
              </w:rPr>
              <w:t>وجه الاحتیاط فی الدماء و الفروج و بعض موارد أخر</w:t>
            </w:r>
            <w:r>
              <w:rPr>
                <w:rStyle w:val="IndexLink"/>
                <w:rtl w:val="true"/>
              </w:rPr>
              <w:t>]</w:t>
              <w:tab/>
            </w:r>
            <w:r>
              <w:rPr>
                <w:rStyle w:val="IndexLink"/>
              </w:rPr>
              <w:t>73</w:t>
            </w:r>
          </w:hyperlink>
        </w:p>
        <w:p>
          <w:pPr>
            <w:pStyle w:val="Contents5"/>
            <w:tabs>
              <w:tab w:val="clear" w:pos="7892"/>
              <w:tab w:val="right" w:pos="9026" w:leader="dot"/>
            </w:tabs>
            <w:rPr/>
          </w:pPr>
          <w:hyperlink w:anchor="__RefHeading___Toc2646386_3224264995">
            <w:r>
              <w:rPr>
                <w:webHidden/>
                <w:rStyle w:val="IndexLink"/>
                <w:rtl w:val="true"/>
              </w:rPr>
              <w:t>[</w:t>
            </w:r>
            <w:r>
              <w:rPr>
                <w:rStyle w:val="IndexLink"/>
                <w:rtl w:val="true"/>
              </w:rPr>
              <w:t>ظاهر أخبار الاحتیاط هو الاستحباب</w:t>
            </w:r>
            <w:r>
              <w:rPr>
                <w:rStyle w:val="IndexLink"/>
                <w:rtl w:val="true"/>
              </w:rPr>
              <w:t>]</w:t>
              <w:tab/>
            </w:r>
            <w:r>
              <w:rPr>
                <w:rStyle w:val="IndexLink"/>
              </w:rPr>
              <w:t>74</w:t>
            </w:r>
          </w:hyperlink>
        </w:p>
        <w:p>
          <w:pPr>
            <w:pStyle w:val="Contents5"/>
            <w:tabs>
              <w:tab w:val="clear" w:pos="7892"/>
              <w:tab w:val="right" w:pos="9026" w:leader="dot"/>
            </w:tabs>
            <w:rPr/>
          </w:pPr>
          <w:hyperlink w:anchor="__RefHeading___Toc2646388_3224264995">
            <w:r>
              <w:rPr>
                <w:webHidden/>
                <w:rStyle w:val="IndexLink"/>
                <w:rtl w:val="true"/>
              </w:rPr>
              <w:t>[</w:t>
            </w:r>
            <w:r>
              <w:rPr>
                <w:rStyle w:val="IndexLink"/>
                <w:rtl w:val="true"/>
              </w:rPr>
              <w:t>قول بعض العدلیة بتبعیّة الأحکام للمصالح و المفاسد فی نفس الأمر و التکلیف</w:t>
            </w:r>
            <w:r>
              <w:rPr>
                <w:rStyle w:val="IndexLink"/>
                <w:rtl w:val="true"/>
              </w:rPr>
              <w:t>]</w:t>
              <w:tab/>
            </w:r>
            <w:r>
              <w:rPr>
                <w:rStyle w:val="IndexLink"/>
              </w:rPr>
              <w:t>74</w:t>
            </w:r>
          </w:hyperlink>
        </w:p>
        <w:p>
          <w:pPr>
            <w:pStyle w:val="Contents5"/>
            <w:tabs>
              <w:tab w:val="clear" w:pos="7892"/>
              <w:tab w:val="right" w:pos="9026" w:leader="dot"/>
            </w:tabs>
            <w:rPr/>
          </w:pPr>
          <w:hyperlink w:anchor="__RefHeading___Toc2646390_3224264995">
            <w:r>
              <w:rPr>
                <w:webHidden/>
                <w:rStyle w:val="IndexLink"/>
                <w:rtl w:val="true"/>
              </w:rPr>
              <w:t>[</w:t>
            </w:r>
            <w:r>
              <w:rPr>
                <w:rStyle w:val="IndexLink"/>
                <w:rtl w:val="true"/>
              </w:rPr>
              <w:t>احتمال مدخلیة العلم التفصیلی فی المصالح و المفاسد الکامنة فی المأمور به</w:t>
            </w:r>
            <w:r>
              <w:rPr>
                <w:rStyle w:val="IndexLink"/>
                <w:rtl w:val="true"/>
              </w:rPr>
              <w:t>]</w:t>
              <w:tab/>
            </w:r>
            <w:r>
              <w:rPr>
                <w:rStyle w:val="IndexLink"/>
              </w:rPr>
              <w:t>74</w:t>
            </w:r>
          </w:hyperlink>
        </w:p>
        <w:p>
          <w:pPr>
            <w:pStyle w:val="Contents5"/>
            <w:tabs>
              <w:tab w:val="clear" w:pos="7892"/>
              <w:tab w:val="right" w:pos="9026" w:leader="dot"/>
            </w:tabs>
            <w:rPr/>
          </w:pPr>
          <w:hyperlink w:anchor="__RefHeading___Toc2646392_3224264995">
            <w:r>
              <w:rPr>
                <w:webHidden/>
                <w:rStyle w:val="IndexLink"/>
                <w:rtl w:val="true"/>
              </w:rPr>
              <w:t>[</w:t>
            </w:r>
            <w:r>
              <w:rPr>
                <w:rStyle w:val="IndexLink"/>
                <w:rtl w:val="true"/>
              </w:rPr>
              <w:t>لا دخل لقصد الوجه فی تحقّق الامتثال لا عقلا و لا شرعا</w:t>
            </w:r>
            <w:r>
              <w:rPr>
                <w:rStyle w:val="IndexLink"/>
                <w:rtl w:val="true"/>
              </w:rPr>
              <w:t>]</w:t>
              <w:tab/>
            </w:r>
            <w:r>
              <w:rPr>
                <w:rStyle w:val="IndexLink"/>
              </w:rPr>
              <w:t>75</w:t>
            </w:r>
          </w:hyperlink>
        </w:p>
        <w:p>
          <w:pPr>
            <w:pStyle w:val="Contents5"/>
            <w:tabs>
              <w:tab w:val="clear" w:pos="7892"/>
              <w:tab w:val="right" w:pos="9026" w:leader="dot"/>
            </w:tabs>
            <w:rPr/>
          </w:pPr>
          <w:hyperlink w:anchor="__RefHeading___Toc2646394_3224264995">
            <w:r>
              <w:rPr>
                <w:webHidden/>
                <w:rStyle w:val="IndexLink"/>
                <w:rtl w:val="true"/>
              </w:rPr>
              <w:t>[</w:t>
            </w:r>
            <w:r>
              <w:rPr>
                <w:rStyle w:val="IndexLink"/>
                <w:rtl w:val="true"/>
              </w:rPr>
              <w:t>اعتبار تعین الموجب إذا تعدّد ما فی الذمّة من العبادات فی تحقّق الامتثال</w:t>
            </w:r>
            <w:r>
              <w:rPr>
                <w:rStyle w:val="IndexLink"/>
                <w:rtl w:val="true"/>
              </w:rPr>
              <w:t>]</w:t>
              <w:tab/>
            </w:r>
            <w:r>
              <w:rPr>
                <w:rStyle w:val="IndexLink"/>
              </w:rPr>
              <w:t>75</w:t>
            </w:r>
          </w:hyperlink>
        </w:p>
        <w:p>
          <w:pPr>
            <w:pStyle w:val="Contents5"/>
            <w:tabs>
              <w:tab w:val="clear" w:pos="7892"/>
              <w:tab w:val="right" w:pos="9026" w:leader="dot"/>
            </w:tabs>
            <w:rPr/>
          </w:pPr>
          <w:hyperlink w:anchor="__RefHeading___Toc2646396_3224264995">
            <w:r>
              <w:rPr>
                <w:webHidden/>
                <w:rStyle w:val="IndexLink"/>
                <w:rtl w:val="true"/>
              </w:rPr>
              <w:t>[</w:t>
            </w:r>
            <w:r>
              <w:rPr>
                <w:rStyle w:val="IndexLink"/>
                <w:rtl w:val="true"/>
              </w:rPr>
              <w:t>الأقوال فی قصد التعیین عند الامتثال</w:t>
            </w:r>
            <w:r>
              <w:rPr>
                <w:rStyle w:val="IndexLink"/>
                <w:rtl w:val="true"/>
              </w:rPr>
              <w:t>]</w:t>
              <w:tab/>
            </w:r>
            <w:r>
              <w:rPr>
                <w:rStyle w:val="IndexLink"/>
              </w:rPr>
              <w:t>76</w:t>
            </w:r>
          </w:hyperlink>
        </w:p>
        <w:p>
          <w:pPr>
            <w:pStyle w:val="Contents5"/>
            <w:tabs>
              <w:tab w:val="clear" w:pos="7892"/>
              <w:tab w:val="right" w:pos="9026" w:leader="dot"/>
            </w:tabs>
            <w:rPr/>
          </w:pPr>
          <w:hyperlink w:anchor="__RefHeading___Toc2646398_3224264995">
            <w:r>
              <w:rPr>
                <w:webHidden/>
                <w:rStyle w:val="IndexLink"/>
                <w:rtl w:val="true"/>
              </w:rPr>
              <w:t>[</w:t>
            </w:r>
            <w:r>
              <w:rPr>
                <w:rStyle w:val="IndexLink"/>
                <w:rtl w:val="true"/>
              </w:rPr>
              <w:t>الأصل عدم اعتبار التعیین و عدم اعتبار نیّة الوجه</w:t>
            </w:r>
            <w:r>
              <w:rPr>
                <w:rStyle w:val="IndexLink"/>
                <w:rtl w:val="true"/>
              </w:rPr>
              <w:t>]</w:t>
              <w:tab/>
            </w:r>
            <w:r>
              <w:rPr>
                <w:rStyle w:val="IndexLink"/>
              </w:rPr>
              <w:t>77</w:t>
            </w:r>
          </w:hyperlink>
        </w:p>
        <w:p>
          <w:pPr>
            <w:pStyle w:val="Contents5"/>
            <w:tabs>
              <w:tab w:val="clear" w:pos="7892"/>
              <w:tab w:val="right" w:pos="9026" w:leader="dot"/>
            </w:tabs>
            <w:rPr/>
          </w:pPr>
          <w:hyperlink w:anchor="__RefHeading___Toc2646400_3224264995">
            <w:r>
              <w:rPr>
                <w:webHidden/>
                <w:rStyle w:val="IndexLink"/>
                <w:rtl w:val="true"/>
              </w:rPr>
              <w:t>[</w:t>
            </w:r>
            <w:r>
              <w:rPr>
                <w:rStyle w:val="IndexLink"/>
                <w:rtl w:val="true"/>
              </w:rPr>
              <w:t>المعتبر فی صحّة العبادة و قبولها قصد القربة</w:t>
            </w:r>
            <w:r>
              <w:rPr>
                <w:rStyle w:val="IndexLink"/>
                <w:rtl w:val="true"/>
              </w:rPr>
              <w:t>]</w:t>
              <w:tab/>
            </w:r>
            <w:r>
              <w:rPr>
                <w:rStyle w:val="IndexLink"/>
              </w:rPr>
              <w:t>77</w:t>
            </w:r>
          </w:hyperlink>
        </w:p>
        <w:p>
          <w:pPr>
            <w:pStyle w:val="Contents5"/>
            <w:tabs>
              <w:tab w:val="clear" w:pos="7892"/>
              <w:tab w:val="right" w:pos="9026" w:leader="dot"/>
            </w:tabs>
            <w:rPr/>
          </w:pPr>
          <w:hyperlink w:anchor="__RefHeading___Toc2646402_3224264995">
            <w:r>
              <w:rPr>
                <w:webHidden/>
                <w:rStyle w:val="IndexLink"/>
                <w:rtl w:val="true"/>
              </w:rPr>
              <w:t>[</w:t>
            </w:r>
            <w:r>
              <w:rPr>
                <w:rStyle w:val="IndexLink"/>
                <w:rtl w:val="true"/>
              </w:rPr>
              <w:t>عدم اعتبار نیّة الرفع و لا الاباحة فی الطهارة و لا غیرهما</w:t>
            </w:r>
            <w:r>
              <w:rPr>
                <w:rStyle w:val="IndexLink"/>
                <w:rtl w:val="true"/>
              </w:rPr>
              <w:t>]</w:t>
              <w:tab/>
            </w:r>
            <w:r>
              <w:rPr>
                <w:rStyle w:val="IndexLink"/>
              </w:rPr>
              <w:t>78</w:t>
            </w:r>
          </w:hyperlink>
        </w:p>
        <w:p>
          <w:pPr>
            <w:pStyle w:val="Contents5"/>
            <w:tabs>
              <w:tab w:val="clear" w:pos="7892"/>
              <w:tab w:val="right" w:pos="9026" w:leader="dot"/>
            </w:tabs>
            <w:rPr/>
          </w:pPr>
          <w:hyperlink w:anchor="__RefHeading___Toc2646404_3224264995">
            <w:r>
              <w:rPr>
                <w:webHidden/>
                <w:rStyle w:val="IndexLink"/>
                <w:rtl w:val="true"/>
              </w:rPr>
              <w:t>[</w:t>
            </w:r>
            <w:r>
              <w:rPr>
                <w:rStyle w:val="IndexLink"/>
                <w:rtl w:val="true"/>
              </w:rPr>
              <w:t xml:space="preserve">عدم اعتبار تعیین القصر و الاتمام أو الاداء و القضاء فی الصلاة، و لا تعیین الأداء و القضاء و </w:t>
            </w:r>
            <w:r>
              <w:rPr>
                <w:rStyle w:val="IndexLink"/>
                <w:rtl w:val="true"/>
              </w:rPr>
              <w:t>..]</w:t>
              <w:tab/>
            </w:r>
            <w:r>
              <w:rPr>
                <w:rStyle w:val="IndexLink"/>
              </w:rPr>
              <w:t>78</w:t>
            </w:r>
          </w:hyperlink>
        </w:p>
        <w:p>
          <w:pPr>
            <w:pStyle w:val="Contents5"/>
            <w:tabs>
              <w:tab w:val="clear" w:pos="7892"/>
              <w:tab w:val="right" w:pos="9026" w:leader="dot"/>
            </w:tabs>
            <w:rPr/>
          </w:pPr>
          <w:hyperlink w:anchor="__RefHeading___Toc2646406_3224264995">
            <w:r>
              <w:rPr>
                <w:webHidden/>
                <w:rStyle w:val="IndexLink"/>
                <w:rtl w:val="true"/>
              </w:rPr>
              <w:t>[</w:t>
            </w:r>
            <w:r>
              <w:rPr>
                <w:rStyle w:val="IndexLink"/>
                <w:rtl w:val="true"/>
              </w:rPr>
              <w:t>امکان الأخذ بالإطلاق لعدم اعتبار التعیینی فی صحة احتساب المأتی به من التعبدیات عن خصوص المتعیّن المتعدّد علیه</w:t>
            </w:r>
            <w:r>
              <w:rPr>
                <w:rStyle w:val="IndexLink"/>
                <w:rtl w:val="true"/>
              </w:rPr>
              <w:t>]</w:t>
              <w:tab/>
            </w:r>
            <w:r>
              <w:rPr>
                <w:rStyle w:val="IndexLink"/>
              </w:rPr>
              <w:t>78</w:t>
            </w:r>
          </w:hyperlink>
        </w:p>
        <w:p>
          <w:pPr>
            <w:pStyle w:val="Contents5"/>
            <w:tabs>
              <w:tab w:val="clear" w:pos="7892"/>
              <w:tab w:val="right" w:pos="9026" w:leader="dot"/>
            </w:tabs>
            <w:rPr/>
          </w:pPr>
          <w:hyperlink w:anchor="__RefHeading___Toc2646408_3224264995">
            <w:r>
              <w:rPr>
                <w:webHidden/>
                <w:rStyle w:val="IndexLink"/>
                <w:rtl w:val="true"/>
              </w:rPr>
              <w:t>[</w:t>
            </w:r>
            <w:r>
              <w:rPr>
                <w:rStyle w:val="IndexLink"/>
                <w:rtl w:val="true"/>
              </w:rPr>
              <w:t>التردید فی النیّة یفترق عن التردید فی المنوی</w:t>
            </w:r>
            <w:r>
              <w:rPr>
                <w:rStyle w:val="IndexLink"/>
                <w:rtl w:val="true"/>
              </w:rPr>
              <w:t>]</w:t>
              <w:tab/>
            </w:r>
            <w:r>
              <w:rPr>
                <w:rStyle w:val="IndexLink"/>
              </w:rPr>
              <w:t>79</w:t>
            </w:r>
          </w:hyperlink>
        </w:p>
        <w:p>
          <w:pPr>
            <w:pStyle w:val="Contents5"/>
            <w:tabs>
              <w:tab w:val="clear" w:pos="7892"/>
              <w:tab w:val="right" w:pos="9026" w:leader="dot"/>
            </w:tabs>
            <w:rPr/>
          </w:pPr>
          <w:hyperlink w:anchor="__RefHeading___Toc2646410_3224264995">
            <w:r>
              <w:rPr>
                <w:webHidden/>
                <w:rStyle w:val="IndexLink"/>
                <w:rtl w:val="true"/>
              </w:rPr>
              <w:t>[</w:t>
            </w:r>
            <w:r>
              <w:rPr>
                <w:rStyle w:val="IndexLink"/>
                <w:rtl w:val="true"/>
              </w:rPr>
              <w:t>الفرق بین الظن بالواقع و بین الظن بالطریق إلی الواقع</w:t>
            </w:r>
            <w:r>
              <w:rPr>
                <w:rStyle w:val="IndexLink"/>
                <w:rtl w:val="true"/>
              </w:rPr>
              <w:t>]</w:t>
              <w:tab/>
            </w:r>
            <w:r>
              <w:rPr>
                <w:rStyle w:val="IndexLink"/>
              </w:rPr>
              <w:t>79</w:t>
            </w:r>
          </w:hyperlink>
        </w:p>
        <w:p>
          <w:pPr>
            <w:pStyle w:val="Contents5"/>
            <w:tabs>
              <w:tab w:val="clear" w:pos="7892"/>
              <w:tab w:val="right" w:pos="9026" w:leader="dot"/>
            </w:tabs>
            <w:rPr/>
          </w:pPr>
          <w:hyperlink w:anchor="__RefHeading___Toc2646412_3224264995">
            <w:r>
              <w:rPr>
                <w:webHidden/>
                <w:rStyle w:val="IndexLink"/>
                <w:rtl w:val="true"/>
              </w:rPr>
              <w:t>[</w:t>
            </w:r>
            <w:r>
              <w:rPr>
                <w:rStyle w:val="IndexLink"/>
                <w:rtl w:val="true"/>
              </w:rPr>
              <w:t>خروج المجتهد عن أدلّة الواقع حجّیة فتوی المجتهد فی حقّه</w:t>
            </w:r>
            <w:r>
              <w:rPr>
                <w:rStyle w:val="IndexLink"/>
                <w:rtl w:val="true"/>
              </w:rPr>
              <w:t>]</w:t>
              <w:tab/>
            </w:r>
            <w:r>
              <w:rPr>
                <w:rStyle w:val="IndexLink"/>
              </w:rPr>
              <w:t>81</w:t>
            </w:r>
          </w:hyperlink>
        </w:p>
        <w:p>
          <w:pPr>
            <w:pStyle w:val="Contents5"/>
            <w:tabs>
              <w:tab w:val="clear" w:pos="7892"/>
              <w:tab w:val="right" w:pos="9026" w:leader="dot"/>
            </w:tabs>
            <w:rPr/>
          </w:pPr>
          <w:hyperlink w:anchor="__RefHeading___Toc2646414_3224264995">
            <w:r>
              <w:rPr>
                <w:webHidden/>
                <w:rStyle w:val="IndexLink"/>
                <w:rtl w:val="true"/>
              </w:rPr>
              <w:t>[</w:t>
            </w:r>
            <w:r>
              <w:rPr>
                <w:rStyle w:val="IndexLink"/>
                <w:rtl w:val="true"/>
              </w:rPr>
              <w:t>مراتب الامتثال</w:t>
            </w:r>
            <w:r>
              <w:rPr>
                <w:rStyle w:val="IndexLink"/>
                <w:rtl w:val="true"/>
              </w:rPr>
              <w:t>]</w:t>
              <w:tab/>
            </w:r>
            <w:r>
              <w:rPr>
                <w:rStyle w:val="IndexLink"/>
              </w:rPr>
              <w:t>82</w:t>
            </w:r>
          </w:hyperlink>
        </w:p>
        <w:p>
          <w:pPr>
            <w:pStyle w:val="Contents5"/>
            <w:tabs>
              <w:tab w:val="clear" w:pos="7892"/>
              <w:tab w:val="right" w:pos="9026" w:leader="dot"/>
            </w:tabs>
            <w:rPr/>
          </w:pPr>
          <w:hyperlink w:anchor="__RefHeading___Toc2646416_3224264995">
            <w:r>
              <w:rPr>
                <w:webHidden/>
                <w:rStyle w:val="IndexLink"/>
                <w:rtl w:val="true"/>
              </w:rPr>
              <w:t>[</w:t>
            </w:r>
            <w:r>
              <w:rPr>
                <w:rStyle w:val="IndexLink"/>
                <w:rtl w:val="true"/>
              </w:rPr>
              <w:t>بعض ما یجب فیه العمل بالظن ممّا یعلم عدم رضا الشارع بإهمال أحکامه</w:t>
            </w:r>
            <w:r>
              <w:rPr>
                <w:rStyle w:val="IndexLink"/>
                <w:rtl w:val="true"/>
              </w:rPr>
              <w:t>]</w:t>
              <w:tab/>
            </w:r>
            <w:r>
              <w:rPr>
                <w:rStyle w:val="IndexLink"/>
              </w:rPr>
              <w:t>85</w:t>
            </w:r>
          </w:hyperlink>
        </w:p>
        <w:p>
          <w:pPr>
            <w:pStyle w:val="Contents5"/>
            <w:tabs>
              <w:tab w:val="clear" w:pos="7892"/>
              <w:tab w:val="right" w:pos="9026" w:leader="dot"/>
            </w:tabs>
            <w:rPr/>
          </w:pPr>
          <w:hyperlink w:anchor="__RefHeading___Toc2646418_3224264995">
            <w:r>
              <w:rPr>
                <w:webHidden/>
                <w:rStyle w:val="IndexLink"/>
                <w:rtl w:val="true"/>
              </w:rPr>
              <w:t>[</w:t>
            </w:r>
            <w:r>
              <w:rPr>
                <w:rStyle w:val="IndexLink"/>
                <w:rtl w:val="true"/>
              </w:rPr>
              <w:t>احتمال موضوعیة الظن فی بعض الأحکام</w:t>
            </w:r>
            <w:r>
              <w:rPr>
                <w:rStyle w:val="IndexLink"/>
                <w:rtl w:val="true"/>
              </w:rPr>
              <w:t>]</w:t>
              <w:tab/>
            </w:r>
            <w:r>
              <w:rPr>
                <w:rStyle w:val="IndexLink"/>
              </w:rPr>
              <w:t>85</w:t>
            </w:r>
          </w:hyperlink>
        </w:p>
        <w:p>
          <w:pPr>
            <w:pStyle w:val="Contents5"/>
            <w:tabs>
              <w:tab w:val="clear" w:pos="7892"/>
              <w:tab w:val="right" w:pos="9026" w:leader="dot"/>
            </w:tabs>
            <w:rPr/>
          </w:pPr>
          <w:hyperlink w:anchor="__RefHeading___Toc2646420_3224264995">
            <w:r>
              <w:rPr>
                <w:webHidden/>
                <w:rStyle w:val="IndexLink"/>
                <w:rtl w:val="true"/>
              </w:rPr>
              <w:t>[</w:t>
            </w:r>
            <w:r>
              <w:rPr>
                <w:rStyle w:val="IndexLink"/>
                <w:rtl w:val="true"/>
              </w:rPr>
              <w:t>عدم مصادفة القطع الواقع أحیانا</w:t>
            </w:r>
            <w:r>
              <w:rPr>
                <w:rStyle w:val="IndexLink"/>
                <w:rtl w:val="true"/>
              </w:rPr>
              <w:t>]</w:t>
              <w:tab/>
            </w:r>
            <w:r>
              <w:rPr>
                <w:rStyle w:val="IndexLink"/>
              </w:rPr>
              <w:t>86</w:t>
            </w:r>
          </w:hyperlink>
        </w:p>
        <w:p>
          <w:pPr>
            <w:pStyle w:val="Contents5"/>
            <w:tabs>
              <w:tab w:val="clear" w:pos="7892"/>
              <w:tab w:val="right" w:pos="9026" w:leader="dot"/>
            </w:tabs>
            <w:rPr/>
          </w:pPr>
          <w:hyperlink w:anchor="__RefHeading___Toc2646422_3224264995">
            <w:r>
              <w:rPr>
                <w:webHidden/>
                <w:rStyle w:val="IndexLink"/>
                <w:rtl w:val="true"/>
              </w:rPr>
              <w:t>[</w:t>
            </w:r>
            <w:r>
              <w:rPr>
                <w:rStyle w:val="IndexLink"/>
                <w:rtl w:val="true"/>
              </w:rPr>
              <w:t>مقدّمات الانسداد</w:t>
            </w:r>
            <w:r>
              <w:rPr>
                <w:rStyle w:val="IndexLink"/>
                <w:rtl w:val="true"/>
              </w:rPr>
              <w:t>]</w:t>
              <w:tab/>
            </w:r>
            <w:r>
              <w:rPr>
                <w:rStyle w:val="IndexLink"/>
              </w:rPr>
              <w:t>87</w:t>
            </w:r>
          </w:hyperlink>
        </w:p>
        <w:p>
          <w:pPr>
            <w:pStyle w:val="Contents5"/>
            <w:tabs>
              <w:tab w:val="clear" w:pos="7892"/>
              <w:tab w:val="right" w:pos="9026" w:leader="dot"/>
            </w:tabs>
            <w:rPr/>
          </w:pPr>
          <w:hyperlink w:anchor="__RefHeading___Toc2646424_3224264995">
            <w:r>
              <w:rPr>
                <w:webHidden/>
                <w:rStyle w:val="IndexLink"/>
                <w:rtl w:val="true"/>
              </w:rPr>
              <w:t>[</w:t>
            </w:r>
            <w:r>
              <w:rPr>
                <w:rStyle w:val="IndexLink"/>
                <w:rtl w:val="true"/>
              </w:rPr>
              <w:t>الظنّ الطریقی</w:t>
            </w:r>
            <w:r>
              <w:rPr>
                <w:rStyle w:val="IndexLink"/>
                <w:rtl w:val="true"/>
              </w:rPr>
              <w:t>]</w:t>
              <w:tab/>
            </w:r>
            <w:r>
              <w:rPr>
                <w:rStyle w:val="IndexLink"/>
              </w:rPr>
              <w:t>87</w:t>
            </w:r>
          </w:hyperlink>
        </w:p>
        <w:p>
          <w:pPr>
            <w:pStyle w:val="Contents5"/>
            <w:tabs>
              <w:tab w:val="clear" w:pos="7892"/>
              <w:tab w:val="right" w:pos="9026" w:leader="dot"/>
            </w:tabs>
            <w:rPr/>
          </w:pPr>
          <w:hyperlink w:anchor="__RefHeading___Toc2646426_3224264995">
            <w:r>
              <w:rPr>
                <w:webHidden/>
                <w:rStyle w:val="IndexLink"/>
                <w:rtl w:val="true"/>
              </w:rPr>
              <w:t>[</w:t>
            </w:r>
            <w:r>
              <w:rPr>
                <w:rStyle w:val="IndexLink"/>
                <w:rtl w:val="true"/>
              </w:rPr>
              <w:t>اعتبار الشهرة منوط بالکشف</w:t>
            </w:r>
            <w:r>
              <w:rPr>
                <w:rStyle w:val="IndexLink"/>
                <w:rtl w:val="true"/>
              </w:rPr>
              <w:t>]</w:t>
              <w:tab/>
            </w:r>
            <w:r>
              <w:rPr>
                <w:rStyle w:val="IndexLink"/>
              </w:rPr>
              <w:t>87</w:t>
            </w:r>
          </w:hyperlink>
        </w:p>
        <w:p>
          <w:pPr>
            <w:pStyle w:val="Contents5"/>
            <w:tabs>
              <w:tab w:val="clear" w:pos="7892"/>
              <w:tab w:val="right" w:pos="9026" w:leader="dot"/>
            </w:tabs>
            <w:rPr/>
          </w:pPr>
          <w:hyperlink w:anchor="__RefHeading___Toc2646428_3224264995">
            <w:r>
              <w:rPr>
                <w:webHidden/>
                <w:rStyle w:val="IndexLink"/>
                <w:rtl w:val="true"/>
              </w:rPr>
              <w:t>[</w:t>
            </w:r>
            <w:r>
              <w:rPr>
                <w:rStyle w:val="IndexLink"/>
                <w:rtl w:val="true"/>
              </w:rPr>
              <w:t>احتمال تقید الأحکام بالطرق المنصوبة</w:t>
            </w:r>
            <w:r>
              <w:rPr>
                <w:rStyle w:val="IndexLink"/>
                <w:rtl w:val="true"/>
              </w:rPr>
              <w:t>]</w:t>
              <w:tab/>
            </w:r>
            <w:r>
              <w:rPr>
                <w:rStyle w:val="IndexLink"/>
              </w:rPr>
              <w:t>87</w:t>
            </w:r>
          </w:hyperlink>
        </w:p>
        <w:p>
          <w:pPr>
            <w:pStyle w:val="Contents5"/>
            <w:tabs>
              <w:tab w:val="clear" w:pos="7892"/>
              <w:tab w:val="right" w:pos="9026" w:leader="dot"/>
            </w:tabs>
            <w:rPr/>
          </w:pPr>
          <w:hyperlink w:anchor="__RefHeading___Toc2646430_3224264995">
            <w:r>
              <w:rPr>
                <w:webHidden/>
                <w:rStyle w:val="IndexLink"/>
                <w:rtl w:val="true"/>
              </w:rPr>
              <w:t>[</w:t>
            </w:r>
            <w:r>
              <w:rPr>
                <w:rStyle w:val="IndexLink"/>
                <w:rtl w:val="true"/>
              </w:rPr>
              <w:t>احتمال تقید الأحکام بالطرق المنصوبة فی غیر صورة العلم</w:t>
            </w:r>
            <w:r>
              <w:rPr>
                <w:rStyle w:val="IndexLink"/>
                <w:rtl w:val="true"/>
              </w:rPr>
              <w:t>]</w:t>
              <w:tab/>
            </w:r>
            <w:r>
              <w:rPr>
                <w:rStyle w:val="IndexLink"/>
              </w:rPr>
              <w:t>88</w:t>
            </w:r>
          </w:hyperlink>
        </w:p>
        <w:p>
          <w:pPr>
            <w:pStyle w:val="Contents5"/>
            <w:tabs>
              <w:tab w:val="clear" w:pos="7892"/>
              <w:tab w:val="right" w:pos="9026" w:leader="dot"/>
            </w:tabs>
            <w:rPr/>
          </w:pPr>
          <w:hyperlink w:anchor="__RefHeading___Toc2646432_3224264995">
            <w:r>
              <w:rPr>
                <w:webHidden/>
                <w:rStyle w:val="IndexLink"/>
                <w:rtl w:val="true"/>
              </w:rPr>
              <w:t>[</w:t>
            </w:r>
            <w:r>
              <w:rPr>
                <w:rStyle w:val="IndexLink"/>
                <w:rtl w:val="true"/>
              </w:rPr>
              <w:t>احتمال مطلوبیة الواقع من الطرق المنصوبة علی وجه ضمان المتخلّف منها</w:t>
            </w:r>
            <w:r>
              <w:rPr>
                <w:rStyle w:val="IndexLink"/>
                <w:rtl w:val="true"/>
              </w:rPr>
              <w:t>]</w:t>
              <w:tab/>
            </w:r>
            <w:r>
              <w:rPr>
                <w:rStyle w:val="IndexLink"/>
              </w:rPr>
              <w:t>88</w:t>
            </w:r>
          </w:hyperlink>
        </w:p>
        <w:p>
          <w:pPr>
            <w:pStyle w:val="Contents5"/>
            <w:tabs>
              <w:tab w:val="clear" w:pos="7892"/>
              <w:tab w:val="right" w:pos="9026" w:leader="dot"/>
            </w:tabs>
            <w:rPr/>
          </w:pPr>
          <w:hyperlink w:anchor="__RefHeading___Toc2646434_3224264995">
            <w:r>
              <w:rPr>
                <w:webHidden/>
                <w:rStyle w:val="IndexLink"/>
                <w:rtl w:val="true"/>
              </w:rPr>
              <w:t>[</w:t>
            </w:r>
            <w:r>
              <w:rPr>
                <w:rStyle w:val="IndexLink"/>
                <w:rtl w:val="true"/>
              </w:rPr>
              <w:t>نسبة أدلّة الطرق و أدلّة الواقع</w:t>
            </w:r>
            <w:r>
              <w:rPr>
                <w:rStyle w:val="IndexLink"/>
                <w:rtl w:val="true"/>
              </w:rPr>
              <w:t>]</w:t>
              <w:tab/>
            </w:r>
            <w:r>
              <w:rPr>
                <w:rStyle w:val="IndexLink"/>
              </w:rPr>
              <w:t>88</w:t>
            </w:r>
          </w:hyperlink>
        </w:p>
        <w:p>
          <w:pPr>
            <w:pStyle w:val="Contents5"/>
            <w:tabs>
              <w:tab w:val="clear" w:pos="7892"/>
              <w:tab w:val="right" w:pos="9026" w:leader="dot"/>
            </w:tabs>
            <w:rPr/>
          </w:pPr>
          <w:hyperlink w:anchor="__RefHeading___Toc2646436_3224264995">
            <w:r>
              <w:rPr>
                <w:webHidden/>
                <w:rStyle w:val="IndexLink"/>
                <w:rtl w:val="true"/>
              </w:rPr>
              <w:t>[</w:t>
            </w:r>
            <w:r>
              <w:rPr>
                <w:rStyle w:val="IndexLink"/>
                <w:rtl w:val="true"/>
              </w:rPr>
              <w:t>تحقیق فی مسألة حجّیة الظنّ الطریقی</w:t>
            </w:r>
            <w:r>
              <w:rPr>
                <w:rStyle w:val="IndexLink"/>
                <w:rtl w:val="true"/>
              </w:rPr>
              <w:t>]</w:t>
              <w:tab/>
            </w:r>
            <w:r>
              <w:rPr>
                <w:rStyle w:val="IndexLink"/>
              </w:rPr>
              <w:t>88</w:t>
            </w:r>
          </w:hyperlink>
        </w:p>
        <w:p>
          <w:pPr>
            <w:pStyle w:val="Contents5"/>
            <w:tabs>
              <w:tab w:val="clear" w:pos="7892"/>
              <w:tab w:val="right" w:pos="9026" w:leader="dot"/>
            </w:tabs>
            <w:rPr/>
          </w:pPr>
          <w:hyperlink w:anchor="__RefHeading___Toc2646438_3224264995">
            <w:r>
              <w:rPr>
                <w:webHidden/>
                <w:rStyle w:val="IndexLink"/>
                <w:rtl w:val="true"/>
              </w:rPr>
              <w:t>[</w:t>
            </w:r>
            <w:r>
              <w:rPr>
                <w:rStyle w:val="IndexLink"/>
                <w:rtl w:val="true"/>
              </w:rPr>
              <w:t>إشارة إلی إجزاء الأمر الظاهری</w:t>
            </w:r>
            <w:r>
              <w:rPr>
                <w:rStyle w:val="IndexLink"/>
                <w:rtl w:val="true"/>
              </w:rPr>
              <w:t>]</w:t>
              <w:tab/>
            </w:r>
            <w:r>
              <w:rPr>
                <w:rStyle w:val="IndexLink"/>
              </w:rPr>
              <w:t>89</w:t>
            </w:r>
          </w:hyperlink>
        </w:p>
        <w:p>
          <w:pPr>
            <w:pStyle w:val="Contents5"/>
            <w:tabs>
              <w:tab w:val="clear" w:pos="7892"/>
              <w:tab w:val="right" w:pos="9026" w:leader="dot"/>
            </w:tabs>
            <w:rPr/>
          </w:pPr>
          <w:hyperlink w:anchor="__RefHeading___Toc2646440_3224264995">
            <w:r>
              <w:rPr>
                <w:webHidden/>
                <w:rStyle w:val="IndexLink"/>
                <w:rtl w:val="true"/>
              </w:rPr>
              <w:t>[</w:t>
            </w:r>
            <w:r>
              <w:rPr>
                <w:rStyle w:val="IndexLink"/>
                <w:rtl w:val="true"/>
              </w:rPr>
              <w:t>إفادة أدلّة الطرق جعل مؤداها عین الواقع</w:t>
            </w:r>
            <w:r>
              <w:rPr>
                <w:rStyle w:val="IndexLink"/>
                <w:rtl w:val="true"/>
              </w:rPr>
              <w:t>]</w:t>
              <w:tab/>
            </w:r>
            <w:r>
              <w:rPr>
                <w:rStyle w:val="IndexLink"/>
              </w:rPr>
              <w:t>89</w:t>
            </w:r>
          </w:hyperlink>
        </w:p>
        <w:p>
          <w:pPr>
            <w:pStyle w:val="Contents5"/>
            <w:tabs>
              <w:tab w:val="clear" w:pos="7892"/>
              <w:tab w:val="right" w:pos="9026" w:leader="dot"/>
            </w:tabs>
            <w:rPr/>
          </w:pPr>
          <w:hyperlink w:anchor="__RefHeading___Toc2646442_3224264995">
            <w:r>
              <w:rPr>
                <w:webHidden/>
                <w:rStyle w:val="IndexLink"/>
                <w:rtl w:val="true"/>
              </w:rPr>
              <w:t>[</w:t>
            </w:r>
            <w:r>
              <w:rPr>
                <w:rStyle w:val="IndexLink"/>
                <w:rtl w:val="true"/>
              </w:rPr>
              <w:t>تعریض بما فی هدایة المسترشدین</w:t>
            </w:r>
            <w:r>
              <w:rPr>
                <w:rStyle w:val="IndexLink"/>
                <w:rtl w:val="true"/>
              </w:rPr>
              <w:t>]</w:t>
              <w:tab/>
            </w:r>
            <w:r>
              <w:rPr>
                <w:rStyle w:val="IndexLink"/>
              </w:rPr>
              <w:t>89</w:t>
            </w:r>
          </w:hyperlink>
        </w:p>
        <w:p>
          <w:pPr>
            <w:pStyle w:val="Contents5"/>
            <w:tabs>
              <w:tab w:val="clear" w:pos="7892"/>
              <w:tab w:val="right" w:pos="9026" w:leader="dot"/>
            </w:tabs>
            <w:rPr/>
          </w:pPr>
          <w:hyperlink w:anchor="__RefHeading___Toc2646444_3224264995">
            <w:r>
              <w:rPr>
                <w:webHidden/>
                <w:rStyle w:val="IndexLink"/>
                <w:rtl w:val="true"/>
              </w:rPr>
              <w:t>[</w:t>
            </w:r>
            <w:r>
              <w:rPr>
                <w:rStyle w:val="IndexLink"/>
                <w:rtl w:val="true"/>
              </w:rPr>
              <w:t>دراسة کلام الماتن فی احتیاج کل مکلّف إلی معرفة الطرق المنصوبة شرعا</w:t>
            </w:r>
            <w:r>
              <w:rPr>
                <w:rStyle w:val="IndexLink"/>
                <w:rtl w:val="true"/>
              </w:rPr>
              <w:t>]</w:t>
              <w:tab/>
            </w:r>
            <w:r>
              <w:rPr>
                <w:rStyle w:val="IndexLink"/>
              </w:rPr>
              <w:t>90</w:t>
            </w:r>
          </w:hyperlink>
        </w:p>
        <w:p>
          <w:pPr>
            <w:pStyle w:val="Contents5"/>
            <w:tabs>
              <w:tab w:val="clear" w:pos="7892"/>
              <w:tab w:val="right" w:pos="9026" w:leader="dot"/>
            </w:tabs>
            <w:rPr/>
          </w:pPr>
          <w:hyperlink w:anchor="__RefHeading___Toc2646446_3224264995">
            <w:r>
              <w:rPr>
                <w:webHidden/>
                <w:rStyle w:val="IndexLink"/>
                <w:rtl w:val="true"/>
              </w:rPr>
              <w:t>[</w:t>
            </w:r>
            <w:r>
              <w:rPr>
                <w:rStyle w:val="IndexLink"/>
                <w:rtl w:val="true"/>
              </w:rPr>
              <w:t>دراسة الأمر بالتأمل فی کلام الماتن</w:t>
            </w:r>
            <w:r>
              <w:rPr>
                <w:rStyle w:val="IndexLink"/>
                <w:rtl w:val="true"/>
              </w:rPr>
              <w:t>]</w:t>
              <w:tab/>
            </w:r>
            <w:r>
              <w:rPr>
                <w:rStyle w:val="IndexLink"/>
              </w:rPr>
              <w:t>90</w:t>
            </w:r>
          </w:hyperlink>
        </w:p>
        <w:p>
          <w:pPr>
            <w:pStyle w:val="Contents5"/>
            <w:tabs>
              <w:tab w:val="clear" w:pos="7892"/>
              <w:tab w:val="right" w:pos="9026" w:leader="dot"/>
            </w:tabs>
            <w:rPr/>
          </w:pPr>
          <w:hyperlink w:anchor="__RefHeading___Toc2646448_3224264995">
            <w:r>
              <w:rPr>
                <w:webHidden/>
                <w:rStyle w:val="IndexLink"/>
                <w:rtl w:val="true"/>
              </w:rPr>
              <w:t>[</w:t>
            </w:r>
            <w:r>
              <w:rPr>
                <w:rStyle w:val="IndexLink"/>
                <w:rtl w:val="true"/>
              </w:rPr>
              <w:t>معارضة الاحتیاط فی المسألة الفرعیة للاحتیاط فی المسألة الاصولیة</w:t>
            </w:r>
            <w:r>
              <w:rPr>
                <w:rStyle w:val="IndexLink"/>
                <w:rtl w:val="true"/>
              </w:rPr>
              <w:t>]</w:t>
              <w:tab/>
            </w:r>
            <w:r>
              <w:rPr>
                <w:rStyle w:val="IndexLink"/>
              </w:rPr>
              <w:t>91</w:t>
            </w:r>
          </w:hyperlink>
        </w:p>
        <w:p>
          <w:pPr>
            <w:pStyle w:val="Contents5"/>
            <w:tabs>
              <w:tab w:val="clear" w:pos="7892"/>
              <w:tab w:val="right" w:pos="9026" w:leader="dot"/>
            </w:tabs>
            <w:rPr/>
          </w:pPr>
          <w:hyperlink w:anchor="__RefHeading___Toc2646450_3224264995">
            <w:r>
              <w:rPr>
                <w:webHidden/>
                <w:rStyle w:val="IndexLink"/>
                <w:rtl w:val="true"/>
              </w:rPr>
              <w:t>[</w:t>
            </w:r>
            <w:r>
              <w:rPr>
                <w:rStyle w:val="IndexLink"/>
                <w:rtl w:val="true"/>
              </w:rPr>
              <w:t>إیراد النقض علی القول باعتبار الظنّ بالطریق دون الظنّ بالواقع</w:t>
            </w:r>
            <w:r>
              <w:rPr>
                <w:rStyle w:val="IndexLink"/>
                <w:rtl w:val="true"/>
              </w:rPr>
              <w:t>]</w:t>
              <w:tab/>
            </w:r>
            <w:r>
              <w:rPr>
                <w:rStyle w:val="IndexLink"/>
              </w:rPr>
              <w:t>91</w:t>
            </w:r>
          </w:hyperlink>
        </w:p>
        <w:p>
          <w:pPr>
            <w:pStyle w:val="Contents5"/>
            <w:tabs>
              <w:tab w:val="clear" w:pos="7892"/>
              <w:tab w:val="right" w:pos="9026" w:leader="dot"/>
            </w:tabs>
            <w:rPr/>
          </w:pPr>
          <w:hyperlink w:anchor="__RefHeading___Toc2646452_3224264995">
            <w:r>
              <w:rPr>
                <w:webHidden/>
                <w:rStyle w:val="IndexLink"/>
                <w:rtl w:val="true"/>
              </w:rPr>
              <w:t>[</w:t>
            </w:r>
            <w:r>
              <w:rPr>
                <w:rStyle w:val="IndexLink"/>
                <w:rtl w:val="true"/>
              </w:rPr>
              <w:t>افتراق المجتهد عن المقلد و القاضی فی العمل بالظنّ</w:t>
            </w:r>
            <w:r>
              <w:rPr>
                <w:rStyle w:val="IndexLink"/>
                <w:rtl w:val="true"/>
              </w:rPr>
              <w:t>]</w:t>
              <w:tab/>
            </w:r>
            <w:r>
              <w:rPr>
                <w:rStyle w:val="IndexLink"/>
              </w:rPr>
              <w:t>91</w:t>
            </w:r>
          </w:hyperlink>
        </w:p>
        <w:p>
          <w:pPr>
            <w:pStyle w:val="Contents5"/>
            <w:tabs>
              <w:tab w:val="clear" w:pos="7892"/>
              <w:tab w:val="right" w:pos="9026" w:leader="dot"/>
            </w:tabs>
            <w:rPr/>
          </w:pPr>
          <w:hyperlink w:anchor="__RefHeading___Toc2646454_3224264995">
            <w:r>
              <w:rPr>
                <w:webHidden/>
                <w:rStyle w:val="IndexLink"/>
                <w:rtl w:val="true"/>
              </w:rPr>
              <w:t>[</w:t>
            </w:r>
            <w:r>
              <w:rPr>
                <w:rStyle w:val="IndexLink"/>
                <w:rtl w:val="true"/>
              </w:rPr>
              <w:t>حصر طریق المقلّد و القاضی فی تقلید المجتهد و العمل بالبینة و الیمین حصر إضافی</w:t>
            </w:r>
            <w:r>
              <w:rPr>
                <w:rStyle w:val="IndexLink"/>
                <w:rtl w:val="true"/>
              </w:rPr>
              <w:t>]</w:t>
              <w:tab/>
            </w:r>
            <w:r>
              <w:rPr>
                <w:rStyle w:val="IndexLink"/>
              </w:rPr>
              <w:t>92</w:t>
            </w:r>
          </w:hyperlink>
        </w:p>
        <w:p>
          <w:pPr>
            <w:pStyle w:val="Contents5"/>
            <w:tabs>
              <w:tab w:val="clear" w:pos="7892"/>
              <w:tab w:val="right" w:pos="9026" w:leader="dot"/>
            </w:tabs>
            <w:rPr/>
          </w:pPr>
          <w:hyperlink w:anchor="__RefHeading___Toc2646456_3224264995">
            <w:r>
              <w:rPr>
                <w:webHidden/>
                <w:rStyle w:val="IndexLink"/>
                <w:rtl w:val="true"/>
              </w:rPr>
              <w:t>[</w:t>
            </w:r>
            <w:r>
              <w:rPr>
                <w:rStyle w:val="IndexLink"/>
                <w:rtl w:val="true"/>
              </w:rPr>
              <w:t>فرق الوجه الأول عن الوجه الثانی فی إثبات حجیّة الظنّ بالطریق الشرعی</w:t>
            </w:r>
            <w:r>
              <w:rPr>
                <w:rStyle w:val="IndexLink"/>
                <w:rtl w:val="true"/>
              </w:rPr>
              <w:t>]</w:t>
              <w:tab/>
            </w:r>
            <w:r>
              <w:rPr>
                <w:rStyle w:val="IndexLink"/>
              </w:rPr>
              <w:t>93</w:t>
            </w:r>
          </w:hyperlink>
        </w:p>
        <w:p>
          <w:pPr>
            <w:pStyle w:val="Contents5"/>
            <w:tabs>
              <w:tab w:val="clear" w:pos="7892"/>
              <w:tab w:val="right" w:pos="9026" w:leader="dot"/>
            </w:tabs>
            <w:rPr/>
          </w:pPr>
          <w:hyperlink w:anchor="__RefHeading___Toc2646458_3224264995">
            <w:r>
              <w:rPr>
                <w:webHidden/>
                <w:rStyle w:val="IndexLink"/>
                <w:rtl w:val="true"/>
              </w:rPr>
              <w:t>[</w:t>
            </w:r>
            <w:r>
              <w:rPr>
                <w:rStyle w:val="IndexLink"/>
                <w:rtl w:val="true"/>
              </w:rPr>
              <w:t>المدار عند صاحب القوانین علی الانسداد الشخصی دون النوعی فی حجیة مطلق الظنّ</w:t>
            </w:r>
            <w:r>
              <w:rPr>
                <w:rStyle w:val="IndexLink"/>
                <w:rtl w:val="true"/>
              </w:rPr>
              <w:t>]</w:t>
              <w:tab/>
            </w:r>
            <w:r>
              <w:rPr>
                <w:rStyle w:val="IndexLink"/>
              </w:rPr>
              <w:t>93</w:t>
            </w:r>
          </w:hyperlink>
        </w:p>
        <w:p>
          <w:pPr>
            <w:pStyle w:val="Contents5"/>
            <w:tabs>
              <w:tab w:val="clear" w:pos="7892"/>
              <w:tab w:val="right" w:pos="9026" w:leader="dot"/>
            </w:tabs>
            <w:rPr/>
          </w:pPr>
          <w:hyperlink w:anchor="__RefHeading___Toc2646460_3224264995">
            <w:r>
              <w:rPr>
                <w:webHidden/>
                <w:rStyle w:val="IndexLink"/>
                <w:rtl w:val="true"/>
              </w:rPr>
              <w:t>[</w:t>
            </w:r>
            <w:r>
              <w:rPr>
                <w:rStyle w:val="IndexLink"/>
                <w:rtl w:val="true"/>
              </w:rPr>
              <w:t>اعتبار الظنّ بمفاد البراءة</w:t>
            </w:r>
            <w:r>
              <w:rPr>
                <w:rStyle w:val="IndexLink"/>
                <w:rtl w:val="true"/>
              </w:rPr>
              <w:t>]</w:t>
              <w:tab/>
            </w:r>
            <w:r>
              <w:rPr>
                <w:rStyle w:val="IndexLink"/>
              </w:rPr>
              <w:t>94</w:t>
            </w:r>
          </w:hyperlink>
        </w:p>
        <w:p>
          <w:pPr>
            <w:pStyle w:val="Contents5"/>
            <w:tabs>
              <w:tab w:val="clear" w:pos="7892"/>
              <w:tab w:val="right" w:pos="9026" w:leader="dot"/>
            </w:tabs>
            <w:rPr/>
          </w:pPr>
          <w:hyperlink w:anchor="__RefHeading___Toc2646462_3224264995">
            <w:r>
              <w:rPr>
                <w:webHidden/>
                <w:rStyle w:val="IndexLink"/>
                <w:rtl w:val="true"/>
              </w:rPr>
              <w:t>[</w:t>
            </w:r>
            <w:r>
              <w:rPr>
                <w:rStyle w:val="IndexLink"/>
                <w:rtl w:val="true"/>
              </w:rPr>
              <w:t>الخلاف فی نتیجة دلیل الانسداد بین الکشف و الحکومة</w:t>
            </w:r>
            <w:r>
              <w:rPr>
                <w:rStyle w:val="IndexLink"/>
                <w:rtl w:val="true"/>
              </w:rPr>
              <w:t>]</w:t>
              <w:tab/>
            </w:r>
            <w:r>
              <w:rPr>
                <w:rStyle w:val="IndexLink"/>
              </w:rPr>
              <w:t>94</w:t>
            </w:r>
          </w:hyperlink>
        </w:p>
        <w:p>
          <w:pPr>
            <w:pStyle w:val="Contents5"/>
            <w:tabs>
              <w:tab w:val="clear" w:pos="7892"/>
              <w:tab w:val="right" w:pos="9026" w:leader="dot"/>
            </w:tabs>
            <w:rPr/>
          </w:pPr>
          <w:hyperlink w:anchor="__RefHeading___Toc2646464_3224264995">
            <w:r>
              <w:rPr>
                <w:webHidden/>
                <w:rStyle w:val="IndexLink"/>
                <w:rtl w:val="true"/>
              </w:rPr>
              <w:t>[</w:t>
            </w:r>
            <w:r>
              <w:rPr>
                <w:rStyle w:val="IndexLink"/>
                <w:rtl w:val="true"/>
              </w:rPr>
              <w:t>المفارقات بین القائلین بحجیة مطلق الظنّ</w:t>
            </w:r>
            <w:r>
              <w:rPr>
                <w:rStyle w:val="IndexLink"/>
                <w:rtl w:val="true"/>
              </w:rPr>
              <w:t>]</w:t>
              <w:tab/>
            </w:r>
            <w:r>
              <w:rPr>
                <w:rStyle w:val="IndexLink"/>
              </w:rPr>
              <w:t>95</w:t>
            </w:r>
          </w:hyperlink>
        </w:p>
        <w:p>
          <w:pPr>
            <w:pStyle w:val="Contents5"/>
            <w:tabs>
              <w:tab w:val="clear" w:pos="7892"/>
              <w:tab w:val="right" w:pos="9026" w:leader="dot"/>
            </w:tabs>
            <w:rPr/>
          </w:pPr>
          <w:hyperlink w:anchor="__RefHeading___Toc2646466_3224264995">
            <w:r>
              <w:rPr>
                <w:webHidden/>
                <w:rStyle w:val="IndexLink"/>
                <w:rtl w:val="true"/>
              </w:rPr>
              <w:t>[</w:t>
            </w:r>
            <w:r>
              <w:rPr>
                <w:rStyle w:val="IndexLink"/>
                <w:rtl w:val="true"/>
              </w:rPr>
              <w:t>إیراد علی المصنّف فی حکمه بإمکان الانفکاک بین حکم الشرع و حکم العقل</w:t>
            </w:r>
            <w:r>
              <w:rPr>
                <w:rStyle w:val="IndexLink"/>
                <w:rtl w:val="true"/>
              </w:rPr>
              <w:t>]</w:t>
              <w:tab/>
            </w:r>
            <w:r>
              <w:rPr>
                <w:rStyle w:val="IndexLink"/>
              </w:rPr>
              <w:t>96</w:t>
            </w:r>
          </w:hyperlink>
        </w:p>
        <w:p>
          <w:pPr>
            <w:pStyle w:val="Contents5"/>
            <w:tabs>
              <w:tab w:val="clear" w:pos="7892"/>
              <w:tab w:val="right" w:pos="9026" w:leader="dot"/>
            </w:tabs>
            <w:rPr/>
          </w:pPr>
          <w:hyperlink w:anchor="__RefHeading___Toc2646468_3224264995">
            <w:r>
              <w:rPr>
                <w:webHidden/>
                <w:rStyle w:val="IndexLink"/>
                <w:rtl w:val="true"/>
              </w:rPr>
              <w:t>[</w:t>
            </w:r>
            <w:r>
              <w:rPr>
                <w:rStyle w:val="IndexLink"/>
                <w:rtl w:val="true"/>
              </w:rPr>
              <w:t>إشارة إلی ما یؤثر فی نتیجة دلیل الانسداد و فی لازمها</w:t>
            </w:r>
            <w:r>
              <w:rPr>
                <w:rStyle w:val="IndexLink"/>
                <w:rtl w:val="true"/>
              </w:rPr>
              <w:t>]</w:t>
              <w:tab/>
            </w:r>
            <w:r>
              <w:rPr>
                <w:rStyle w:val="IndexLink"/>
              </w:rPr>
              <w:t>97</w:t>
            </w:r>
          </w:hyperlink>
        </w:p>
        <w:p>
          <w:pPr>
            <w:pStyle w:val="Contents5"/>
            <w:tabs>
              <w:tab w:val="clear" w:pos="7892"/>
              <w:tab w:val="right" w:pos="9026" w:leader="dot"/>
            </w:tabs>
            <w:rPr/>
          </w:pPr>
          <w:hyperlink w:anchor="__RefHeading___Toc2646470_3224264995">
            <w:r>
              <w:rPr>
                <w:webHidden/>
                <w:rStyle w:val="IndexLink"/>
                <w:rtl w:val="true"/>
              </w:rPr>
              <w:t>[</w:t>
            </w:r>
            <w:r>
              <w:rPr>
                <w:rStyle w:val="IndexLink"/>
                <w:rtl w:val="true"/>
              </w:rPr>
              <w:t>إشارة إلی انّ الاستکشاف بالاجماع یجعل دلیل الانسداد شرعیا</w:t>
            </w:r>
            <w:r>
              <w:rPr>
                <w:rStyle w:val="IndexLink"/>
                <w:rtl w:val="true"/>
              </w:rPr>
              <w:t>]</w:t>
              <w:tab/>
            </w:r>
            <w:r>
              <w:rPr>
                <w:rStyle w:val="IndexLink"/>
              </w:rPr>
              <w:t>97</w:t>
            </w:r>
          </w:hyperlink>
        </w:p>
        <w:p>
          <w:pPr>
            <w:pStyle w:val="Contents5"/>
            <w:tabs>
              <w:tab w:val="clear" w:pos="7892"/>
              <w:tab w:val="right" w:pos="9026" w:leader="dot"/>
            </w:tabs>
            <w:rPr/>
          </w:pPr>
          <w:hyperlink w:anchor="__RefHeading___Toc2646472_3224264995">
            <w:r>
              <w:rPr>
                <w:webHidden/>
                <w:rStyle w:val="IndexLink"/>
                <w:rtl w:val="true"/>
              </w:rPr>
              <w:t>[</w:t>
            </w:r>
            <w:r>
              <w:rPr>
                <w:rStyle w:val="IndexLink"/>
                <w:rtl w:val="true"/>
              </w:rPr>
              <w:t>الفرق بین المعیّن و المرجح و الفرق بین الدلیل و المؤید</w:t>
            </w:r>
            <w:r>
              <w:rPr>
                <w:rStyle w:val="IndexLink"/>
                <w:rtl w:val="true"/>
              </w:rPr>
              <w:t>]</w:t>
              <w:tab/>
            </w:r>
            <w:r>
              <w:rPr>
                <w:rStyle w:val="IndexLink"/>
              </w:rPr>
              <w:t>97</w:t>
            </w:r>
          </w:hyperlink>
        </w:p>
        <w:p>
          <w:pPr>
            <w:pStyle w:val="Contents5"/>
            <w:tabs>
              <w:tab w:val="clear" w:pos="7892"/>
              <w:tab w:val="right" w:pos="9026" w:leader="dot"/>
            </w:tabs>
            <w:rPr/>
          </w:pPr>
          <w:hyperlink w:anchor="__RefHeading___Toc2646474_3224264995">
            <w:r>
              <w:rPr>
                <w:webHidden/>
                <w:rStyle w:val="IndexLink"/>
                <w:rtl w:val="true"/>
              </w:rPr>
              <w:t>[</w:t>
            </w:r>
            <w:r>
              <w:rPr>
                <w:rStyle w:val="IndexLink"/>
                <w:rtl w:val="true"/>
              </w:rPr>
              <w:t>ترجیح بعض الظنون علی بعض</w:t>
            </w:r>
            <w:r>
              <w:rPr>
                <w:rStyle w:val="IndexLink"/>
                <w:rtl w:val="true"/>
              </w:rPr>
              <w:t>]</w:t>
              <w:tab/>
            </w:r>
            <w:r>
              <w:rPr>
                <w:rStyle w:val="IndexLink"/>
              </w:rPr>
              <w:t>97</w:t>
            </w:r>
          </w:hyperlink>
        </w:p>
        <w:p>
          <w:pPr>
            <w:pStyle w:val="Contents5"/>
            <w:tabs>
              <w:tab w:val="clear" w:pos="7892"/>
              <w:tab w:val="right" w:pos="9026" w:leader="dot"/>
            </w:tabs>
            <w:rPr/>
          </w:pPr>
          <w:hyperlink w:anchor="__RefHeading___Toc2646476_3224264995">
            <w:r>
              <w:rPr>
                <w:webHidden/>
                <w:rStyle w:val="IndexLink"/>
                <w:rtl w:val="true"/>
              </w:rPr>
              <w:t>[</w:t>
            </w:r>
            <w:r>
              <w:rPr>
                <w:rStyle w:val="IndexLink"/>
                <w:rtl w:val="true"/>
              </w:rPr>
              <w:t>المراد من تیقن اعتبار بعض الظنون و مظنونیته</w:t>
            </w:r>
            <w:r>
              <w:rPr>
                <w:rStyle w:val="IndexLink"/>
                <w:rtl w:val="true"/>
              </w:rPr>
              <w:t>]</w:t>
              <w:tab/>
            </w:r>
            <w:r>
              <w:rPr>
                <w:rStyle w:val="IndexLink"/>
              </w:rPr>
              <w:t>98</w:t>
            </w:r>
          </w:hyperlink>
        </w:p>
        <w:p>
          <w:pPr>
            <w:pStyle w:val="Contents5"/>
            <w:tabs>
              <w:tab w:val="clear" w:pos="7892"/>
              <w:tab w:val="right" w:pos="9026" w:leader="dot"/>
            </w:tabs>
            <w:rPr/>
          </w:pPr>
          <w:hyperlink w:anchor="__RefHeading___Toc2646478_3224264995">
            <w:r>
              <w:rPr>
                <w:webHidden/>
                <w:rStyle w:val="IndexLink"/>
                <w:rtl w:val="true"/>
              </w:rPr>
              <w:t>[</w:t>
            </w:r>
            <w:r>
              <w:rPr>
                <w:rStyle w:val="IndexLink"/>
                <w:rtl w:val="true"/>
              </w:rPr>
              <w:t>استواء نسبة دلیل الانسداد إلی افراد الظنّ و اختلاف نسبة آیة النبأ و نحوها إلیها</w:t>
            </w:r>
            <w:r>
              <w:rPr>
                <w:rStyle w:val="IndexLink"/>
                <w:rtl w:val="true"/>
              </w:rPr>
              <w:t>]</w:t>
              <w:tab/>
            </w:r>
            <w:r>
              <w:rPr>
                <w:rStyle w:val="IndexLink"/>
              </w:rPr>
              <w:t>98</w:t>
            </w:r>
          </w:hyperlink>
        </w:p>
        <w:p>
          <w:pPr>
            <w:pStyle w:val="Contents5"/>
            <w:tabs>
              <w:tab w:val="clear" w:pos="7892"/>
              <w:tab w:val="right" w:pos="9026" w:leader="dot"/>
            </w:tabs>
            <w:rPr/>
          </w:pPr>
          <w:hyperlink w:anchor="__RefHeading___Toc2646480_3224264995">
            <w:r>
              <w:rPr>
                <w:webHidden/>
                <w:rStyle w:val="IndexLink"/>
                <w:rtl w:val="true"/>
              </w:rPr>
              <w:t>[</w:t>
            </w:r>
            <w:r>
              <w:rPr>
                <w:rStyle w:val="IndexLink"/>
                <w:rtl w:val="true"/>
              </w:rPr>
              <w:t>مزیة احتمال المرجّحیة</w:t>
            </w:r>
            <w:r>
              <w:rPr>
                <w:rStyle w:val="IndexLink"/>
                <w:rtl w:val="true"/>
              </w:rPr>
              <w:t>]</w:t>
              <w:tab/>
            </w:r>
            <w:r>
              <w:rPr>
                <w:rStyle w:val="IndexLink"/>
              </w:rPr>
              <w:t>99</w:t>
            </w:r>
          </w:hyperlink>
        </w:p>
        <w:p>
          <w:pPr>
            <w:pStyle w:val="Contents5"/>
            <w:tabs>
              <w:tab w:val="clear" w:pos="7892"/>
              <w:tab w:val="right" w:pos="9026" w:leader="dot"/>
            </w:tabs>
            <w:rPr/>
          </w:pPr>
          <w:hyperlink w:anchor="__RefHeading___Toc2646482_3224264995">
            <w:r>
              <w:rPr>
                <w:webHidden/>
                <w:rStyle w:val="IndexLink"/>
                <w:rtl w:val="true"/>
              </w:rPr>
              <w:t>[</w:t>
            </w:r>
            <w:r>
              <w:rPr>
                <w:rStyle w:val="IndexLink"/>
                <w:rtl w:val="true"/>
              </w:rPr>
              <w:t>عدم کفایة ما تیقّن اعتباره من الظنّ بدلیل الانسداد</w:t>
            </w:r>
            <w:r>
              <w:rPr>
                <w:rStyle w:val="IndexLink"/>
                <w:rtl w:val="true"/>
              </w:rPr>
              <w:t>]</w:t>
              <w:tab/>
            </w:r>
            <w:r>
              <w:rPr>
                <w:rStyle w:val="IndexLink"/>
              </w:rPr>
              <w:t>99</w:t>
            </w:r>
          </w:hyperlink>
        </w:p>
        <w:p>
          <w:pPr>
            <w:pStyle w:val="Contents5"/>
            <w:tabs>
              <w:tab w:val="clear" w:pos="7892"/>
              <w:tab w:val="right" w:pos="9026" w:leader="dot"/>
            </w:tabs>
            <w:rPr/>
          </w:pPr>
          <w:hyperlink w:anchor="__RefHeading___Toc2646484_3224264995">
            <w:r>
              <w:rPr>
                <w:webHidden/>
                <w:rStyle w:val="IndexLink"/>
                <w:rtl w:val="true"/>
              </w:rPr>
              <w:t>[</w:t>
            </w:r>
            <w:r>
              <w:rPr>
                <w:rStyle w:val="IndexLink"/>
                <w:rtl w:val="true"/>
              </w:rPr>
              <w:t>المراد من اعتبار مطلق الظنّ فی إثبات حجیة مظنون الحجّیة</w:t>
            </w:r>
            <w:r>
              <w:rPr>
                <w:rStyle w:val="IndexLink"/>
                <w:rtl w:val="true"/>
              </w:rPr>
              <w:t>]</w:t>
              <w:tab/>
            </w:r>
            <w:r>
              <w:rPr>
                <w:rStyle w:val="IndexLink"/>
              </w:rPr>
              <w:t>99</w:t>
            </w:r>
          </w:hyperlink>
        </w:p>
        <w:p>
          <w:pPr>
            <w:pStyle w:val="Contents5"/>
            <w:tabs>
              <w:tab w:val="clear" w:pos="7892"/>
              <w:tab w:val="right" w:pos="9026" w:leader="dot"/>
            </w:tabs>
            <w:rPr/>
          </w:pPr>
          <w:hyperlink w:anchor="__RefHeading___Toc2646486_3224264995">
            <w:r>
              <w:rPr>
                <w:webHidden/>
                <w:rStyle w:val="IndexLink"/>
                <w:rtl w:val="true"/>
              </w:rPr>
              <w:t>[</w:t>
            </w:r>
            <w:r>
              <w:rPr>
                <w:rStyle w:val="IndexLink"/>
                <w:rtl w:val="true"/>
              </w:rPr>
              <w:t>القول بحجیّة الظنّ الطریقی و افتراقه عن توهّم اعتبار مطلق الظنّ فی إثبات حجّیة مظنون الحجّیة</w:t>
            </w:r>
            <w:r>
              <w:rPr>
                <w:rStyle w:val="IndexLink"/>
                <w:rtl w:val="true"/>
              </w:rPr>
              <w:t>]</w:t>
              <w:tab/>
            </w:r>
            <w:r>
              <w:rPr>
                <w:rStyle w:val="IndexLink"/>
              </w:rPr>
              <w:t>100</w:t>
            </w:r>
          </w:hyperlink>
        </w:p>
        <w:p>
          <w:pPr>
            <w:pStyle w:val="Contents5"/>
            <w:tabs>
              <w:tab w:val="clear" w:pos="7892"/>
              <w:tab w:val="right" w:pos="9026" w:leader="dot"/>
            </w:tabs>
            <w:rPr/>
          </w:pPr>
          <w:hyperlink w:anchor="__RefHeading___Toc2646488_3224264995">
            <w:r>
              <w:rPr>
                <w:webHidden/>
                <w:rStyle w:val="IndexLink"/>
                <w:rtl w:val="true"/>
              </w:rPr>
              <w:t>[</w:t>
            </w:r>
            <w:r>
              <w:rPr>
                <w:rStyle w:val="IndexLink"/>
                <w:rtl w:val="true"/>
              </w:rPr>
              <w:t>توجیه توهّم اعتبار مطلق الظنّ فی إثبات حجّیة المظنون حجّیته</w:t>
            </w:r>
            <w:r>
              <w:rPr>
                <w:rStyle w:val="IndexLink"/>
                <w:rtl w:val="true"/>
              </w:rPr>
              <w:t>]</w:t>
              <w:tab/>
            </w:r>
            <w:r>
              <w:rPr>
                <w:rStyle w:val="IndexLink"/>
              </w:rPr>
              <w:t>100</w:t>
            </w:r>
          </w:hyperlink>
        </w:p>
        <w:p>
          <w:pPr>
            <w:pStyle w:val="Contents5"/>
            <w:tabs>
              <w:tab w:val="clear" w:pos="7892"/>
              <w:tab w:val="right" w:pos="9026" w:leader="dot"/>
            </w:tabs>
            <w:rPr/>
          </w:pPr>
          <w:hyperlink w:anchor="__RefHeading___Toc2646490_3224264995">
            <w:r>
              <w:rPr>
                <w:webHidden/>
                <w:rStyle w:val="IndexLink"/>
                <w:rtl w:val="true"/>
              </w:rPr>
              <w:t>[</w:t>
            </w:r>
            <w:r>
              <w:rPr>
                <w:rStyle w:val="IndexLink"/>
                <w:rtl w:val="true"/>
              </w:rPr>
              <w:t>الردّ علی توجیه المتوهّم المذکور</w:t>
            </w:r>
            <w:r>
              <w:rPr>
                <w:rStyle w:val="IndexLink"/>
                <w:rtl w:val="true"/>
              </w:rPr>
              <w:t>]</w:t>
              <w:tab/>
            </w:r>
            <w:r>
              <w:rPr>
                <w:rStyle w:val="IndexLink"/>
              </w:rPr>
              <w:t>101</w:t>
            </w:r>
          </w:hyperlink>
        </w:p>
        <w:p>
          <w:pPr>
            <w:pStyle w:val="Contents5"/>
            <w:tabs>
              <w:tab w:val="clear" w:pos="7892"/>
              <w:tab w:val="right" w:pos="9026" w:leader="dot"/>
            </w:tabs>
            <w:rPr/>
          </w:pPr>
          <w:hyperlink w:anchor="__RefHeading___Toc2646492_3224264995">
            <w:r>
              <w:rPr>
                <w:webHidden/>
                <w:rStyle w:val="IndexLink"/>
                <w:rtl w:val="true"/>
              </w:rPr>
              <w:t>[</w:t>
            </w:r>
            <w:r>
              <w:rPr>
                <w:rStyle w:val="IndexLink"/>
                <w:rtl w:val="true"/>
              </w:rPr>
              <w:t>المجمل العقلی الخاصّ بزمان الانسداد لا یلائم التعیین بمعیّن لفظی خاصّ بزمان الانفتاح</w:t>
            </w:r>
            <w:r>
              <w:rPr>
                <w:rStyle w:val="IndexLink"/>
                <w:rtl w:val="true"/>
              </w:rPr>
              <w:t>]</w:t>
              <w:tab/>
            </w:r>
            <w:r>
              <w:rPr>
                <w:rStyle w:val="IndexLink"/>
              </w:rPr>
              <w:t>103</w:t>
            </w:r>
          </w:hyperlink>
        </w:p>
        <w:p>
          <w:pPr>
            <w:pStyle w:val="Contents5"/>
            <w:tabs>
              <w:tab w:val="clear" w:pos="7892"/>
              <w:tab w:val="right" w:pos="9026" w:leader="dot"/>
            </w:tabs>
            <w:rPr/>
          </w:pPr>
          <w:hyperlink w:anchor="__RefHeading___Toc2646494_3224264995">
            <w:r>
              <w:rPr>
                <w:webHidden/>
                <w:rStyle w:val="IndexLink"/>
                <w:rtl w:val="true"/>
              </w:rPr>
              <w:t>[</w:t>
            </w:r>
            <w:r>
              <w:rPr>
                <w:rStyle w:val="IndexLink"/>
                <w:rtl w:val="true"/>
              </w:rPr>
              <w:t>تلویح إلی انّ الترجیح بلا مرجّح فی التکوین محال، و فی الالزام و التکلیف قبیح</w:t>
            </w:r>
            <w:r>
              <w:rPr>
                <w:rStyle w:val="IndexLink"/>
                <w:rtl w:val="true"/>
              </w:rPr>
              <w:t>]</w:t>
              <w:tab/>
            </w:r>
            <w:r>
              <w:rPr>
                <w:rStyle w:val="IndexLink"/>
              </w:rPr>
              <w:t>104</w:t>
            </w:r>
          </w:hyperlink>
        </w:p>
        <w:p>
          <w:pPr>
            <w:pStyle w:val="Contents5"/>
            <w:tabs>
              <w:tab w:val="clear" w:pos="7892"/>
              <w:tab w:val="right" w:pos="9026" w:leader="dot"/>
            </w:tabs>
            <w:rPr/>
          </w:pPr>
          <w:hyperlink w:anchor="__RefHeading___Toc2646496_3224264995">
            <w:r>
              <w:rPr>
                <w:webHidden/>
                <w:rStyle w:val="IndexLink"/>
                <w:rtl w:val="true"/>
              </w:rPr>
              <w:t>[</w:t>
            </w:r>
            <w:r>
              <w:rPr>
                <w:rStyle w:val="IndexLink"/>
                <w:rtl w:val="true"/>
              </w:rPr>
              <w:t>تعیین الظنّ المظنون حجّیته بالأولویة</w:t>
            </w:r>
            <w:r>
              <w:rPr>
                <w:rStyle w:val="IndexLink"/>
                <w:rtl w:val="true"/>
              </w:rPr>
              <w:t>]</w:t>
              <w:tab/>
            </w:r>
            <w:r>
              <w:rPr>
                <w:rStyle w:val="IndexLink"/>
              </w:rPr>
              <w:t>105</w:t>
            </w:r>
          </w:hyperlink>
        </w:p>
        <w:p>
          <w:pPr>
            <w:pStyle w:val="Contents5"/>
            <w:tabs>
              <w:tab w:val="clear" w:pos="7892"/>
              <w:tab w:val="right" w:pos="9026" w:leader="dot"/>
            </w:tabs>
            <w:rPr/>
          </w:pPr>
          <w:hyperlink w:anchor="__RefHeading___Toc2646498_3224264995">
            <w:r>
              <w:rPr>
                <w:webHidden/>
                <w:rStyle w:val="IndexLink"/>
                <w:rtl w:val="true"/>
              </w:rPr>
              <w:t>[</w:t>
            </w:r>
            <w:r>
              <w:rPr>
                <w:rStyle w:val="IndexLink"/>
                <w:rtl w:val="true"/>
              </w:rPr>
              <w:t>تعیین الظنّ المظنون حجّیته بالمعیّن المتّحد و استبعاد ذلک</w:t>
            </w:r>
            <w:r>
              <w:rPr>
                <w:rStyle w:val="IndexLink"/>
                <w:rtl w:val="true"/>
              </w:rPr>
              <w:t>]</w:t>
              <w:tab/>
            </w:r>
            <w:r>
              <w:rPr>
                <w:rStyle w:val="IndexLink"/>
              </w:rPr>
              <w:t>105</w:t>
            </w:r>
          </w:hyperlink>
        </w:p>
        <w:p>
          <w:pPr>
            <w:pStyle w:val="Contents5"/>
            <w:tabs>
              <w:tab w:val="clear" w:pos="7892"/>
              <w:tab w:val="right" w:pos="9026" w:leader="dot"/>
            </w:tabs>
            <w:rPr/>
          </w:pPr>
          <w:hyperlink w:anchor="__RefHeading___Toc2646500_3224264995">
            <w:r>
              <w:rPr>
                <w:webHidden/>
                <w:rStyle w:val="IndexLink"/>
                <w:rtl w:val="true"/>
              </w:rPr>
              <w:t>[</w:t>
            </w:r>
            <w:r>
              <w:rPr>
                <w:rStyle w:val="IndexLink"/>
                <w:rtl w:val="true"/>
              </w:rPr>
              <w:t>المسائل العقلیة لیس من وظیفة الشرع بیانها</w:t>
            </w:r>
            <w:r>
              <w:rPr>
                <w:rStyle w:val="IndexLink"/>
                <w:rtl w:val="true"/>
              </w:rPr>
              <w:t>]</w:t>
              <w:tab/>
            </w:r>
            <w:r>
              <w:rPr>
                <w:rStyle w:val="IndexLink"/>
              </w:rPr>
              <w:t>106</w:t>
            </w:r>
          </w:hyperlink>
        </w:p>
        <w:p>
          <w:pPr>
            <w:pStyle w:val="Contents5"/>
            <w:tabs>
              <w:tab w:val="clear" w:pos="7892"/>
              <w:tab w:val="right" w:pos="9026" w:leader="dot"/>
            </w:tabs>
            <w:rPr/>
          </w:pPr>
          <w:hyperlink w:anchor="__RefHeading___Toc2646502_3224264995">
            <w:r>
              <w:rPr>
                <w:webHidden/>
                <w:rStyle w:val="IndexLink"/>
                <w:rtl w:val="true"/>
              </w:rPr>
              <w:t>[</w:t>
            </w:r>
            <w:r>
              <w:rPr>
                <w:rStyle w:val="IndexLink"/>
                <w:rtl w:val="true"/>
              </w:rPr>
              <w:t>توجیه منع تعمیم نتیجة الانسداد بقاعدة الاشتغال</w:t>
            </w:r>
            <w:r>
              <w:rPr>
                <w:rStyle w:val="IndexLink"/>
                <w:rtl w:val="true"/>
              </w:rPr>
              <w:t>]</w:t>
              <w:tab/>
            </w:r>
            <w:r>
              <w:rPr>
                <w:rStyle w:val="IndexLink"/>
              </w:rPr>
              <w:t>106</w:t>
            </w:r>
          </w:hyperlink>
        </w:p>
        <w:p>
          <w:pPr>
            <w:pStyle w:val="Contents5"/>
            <w:tabs>
              <w:tab w:val="clear" w:pos="7892"/>
              <w:tab w:val="right" w:pos="9026" w:leader="dot"/>
            </w:tabs>
            <w:rPr/>
          </w:pPr>
          <w:hyperlink w:anchor="__RefHeading___Toc2646504_3224264995">
            <w:r>
              <w:rPr>
                <w:webHidden/>
                <w:rStyle w:val="IndexLink"/>
                <w:rtl w:val="true"/>
              </w:rPr>
              <w:t>[</w:t>
            </w:r>
            <w:r>
              <w:rPr>
                <w:rStyle w:val="IndexLink"/>
                <w:rtl w:val="true"/>
              </w:rPr>
              <w:t>الدوران بین الأقلّ و الأکثر مجری البراءة و بین المحذورین مجری قاعدة التخییر</w:t>
            </w:r>
            <w:r>
              <w:rPr>
                <w:rStyle w:val="IndexLink"/>
                <w:rtl w:val="true"/>
              </w:rPr>
              <w:t>]</w:t>
              <w:tab/>
            </w:r>
            <w:r>
              <w:rPr>
                <w:rStyle w:val="IndexLink"/>
              </w:rPr>
              <w:t>106</w:t>
            </w:r>
          </w:hyperlink>
        </w:p>
        <w:p>
          <w:pPr>
            <w:pStyle w:val="Contents5"/>
            <w:tabs>
              <w:tab w:val="clear" w:pos="7892"/>
              <w:tab w:val="right" w:pos="9026" w:leader="dot"/>
            </w:tabs>
            <w:rPr/>
          </w:pPr>
          <w:hyperlink w:anchor="__RefHeading___Toc2646506_3224264995">
            <w:r>
              <w:rPr>
                <w:webHidden/>
                <w:rStyle w:val="IndexLink"/>
                <w:rtl w:val="true"/>
              </w:rPr>
              <w:t>[</w:t>
            </w:r>
            <w:r>
              <w:rPr>
                <w:rStyle w:val="IndexLink"/>
                <w:rtl w:val="true"/>
              </w:rPr>
              <w:t>تقدیم الاحتیاط فی الفروع علیه فی الاصول فی بعض صور تعارض الاشتغال فیها، و العکس فی بعض آخر</w:t>
            </w:r>
            <w:r>
              <w:rPr>
                <w:rStyle w:val="IndexLink"/>
                <w:rtl w:val="true"/>
              </w:rPr>
              <w:t>]</w:t>
              <w:tab/>
            </w:r>
            <w:r>
              <w:rPr>
                <w:rStyle w:val="IndexLink"/>
              </w:rPr>
              <w:t>107</w:t>
            </w:r>
          </w:hyperlink>
        </w:p>
        <w:p>
          <w:pPr>
            <w:pStyle w:val="Contents5"/>
            <w:tabs>
              <w:tab w:val="clear" w:pos="7892"/>
              <w:tab w:val="right" w:pos="9026" w:leader="dot"/>
            </w:tabs>
            <w:rPr/>
          </w:pPr>
          <w:hyperlink w:anchor="__RefHeading___Toc2646508_3224264995">
            <w:r>
              <w:rPr>
                <w:webHidden/>
                <w:rStyle w:val="IndexLink"/>
                <w:rtl w:val="true"/>
              </w:rPr>
              <w:t>[</w:t>
            </w:r>
            <w:r>
              <w:rPr>
                <w:rStyle w:val="IndexLink"/>
                <w:rtl w:val="true"/>
              </w:rPr>
              <w:t>عدم تقدیم أحد الاحتیاطین علی الآخر فی بعض الصور</w:t>
            </w:r>
            <w:r>
              <w:rPr>
                <w:rStyle w:val="IndexLink"/>
                <w:rtl w:val="true"/>
              </w:rPr>
              <w:t>]</w:t>
              <w:tab/>
            </w:r>
            <w:r>
              <w:rPr>
                <w:rStyle w:val="IndexLink"/>
              </w:rPr>
              <w:t>107</w:t>
            </w:r>
          </w:hyperlink>
        </w:p>
        <w:p>
          <w:pPr>
            <w:pStyle w:val="Contents5"/>
            <w:tabs>
              <w:tab w:val="clear" w:pos="7892"/>
              <w:tab w:val="right" w:pos="9026" w:leader="dot"/>
            </w:tabs>
            <w:rPr/>
          </w:pPr>
          <w:hyperlink w:anchor="__RefHeading___Toc2646510_3224264995">
            <w:r>
              <w:rPr>
                <w:webHidden/>
                <w:rStyle w:val="IndexLink"/>
                <w:rtl w:val="true"/>
              </w:rPr>
              <w:t>[</w:t>
            </w:r>
            <w:r>
              <w:rPr>
                <w:rStyle w:val="IndexLink"/>
                <w:rtl w:val="true"/>
              </w:rPr>
              <w:t>الردّ علی إیراد المصنّف علی تعمیم نتیجة الانسداد بقاعدة الاشتغال</w:t>
            </w:r>
            <w:r>
              <w:rPr>
                <w:rStyle w:val="IndexLink"/>
                <w:rtl w:val="true"/>
              </w:rPr>
              <w:t>]</w:t>
              <w:tab/>
            </w:r>
            <w:r>
              <w:rPr>
                <w:rStyle w:val="IndexLink"/>
              </w:rPr>
              <w:t>107</w:t>
            </w:r>
          </w:hyperlink>
        </w:p>
        <w:p>
          <w:pPr>
            <w:pStyle w:val="Contents5"/>
            <w:tabs>
              <w:tab w:val="clear" w:pos="7892"/>
              <w:tab w:val="right" w:pos="9026" w:leader="dot"/>
            </w:tabs>
            <w:rPr/>
          </w:pPr>
          <w:hyperlink w:anchor="__RefHeading___Toc2646512_3224264995">
            <w:r>
              <w:rPr>
                <w:webHidden/>
                <w:rStyle w:val="IndexLink"/>
                <w:rtl w:val="true"/>
              </w:rPr>
              <w:t>[</w:t>
            </w:r>
            <w:r>
              <w:rPr>
                <w:rStyle w:val="IndexLink"/>
                <w:rtl w:val="true"/>
              </w:rPr>
              <w:t>الاحتیاط فی المسألة الاصولیة یزیل الشکّ فی المسألة الفرعیة</w:t>
            </w:r>
            <w:r>
              <w:rPr>
                <w:rStyle w:val="IndexLink"/>
                <w:rtl w:val="true"/>
              </w:rPr>
              <w:t>]</w:t>
              <w:tab/>
            </w:r>
            <w:r>
              <w:rPr>
                <w:rStyle w:val="IndexLink"/>
              </w:rPr>
              <w:t>107</w:t>
            </w:r>
          </w:hyperlink>
        </w:p>
        <w:p>
          <w:pPr>
            <w:pStyle w:val="Contents5"/>
            <w:tabs>
              <w:tab w:val="clear" w:pos="7892"/>
              <w:tab w:val="right" w:pos="9026" w:leader="dot"/>
            </w:tabs>
            <w:rPr/>
          </w:pPr>
          <w:hyperlink w:anchor="__RefHeading___Toc2646514_3224264995">
            <w:r>
              <w:rPr>
                <w:webHidden/>
                <w:rStyle w:val="IndexLink"/>
                <w:rtl w:val="true"/>
              </w:rPr>
              <w:t>[</w:t>
            </w:r>
            <w:r>
              <w:rPr>
                <w:rStyle w:val="IndexLink"/>
                <w:rtl w:val="true"/>
              </w:rPr>
              <w:t>تقدیم الأصل الجاری فی الموضوع علی الأصل فی حکمه</w:t>
            </w:r>
            <w:r>
              <w:rPr>
                <w:rStyle w:val="IndexLink"/>
                <w:rtl w:val="true"/>
              </w:rPr>
              <w:t>]</w:t>
              <w:tab/>
            </w:r>
            <w:r>
              <w:rPr>
                <w:rStyle w:val="IndexLink"/>
              </w:rPr>
              <w:t>108</w:t>
            </w:r>
          </w:hyperlink>
        </w:p>
        <w:p>
          <w:pPr>
            <w:pStyle w:val="Contents5"/>
            <w:tabs>
              <w:tab w:val="clear" w:pos="7892"/>
              <w:tab w:val="right" w:pos="9026" w:leader="dot"/>
            </w:tabs>
            <w:rPr/>
          </w:pPr>
          <w:hyperlink w:anchor="__RefHeading___Toc2646516_3224264995">
            <w:r>
              <w:rPr>
                <w:webHidden/>
                <w:rStyle w:val="IndexLink"/>
                <w:rtl w:val="true"/>
              </w:rPr>
              <w:t>[</w:t>
            </w:r>
            <w:r>
              <w:rPr>
                <w:rStyle w:val="IndexLink"/>
                <w:rtl w:val="true"/>
              </w:rPr>
              <w:t>مناقشة تمثیل الماتن لتقدیم قاعدة الاحتیاط فی المسألة الاصولیة علیه فی المسألة الفرعیة</w:t>
            </w:r>
            <w:r>
              <w:rPr>
                <w:rStyle w:val="IndexLink"/>
                <w:rtl w:val="true"/>
              </w:rPr>
              <w:t>]</w:t>
              <w:tab/>
            </w:r>
            <w:r>
              <w:rPr>
                <w:rStyle w:val="IndexLink"/>
              </w:rPr>
              <w:t>108</w:t>
            </w:r>
          </w:hyperlink>
        </w:p>
        <w:p>
          <w:pPr>
            <w:pStyle w:val="Contents5"/>
            <w:tabs>
              <w:tab w:val="clear" w:pos="7892"/>
              <w:tab w:val="right" w:pos="9026" w:leader="dot"/>
            </w:tabs>
            <w:rPr/>
          </w:pPr>
          <w:hyperlink w:anchor="__RefHeading___Toc2646518_3224264995">
            <w:r>
              <w:rPr>
                <w:webHidden/>
                <w:rStyle w:val="IndexLink"/>
                <w:rtl w:val="true"/>
              </w:rPr>
              <w:t>[</w:t>
            </w:r>
            <w:r>
              <w:rPr>
                <w:rStyle w:val="IndexLink"/>
                <w:rtl w:val="true"/>
              </w:rPr>
              <w:t>العلم الواقعی التفصیلی مناف للاحتیاط لا العلم الظاهری الشرعی</w:t>
            </w:r>
            <w:r>
              <w:rPr>
                <w:rStyle w:val="IndexLink"/>
                <w:rtl w:val="true"/>
              </w:rPr>
              <w:t>]</w:t>
              <w:tab/>
            </w:r>
            <w:r>
              <w:rPr>
                <w:rStyle w:val="IndexLink"/>
              </w:rPr>
              <w:t>109</w:t>
            </w:r>
          </w:hyperlink>
        </w:p>
        <w:p>
          <w:pPr>
            <w:pStyle w:val="Contents5"/>
            <w:tabs>
              <w:tab w:val="clear" w:pos="7892"/>
              <w:tab w:val="right" w:pos="9026" w:leader="dot"/>
            </w:tabs>
            <w:rPr/>
          </w:pPr>
          <w:hyperlink w:anchor="__RefHeading___Toc2646520_3224264995">
            <w:r>
              <w:rPr>
                <w:webHidden/>
                <w:rStyle w:val="IndexLink"/>
                <w:rtl w:val="true"/>
              </w:rPr>
              <w:t>[</w:t>
            </w:r>
            <w:r>
              <w:rPr>
                <w:rStyle w:val="IndexLink"/>
                <w:rtl w:val="true"/>
              </w:rPr>
              <w:t>تثبیت التعارض بین الاحتیاطین فی موردی العلم الإجمالی</w:t>
            </w:r>
            <w:r>
              <w:rPr>
                <w:rStyle w:val="IndexLink"/>
                <w:rtl w:val="true"/>
              </w:rPr>
              <w:t>]</w:t>
              <w:tab/>
            </w:r>
            <w:r>
              <w:rPr>
                <w:rStyle w:val="IndexLink"/>
              </w:rPr>
              <w:t>109</w:t>
            </w:r>
          </w:hyperlink>
        </w:p>
        <w:p>
          <w:pPr>
            <w:pStyle w:val="Contents5"/>
            <w:tabs>
              <w:tab w:val="clear" w:pos="7892"/>
              <w:tab w:val="right" w:pos="9026" w:leader="dot"/>
            </w:tabs>
            <w:rPr/>
          </w:pPr>
          <w:hyperlink w:anchor="__RefHeading___Toc2646522_3224264995">
            <w:r>
              <w:rPr>
                <w:webHidden/>
                <w:rStyle w:val="IndexLink"/>
                <w:rtl w:val="true"/>
              </w:rPr>
              <w:t>[</w:t>
            </w:r>
            <w:r>
              <w:rPr>
                <w:rStyle w:val="IndexLink"/>
                <w:rtl w:val="true"/>
              </w:rPr>
              <w:t>تأتّی التعارض و نحوه فی الأحکام العقلیة الظنّیة</w:t>
            </w:r>
            <w:r>
              <w:rPr>
                <w:rStyle w:val="IndexLink"/>
                <w:rtl w:val="true"/>
              </w:rPr>
              <w:t>]</w:t>
              <w:tab/>
            </w:r>
            <w:r>
              <w:rPr>
                <w:rStyle w:val="IndexLink"/>
              </w:rPr>
              <w:t>109</w:t>
            </w:r>
          </w:hyperlink>
        </w:p>
        <w:p>
          <w:pPr>
            <w:pStyle w:val="Contents5"/>
            <w:tabs>
              <w:tab w:val="clear" w:pos="7892"/>
              <w:tab w:val="right" w:pos="9026" w:leader="dot"/>
            </w:tabs>
            <w:rPr/>
          </w:pPr>
          <w:hyperlink w:anchor="__RefHeading___Toc2646524_3224264995">
            <w:r>
              <w:rPr>
                <w:webHidden/>
                <w:rStyle w:val="IndexLink"/>
                <w:rtl w:val="true"/>
              </w:rPr>
              <w:t>[</w:t>
            </w:r>
            <w:r>
              <w:rPr>
                <w:rStyle w:val="IndexLink"/>
                <w:rtl w:val="true"/>
              </w:rPr>
              <w:t>تفسیر أمری الماتن بالفهم</w:t>
            </w:r>
            <w:r>
              <w:rPr>
                <w:rStyle w:val="IndexLink"/>
                <w:rtl w:val="true"/>
              </w:rPr>
              <w:t>]</w:t>
              <w:tab/>
            </w:r>
            <w:r>
              <w:rPr>
                <w:rStyle w:val="IndexLink"/>
              </w:rPr>
              <w:t>109</w:t>
            </w:r>
          </w:hyperlink>
        </w:p>
        <w:p>
          <w:pPr>
            <w:pStyle w:val="Contents5"/>
            <w:tabs>
              <w:tab w:val="clear" w:pos="7892"/>
              <w:tab w:val="right" w:pos="9026" w:leader="dot"/>
            </w:tabs>
            <w:rPr/>
          </w:pPr>
          <w:hyperlink w:anchor="__RefHeading___Toc2646526_3224264995">
            <w:r>
              <w:rPr>
                <w:webHidden/>
                <w:rStyle w:val="IndexLink"/>
                <w:rtl w:val="true"/>
              </w:rPr>
              <w:t>[</w:t>
            </w:r>
            <w:r>
              <w:rPr>
                <w:rStyle w:val="IndexLink"/>
                <w:rtl w:val="true"/>
              </w:rPr>
              <w:t>بیان الحکم العقلی کمیة أو کیفیة فی لسان الشرع تقریر و تأکید</w:t>
            </w:r>
            <w:r>
              <w:rPr>
                <w:rStyle w:val="IndexLink"/>
                <w:rtl w:val="true"/>
              </w:rPr>
              <w:t>]</w:t>
              <w:tab/>
            </w:r>
            <w:r>
              <w:rPr>
                <w:rStyle w:val="IndexLink"/>
              </w:rPr>
              <w:t>110</w:t>
            </w:r>
          </w:hyperlink>
        </w:p>
        <w:p>
          <w:pPr>
            <w:pStyle w:val="Contents5"/>
            <w:tabs>
              <w:tab w:val="clear" w:pos="7892"/>
              <w:tab w:val="right" w:pos="9026" w:leader="dot"/>
            </w:tabs>
            <w:rPr/>
          </w:pPr>
          <w:hyperlink w:anchor="__RefHeading___Toc2646528_3224264995">
            <w:r>
              <w:rPr>
                <w:webHidden/>
                <w:rStyle w:val="IndexLink"/>
                <w:rtl w:val="true"/>
              </w:rPr>
              <w:t>[</w:t>
            </w:r>
            <w:r>
              <w:rPr>
                <w:rStyle w:val="IndexLink"/>
                <w:rtl w:val="true"/>
              </w:rPr>
              <w:t>الردّ علی الماتن فی العمل بالاحتیاط فی ما لم ترد امارة ظنیة توجب الاطمینان</w:t>
            </w:r>
            <w:r>
              <w:rPr>
                <w:rStyle w:val="IndexLink"/>
                <w:rtl w:val="true"/>
              </w:rPr>
              <w:t>]</w:t>
              <w:tab/>
            </w:r>
            <w:r>
              <w:rPr>
                <w:rStyle w:val="IndexLink"/>
              </w:rPr>
              <w:t>110</w:t>
            </w:r>
          </w:hyperlink>
        </w:p>
        <w:p>
          <w:pPr>
            <w:pStyle w:val="Contents5"/>
            <w:tabs>
              <w:tab w:val="clear" w:pos="7892"/>
              <w:tab w:val="right" w:pos="9026" w:leader="dot"/>
            </w:tabs>
            <w:rPr/>
          </w:pPr>
          <w:hyperlink w:anchor="__RefHeading___Toc2646530_3224264995">
            <w:r>
              <w:rPr>
                <w:webHidden/>
                <w:rStyle w:val="IndexLink"/>
                <w:rtl w:val="true"/>
              </w:rPr>
              <w:t>[</w:t>
            </w:r>
            <w:r>
              <w:rPr>
                <w:rStyle w:val="IndexLink"/>
                <w:rtl w:val="true"/>
              </w:rPr>
              <w:t>الاطمینان لیس له ضابطة کلّیة</w:t>
            </w:r>
            <w:r>
              <w:rPr>
                <w:rStyle w:val="IndexLink"/>
                <w:rtl w:val="true"/>
              </w:rPr>
              <w:t>]</w:t>
              <w:tab/>
            </w:r>
            <w:r>
              <w:rPr>
                <w:rStyle w:val="IndexLink"/>
              </w:rPr>
              <w:t>110</w:t>
            </w:r>
          </w:hyperlink>
        </w:p>
        <w:p>
          <w:pPr>
            <w:pStyle w:val="Contents5"/>
            <w:tabs>
              <w:tab w:val="clear" w:pos="7892"/>
              <w:tab w:val="right" w:pos="9026" w:leader="dot"/>
            </w:tabs>
            <w:rPr/>
          </w:pPr>
          <w:hyperlink w:anchor="__RefHeading___Toc2646532_3224264995">
            <w:r>
              <w:rPr>
                <w:webHidden/>
                <w:rStyle w:val="IndexLink"/>
                <w:rtl w:val="true"/>
              </w:rPr>
              <w:t>[</w:t>
            </w:r>
            <w:r>
              <w:rPr>
                <w:rStyle w:val="IndexLink"/>
                <w:rtl w:val="true"/>
              </w:rPr>
              <w:t>رفع العسر لا یستلزم بطلان العمل المعسور</w:t>
            </w:r>
            <w:r>
              <w:rPr>
                <w:rStyle w:val="IndexLink"/>
                <w:rtl w:val="true"/>
              </w:rPr>
              <w:t>]</w:t>
              <w:tab/>
            </w:r>
            <w:r>
              <w:rPr>
                <w:rStyle w:val="IndexLink"/>
              </w:rPr>
              <w:t>111</w:t>
            </w:r>
          </w:hyperlink>
        </w:p>
        <w:p>
          <w:pPr>
            <w:pStyle w:val="Contents5"/>
            <w:tabs>
              <w:tab w:val="clear" w:pos="7892"/>
              <w:tab w:val="right" w:pos="9026" w:leader="dot"/>
            </w:tabs>
            <w:rPr/>
          </w:pPr>
          <w:hyperlink w:anchor="__RefHeading___Toc2646534_3224264995">
            <w:r>
              <w:rPr>
                <w:webHidden/>
                <w:rStyle w:val="IndexLink"/>
                <w:rtl w:val="true"/>
              </w:rPr>
              <w:t>[</w:t>
            </w:r>
            <w:r>
              <w:rPr>
                <w:rStyle w:val="IndexLink"/>
                <w:rtl w:val="true"/>
              </w:rPr>
              <w:t>الاختلاف فی نفی العسر</w:t>
            </w:r>
            <w:r>
              <w:rPr>
                <w:rStyle w:val="IndexLink"/>
                <w:rtl w:val="true"/>
              </w:rPr>
              <w:t>]</w:t>
              <w:tab/>
            </w:r>
            <w:r>
              <w:rPr>
                <w:rStyle w:val="IndexLink"/>
              </w:rPr>
              <w:t>111</w:t>
            </w:r>
          </w:hyperlink>
        </w:p>
        <w:p>
          <w:pPr>
            <w:pStyle w:val="Contents5"/>
            <w:tabs>
              <w:tab w:val="clear" w:pos="7892"/>
              <w:tab w:val="right" w:pos="9026" w:leader="dot"/>
            </w:tabs>
            <w:rPr/>
          </w:pPr>
          <w:hyperlink w:anchor="__RefHeading___Toc2646536_3224264995">
            <w:r>
              <w:rPr>
                <w:webHidden/>
                <w:rStyle w:val="IndexLink"/>
                <w:rtl w:val="true"/>
              </w:rPr>
              <w:t>[</w:t>
            </w:r>
            <w:r>
              <w:rPr>
                <w:rStyle w:val="IndexLink"/>
                <w:rtl w:val="true"/>
              </w:rPr>
              <w:t>الظواهر المظنون ظهورها بالاجتهاد و إعمال الظنون المطلقة فی ترجیحها بحکم الظنون المطلقة</w:t>
            </w:r>
            <w:r>
              <w:rPr>
                <w:rStyle w:val="IndexLink"/>
                <w:rtl w:val="true"/>
              </w:rPr>
              <w:t>]</w:t>
              <w:tab/>
            </w:r>
            <w:r>
              <w:rPr>
                <w:rStyle w:val="IndexLink"/>
              </w:rPr>
              <w:t>111</w:t>
            </w:r>
          </w:hyperlink>
        </w:p>
        <w:p>
          <w:pPr>
            <w:pStyle w:val="Contents5"/>
            <w:tabs>
              <w:tab w:val="clear" w:pos="7892"/>
              <w:tab w:val="right" w:pos="9026" w:leader="dot"/>
            </w:tabs>
            <w:rPr/>
          </w:pPr>
          <w:hyperlink w:anchor="__RefHeading___Toc2646538_3224264995">
            <w:r>
              <w:rPr>
                <w:webHidden/>
                <w:rStyle w:val="IndexLink"/>
                <w:rtl w:val="true"/>
              </w:rPr>
              <w:t>[</w:t>
            </w:r>
            <w:r>
              <w:rPr>
                <w:rStyle w:val="IndexLink"/>
                <w:rtl w:val="true"/>
              </w:rPr>
              <w:t>ردّ العمل بالاحتیاط عند الانسداد</w:t>
            </w:r>
            <w:r>
              <w:rPr>
                <w:rStyle w:val="IndexLink"/>
                <w:rtl w:val="true"/>
              </w:rPr>
              <w:t>]</w:t>
              <w:tab/>
            </w:r>
            <w:r>
              <w:rPr>
                <w:rStyle w:val="IndexLink"/>
              </w:rPr>
              <w:t>111</w:t>
            </w:r>
          </w:hyperlink>
        </w:p>
        <w:p>
          <w:pPr>
            <w:pStyle w:val="Contents5"/>
            <w:tabs>
              <w:tab w:val="clear" w:pos="7892"/>
              <w:tab w:val="right" w:pos="9026" w:leader="dot"/>
            </w:tabs>
            <w:rPr/>
          </w:pPr>
          <w:hyperlink w:anchor="__RefHeading___Toc2646540_3224264995">
            <w:r>
              <w:rPr>
                <w:webHidden/>
                <w:rStyle w:val="IndexLink"/>
                <w:rtl w:val="true"/>
              </w:rPr>
              <w:t>[</w:t>
            </w:r>
            <w:r>
              <w:rPr>
                <w:rStyle w:val="IndexLink"/>
                <w:rtl w:val="true"/>
              </w:rPr>
              <w:t>الردّ علی الماتن فی إمکان الاحتیاط و کثرة حصول الاطمینان فی الامارات و غیر ذلک</w:t>
            </w:r>
            <w:r>
              <w:rPr>
                <w:rStyle w:val="IndexLink"/>
                <w:rtl w:val="true"/>
              </w:rPr>
              <w:t>]</w:t>
              <w:tab/>
            </w:r>
            <w:r>
              <w:rPr>
                <w:rStyle w:val="IndexLink"/>
              </w:rPr>
              <w:t>112</w:t>
            </w:r>
          </w:hyperlink>
        </w:p>
        <w:p>
          <w:pPr>
            <w:pStyle w:val="Contents5"/>
            <w:tabs>
              <w:tab w:val="clear" w:pos="7892"/>
              <w:tab w:val="right" w:pos="9026" w:leader="dot"/>
            </w:tabs>
            <w:rPr/>
          </w:pPr>
          <w:hyperlink w:anchor="__RefHeading___Toc2646542_3224264995">
            <w:r>
              <w:rPr>
                <w:webHidden/>
                <w:rStyle w:val="IndexLink"/>
                <w:rtl w:val="true"/>
              </w:rPr>
              <w:t>[</w:t>
            </w:r>
            <w:r>
              <w:rPr>
                <w:rStyle w:val="IndexLink"/>
                <w:rtl w:val="true"/>
              </w:rPr>
              <w:t>انحصار القول فی الشبهة المحصورة فی الاحتیاط المطلق و البراءة المطلقة أو فی ما عدا مقدار الحرام و القرعة</w:t>
            </w:r>
            <w:r>
              <w:rPr>
                <w:rStyle w:val="IndexLink"/>
                <w:rtl w:val="true"/>
              </w:rPr>
              <w:t>]</w:t>
              <w:tab/>
            </w:r>
            <w:r>
              <w:rPr>
                <w:rStyle w:val="IndexLink"/>
              </w:rPr>
              <w:t>112</w:t>
            </w:r>
          </w:hyperlink>
        </w:p>
        <w:p>
          <w:pPr>
            <w:pStyle w:val="Contents5"/>
            <w:tabs>
              <w:tab w:val="clear" w:pos="7892"/>
              <w:tab w:val="right" w:pos="9026" w:leader="dot"/>
            </w:tabs>
            <w:rPr/>
          </w:pPr>
          <w:hyperlink w:anchor="__RefHeading___Toc2646544_3224264995">
            <w:r>
              <w:rPr>
                <w:webHidden/>
                <w:rStyle w:val="IndexLink"/>
                <w:rtl w:val="true"/>
              </w:rPr>
              <w:t>[</w:t>
            </w:r>
            <w:r>
              <w:rPr>
                <w:rStyle w:val="IndexLink"/>
                <w:rtl w:val="true"/>
              </w:rPr>
              <w:t>الجاهل بالموضوع معذور فی ما لا یعذر فیه الجاهل بالحکم</w:t>
            </w:r>
            <w:r>
              <w:rPr>
                <w:rStyle w:val="IndexLink"/>
                <w:rtl w:val="true"/>
              </w:rPr>
              <w:t>]</w:t>
              <w:tab/>
            </w:r>
            <w:r>
              <w:rPr>
                <w:rStyle w:val="IndexLink"/>
              </w:rPr>
              <w:t>112</w:t>
            </w:r>
          </w:hyperlink>
        </w:p>
        <w:p>
          <w:pPr>
            <w:pStyle w:val="Contents5"/>
            <w:tabs>
              <w:tab w:val="clear" w:pos="7892"/>
              <w:tab w:val="right" w:pos="9026" w:leader="dot"/>
            </w:tabs>
            <w:rPr/>
          </w:pPr>
          <w:hyperlink w:anchor="__RefHeading___Toc2646546_3224264995">
            <w:r>
              <w:rPr>
                <w:webHidden/>
                <w:rStyle w:val="IndexLink"/>
                <w:rtl w:val="true"/>
              </w:rPr>
              <w:t>[</w:t>
            </w:r>
            <w:r>
              <w:rPr>
                <w:rStyle w:val="IndexLink"/>
                <w:rtl w:val="true"/>
              </w:rPr>
              <w:t>وجوه عدم التسامح فی الروایات بما یتسامح فی غیرها</w:t>
            </w:r>
            <w:r>
              <w:rPr>
                <w:rStyle w:val="IndexLink"/>
                <w:rtl w:val="true"/>
              </w:rPr>
              <w:t>]</w:t>
              <w:tab/>
            </w:r>
            <w:r>
              <w:rPr>
                <w:rStyle w:val="IndexLink"/>
              </w:rPr>
              <w:t>113</w:t>
            </w:r>
          </w:hyperlink>
        </w:p>
        <w:p>
          <w:pPr>
            <w:pStyle w:val="Contents5"/>
            <w:tabs>
              <w:tab w:val="clear" w:pos="7892"/>
              <w:tab w:val="right" w:pos="9026" w:leader="dot"/>
            </w:tabs>
            <w:rPr/>
          </w:pPr>
          <w:hyperlink w:anchor="__RefHeading___Toc2646548_3224264995">
            <w:r>
              <w:rPr>
                <w:webHidden/>
                <w:rStyle w:val="IndexLink"/>
                <w:rtl w:val="true"/>
              </w:rPr>
              <w:t>[</w:t>
            </w:r>
            <w:r>
              <w:rPr>
                <w:rStyle w:val="IndexLink"/>
                <w:rtl w:val="true"/>
              </w:rPr>
              <w:t>احتمال استناد العلم الإجمالی بالتکلیف إلی العلم الإجمالی فی حجّیة الأمارات</w:t>
            </w:r>
            <w:r>
              <w:rPr>
                <w:rStyle w:val="IndexLink"/>
                <w:rtl w:val="true"/>
              </w:rPr>
              <w:t>]</w:t>
              <w:tab/>
            </w:r>
            <w:r>
              <w:rPr>
                <w:rStyle w:val="IndexLink"/>
              </w:rPr>
              <w:t>113</w:t>
            </w:r>
          </w:hyperlink>
        </w:p>
        <w:p>
          <w:pPr>
            <w:pStyle w:val="Contents5"/>
            <w:tabs>
              <w:tab w:val="clear" w:pos="7892"/>
              <w:tab w:val="right" w:pos="9026" w:leader="dot"/>
            </w:tabs>
            <w:rPr/>
          </w:pPr>
          <w:hyperlink w:anchor="__RefHeading___Toc2646550_3224264995">
            <w:r>
              <w:rPr>
                <w:webHidden/>
                <w:rStyle w:val="IndexLink"/>
                <w:rtl w:val="true"/>
              </w:rPr>
              <w:t>[</w:t>
            </w:r>
            <w:r>
              <w:rPr>
                <w:rStyle w:val="IndexLink"/>
                <w:rtl w:val="true"/>
              </w:rPr>
              <w:t>الجواب عن دعوی اختصاص المعلوم إجمالا من مخالفة الظواهر بمورد الأمارات، و مناقشة جواب الماتن</w:t>
            </w:r>
            <w:r>
              <w:rPr>
                <w:rStyle w:val="IndexLink"/>
                <w:rtl w:val="true"/>
              </w:rPr>
              <w:t>]</w:t>
              <w:tab/>
            </w:r>
            <w:r>
              <w:rPr>
                <w:rStyle w:val="IndexLink"/>
              </w:rPr>
              <w:t>114</w:t>
            </w:r>
          </w:hyperlink>
        </w:p>
        <w:p>
          <w:pPr>
            <w:pStyle w:val="Contents5"/>
            <w:tabs>
              <w:tab w:val="clear" w:pos="7892"/>
              <w:tab w:val="right" w:pos="9026" w:leader="dot"/>
            </w:tabs>
            <w:rPr/>
          </w:pPr>
          <w:hyperlink w:anchor="__RefHeading___Toc2646552_3224264995">
            <w:r>
              <w:rPr>
                <w:webHidden/>
                <w:rStyle w:val="IndexLink"/>
                <w:rtl w:val="true"/>
              </w:rPr>
              <w:t>[</w:t>
            </w:r>
            <w:r>
              <w:rPr>
                <w:rStyle w:val="IndexLink"/>
                <w:rtl w:val="true"/>
              </w:rPr>
              <w:t>تقریر الکشف لا یقضی بحجّیة الظنّ فی الاصول</w:t>
            </w:r>
            <w:r>
              <w:rPr>
                <w:rStyle w:val="IndexLink"/>
                <w:rtl w:val="true"/>
              </w:rPr>
              <w:t>]</w:t>
              <w:tab/>
            </w:r>
            <w:r>
              <w:rPr>
                <w:rStyle w:val="IndexLink"/>
              </w:rPr>
              <w:t>115</w:t>
            </w:r>
          </w:hyperlink>
        </w:p>
        <w:p>
          <w:pPr>
            <w:pStyle w:val="Contents5"/>
            <w:tabs>
              <w:tab w:val="clear" w:pos="7892"/>
              <w:tab w:val="right" w:pos="9026" w:leader="dot"/>
            </w:tabs>
            <w:rPr/>
          </w:pPr>
          <w:hyperlink w:anchor="__RefHeading___Toc2646554_3224264995">
            <w:r>
              <w:rPr>
                <w:webHidden/>
                <w:rStyle w:val="IndexLink"/>
                <w:rtl w:val="true"/>
              </w:rPr>
              <w:t>[</w:t>
            </w:r>
            <w:r>
              <w:rPr>
                <w:rStyle w:val="IndexLink"/>
                <w:rtl w:val="true"/>
              </w:rPr>
              <w:t>اشکال خروج القیاس علی تقریر الحکومة</w:t>
            </w:r>
            <w:r>
              <w:rPr>
                <w:rStyle w:val="IndexLink"/>
                <w:rtl w:val="true"/>
              </w:rPr>
              <w:t>]</w:t>
              <w:tab/>
            </w:r>
            <w:r>
              <w:rPr>
                <w:rStyle w:val="IndexLink"/>
              </w:rPr>
              <w:t>115</w:t>
            </w:r>
          </w:hyperlink>
        </w:p>
        <w:p>
          <w:pPr>
            <w:pStyle w:val="Contents5"/>
            <w:tabs>
              <w:tab w:val="clear" w:pos="7892"/>
              <w:tab w:val="right" w:pos="9026" w:leader="dot"/>
            </w:tabs>
            <w:rPr/>
          </w:pPr>
          <w:hyperlink w:anchor="__RefHeading___Toc2646556_3224264995">
            <w:r>
              <w:rPr>
                <w:webHidden/>
                <w:rStyle w:val="IndexLink"/>
                <w:rtl w:val="true"/>
              </w:rPr>
              <w:t>[</w:t>
            </w:r>
            <w:r>
              <w:rPr>
                <w:rStyle w:val="IndexLink"/>
                <w:rtl w:val="true"/>
              </w:rPr>
              <w:t>بطلان القیاس فی قبال الخبر الصحیح لا مطلقا</w:t>
            </w:r>
            <w:r>
              <w:rPr>
                <w:rStyle w:val="IndexLink"/>
                <w:rtl w:val="true"/>
              </w:rPr>
              <w:t>]</w:t>
              <w:tab/>
            </w:r>
            <w:r>
              <w:rPr>
                <w:rStyle w:val="IndexLink"/>
              </w:rPr>
              <w:t>115</w:t>
            </w:r>
          </w:hyperlink>
        </w:p>
        <w:p>
          <w:pPr>
            <w:pStyle w:val="Contents5"/>
            <w:tabs>
              <w:tab w:val="clear" w:pos="7892"/>
              <w:tab w:val="right" w:pos="9026" w:leader="dot"/>
            </w:tabs>
            <w:rPr/>
          </w:pPr>
          <w:hyperlink w:anchor="__RefHeading___Toc2646558_3224264995">
            <w:r>
              <w:rPr>
                <w:webHidden/>
                <w:rStyle w:val="IndexLink"/>
                <w:rtl w:val="true"/>
              </w:rPr>
              <w:t>[</w:t>
            </w:r>
            <w:r>
              <w:rPr>
                <w:rStyle w:val="IndexLink"/>
                <w:rtl w:val="true"/>
              </w:rPr>
              <w:t>توجیه من القوانین لخروج القیاس من نتیجة دلیل الانسداد</w:t>
            </w:r>
            <w:r>
              <w:rPr>
                <w:rStyle w:val="IndexLink"/>
                <w:rtl w:val="true"/>
              </w:rPr>
              <w:t>]</w:t>
              <w:tab/>
            </w:r>
            <w:r>
              <w:rPr>
                <w:rStyle w:val="IndexLink"/>
              </w:rPr>
              <w:t>116</w:t>
            </w:r>
          </w:hyperlink>
        </w:p>
        <w:p>
          <w:pPr>
            <w:pStyle w:val="Contents5"/>
            <w:tabs>
              <w:tab w:val="clear" w:pos="7892"/>
              <w:tab w:val="right" w:pos="9026" w:leader="dot"/>
            </w:tabs>
            <w:rPr/>
          </w:pPr>
          <w:hyperlink w:anchor="__RefHeading___Toc2646560_3224264995">
            <w:r>
              <w:rPr>
                <w:webHidden/>
                <w:rStyle w:val="IndexLink"/>
                <w:rtl w:val="true"/>
              </w:rPr>
              <w:t>[</w:t>
            </w:r>
            <w:r>
              <w:rPr>
                <w:rStyle w:val="IndexLink"/>
                <w:rtl w:val="true"/>
              </w:rPr>
              <w:t>دفاع عن القوانین</w:t>
            </w:r>
            <w:r>
              <w:rPr>
                <w:rStyle w:val="IndexLink"/>
                <w:rtl w:val="true"/>
              </w:rPr>
              <w:t>]</w:t>
              <w:tab/>
            </w:r>
            <w:r>
              <w:rPr>
                <w:rStyle w:val="IndexLink"/>
              </w:rPr>
              <w:t>117</w:t>
            </w:r>
          </w:hyperlink>
        </w:p>
        <w:p>
          <w:pPr>
            <w:pStyle w:val="Contents5"/>
            <w:tabs>
              <w:tab w:val="clear" w:pos="7892"/>
              <w:tab w:val="right" w:pos="9026" w:leader="dot"/>
            </w:tabs>
            <w:rPr/>
          </w:pPr>
          <w:hyperlink w:anchor="__RefHeading___Toc2646562_3224264995">
            <w:r>
              <w:rPr>
                <w:webHidden/>
                <w:rStyle w:val="IndexLink"/>
                <w:rtl w:val="true"/>
              </w:rPr>
              <w:t>[</w:t>
            </w:r>
            <w:r>
              <w:rPr>
                <w:rStyle w:val="IndexLink"/>
                <w:rtl w:val="true"/>
              </w:rPr>
              <w:t>الوجوه المحتملة فی استثناء القیاس عن الأدلّة</w:t>
            </w:r>
            <w:r>
              <w:rPr>
                <w:rStyle w:val="IndexLink"/>
                <w:rtl w:val="true"/>
              </w:rPr>
              <w:t>]</w:t>
              <w:tab/>
            </w:r>
            <w:r>
              <w:rPr>
                <w:rStyle w:val="IndexLink"/>
              </w:rPr>
              <w:t>118</w:t>
            </w:r>
          </w:hyperlink>
        </w:p>
        <w:p>
          <w:pPr>
            <w:pStyle w:val="Contents5"/>
            <w:tabs>
              <w:tab w:val="clear" w:pos="7892"/>
              <w:tab w:val="right" w:pos="9026" w:leader="dot"/>
            </w:tabs>
            <w:rPr/>
          </w:pPr>
          <w:hyperlink w:anchor="__RefHeading___Toc2646564_3224264995">
            <w:r>
              <w:rPr>
                <w:webHidden/>
                <w:rStyle w:val="IndexLink"/>
                <w:rtl w:val="true"/>
              </w:rPr>
              <w:t>[</w:t>
            </w:r>
            <w:r>
              <w:rPr>
                <w:rStyle w:val="IndexLink"/>
                <w:rtl w:val="true"/>
              </w:rPr>
              <w:t>افتراق الظنّ بعد الانسداد عن العلم</w:t>
            </w:r>
            <w:r>
              <w:rPr>
                <w:rStyle w:val="IndexLink"/>
                <w:rtl w:val="true"/>
              </w:rPr>
              <w:t>]</w:t>
              <w:tab/>
            </w:r>
            <w:r>
              <w:rPr>
                <w:rStyle w:val="IndexLink"/>
              </w:rPr>
              <w:t>118</w:t>
            </w:r>
          </w:hyperlink>
        </w:p>
        <w:p>
          <w:pPr>
            <w:pStyle w:val="Contents5"/>
            <w:tabs>
              <w:tab w:val="clear" w:pos="7892"/>
              <w:tab w:val="right" w:pos="9026" w:leader="dot"/>
            </w:tabs>
            <w:rPr/>
          </w:pPr>
          <w:hyperlink w:anchor="__RefHeading___Toc2646566_3224264995">
            <w:r>
              <w:rPr>
                <w:webHidden/>
                <w:rStyle w:val="IndexLink"/>
                <w:rtl w:val="true"/>
              </w:rPr>
              <w:t>[</w:t>
            </w:r>
            <w:r>
              <w:rPr>
                <w:rStyle w:val="IndexLink"/>
                <w:rtl w:val="true"/>
              </w:rPr>
              <w:t>صورة إمکان تکلیف العالم بخلاف علمه</w:t>
            </w:r>
            <w:r>
              <w:rPr>
                <w:rStyle w:val="IndexLink"/>
                <w:rtl w:val="true"/>
              </w:rPr>
              <w:t>]</w:t>
              <w:tab/>
            </w:r>
            <w:r>
              <w:rPr>
                <w:rStyle w:val="IndexLink"/>
              </w:rPr>
              <w:t>119</w:t>
            </w:r>
          </w:hyperlink>
        </w:p>
        <w:p>
          <w:pPr>
            <w:pStyle w:val="Contents5"/>
            <w:tabs>
              <w:tab w:val="clear" w:pos="7892"/>
              <w:tab w:val="right" w:pos="9026" w:leader="dot"/>
            </w:tabs>
            <w:rPr/>
          </w:pPr>
          <w:hyperlink w:anchor="__RefHeading___Toc2646568_3224264995">
            <w:r>
              <w:rPr>
                <w:webHidden/>
                <w:rStyle w:val="IndexLink"/>
                <w:rtl w:val="true"/>
              </w:rPr>
              <w:t>[</w:t>
            </w:r>
            <w:r>
              <w:rPr>
                <w:rStyle w:val="IndexLink"/>
                <w:rtl w:val="true"/>
              </w:rPr>
              <w:t>احتمال جواز ترجیح أحد المتعارضین بالقیاس</w:t>
            </w:r>
            <w:r>
              <w:rPr>
                <w:rStyle w:val="IndexLink"/>
                <w:rtl w:val="true"/>
              </w:rPr>
              <w:t>]</w:t>
              <w:tab/>
            </w:r>
            <w:r>
              <w:rPr>
                <w:rStyle w:val="IndexLink"/>
              </w:rPr>
              <w:t>119</w:t>
            </w:r>
          </w:hyperlink>
        </w:p>
        <w:p>
          <w:pPr>
            <w:pStyle w:val="Contents5"/>
            <w:tabs>
              <w:tab w:val="clear" w:pos="7892"/>
              <w:tab w:val="right" w:pos="9026" w:leader="dot"/>
            </w:tabs>
            <w:rPr/>
          </w:pPr>
          <w:hyperlink w:anchor="__RefHeading___Toc2646570_3224264995">
            <w:r>
              <w:rPr>
                <w:webHidden/>
                <w:rStyle w:val="IndexLink"/>
                <w:rtl w:val="true"/>
              </w:rPr>
              <w:t>[</w:t>
            </w:r>
            <w:r>
              <w:rPr>
                <w:rStyle w:val="IndexLink"/>
                <w:rtl w:val="true"/>
              </w:rPr>
              <w:t>الکلام فی تعارض المانع و الممنوع</w:t>
            </w:r>
            <w:r>
              <w:rPr>
                <w:rStyle w:val="IndexLink"/>
                <w:rtl w:val="true"/>
              </w:rPr>
              <w:t>]</w:t>
              <w:tab/>
            </w:r>
            <w:r>
              <w:rPr>
                <w:rStyle w:val="IndexLink"/>
              </w:rPr>
              <w:t>119</w:t>
            </w:r>
          </w:hyperlink>
        </w:p>
        <w:p>
          <w:pPr>
            <w:pStyle w:val="Contents5"/>
            <w:tabs>
              <w:tab w:val="clear" w:pos="7892"/>
              <w:tab w:val="right" w:pos="9026" w:leader="dot"/>
            </w:tabs>
            <w:rPr/>
          </w:pPr>
          <w:hyperlink w:anchor="__RefHeading___Toc2646572_3224264995">
            <w:r>
              <w:rPr>
                <w:webHidden/>
                <w:rStyle w:val="IndexLink"/>
                <w:rtl w:val="true"/>
              </w:rPr>
              <w:t>[</w:t>
            </w:r>
            <w:r>
              <w:rPr>
                <w:rStyle w:val="IndexLink"/>
                <w:rtl w:val="true"/>
              </w:rPr>
              <w:t>تحریر محلّ النزاع</w:t>
            </w:r>
            <w:r>
              <w:rPr>
                <w:rStyle w:val="IndexLink"/>
                <w:rtl w:val="true"/>
              </w:rPr>
              <w:t>]</w:t>
              <w:tab/>
            </w:r>
            <w:r>
              <w:rPr>
                <w:rStyle w:val="IndexLink"/>
              </w:rPr>
              <w:t>119</w:t>
            </w:r>
          </w:hyperlink>
        </w:p>
        <w:p>
          <w:pPr>
            <w:pStyle w:val="Contents5"/>
            <w:tabs>
              <w:tab w:val="clear" w:pos="7892"/>
              <w:tab w:val="right" w:pos="9026" w:leader="dot"/>
            </w:tabs>
            <w:rPr/>
          </w:pPr>
          <w:hyperlink w:anchor="__RefHeading___Toc2646574_3224264995">
            <w:r>
              <w:rPr>
                <w:webHidden/>
                <w:rStyle w:val="IndexLink"/>
                <w:rtl w:val="true"/>
              </w:rPr>
              <w:t>[</w:t>
            </w:r>
            <w:r>
              <w:rPr>
                <w:rStyle w:val="IndexLink"/>
                <w:rtl w:val="true"/>
              </w:rPr>
              <w:t>الإغماض عن سائر القرائن و العوارض الخارجیة فی المسائل النزاعیة</w:t>
            </w:r>
            <w:r>
              <w:rPr>
                <w:rStyle w:val="IndexLink"/>
                <w:rtl w:val="true"/>
              </w:rPr>
              <w:t>]</w:t>
              <w:tab/>
            </w:r>
            <w:r>
              <w:rPr>
                <w:rStyle w:val="IndexLink"/>
              </w:rPr>
              <w:t>121</w:t>
            </w:r>
          </w:hyperlink>
        </w:p>
        <w:p>
          <w:pPr>
            <w:pStyle w:val="Contents5"/>
            <w:tabs>
              <w:tab w:val="clear" w:pos="7892"/>
              <w:tab w:val="right" w:pos="9026" w:leader="dot"/>
            </w:tabs>
            <w:rPr/>
          </w:pPr>
          <w:hyperlink w:anchor="__RefHeading___Toc2646576_3224264995">
            <w:r>
              <w:rPr>
                <w:webHidden/>
                <w:rStyle w:val="IndexLink"/>
                <w:rtl w:val="true"/>
              </w:rPr>
              <w:t>[</w:t>
            </w:r>
            <w:r>
              <w:rPr>
                <w:rStyle w:val="IndexLink"/>
                <w:rtl w:val="true"/>
              </w:rPr>
              <w:t>توجیه کلام الماتن فی الردّ علی ترجیح الظنّ المانع</w:t>
            </w:r>
            <w:r>
              <w:rPr>
                <w:rStyle w:val="IndexLink"/>
                <w:rtl w:val="true"/>
              </w:rPr>
              <w:t>]</w:t>
              <w:tab/>
            </w:r>
            <w:r>
              <w:rPr>
                <w:rStyle w:val="IndexLink"/>
              </w:rPr>
              <w:t>121</w:t>
            </w:r>
          </w:hyperlink>
        </w:p>
        <w:p>
          <w:pPr>
            <w:pStyle w:val="Contents5"/>
            <w:tabs>
              <w:tab w:val="clear" w:pos="7892"/>
              <w:tab w:val="right" w:pos="9026" w:leader="dot"/>
            </w:tabs>
            <w:rPr/>
          </w:pPr>
          <w:hyperlink w:anchor="__RefHeading___Toc2646578_3224264995">
            <w:r>
              <w:rPr>
                <w:webHidden/>
                <w:rStyle w:val="IndexLink"/>
                <w:rtl w:val="true"/>
              </w:rPr>
              <w:t>[</w:t>
            </w:r>
            <w:r>
              <w:rPr>
                <w:rStyle w:val="IndexLink"/>
                <w:rtl w:val="true"/>
              </w:rPr>
              <w:t>ردّ علی الماتن و انّ تقدّم الظنّ المانع یرجع إلی معنی تقدّم التخصّص علی التخصیص</w:t>
            </w:r>
            <w:r>
              <w:rPr>
                <w:rStyle w:val="IndexLink"/>
                <w:rtl w:val="true"/>
              </w:rPr>
              <w:t>]</w:t>
              <w:tab/>
            </w:r>
            <w:r>
              <w:rPr>
                <w:rStyle w:val="IndexLink"/>
              </w:rPr>
              <w:t>122</w:t>
            </w:r>
          </w:hyperlink>
        </w:p>
        <w:p>
          <w:pPr>
            <w:pStyle w:val="Contents5"/>
            <w:tabs>
              <w:tab w:val="clear" w:pos="7892"/>
              <w:tab w:val="right" w:pos="9026" w:leader="dot"/>
            </w:tabs>
            <w:rPr/>
          </w:pPr>
          <w:hyperlink w:anchor="__RefHeading___Toc2646580_3224264995">
            <w:r>
              <w:rPr>
                <w:webHidden/>
                <w:rStyle w:val="IndexLink"/>
                <w:rtl w:val="true"/>
              </w:rPr>
              <w:t>[</w:t>
            </w:r>
            <w:r>
              <w:rPr>
                <w:rStyle w:val="IndexLink"/>
                <w:rtl w:val="true"/>
              </w:rPr>
              <w:t>حال الممنوع و المانع فی العقلیّات</w:t>
            </w:r>
            <w:r>
              <w:rPr>
                <w:rStyle w:val="IndexLink"/>
                <w:rtl w:val="true"/>
              </w:rPr>
              <w:t>]</w:t>
              <w:tab/>
            </w:r>
            <w:r>
              <w:rPr>
                <w:rStyle w:val="IndexLink"/>
              </w:rPr>
              <w:t>122</w:t>
            </w:r>
          </w:hyperlink>
        </w:p>
        <w:p>
          <w:pPr>
            <w:pStyle w:val="Contents5"/>
            <w:tabs>
              <w:tab w:val="clear" w:pos="7892"/>
              <w:tab w:val="right" w:pos="9026" w:leader="dot"/>
            </w:tabs>
            <w:rPr/>
          </w:pPr>
          <w:hyperlink w:anchor="__RefHeading___Toc2646582_3224264995">
            <w:r>
              <w:rPr>
                <w:webHidden/>
                <w:rStyle w:val="IndexLink"/>
                <w:rtl w:val="true"/>
              </w:rPr>
              <w:t>[</w:t>
            </w:r>
            <w:r>
              <w:rPr>
                <w:rStyle w:val="IndexLink"/>
                <w:rtl w:val="true"/>
              </w:rPr>
              <w:t>دعوی استواء الأزمنة المتأخرة مع المتقدّمة فی الانسداد و الانفتاح</w:t>
            </w:r>
            <w:r>
              <w:rPr>
                <w:rStyle w:val="IndexLink"/>
                <w:rtl w:val="true"/>
              </w:rPr>
              <w:t>]</w:t>
              <w:tab/>
            </w:r>
            <w:r>
              <w:rPr>
                <w:rStyle w:val="IndexLink"/>
              </w:rPr>
              <w:t>124</w:t>
            </w:r>
          </w:hyperlink>
        </w:p>
        <w:p>
          <w:pPr>
            <w:pStyle w:val="Contents5"/>
            <w:tabs>
              <w:tab w:val="clear" w:pos="7892"/>
              <w:tab w:val="right" w:pos="9026" w:leader="dot"/>
            </w:tabs>
            <w:rPr/>
          </w:pPr>
          <w:hyperlink w:anchor="__RefHeading___Toc2646584_3224264995">
            <w:r>
              <w:rPr>
                <w:webHidden/>
                <w:rStyle w:val="IndexLink"/>
                <w:rtl w:val="true"/>
              </w:rPr>
              <w:t>[</w:t>
            </w:r>
            <w:r>
              <w:rPr>
                <w:rStyle w:val="IndexLink"/>
                <w:rtl w:val="true"/>
              </w:rPr>
              <w:t>حجّیة الظنّ فی الاصول</w:t>
            </w:r>
            <w:r>
              <w:rPr>
                <w:rStyle w:val="IndexLink"/>
                <w:rtl w:val="true"/>
              </w:rPr>
              <w:t>]</w:t>
              <w:tab/>
            </w:r>
            <w:r>
              <w:rPr>
                <w:rStyle w:val="IndexLink"/>
              </w:rPr>
              <w:t>125</w:t>
            </w:r>
          </w:hyperlink>
        </w:p>
        <w:p>
          <w:pPr>
            <w:pStyle w:val="Contents5"/>
            <w:tabs>
              <w:tab w:val="clear" w:pos="7892"/>
              <w:tab w:val="right" w:pos="9026" w:leader="dot"/>
            </w:tabs>
            <w:rPr/>
          </w:pPr>
          <w:hyperlink w:anchor="__RefHeading___Toc2646586_3224264995">
            <w:r>
              <w:rPr>
                <w:webHidden/>
                <w:rStyle w:val="IndexLink"/>
                <w:rtl w:val="true"/>
              </w:rPr>
              <w:t>[</w:t>
            </w:r>
            <w:r>
              <w:rPr>
                <w:rStyle w:val="IndexLink"/>
                <w:rtl w:val="true"/>
              </w:rPr>
              <w:t>الشهرة علی حجّیة الظنون الخاصّة فی اصول الفقه</w:t>
            </w:r>
            <w:r>
              <w:rPr>
                <w:rStyle w:val="IndexLink"/>
                <w:rtl w:val="true"/>
              </w:rPr>
              <w:t>]</w:t>
              <w:tab/>
            </w:r>
            <w:r>
              <w:rPr>
                <w:rStyle w:val="IndexLink"/>
              </w:rPr>
              <w:t>125</w:t>
            </w:r>
          </w:hyperlink>
        </w:p>
        <w:p>
          <w:pPr>
            <w:pStyle w:val="Contents5"/>
            <w:tabs>
              <w:tab w:val="clear" w:pos="7892"/>
              <w:tab w:val="right" w:pos="9026" w:leader="dot"/>
            </w:tabs>
            <w:rPr/>
          </w:pPr>
          <w:hyperlink w:anchor="__RefHeading___Toc2646588_3224264995">
            <w:r>
              <w:rPr>
                <w:webHidden/>
                <w:rStyle w:val="IndexLink"/>
                <w:rtl w:val="true"/>
              </w:rPr>
              <w:t>[</w:t>
            </w:r>
            <w:r>
              <w:rPr>
                <w:rStyle w:val="IndexLink"/>
                <w:rtl w:val="true"/>
              </w:rPr>
              <w:t>عدم الفرق بین الفروع و الاصول فی کون کل منهما حکما شرعیا</w:t>
            </w:r>
            <w:r>
              <w:rPr>
                <w:rStyle w:val="IndexLink"/>
                <w:rtl w:val="true"/>
              </w:rPr>
              <w:t>]</w:t>
              <w:tab/>
            </w:r>
            <w:r>
              <w:rPr>
                <w:rStyle w:val="IndexLink"/>
              </w:rPr>
              <w:t>126</w:t>
            </w:r>
          </w:hyperlink>
        </w:p>
        <w:p>
          <w:pPr>
            <w:pStyle w:val="Contents5"/>
            <w:tabs>
              <w:tab w:val="clear" w:pos="7892"/>
              <w:tab w:val="right" w:pos="9026" w:leader="dot"/>
            </w:tabs>
            <w:rPr/>
          </w:pPr>
          <w:hyperlink w:anchor="__RefHeading___Toc2646590_3224264995">
            <w:r>
              <w:rPr>
                <w:webHidden/>
                <w:rStyle w:val="IndexLink"/>
                <w:rtl w:val="true"/>
              </w:rPr>
              <w:t>[</w:t>
            </w:r>
            <w:r>
              <w:rPr>
                <w:rStyle w:val="IndexLink"/>
                <w:rtl w:val="true"/>
              </w:rPr>
              <w:t>حجّة المانع من اعتبار الظنون الخاصّة فی الاصول</w:t>
            </w:r>
            <w:r>
              <w:rPr>
                <w:rStyle w:val="IndexLink"/>
                <w:rtl w:val="true"/>
              </w:rPr>
              <w:t>]</w:t>
              <w:tab/>
            </w:r>
            <w:r>
              <w:rPr>
                <w:rStyle w:val="IndexLink"/>
              </w:rPr>
              <w:t>126</w:t>
            </w:r>
          </w:hyperlink>
        </w:p>
        <w:p>
          <w:pPr>
            <w:pStyle w:val="Contents5"/>
            <w:tabs>
              <w:tab w:val="clear" w:pos="7892"/>
              <w:tab w:val="right" w:pos="9026" w:leader="dot"/>
            </w:tabs>
            <w:rPr/>
          </w:pPr>
          <w:hyperlink w:anchor="__RefHeading___Toc2646592_3224264995">
            <w:r>
              <w:rPr>
                <w:webHidden/>
                <w:rStyle w:val="IndexLink"/>
                <w:rtl w:val="true"/>
              </w:rPr>
              <w:t>[</w:t>
            </w:r>
            <w:r>
              <w:rPr>
                <w:rStyle w:val="IndexLink"/>
                <w:rtl w:val="true"/>
              </w:rPr>
              <w:t>الاحتجاج بالظنون الخاصّة فی اصول الدین</w:t>
            </w:r>
            <w:r>
              <w:rPr>
                <w:rStyle w:val="IndexLink"/>
                <w:rtl w:val="true"/>
              </w:rPr>
              <w:t>]</w:t>
              <w:tab/>
            </w:r>
            <w:r>
              <w:rPr>
                <w:rStyle w:val="IndexLink"/>
              </w:rPr>
              <w:t>126</w:t>
            </w:r>
          </w:hyperlink>
        </w:p>
        <w:p>
          <w:pPr>
            <w:pStyle w:val="Contents5"/>
            <w:tabs>
              <w:tab w:val="clear" w:pos="7892"/>
              <w:tab w:val="right" w:pos="9026" w:leader="dot"/>
            </w:tabs>
            <w:rPr/>
          </w:pPr>
          <w:hyperlink w:anchor="__RefHeading___Toc2646594_3224264995">
            <w:r>
              <w:rPr>
                <w:webHidden/>
                <w:rStyle w:val="IndexLink"/>
                <w:rtl w:val="true"/>
              </w:rPr>
              <w:t>[</w:t>
            </w:r>
            <w:r>
              <w:rPr>
                <w:rStyle w:val="IndexLink"/>
                <w:rtl w:val="true"/>
              </w:rPr>
              <w:t>مطلوبیة الجزم فی اصول الدین لیست مطلقة</w:t>
            </w:r>
            <w:r>
              <w:rPr>
                <w:rStyle w:val="IndexLink"/>
                <w:rtl w:val="true"/>
              </w:rPr>
              <w:t>]</w:t>
              <w:tab/>
            </w:r>
            <w:r>
              <w:rPr>
                <w:rStyle w:val="IndexLink"/>
              </w:rPr>
              <w:t>127</w:t>
            </w:r>
          </w:hyperlink>
        </w:p>
        <w:p>
          <w:pPr>
            <w:pStyle w:val="Contents5"/>
            <w:tabs>
              <w:tab w:val="clear" w:pos="7892"/>
              <w:tab w:val="right" w:pos="9026" w:leader="dot"/>
            </w:tabs>
            <w:rPr/>
          </w:pPr>
          <w:hyperlink w:anchor="__RefHeading___Toc2646596_3224264995">
            <w:r>
              <w:rPr>
                <w:webHidden/>
                <w:rStyle w:val="IndexLink"/>
                <w:rtl w:val="true"/>
              </w:rPr>
              <w:t>[</w:t>
            </w:r>
            <w:r>
              <w:rPr>
                <w:rStyle w:val="IndexLink"/>
                <w:rtl w:val="true"/>
              </w:rPr>
              <w:t>الکلام فی حجّیة الظنون المطلقة فی اصول الفقه</w:t>
            </w:r>
            <w:r>
              <w:rPr>
                <w:rStyle w:val="IndexLink"/>
                <w:rtl w:val="true"/>
              </w:rPr>
              <w:t>]</w:t>
              <w:tab/>
            </w:r>
            <w:r>
              <w:rPr>
                <w:rStyle w:val="IndexLink"/>
              </w:rPr>
              <w:t>127</w:t>
            </w:r>
          </w:hyperlink>
        </w:p>
        <w:p>
          <w:pPr>
            <w:pStyle w:val="Contents5"/>
            <w:tabs>
              <w:tab w:val="clear" w:pos="7892"/>
              <w:tab w:val="right" w:pos="9026" w:leader="dot"/>
            </w:tabs>
            <w:rPr/>
          </w:pPr>
          <w:hyperlink w:anchor="__RefHeading___Toc2646598_3224264995">
            <w:r>
              <w:rPr>
                <w:webHidden/>
                <w:rStyle w:val="IndexLink"/>
                <w:rtl w:val="true"/>
              </w:rPr>
              <w:t>[</w:t>
            </w:r>
            <w:r>
              <w:rPr>
                <w:rStyle w:val="IndexLink"/>
                <w:rtl w:val="true"/>
              </w:rPr>
              <w:t>محلّ النزاع فی حجّیة مطلق الظنّ فی اصول الفقه</w:t>
            </w:r>
            <w:r>
              <w:rPr>
                <w:rStyle w:val="IndexLink"/>
                <w:rtl w:val="true"/>
              </w:rPr>
              <w:t>]</w:t>
              <w:tab/>
            </w:r>
            <w:r>
              <w:rPr>
                <w:rStyle w:val="IndexLink"/>
              </w:rPr>
              <w:t>127</w:t>
            </w:r>
          </w:hyperlink>
        </w:p>
        <w:p>
          <w:pPr>
            <w:pStyle w:val="Contents5"/>
            <w:tabs>
              <w:tab w:val="clear" w:pos="7892"/>
              <w:tab w:val="right" w:pos="9026" w:leader="dot"/>
            </w:tabs>
            <w:rPr/>
          </w:pPr>
          <w:hyperlink w:anchor="__RefHeading___Toc2646600_3224264995">
            <w:r>
              <w:rPr>
                <w:webHidden/>
                <w:rStyle w:val="IndexLink"/>
                <w:rtl w:val="true"/>
              </w:rPr>
              <w:t>[</w:t>
            </w:r>
            <w:r>
              <w:rPr>
                <w:rStyle w:val="IndexLink"/>
                <w:rtl w:val="true"/>
              </w:rPr>
              <w:t>اعتبار قول اللغوی</w:t>
            </w:r>
            <w:r>
              <w:rPr>
                <w:rStyle w:val="IndexLink"/>
                <w:rtl w:val="true"/>
              </w:rPr>
              <w:t>]</w:t>
              <w:tab/>
            </w:r>
            <w:r>
              <w:rPr>
                <w:rStyle w:val="IndexLink"/>
              </w:rPr>
              <w:t>128</w:t>
            </w:r>
          </w:hyperlink>
        </w:p>
        <w:p>
          <w:pPr>
            <w:pStyle w:val="Contents5"/>
            <w:tabs>
              <w:tab w:val="clear" w:pos="7892"/>
              <w:tab w:val="right" w:pos="9026" w:leader="dot"/>
            </w:tabs>
            <w:rPr/>
          </w:pPr>
          <w:hyperlink w:anchor="__RefHeading___Toc2646602_3224264995">
            <w:r>
              <w:rPr>
                <w:webHidden/>
                <w:rStyle w:val="IndexLink"/>
                <w:rtl w:val="true"/>
              </w:rPr>
              <w:t>[</w:t>
            </w:r>
            <w:r>
              <w:rPr>
                <w:rStyle w:val="IndexLink"/>
                <w:rtl w:val="true"/>
              </w:rPr>
              <w:t>اعتبار الظنون الرجالیة</w:t>
            </w:r>
            <w:r>
              <w:rPr>
                <w:rStyle w:val="IndexLink"/>
                <w:rtl w:val="true"/>
              </w:rPr>
              <w:t>]</w:t>
              <w:tab/>
            </w:r>
            <w:r>
              <w:rPr>
                <w:rStyle w:val="IndexLink"/>
              </w:rPr>
              <w:t>128</w:t>
            </w:r>
          </w:hyperlink>
        </w:p>
        <w:p>
          <w:pPr>
            <w:pStyle w:val="Contents5"/>
            <w:tabs>
              <w:tab w:val="clear" w:pos="7892"/>
              <w:tab w:val="right" w:pos="9026" w:leader="dot"/>
            </w:tabs>
            <w:rPr/>
          </w:pPr>
          <w:hyperlink w:anchor="__RefHeading___Toc2646604_3224264995">
            <w:r>
              <w:rPr>
                <w:webHidden/>
                <w:rStyle w:val="IndexLink"/>
                <w:rtl w:val="true"/>
              </w:rPr>
              <w:t>[</w:t>
            </w:r>
            <w:r>
              <w:rPr>
                <w:rStyle w:val="IndexLink"/>
                <w:rtl w:val="true"/>
              </w:rPr>
              <w:t>حجیة کلّ ظنّ تولّد منه الظن بالحکم الفرعی الکلّی</w:t>
            </w:r>
            <w:r>
              <w:rPr>
                <w:rStyle w:val="IndexLink"/>
                <w:rtl w:val="true"/>
              </w:rPr>
              <w:t>]</w:t>
              <w:tab/>
            </w:r>
            <w:r>
              <w:rPr>
                <w:rStyle w:val="IndexLink"/>
              </w:rPr>
              <w:t>129</w:t>
            </w:r>
          </w:hyperlink>
        </w:p>
        <w:p>
          <w:pPr>
            <w:pStyle w:val="Contents5"/>
            <w:tabs>
              <w:tab w:val="clear" w:pos="7892"/>
              <w:tab w:val="right" w:pos="9026" w:leader="dot"/>
            </w:tabs>
            <w:rPr/>
          </w:pPr>
          <w:hyperlink w:anchor="__RefHeading___Toc2646606_3224264995">
            <w:r>
              <w:rPr>
                <w:webHidden/>
                <w:rStyle w:val="IndexLink"/>
                <w:rtl w:val="true"/>
              </w:rPr>
              <w:t>[</w:t>
            </w:r>
            <w:r>
              <w:rPr>
                <w:rStyle w:val="IndexLink"/>
                <w:rtl w:val="true"/>
              </w:rPr>
              <w:t>مبنی محلّ النزاع فی حجّیة مطلق الظنّ</w:t>
            </w:r>
            <w:r>
              <w:rPr>
                <w:rStyle w:val="IndexLink"/>
                <w:rtl w:val="true"/>
              </w:rPr>
              <w:t>]</w:t>
              <w:tab/>
            </w:r>
            <w:r>
              <w:rPr>
                <w:rStyle w:val="IndexLink"/>
              </w:rPr>
              <w:t>129</w:t>
            </w:r>
          </w:hyperlink>
        </w:p>
        <w:p>
          <w:pPr>
            <w:pStyle w:val="Contents5"/>
            <w:tabs>
              <w:tab w:val="clear" w:pos="7892"/>
              <w:tab w:val="right" w:pos="9026" w:leader="dot"/>
            </w:tabs>
            <w:rPr/>
          </w:pPr>
          <w:hyperlink w:anchor="__RefHeading___Toc2646608_3224264995">
            <w:r>
              <w:rPr>
                <w:webHidden/>
                <w:rStyle w:val="IndexLink"/>
                <w:rtl w:val="true"/>
              </w:rPr>
              <w:t>[</w:t>
            </w:r>
            <w:r>
              <w:rPr>
                <w:rStyle w:val="IndexLink"/>
                <w:rtl w:val="true"/>
              </w:rPr>
              <w:t>مقتضی حال الانسداد فی الأحکام بالنسبة إلی الموضوعات الصرفة</w:t>
            </w:r>
            <w:r>
              <w:rPr>
                <w:rStyle w:val="IndexLink"/>
                <w:rtl w:val="true"/>
              </w:rPr>
              <w:t>]</w:t>
              <w:tab/>
            </w:r>
            <w:r>
              <w:rPr>
                <w:rStyle w:val="IndexLink"/>
              </w:rPr>
              <w:t>129</w:t>
            </w:r>
          </w:hyperlink>
        </w:p>
        <w:p>
          <w:pPr>
            <w:pStyle w:val="Contents5"/>
            <w:tabs>
              <w:tab w:val="clear" w:pos="7892"/>
              <w:tab w:val="right" w:pos="9026" w:leader="dot"/>
            </w:tabs>
            <w:rPr/>
          </w:pPr>
          <w:hyperlink w:anchor="__RefHeading___Toc2646610_3224264995">
            <w:r>
              <w:rPr>
                <w:webHidden/>
                <w:rStyle w:val="IndexLink"/>
                <w:rtl w:val="true"/>
              </w:rPr>
              <w:t>[</w:t>
            </w:r>
            <w:r>
              <w:rPr>
                <w:rStyle w:val="IndexLink"/>
                <w:rtl w:val="true"/>
              </w:rPr>
              <w:t>حجّیة الظنّ فی الموضوعات الصرفة</w:t>
            </w:r>
            <w:r>
              <w:rPr>
                <w:rStyle w:val="IndexLink"/>
                <w:rtl w:val="true"/>
              </w:rPr>
              <w:t>]</w:t>
              <w:tab/>
            </w:r>
            <w:r>
              <w:rPr>
                <w:rStyle w:val="IndexLink"/>
              </w:rPr>
              <w:t>130</w:t>
            </w:r>
          </w:hyperlink>
        </w:p>
        <w:p>
          <w:pPr>
            <w:pStyle w:val="Contents5"/>
            <w:tabs>
              <w:tab w:val="clear" w:pos="7892"/>
              <w:tab w:val="right" w:pos="9026" w:leader="dot"/>
            </w:tabs>
            <w:rPr/>
          </w:pPr>
          <w:hyperlink w:anchor="__RefHeading___Toc2646612_3224264995">
            <w:r>
              <w:rPr>
                <w:webHidden/>
                <w:rStyle w:val="IndexLink"/>
                <w:rtl w:val="true"/>
              </w:rPr>
              <w:t>[</w:t>
            </w:r>
            <w:r>
              <w:rPr>
                <w:rStyle w:val="IndexLink"/>
                <w:rtl w:val="true"/>
              </w:rPr>
              <w:t>الکلام فی الموضوعات المستنبطة و الفرق بینها و بین الموضوعات الصرفة</w:t>
            </w:r>
            <w:r>
              <w:rPr>
                <w:rStyle w:val="IndexLink"/>
                <w:rtl w:val="true"/>
              </w:rPr>
              <w:t>]</w:t>
              <w:tab/>
            </w:r>
            <w:r>
              <w:rPr>
                <w:rStyle w:val="IndexLink"/>
              </w:rPr>
              <w:t>130</w:t>
            </w:r>
          </w:hyperlink>
        </w:p>
        <w:p>
          <w:pPr>
            <w:pStyle w:val="Contents5"/>
            <w:tabs>
              <w:tab w:val="clear" w:pos="7892"/>
              <w:tab w:val="right" w:pos="9026" w:leader="dot"/>
            </w:tabs>
            <w:rPr/>
          </w:pPr>
          <w:hyperlink w:anchor="__RefHeading___Toc2646614_3224264995">
            <w:r>
              <w:rPr>
                <w:webHidden/>
                <w:rStyle w:val="IndexLink"/>
                <w:rtl w:val="true"/>
              </w:rPr>
              <w:t>[</w:t>
            </w:r>
            <w:r>
              <w:rPr>
                <w:rStyle w:val="IndexLink"/>
                <w:rtl w:val="true"/>
              </w:rPr>
              <w:t>تشخیص محلّ الکلام و بیان المستثنیات</w:t>
            </w:r>
            <w:r>
              <w:rPr>
                <w:rStyle w:val="IndexLink"/>
                <w:rtl w:val="true"/>
              </w:rPr>
              <w:t>]</w:t>
              <w:tab/>
            </w:r>
            <w:r>
              <w:rPr>
                <w:rStyle w:val="IndexLink"/>
              </w:rPr>
              <w:t>132</w:t>
            </w:r>
          </w:hyperlink>
        </w:p>
        <w:p>
          <w:pPr>
            <w:pStyle w:val="Contents5"/>
            <w:tabs>
              <w:tab w:val="clear" w:pos="7892"/>
              <w:tab w:val="right" w:pos="9026" w:leader="dot"/>
            </w:tabs>
            <w:rPr/>
          </w:pPr>
          <w:hyperlink w:anchor="__RefHeading___Toc2646616_3224264995">
            <w:r>
              <w:rPr>
                <w:webHidden/>
                <w:rStyle w:val="IndexLink"/>
                <w:rtl w:val="true"/>
              </w:rPr>
              <w:t>[</w:t>
            </w:r>
            <w:r>
              <w:rPr>
                <w:rStyle w:val="IndexLink"/>
                <w:rtl w:val="true"/>
              </w:rPr>
              <w:t>عدم اقتضاء الانسداد فی الأحکام لحجّیة مطلق الظنّ فی الموضوعات الصرفة</w:t>
            </w:r>
            <w:r>
              <w:rPr>
                <w:rStyle w:val="IndexLink"/>
                <w:rtl w:val="true"/>
              </w:rPr>
              <w:t>]</w:t>
              <w:tab/>
            </w:r>
            <w:r>
              <w:rPr>
                <w:rStyle w:val="IndexLink"/>
              </w:rPr>
              <w:t>133</w:t>
            </w:r>
          </w:hyperlink>
        </w:p>
        <w:p>
          <w:pPr>
            <w:pStyle w:val="Contents5"/>
            <w:tabs>
              <w:tab w:val="clear" w:pos="7892"/>
              <w:tab w:val="right" w:pos="9026" w:leader="dot"/>
            </w:tabs>
            <w:rPr/>
          </w:pPr>
          <w:hyperlink w:anchor="__RefHeading___Toc2646618_3224264995">
            <w:r>
              <w:rPr>
                <w:webHidden/>
                <w:rStyle w:val="IndexLink"/>
                <w:rtl w:val="true"/>
              </w:rPr>
              <w:t>[</w:t>
            </w:r>
            <w:r>
              <w:rPr>
                <w:rStyle w:val="IndexLink"/>
                <w:rtl w:val="true"/>
              </w:rPr>
              <w:t>موهمات حجّیة الظنّ فی الموضوعات الصرفة</w:t>
            </w:r>
            <w:r>
              <w:rPr>
                <w:rStyle w:val="IndexLink"/>
                <w:rtl w:val="true"/>
              </w:rPr>
              <w:t>]</w:t>
              <w:tab/>
            </w:r>
            <w:r>
              <w:rPr>
                <w:rStyle w:val="IndexLink"/>
              </w:rPr>
              <w:t>133</w:t>
            </w:r>
          </w:hyperlink>
        </w:p>
        <w:p>
          <w:pPr>
            <w:pStyle w:val="Contents5"/>
            <w:tabs>
              <w:tab w:val="clear" w:pos="7892"/>
              <w:tab w:val="right" w:pos="9026" w:leader="dot"/>
            </w:tabs>
            <w:rPr/>
          </w:pPr>
          <w:hyperlink w:anchor="__RefHeading___Toc2646620_3224264995">
            <w:r>
              <w:rPr>
                <w:webHidden/>
                <w:rStyle w:val="IndexLink"/>
                <w:rtl w:val="true"/>
              </w:rPr>
              <w:t>[</w:t>
            </w:r>
            <w:r>
              <w:rPr>
                <w:rStyle w:val="IndexLink"/>
                <w:rtl w:val="true"/>
              </w:rPr>
              <w:t>العمل بالأمارات الشرعیة طول العمر یؤدی إلی حصول العلم الإجمالی بالخلاف عادة</w:t>
            </w:r>
            <w:r>
              <w:rPr>
                <w:rStyle w:val="IndexLink"/>
                <w:rtl w:val="true"/>
              </w:rPr>
              <w:t>]</w:t>
              <w:tab/>
            </w:r>
            <w:r>
              <w:rPr>
                <w:rStyle w:val="IndexLink"/>
              </w:rPr>
              <w:t>134</w:t>
            </w:r>
          </w:hyperlink>
        </w:p>
        <w:p>
          <w:pPr>
            <w:pStyle w:val="Contents5"/>
            <w:tabs>
              <w:tab w:val="clear" w:pos="7892"/>
              <w:tab w:val="right" w:pos="9026" w:leader="dot"/>
            </w:tabs>
            <w:rPr/>
          </w:pPr>
          <w:hyperlink w:anchor="__RefHeading___Toc2646622_3224264995">
            <w:r>
              <w:rPr>
                <w:webHidden/>
                <w:rStyle w:val="IndexLink"/>
                <w:rtl w:val="true"/>
              </w:rPr>
              <w:t>[</w:t>
            </w:r>
            <w:r>
              <w:rPr>
                <w:rStyle w:val="IndexLink"/>
                <w:rtl w:val="true"/>
              </w:rPr>
              <w:t>اعتبار فعلیة العلم الإجمالی فی وقائع محصورة</w:t>
            </w:r>
            <w:r>
              <w:rPr>
                <w:rStyle w:val="IndexLink"/>
                <w:rtl w:val="true"/>
              </w:rPr>
              <w:t>]</w:t>
              <w:tab/>
            </w:r>
            <w:r>
              <w:rPr>
                <w:rStyle w:val="IndexLink"/>
              </w:rPr>
              <w:t>135</w:t>
            </w:r>
          </w:hyperlink>
        </w:p>
        <w:p>
          <w:pPr>
            <w:pStyle w:val="Contents5"/>
            <w:tabs>
              <w:tab w:val="clear" w:pos="7892"/>
              <w:tab w:val="right" w:pos="9026" w:leader="dot"/>
            </w:tabs>
            <w:rPr/>
          </w:pPr>
          <w:hyperlink w:anchor="__RefHeading___Toc2646624_3224264995">
            <w:r>
              <w:rPr>
                <w:webHidden/>
                <w:rStyle w:val="IndexLink"/>
                <w:rtl w:val="true"/>
              </w:rPr>
              <w:t>[</w:t>
            </w:r>
            <w:r>
              <w:rPr>
                <w:rStyle w:val="IndexLink"/>
                <w:rtl w:val="true"/>
              </w:rPr>
              <w:t>اعتبار الظنّ فی اصول الدین</w:t>
            </w:r>
            <w:r>
              <w:rPr>
                <w:rStyle w:val="IndexLink"/>
                <w:rtl w:val="true"/>
              </w:rPr>
              <w:t>]</w:t>
              <w:tab/>
            </w:r>
            <w:r>
              <w:rPr>
                <w:rStyle w:val="IndexLink"/>
              </w:rPr>
              <w:t>135</w:t>
            </w:r>
          </w:hyperlink>
        </w:p>
        <w:p>
          <w:pPr>
            <w:pStyle w:val="Contents5"/>
            <w:tabs>
              <w:tab w:val="clear" w:pos="7892"/>
              <w:tab w:val="right" w:pos="9026" w:leader="dot"/>
            </w:tabs>
            <w:rPr/>
          </w:pPr>
          <w:hyperlink w:anchor="__RefHeading___Toc2646626_3224264995">
            <w:r>
              <w:rPr>
                <w:webHidden/>
                <w:rStyle w:val="IndexLink"/>
                <w:rtl w:val="true"/>
              </w:rPr>
              <w:t>[</w:t>
            </w:r>
            <w:r>
              <w:rPr>
                <w:rStyle w:val="IndexLink"/>
                <w:rtl w:val="true"/>
              </w:rPr>
              <w:t>تحریر محلّ النزاع فی اصول الدین</w:t>
            </w:r>
            <w:r>
              <w:rPr>
                <w:rStyle w:val="IndexLink"/>
                <w:rtl w:val="true"/>
              </w:rPr>
              <w:t>]</w:t>
              <w:tab/>
            </w:r>
            <w:r>
              <w:rPr>
                <w:rStyle w:val="IndexLink"/>
              </w:rPr>
              <w:t>135</w:t>
            </w:r>
          </w:hyperlink>
        </w:p>
        <w:p>
          <w:pPr>
            <w:pStyle w:val="Contents5"/>
            <w:tabs>
              <w:tab w:val="clear" w:pos="7892"/>
              <w:tab w:val="right" w:pos="9026" w:leader="dot"/>
            </w:tabs>
            <w:rPr/>
          </w:pPr>
          <w:hyperlink w:anchor="__RefHeading___Toc2646628_3224264995">
            <w:r>
              <w:rPr>
                <w:webHidden/>
                <w:rStyle w:val="IndexLink"/>
                <w:rtl w:val="true"/>
              </w:rPr>
              <w:t>[</w:t>
            </w:r>
            <w:r>
              <w:rPr>
                <w:rStyle w:val="IndexLink"/>
                <w:rtl w:val="true"/>
              </w:rPr>
              <w:t>المشهور أنّ النزاع فی وجوب الاعتقاد الجزمی إنّما هو فی خصوص المعارف الإجمالیة دون التفاصیل</w:t>
            </w:r>
            <w:r>
              <w:rPr>
                <w:rStyle w:val="IndexLink"/>
                <w:rtl w:val="true"/>
              </w:rPr>
              <w:t>]</w:t>
              <w:tab/>
            </w:r>
            <w:r>
              <w:rPr>
                <w:rStyle w:val="IndexLink"/>
              </w:rPr>
              <w:t>136</w:t>
            </w:r>
          </w:hyperlink>
        </w:p>
        <w:p>
          <w:pPr>
            <w:pStyle w:val="Contents5"/>
            <w:tabs>
              <w:tab w:val="clear" w:pos="7892"/>
              <w:tab w:val="right" w:pos="9026" w:leader="dot"/>
            </w:tabs>
            <w:rPr/>
          </w:pPr>
          <w:hyperlink w:anchor="__RefHeading___Toc2646630_3224264995">
            <w:r>
              <w:rPr>
                <w:webHidden/>
                <w:rStyle w:val="IndexLink"/>
                <w:rtl w:val="true"/>
              </w:rPr>
              <w:t>[</w:t>
            </w:r>
            <w:r>
              <w:rPr>
                <w:rStyle w:val="IndexLink"/>
                <w:rtl w:val="true"/>
              </w:rPr>
              <w:t>الدلیل من الکتاب</w:t>
            </w:r>
            <w:r>
              <w:rPr>
                <w:rStyle w:val="IndexLink"/>
                <w:rtl w:val="true"/>
              </w:rPr>
              <w:t>]</w:t>
              <w:tab/>
            </w:r>
            <w:r>
              <w:rPr>
                <w:rStyle w:val="IndexLink"/>
              </w:rPr>
              <w:t>136</w:t>
            </w:r>
          </w:hyperlink>
        </w:p>
        <w:p>
          <w:pPr>
            <w:pStyle w:val="Contents5"/>
            <w:tabs>
              <w:tab w:val="clear" w:pos="7892"/>
              <w:tab w:val="right" w:pos="9026" w:leader="dot"/>
            </w:tabs>
            <w:rPr/>
          </w:pPr>
          <w:hyperlink w:anchor="__RefHeading___Toc2646632_3224264995">
            <w:r>
              <w:rPr>
                <w:webHidden/>
                <w:rStyle w:val="IndexLink"/>
                <w:rtl w:val="true"/>
              </w:rPr>
              <w:t>[</w:t>
            </w:r>
            <w:r>
              <w:rPr>
                <w:rStyle w:val="IndexLink"/>
                <w:rtl w:val="true"/>
              </w:rPr>
              <w:t>الدلیل من السنّة</w:t>
            </w:r>
            <w:r>
              <w:rPr>
                <w:rStyle w:val="IndexLink"/>
                <w:rtl w:val="true"/>
              </w:rPr>
              <w:t>]</w:t>
              <w:tab/>
            </w:r>
            <w:r>
              <w:rPr>
                <w:rStyle w:val="IndexLink"/>
              </w:rPr>
              <w:t>136</w:t>
            </w:r>
          </w:hyperlink>
        </w:p>
        <w:p>
          <w:pPr>
            <w:pStyle w:val="Contents5"/>
            <w:tabs>
              <w:tab w:val="clear" w:pos="7892"/>
              <w:tab w:val="right" w:pos="9026" w:leader="dot"/>
            </w:tabs>
            <w:rPr/>
          </w:pPr>
          <w:hyperlink w:anchor="__RefHeading___Toc2646634_3224264995">
            <w:r>
              <w:rPr>
                <w:webHidden/>
                <w:rStyle w:val="IndexLink"/>
                <w:rtl w:val="true"/>
              </w:rPr>
              <w:t>[</w:t>
            </w:r>
            <w:r>
              <w:rPr>
                <w:rStyle w:val="IndexLink"/>
                <w:rtl w:val="true"/>
              </w:rPr>
              <w:t>دلالة الإجماع</w:t>
            </w:r>
            <w:r>
              <w:rPr>
                <w:rStyle w:val="IndexLink"/>
                <w:rtl w:val="true"/>
              </w:rPr>
              <w:t>]</w:t>
              <w:tab/>
            </w:r>
            <w:r>
              <w:rPr>
                <w:rStyle w:val="IndexLink"/>
              </w:rPr>
              <w:t>137</w:t>
            </w:r>
          </w:hyperlink>
        </w:p>
        <w:p>
          <w:pPr>
            <w:pStyle w:val="Contents5"/>
            <w:tabs>
              <w:tab w:val="clear" w:pos="7892"/>
              <w:tab w:val="right" w:pos="9026" w:leader="dot"/>
            </w:tabs>
            <w:rPr/>
          </w:pPr>
          <w:hyperlink w:anchor="__RefHeading___Toc2646636_3224264995">
            <w:r>
              <w:rPr>
                <w:webHidden/>
                <w:rStyle w:val="IndexLink"/>
                <w:rtl w:val="true"/>
              </w:rPr>
              <w:t>[</w:t>
            </w:r>
            <w:r>
              <w:rPr>
                <w:rStyle w:val="IndexLink"/>
                <w:rtl w:val="true"/>
              </w:rPr>
              <w:t>دلالة العقل</w:t>
            </w:r>
            <w:r>
              <w:rPr>
                <w:rStyle w:val="IndexLink"/>
                <w:rtl w:val="true"/>
              </w:rPr>
              <w:t>]</w:t>
              <w:tab/>
            </w:r>
            <w:r>
              <w:rPr>
                <w:rStyle w:val="IndexLink"/>
              </w:rPr>
              <w:t>137</w:t>
            </w:r>
          </w:hyperlink>
        </w:p>
        <w:p>
          <w:pPr>
            <w:pStyle w:val="Contents5"/>
            <w:tabs>
              <w:tab w:val="clear" w:pos="7892"/>
              <w:tab w:val="right" w:pos="9026" w:leader="dot"/>
            </w:tabs>
            <w:rPr/>
          </w:pPr>
          <w:hyperlink w:anchor="__RefHeading___Toc2646638_3224264995">
            <w:r>
              <w:rPr>
                <w:webHidden/>
                <w:rStyle w:val="IndexLink"/>
                <w:rtl w:val="true"/>
              </w:rPr>
              <w:t>[</w:t>
            </w:r>
            <w:r>
              <w:rPr>
                <w:rStyle w:val="IndexLink"/>
                <w:rtl w:val="true"/>
              </w:rPr>
              <w:t>مقتضی الأدلّة الأربعة تخصیص العمومات الدالّة علی وجوب مطلق المعرفة بوجوب أصل المعارف، دون تفاصیلها</w:t>
            </w:r>
            <w:r>
              <w:rPr>
                <w:rStyle w:val="IndexLink"/>
                <w:rtl w:val="true"/>
              </w:rPr>
              <w:t>]</w:t>
              <w:tab/>
            </w:r>
            <w:r>
              <w:rPr>
                <w:rStyle w:val="IndexLink"/>
              </w:rPr>
              <w:t>137</w:t>
            </w:r>
          </w:hyperlink>
        </w:p>
        <w:p>
          <w:pPr>
            <w:pStyle w:val="Contents5"/>
            <w:tabs>
              <w:tab w:val="clear" w:pos="7892"/>
              <w:tab w:val="right" w:pos="9026" w:leader="dot"/>
            </w:tabs>
            <w:rPr/>
          </w:pPr>
          <w:hyperlink w:anchor="__RefHeading___Toc2646640_3224264995">
            <w:r>
              <w:rPr>
                <w:webHidden/>
                <w:rStyle w:val="IndexLink"/>
                <w:rtl w:val="true"/>
              </w:rPr>
              <w:t>[</w:t>
            </w:r>
            <w:r>
              <w:rPr>
                <w:rStyle w:val="IndexLink"/>
                <w:rtl w:val="true"/>
              </w:rPr>
              <w:t>وجوب الاعتقاد لو حصل العلم بتفاصیل الدین</w:t>
            </w:r>
            <w:r>
              <w:rPr>
                <w:rStyle w:val="IndexLink"/>
                <w:rtl w:val="true"/>
              </w:rPr>
              <w:t>]</w:t>
              <w:tab/>
            </w:r>
            <w:r>
              <w:rPr>
                <w:rStyle w:val="IndexLink"/>
              </w:rPr>
              <w:t>137</w:t>
            </w:r>
          </w:hyperlink>
        </w:p>
        <w:p>
          <w:pPr>
            <w:pStyle w:val="Contents5"/>
            <w:tabs>
              <w:tab w:val="clear" w:pos="7892"/>
              <w:tab w:val="right" w:pos="9026" w:leader="dot"/>
            </w:tabs>
            <w:rPr/>
          </w:pPr>
          <w:hyperlink w:anchor="__RefHeading___Toc2646642_3224264995">
            <w:r>
              <w:rPr>
                <w:webHidden/>
                <w:rStyle w:val="IndexLink"/>
                <w:rtl w:val="true"/>
              </w:rPr>
              <w:t>[</w:t>
            </w:r>
            <w:r>
              <w:rPr>
                <w:rStyle w:val="IndexLink"/>
                <w:rtl w:val="true"/>
              </w:rPr>
              <w:t>اعتبار الظنّ الخاصّ فی المعارف الدینیة</w:t>
            </w:r>
            <w:r>
              <w:rPr>
                <w:rStyle w:val="IndexLink"/>
                <w:rtl w:val="true"/>
              </w:rPr>
              <w:t>]</w:t>
              <w:tab/>
            </w:r>
            <w:r>
              <w:rPr>
                <w:rStyle w:val="IndexLink"/>
              </w:rPr>
              <w:t>137</w:t>
            </w:r>
          </w:hyperlink>
        </w:p>
        <w:p>
          <w:pPr>
            <w:pStyle w:val="Contents5"/>
            <w:tabs>
              <w:tab w:val="clear" w:pos="7892"/>
              <w:tab w:val="right" w:pos="9026" w:leader="dot"/>
            </w:tabs>
            <w:rPr/>
          </w:pPr>
          <w:hyperlink w:anchor="__RefHeading___Toc2646644_3224264995">
            <w:r>
              <w:rPr>
                <w:webHidden/>
                <w:rStyle w:val="IndexLink"/>
                <w:rtl w:val="true"/>
              </w:rPr>
              <w:t>[</w:t>
            </w:r>
            <w:r>
              <w:rPr>
                <w:rStyle w:val="IndexLink"/>
                <w:rtl w:val="true"/>
              </w:rPr>
              <w:t>ما یعتبر فی التدیّن بالاسلام</w:t>
            </w:r>
            <w:r>
              <w:rPr>
                <w:rStyle w:val="IndexLink"/>
                <w:rtl w:val="true"/>
              </w:rPr>
              <w:t>]</w:t>
              <w:tab/>
            </w:r>
            <w:r>
              <w:rPr>
                <w:rStyle w:val="IndexLink"/>
              </w:rPr>
              <w:t>137</w:t>
            </w:r>
          </w:hyperlink>
        </w:p>
        <w:p>
          <w:pPr>
            <w:pStyle w:val="Contents5"/>
            <w:tabs>
              <w:tab w:val="clear" w:pos="7892"/>
              <w:tab w:val="right" w:pos="9026" w:leader="dot"/>
            </w:tabs>
            <w:rPr/>
          </w:pPr>
          <w:hyperlink w:anchor="__RefHeading___Toc2646646_3224264995">
            <w:r>
              <w:rPr>
                <w:webHidden/>
                <w:rStyle w:val="IndexLink"/>
                <w:rtl w:val="true"/>
              </w:rPr>
              <w:t>[</w:t>
            </w:r>
            <w:r>
              <w:rPr>
                <w:rStyle w:val="IndexLink"/>
                <w:rtl w:val="true"/>
              </w:rPr>
              <w:t>الأخبار الواردة فی المسألة مختلفة</w:t>
            </w:r>
            <w:r>
              <w:rPr>
                <w:rStyle w:val="IndexLink"/>
                <w:rtl w:val="true"/>
              </w:rPr>
              <w:t>]</w:t>
              <w:tab/>
            </w:r>
            <w:r>
              <w:rPr>
                <w:rStyle w:val="IndexLink"/>
              </w:rPr>
              <w:t>139</w:t>
            </w:r>
          </w:hyperlink>
        </w:p>
        <w:p>
          <w:pPr>
            <w:pStyle w:val="Contents5"/>
            <w:tabs>
              <w:tab w:val="clear" w:pos="7892"/>
              <w:tab w:val="right" w:pos="9026" w:leader="dot"/>
            </w:tabs>
            <w:rPr/>
          </w:pPr>
          <w:hyperlink w:anchor="__RefHeading___Toc2646648_3224264995">
            <w:r>
              <w:rPr>
                <w:webHidden/>
                <w:rStyle w:val="IndexLink"/>
                <w:rtl w:val="true"/>
              </w:rPr>
              <w:t>[</w:t>
            </w:r>
            <w:r>
              <w:rPr>
                <w:rStyle w:val="IndexLink"/>
                <w:rtl w:val="true"/>
              </w:rPr>
              <w:t>وجوب التصدیق بما یعتبر فی الاسلام او فی الایمان علی کلّ مکلّف إلّا البله</w:t>
            </w:r>
            <w:r>
              <w:rPr>
                <w:rStyle w:val="IndexLink"/>
                <w:rtl w:val="true"/>
              </w:rPr>
              <w:t>]</w:t>
              <w:tab/>
            </w:r>
            <w:r>
              <w:rPr>
                <w:rStyle w:val="IndexLink"/>
              </w:rPr>
              <w:t>140</w:t>
            </w:r>
          </w:hyperlink>
        </w:p>
        <w:p>
          <w:pPr>
            <w:pStyle w:val="Contents5"/>
            <w:tabs>
              <w:tab w:val="clear" w:pos="7892"/>
              <w:tab w:val="right" w:pos="9026" w:leader="dot"/>
            </w:tabs>
            <w:rPr/>
          </w:pPr>
          <w:hyperlink w:anchor="__RefHeading___Toc2646650_3224264995">
            <w:r>
              <w:rPr>
                <w:webHidden/>
                <w:rStyle w:val="IndexLink"/>
                <w:rtl w:val="true"/>
              </w:rPr>
              <w:t>[</w:t>
            </w:r>
            <w:r>
              <w:rPr>
                <w:rStyle w:val="IndexLink"/>
                <w:rtl w:val="true"/>
              </w:rPr>
              <w:t>الأقوال فی المسألة</w:t>
            </w:r>
            <w:r>
              <w:rPr>
                <w:rStyle w:val="IndexLink"/>
                <w:rtl w:val="true"/>
              </w:rPr>
              <w:t>]</w:t>
              <w:tab/>
            </w:r>
            <w:r>
              <w:rPr>
                <w:rStyle w:val="IndexLink"/>
              </w:rPr>
              <w:t>141</w:t>
            </w:r>
          </w:hyperlink>
        </w:p>
        <w:p>
          <w:pPr>
            <w:pStyle w:val="Contents5"/>
            <w:tabs>
              <w:tab w:val="clear" w:pos="7892"/>
              <w:tab w:val="right" w:pos="9026" w:leader="dot"/>
            </w:tabs>
            <w:rPr/>
          </w:pPr>
          <w:hyperlink w:anchor="__RefHeading___Toc2646652_3224264995">
            <w:r>
              <w:rPr>
                <w:webHidden/>
                <w:rStyle w:val="IndexLink"/>
                <w:rtl w:val="true"/>
              </w:rPr>
              <w:t>[</w:t>
            </w:r>
            <w:r>
              <w:rPr>
                <w:rStyle w:val="IndexLink"/>
                <w:rtl w:val="true"/>
              </w:rPr>
              <w:t>رد دعوی ان الاعتقاد العلمی أمر غیر مقدور بنفسه إلّا بتوسط الأسباب و مقدّماته المحصّلة له</w:t>
            </w:r>
            <w:r>
              <w:rPr>
                <w:rStyle w:val="IndexLink"/>
                <w:rtl w:val="true"/>
              </w:rPr>
              <w:t>]</w:t>
              <w:tab/>
            </w:r>
            <w:r>
              <w:rPr>
                <w:rStyle w:val="IndexLink"/>
              </w:rPr>
              <w:t>141</w:t>
            </w:r>
          </w:hyperlink>
        </w:p>
        <w:p>
          <w:pPr>
            <w:pStyle w:val="Contents5"/>
            <w:tabs>
              <w:tab w:val="clear" w:pos="7892"/>
              <w:tab w:val="right" w:pos="9026" w:leader="dot"/>
            </w:tabs>
            <w:rPr/>
          </w:pPr>
          <w:hyperlink w:anchor="__RefHeading___Toc2646654_3224264995">
            <w:r>
              <w:rPr>
                <w:webHidden/>
                <w:rStyle w:val="IndexLink"/>
                <w:rtl w:val="true"/>
              </w:rPr>
              <w:t>[</w:t>
            </w:r>
            <w:r>
              <w:rPr>
                <w:rStyle w:val="IndexLink"/>
                <w:rtl w:val="true"/>
              </w:rPr>
              <w:t>الکفّار مکلّفون بالفروع</w:t>
            </w:r>
            <w:r>
              <w:rPr>
                <w:rStyle w:val="IndexLink"/>
                <w:rtl w:val="true"/>
              </w:rPr>
              <w:t>]</w:t>
              <w:tab/>
            </w:r>
            <w:r>
              <w:rPr>
                <w:rStyle w:val="IndexLink"/>
              </w:rPr>
              <w:t>141</w:t>
            </w:r>
          </w:hyperlink>
        </w:p>
        <w:p>
          <w:pPr>
            <w:pStyle w:val="Contents5"/>
            <w:tabs>
              <w:tab w:val="clear" w:pos="7892"/>
              <w:tab w:val="right" w:pos="9026" w:leader="dot"/>
            </w:tabs>
            <w:rPr/>
          </w:pPr>
          <w:hyperlink w:anchor="__RefHeading___Toc2646656_3224264995">
            <w:r>
              <w:rPr>
                <w:webHidden/>
                <w:rStyle w:val="IndexLink"/>
                <w:rtl w:val="true"/>
              </w:rPr>
              <w:t>[</w:t>
            </w:r>
            <w:r>
              <w:rPr>
                <w:rStyle w:val="IndexLink"/>
                <w:rtl w:val="true"/>
              </w:rPr>
              <w:t>المراد من وجوب الاعتقاد فی اصول الدین</w:t>
            </w:r>
            <w:r>
              <w:rPr>
                <w:rStyle w:val="IndexLink"/>
                <w:rtl w:val="true"/>
              </w:rPr>
              <w:t>]</w:t>
              <w:tab/>
            </w:r>
            <w:r>
              <w:rPr>
                <w:rStyle w:val="IndexLink"/>
              </w:rPr>
              <w:t>141</w:t>
            </w:r>
          </w:hyperlink>
        </w:p>
        <w:p>
          <w:pPr>
            <w:pStyle w:val="Contents5"/>
            <w:tabs>
              <w:tab w:val="clear" w:pos="7892"/>
              <w:tab w:val="right" w:pos="9026" w:leader="dot"/>
            </w:tabs>
            <w:rPr/>
          </w:pPr>
          <w:hyperlink w:anchor="__RefHeading___Toc2646658_3224264995">
            <w:r>
              <w:rPr>
                <w:webHidden/>
                <w:rStyle w:val="IndexLink"/>
                <w:rtl w:val="true"/>
              </w:rPr>
              <w:t>[</w:t>
            </w:r>
            <w:r>
              <w:rPr>
                <w:rStyle w:val="IndexLink"/>
                <w:rtl w:val="true"/>
              </w:rPr>
              <w:t>المراد بالعلم من معتبریه</w:t>
            </w:r>
            <w:r>
              <w:rPr>
                <w:rStyle w:val="IndexLink"/>
                <w:rtl w:val="true"/>
              </w:rPr>
              <w:t>]</w:t>
              <w:tab/>
            </w:r>
            <w:r>
              <w:rPr>
                <w:rStyle w:val="IndexLink"/>
              </w:rPr>
              <w:t>142</w:t>
            </w:r>
          </w:hyperlink>
        </w:p>
        <w:p>
          <w:pPr>
            <w:pStyle w:val="Contents5"/>
            <w:tabs>
              <w:tab w:val="clear" w:pos="7892"/>
              <w:tab w:val="right" w:pos="9026" w:leader="dot"/>
            </w:tabs>
            <w:rPr/>
          </w:pPr>
          <w:hyperlink w:anchor="__RefHeading___Toc2646660_3224264995">
            <w:r>
              <w:rPr>
                <w:webHidden/>
                <w:rStyle w:val="IndexLink"/>
                <w:rtl w:val="true"/>
              </w:rPr>
              <w:t>[</w:t>
            </w:r>
            <w:r>
              <w:rPr>
                <w:rStyle w:val="IndexLink"/>
                <w:rtl w:val="true"/>
              </w:rPr>
              <w:t>کشف حکم عوام المخالفین القاصرین عن فهم الحقّ</w:t>
            </w:r>
            <w:r>
              <w:rPr>
                <w:rStyle w:val="IndexLink"/>
                <w:rtl w:val="true"/>
              </w:rPr>
              <w:t>]</w:t>
              <w:tab/>
            </w:r>
            <w:r>
              <w:rPr>
                <w:rStyle w:val="IndexLink"/>
              </w:rPr>
              <w:t>144</w:t>
            </w:r>
          </w:hyperlink>
        </w:p>
        <w:p>
          <w:pPr>
            <w:pStyle w:val="Contents5"/>
            <w:tabs>
              <w:tab w:val="clear" w:pos="7892"/>
              <w:tab w:val="right" w:pos="9026" w:leader="dot"/>
            </w:tabs>
            <w:rPr/>
          </w:pPr>
          <w:hyperlink w:anchor="__RefHeading___Toc2646662_3224264995">
            <w:r>
              <w:rPr>
                <w:webHidden/>
                <w:rStyle w:val="IndexLink"/>
                <w:rtl w:val="true"/>
              </w:rPr>
              <w:t>[</w:t>
            </w:r>
            <w:r>
              <w:rPr>
                <w:rStyle w:val="IndexLink"/>
                <w:rtl w:val="true"/>
              </w:rPr>
              <w:t>تحقیق المسألة</w:t>
            </w:r>
            <w:r>
              <w:rPr>
                <w:rStyle w:val="IndexLink"/>
                <w:rtl w:val="true"/>
              </w:rPr>
              <w:t>]</w:t>
              <w:tab/>
            </w:r>
            <w:r>
              <w:rPr>
                <w:rStyle w:val="IndexLink"/>
              </w:rPr>
              <w:t>144</w:t>
            </w:r>
          </w:hyperlink>
        </w:p>
        <w:p>
          <w:pPr>
            <w:pStyle w:val="Contents5"/>
            <w:tabs>
              <w:tab w:val="clear" w:pos="7892"/>
              <w:tab w:val="right" w:pos="9026" w:leader="dot"/>
            </w:tabs>
            <w:rPr/>
          </w:pPr>
          <w:hyperlink w:anchor="__RefHeading___Toc2646664_3224264995">
            <w:r>
              <w:rPr>
                <w:webHidden/>
                <w:rStyle w:val="IndexLink"/>
                <w:rtl w:val="true"/>
              </w:rPr>
              <w:t>[</w:t>
            </w:r>
            <w:r>
              <w:rPr>
                <w:rStyle w:val="IndexLink"/>
                <w:rtl w:val="true"/>
              </w:rPr>
              <w:t>الدلیل علی وجوب المعرفة</w:t>
            </w:r>
            <w:r>
              <w:rPr>
                <w:rStyle w:val="IndexLink"/>
                <w:rtl w:val="true"/>
              </w:rPr>
              <w:t>]</w:t>
              <w:tab/>
            </w:r>
            <w:r>
              <w:rPr>
                <w:rStyle w:val="IndexLink"/>
              </w:rPr>
              <w:t>145</w:t>
            </w:r>
          </w:hyperlink>
        </w:p>
        <w:p>
          <w:pPr>
            <w:pStyle w:val="Contents5"/>
            <w:tabs>
              <w:tab w:val="clear" w:pos="7892"/>
              <w:tab w:val="right" w:pos="9026" w:leader="dot"/>
            </w:tabs>
            <w:rPr/>
          </w:pPr>
          <w:hyperlink w:anchor="__RefHeading___Toc2646666_3224264995">
            <w:r>
              <w:rPr>
                <w:webHidden/>
                <w:rStyle w:val="IndexLink"/>
                <w:rtl w:val="true"/>
              </w:rPr>
              <w:t>[</w:t>
            </w:r>
            <w:r>
              <w:rPr>
                <w:rStyle w:val="IndexLink"/>
                <w:rtl w:val="true"/>
              </w:rPr>
              <w:t>الدلیل علی وجوب المعرفة لیس من النقل</w:t>
            </w:r>
            <w:r>
              <w:rPr>
                <w:rStyle w:val="IndexLink"/>
                <w:rtl w:val="true"/>
              </w:rPr>
              <w:t>]</w:t>
              <w:tab/>
            </w:r>
            <w:r>
              <w:rPr>
                <w:rStyle w:val="IndexLink"/>
              </w:rPr>
              <w:t>145</w:t>
            </w:r>
          </w:hyperlink>
        </w:p>
        <w:p>
          <w:pPr>
            <w:pStyle w:val="Contents5"/>
            <w:tabs>
              <w:tab w:val="clear" w:pos="7892"/>
              <w:tab w:val="right" w:pos="9026" w:leader="dot"/>
            </w:tabs>
            <w:rPr/>
          </w:pPr>
          <w:hyperlink w:anchor="__RefHeading___Toc2646668_3224264995">
            <w:r>
              <w:rPr>
                <w:webHidden/>
                <w:rStyle w:val="IndexLink"/>
                <w:rtl w:val="true"/>
              </w:rPr>
              <w:t>[</w:t>
            </w:r>
            <w:r>
              <w:rPr>
                <w:rStyle w:val="IndexLink"/>
                <w:rtl w:val="true"/>
              </w:rPr>
              <w:t>لزوم شکر المنعم</w:t>
            </w:r>
            <w:r>
              <w:rPr>
                <w:rStyle w:val="IndexLink"/>
                <w:rtl w:val="true"/>
              </w:rPr>
              <w:t>]</w:t>
              <w:tab/>
            </w:r>
            <w:r>
              <w:rPr>
                <w:rStyle w:val="IndexLink"/>
              </w:rPr>
              <w:t>145</w:t>
            </w:r>
          </w:hyperlink>
        </w:p>
        <w:p>
          <w:pPr>
            <w:pStyle w:val="Contents5"/>
            <w:tabs>
              <w:tab w:val="clear" w:pos="7892"/>
              <w:tab w:val="right" w:pos="9026" w:leader="dot"/>
            </w:tabs>
            <w:rPr/>
          </w:pPr>
          <w:hyperlink w:anchor="__RefHeading___Toc2646670_3224264995">
            <w:r>
              <w:rPr>
                <w:webHidden/>
                <w:rStyle w:val="IndexLink"/>
                <w:rtl w:val="true"/>
              </w:rPr>
              <w:t>[</w:t>
            </w:r>
            <w:r>
              <w:rPr>
                <w:rStyle w:val="IndexLink"/>
                <w:rtl w:val="true"/>
              </w:rPr>
              <w:t>رأی الأشاعرة فی وجوب المعرفة</w:t>
            </w:r>
            <w:r>
              <w:rPr>
                <w:rStyle w:val="IndexLink"/>
                <w:rtl w:val="true"/>
              </w:rPr>
              <w:t>]</w:t>
              <w:tab/>
            </w:r>
            <w:r>
              <w:rPr>
                <w:rStyle w:val="IndexLink"/>
              </w:rPr>
              <w:t>146</w:t>
            </w:r>
          </w:hyperlink>
        </w:p>
        <w:p>
          <w:pPr>
            <w:pStyle w:val="Contents5"/>
            <w:tabs>
              <w:tab w:val="clear" w:pos="7892"/>
              <w:tab w:val="right" w:pos="9026" w:leader="dot"/>
            </w:tabs>
            <w:rPr/>
          </w:pPr>
          <w:hyperlink w:anchor="__RefHeading___Toc2646672_3224264995">
            <w:r>
              <w:rPr>
                <w:webHidden/>
                <w:rStyle w:val="IndexLink"/>
                <w:rtl w:val="true"/>
              </w:rPr>
              <w:t>[</w:t>
            </w:r>
            <w:r>
              <w:rPr>
                <w:rStyle w:val="IndexLink"/>
                <w:rtl w:val="true"/>
              </w:rPr>
              <w:t>ما ینحصر دلیل وجوبه من المعارف فی دلیل العقل إنّما هو معرفة اللّه و نبوّة نبیّه</w:t>
            </w:r>
            <w:r>
              <w:rPr>
                <w:rStyle w:val="IndexLink"/>
                <w:rtl w:val="true"/>
              </w:rPr>
              <w:t>]</w:t>
              <w:tab/>
            </w:r>
            <w:r>
              <w:rPr>
                <w:rStyle w:val="IndexLink"/>
              </w:rPr>
              <w:t>147</w:t>
            </w:r>
          </w:hyperlink>
        </w:p>
        <w:p>
          <w:pPr>
            <w:pStyle w:val="Contents5"/>
            <w:tabs>
              <w:tab w:val="clear" w:pos="7892"/>
              <w:tab w:val="right" w:pos="9026" w:leader="dot"/>
            </w:tabs>
            <w:rPr/>
          </w:pPr>
          <w:hyperlink w:anchor="__RefHeading___Toc2646674_3224264995">
            <w:r>
              <w:rPr>
                <w:webHidden/>
                <w:rStyle w:val="IndexLink"/>
                <w:rtl w:val="true"/>
              </w:rPr>
              <w:t>[</w:t>
            </w:r>
            <w:r>
              <w:rPr>
                <w:rStyle w:val="IndexLink"/>
                <w:rtl w:val="true"/>
              </w:rPr>
              <w:t>اختصاص مجری البراءة الشرعیة بما بعد ورود الشرع</w:t>
            </w:r>
            <w:r>
              <w:rPr>
                <w:rStyle w:val="IndexLink"/>
                <w:rtl w:val="true"/>
              </w:rPr>
              <w:t>]</w:t>
              <w:tab/>
            </w:r>
            <w:r>
              <w:rPr>
                <w:rStyle w:val="IndexLink"/>
              </w:rPr>
              <w:t>147</w:t>
            </w:r>
          </w:hyperlink>
        </w:p>
        <w:p>
          <w:pPr>
            <w:pStyle w:val="Contents5"/>
            <w:tabs>
              <w:tab w:val="clear" w:pos="7892"/>
              <w:tab w:val="right" w:pos="9026" w:leader="dot"/>
            </w:tabs>
            <w:rPr/>
          </w:pPr>
          <w:hyperlink w:anchor="__RefHeading___Toc2646676_3224264995">
            <w:r>
              <w:rPr>
                <w:webHidden/>
                <w:rStyle w:val="IndexLink"/>
                <w:rtl w:val="true"/>
              </w:rPr>
              <w:t>[</w:t>
            </w:r>
            <w:r>
              <w:rPr>
                <w:rStyle w:val="IndexLink"/>
                <w:rtl w:val="true"/>
              </w:rPr>
              <w:t>الاصول مجری لأصالة الحظر قبل ورود الشریعة</w:t>
            </w:r>
            <w:r>
              <w:rPr>
                <w:rStyle w:val="IndexLink"/>
                <w:rtl w:val="true"/>
              </w:rPr>
              <w:t>]</w:t>
              <w:tab/>
            </w:r>
            <w:r>
              <w:rPr>
                <w:rStyle w:val="IndexLink"/>
              </w:rPr>
              <w:t>147</w:t>
            </w:r>
          </w:hyperlink>
        </w:p>
        <w:p>
          <w:pPr>
            <w:pStyle w:val="Contents5"/>
            <w:tabs>
              <w:tab w:val="clear" w:pos="7892"/>
              <w:tab w:val="right" w:pos="9026" w:leader="dot"/>
            </w:tabs>
            <w:rPr/>
          </w:pPr>
          <w:hyperlink w:anchor="__RefHeading___Toc2646678_3224264995">
            <w:r>
              <w:rPr>
                <w:webHidden/>
                <w:rStyle w:val="IndexLink"/>
                <w:rtl w:val="true"/>
              </w:rPr>
              <w:t>[</w:t>
            </w:r>
            <w:r>
              <w:rPr>
                <w:rStyle w:val="IndexLink"/>
                <w:rtl w:val="true"/>
              </w:rPr>
              <w:t>وجوب دفع الضرر المحتمل بیان فی مورد قبح العقاب بلا بیان</w:t>
            </w:r>
            <w:r>
              <w:rPr>
                <w:rStyle w:val="IndexLink"/>
                <w:rtl w:val="true"/>
              </w:rPr>
              <w:t>]</w:t>
              <w:tab/>
            </w:r>
            <w:r>
              <w:rPr>
                <w:rStyle w:val="IndexLink"/>
              </w:rPr>
              <w:t>147</w:t>
            </w:r>
          </w:hyperlink>
        </w:p>
        <w:p>
          <w:pPr>
            <w:pStyle w:val="Contents5"/>
            <w:tabs>
              <w:tab w:val="clear" w:pos="7892"/>
              <w:tab w:val="right" w:pos="9026" w:leader="dot"/>
            </w:tabs>
            <w:rPr/>
          </w:pPr>
          <w:hyperlink w:anchor="__RefHeading___Toc2646680_3224264995">
            <w:r>
              <w:rPr>
                <w:webHidden/>
                <w:rStyle w:val="IndexLink"/>
                <w:rtl w:val="true"/>
              </w:rPr>
              <w:t>[</w:t>
            </w:r>
            <w:r>
              <w:rPr>
                <w:rStyle w:val="IndexLink"/>
                <w:rtl w:val="true"/>
              </w:rPr>
              <w:t>منع الأشاعرة من لزوم شکر المنعم عقلا</w:t>
            </w:r>
            <w:r>
              <w:rPr>
                <w:rStyle w:val="IndexLink"/>
                <w:rtl w:val="true"/>
              </w:rPr>
              <w:t>]</w:t>
              <w:tab/>
            </w:r>
            <w:r>
              <w:rPr>
                <w:rStyle w:val="IndexLink"/>
              </w:rPr>
              <w:t>148</w:t>
            </w:r>
          </w:hyperlink>
        </w:p>
        <w:p>
          <w:pPr>
            <w:pStyle w:val="Contents5"/>
            <w:tabs>
              <w:tab w:val="clear" w:pos="7892"/>
              <w:tab w:val="right" w:pos="9026" w:leader="dot"/>
            </w:tabs>
            <w:rPr/>
          </w:pPr>
          <w:hyperlink w:anchor="__RefHeading___Toc2646682_3224264995">
            <w:r>
              <w:rPr>
                <w:webHidden/>
                <w:rStyle w:val="IndexLink"/>
                <w:rtl w:val="true"/>
              </w:rPr>
              <w:t>[</w:t>
            </w:r>
            <w:r>
              <w:rPr>
                <w:rStyle w:val="IndexLink"/>
                <w:rtl w:val="true"/>
              </w:rPr>
              <w:t>المقدور من طرق المعرفة</w:t>
            </w:r>
            <w:r>
              <w:rPr>
                <w:rStyle w:val="IndexLink"/>
                <w:rtl w:val="true"/>
              </w:rPr>
              <w:t>]</w:t>
              <w:tab/>
            </w:r>
            <w:r>
              <w:rPr>
                <w:rStyle w:val="IndexLink"/>
              </w:rPr>
              <w:t>149</w:t>
            </w:r>
          </w:hyperlink>
        </w:p>
        <w:p>
          <w:pPr>
            <w:pStyle w:val="Contents5"/>
            <w:tabs>
              <w:tab w:val="clear" w:pos="7892"/>
              <w:tab w:val="right" w:pos="9026" w:leader="dot"/>
            </w:tabs>
            <w:rPr/>
          </w:pPr>
          <w:hyperlink w:anchor="__RefHeading___Toc2646684_3224264995">
            <w:r>
              <w:rPr>
                <w:webHidden/>
                <w:rStyle w:val="IndexLink"/>
                <w:rtl w:val="true"/>
              </w:rPr>
              <w:t>[</w:t>
            </w:r>
            <w:r>
              <w:rPr>
                <w:rStyle w:val="IndexLink"/>
                <w:rtl w:val="true"/>
              </w:rPr>
              <w:t>وجوب ما یتوقّف علیه الواجب</w:t>
            </w:r>
            <w:r>
              <w:rPr>
                <w:rStyle w:val="IndexLink"/>
                <w:rtl w:val="true"/>
              </w:rPr>
              <w:t>]</w:t>
              <w:tab/>
            </w:r>
            <w:r>
              <w:rPr>
                <w:rStyle w:val="IndexLink"/>
              </w:rPr>
              <w:t>149</w:t>
            </w:r>
          </w:hyperlink>
        </w:p>
        <w:p>
          <w:pPr>
            <w:pStyle w:val="Contents5"/>
            <w:tabs>
              <w:tab w:val="clear" w:pos="7892"/>
              <w:tab w:val="right" w:pos="9026" w:leader="dot"/>
            </w:tabs>
            <w:rPr/>
          </w:pPr>
          <w:hyperlink w:anchor="__RefHeading___Toc2646686_3224264995">
            <w:r>
              <w:rPr>
                <w:webHidden/>
                <w:rStyle w:val="IndexLink"/>
                <w:rtl w:val="true"/>
              </w:rPr>
              <w:t>[</w:t>
            </w:r>
            <w:r>
              <w:rPr>
                <w:rStyle w:val="IndexLink"/>
                <w:rtl w:val="true"/>
              </w:rPr>
              <w:t>إظهار الأشاعرة بتقاعدنا عن شکر نعماء اللّه و لزوم الکفّ عن حمد آلائه عزّ و جلّ</w:t>
            </w:r>
            <w:r>
              <w:rPr>
                <w:rStyle w:val="IndexLink"/>
                <w:rtl w:val="true"/>
              </w:rPr>
              <w:t>]</w:t>
              <w:tab/>
            </w:r>
            <w:r>
              <w:rPr>
                <w:rStyle w:val="IndexLink"/>
              </w:rPr>
              <w:t>149</w:t>
            </w:r>
          </w:hyperlink>
        </w:p>
        <w:p>
          <w:pPr>
            <w:pStyle w:val="Contents5"/>
            <w:tabs>
              <w:tab w:val="clear" w:pos="7892"/>
              <w:tab w:val="right" w:pos="9026" w:leader="dot"/>
            </w:tabs>
            <w:rPr/>
          </w:pPr>
          <w:hyperlink w:anchor="__RefHeading___Toc2646688_3224264995">
            <w:r>
              <w:rPr>
                <w:webHidden/>
                <w:rStyle w:val="IndexLink"/>
                <w:rtl w:val="true"/>
              </w:rPr>
              <w:t>[</w:t>
            </w:r>
            <w:r>
              <w:rPr>
                <w:rStyle w:val="IndexLink"/>
                <w:rtl w:val="true"/>
              </w:rPr>
              <w:t>ردّ الشیخ البهائی علیهم فی تلک المقالة</w:t>
            </w:r>
            <w:r>
              <w:rPr>
                <w:rStyle w:val="IndexLink"/>
                <w:rtl w:val="true"/>
              </w:rPr>
              <w:t>]</w:t>
              <w:tab/>
            </w:r>
            <w:r>
              <w:rPr>
                <w:rStyle w:val="IndexLink"/>
              </w:rPr>
              <w:t>150</w:t>
            </w:r>
          </w:hyperlink>
        </w:p>
        <w:p>
          <w:pPr>
            <w:pStyle w:val="Contents5"/>
            <w:tabs>
              <w:tab w:val="clear" w:pos="7892"/>
              <w:tab w:val="right" w:pos="9026" w:leader="dot"/>
            </w:tabs>
            <w:rPr/>
          </w:pPr>
          <w:hyperlink w:anchor="__RefHeading___Toc2646690_3224264995">
            <w:r>
              <w:rPr>
                <w:webHidden/>
                <w:rStyle w:val="IndexLink"/>
                <w:rtl w:val="true"/>
              </w:rPr>
              <w:t>[</w:t>
            </w:r>
            <w:r>
              <w:rPr>
                <w:rStyle w:val="IndexLink"/>
                <w:rtl w:val="true"/>
              </w:rPr>
              <w:t>عدم کفایة الظنّ فی المعارف النظریّة</w:t>
            </w:r>
            <w:r>
              <w:rPr>
                <w:rStyle w:val="IndexLink"/>
                <w:rtl w:val="true"/>
              </w:rPr>
              <w:t>]</w:t>
              <w:tab/>
            </w:r>
            <w:r>
              <w:rPr>
                <w:rStyle w:val="IndexLink"/>
              </w:rPr>
              <w:t>151</w:t>
            </w:r>
          </w:hyperlink>
        </w:p>
        <w:p>
          <w:pPr>
            <w:pStyle w:val="Contents5"/>
            <w:tabs>
              <w:tab w:val="clear" w:pos="7892"/>
              <w:tab w:val="right" w:pos="9026" w:leader="dot"/>
            </w:tabs>
            <w:rPr/>
          </w:pPr>
          <w:hyperlink w:anchor="__RefHeading___Toc2646692_3224264995">
            <w:r>
              <w:rPr>
                <w:webHidden/>
                <w:rStyle w:val="IndexLink"/>
                <w:rtl w:val="true"/>
              </w:rPr>
              <w:t>[</w:t>
            </w:r>
            <w:r>
              <w:rPr>
                <w:rStyle w:val="IndexLink"/>
                <w:rtl w:val="true"/>
              </w:rPr>
              <w:t>مفاد الآیات الناهیة عن الظنّ</w:t>
            </w:r>
            <w:r>
              <w:rPr>
                <w:rStyle w:val="IndexLink"/>
                <w:rtl w:val="true"/>
              </w:rPr>
              <w:t>]</w:t>
              <w:tab/>
            </w:r>
            <w:r>
              <w:rPr>
                <w:rStyle w:val="IndexLink"/>
              </w:rPr>
              <w:t>151</w:t>
            </w:r>
          </w:hyperlink>
        </w:p>
        <w:p>
          <w:pPr>
            <w:pStyle w:val="Contents5"/>
            <w:tabs>
              <w:tab w:val="clear" w:pos="7892"/>
              <w:tab w:val="right" w:pos="9026" w:leader="dot"/>
            </w:tabs>
            <w:rPr/>
          </w:pPr>
          <w:hyperlink w:anchor="__RefHeading___Toc2646694_3224264995">
            <w:r>
              <w:rPr>
                <w:webHidden/>
                <w:rStyle w:val="IndexLink"/>
                <w:rtl w:val="true"/>
              </w:rPr>
              <w:t>[</w:t>
            </w:r>
            <w:r>
              <w:rPr>
                <w:rStyle w:val="IndexLink"/>
                <w:rtl w:val="true"/>
              </w:rPr>
              <w:t>ردود علی القوانین فی إیراده علی أدلّة القول باعتبار القطع فی اصول الدین</w:t>
            </w:r>
            <w:r>
              <w:rPr>
                <w:rStyle w:val="IndexLink"/>
                <w:rtl w:val="true"/>
              </w:rPr>
              <w:t>]</w:t>
              <w:tab/>
            </w:r>
            <w:r>
              <w:rPr>
                <w:rStyle w:val="IndexLink"/>
              </w:rPr>
              <w:t>151</w:t>
            </w:r>
          </w:hyperlink>
        </w:p>
        <w:p>
          <w:pPr>
            <w:pStyle w:val="Contents5"/>
            <w:tabs>
              <w:tab w:val="clear" w:pos="7892"/>
              <w:tab w:val="right" w:pos="9026" w:leader="dot"/>
            </w:tabs>
            <w:rPr/>
          </w:pPr>
          <w:hyperlink w:anchor="__RefHeading___Toc2646696_3224264995">
            <w:r>
              <w:rPr>
                <w:webHidden/>
                <w:rStyle w:val="IndexLink"/>
                <w:rtl w:val="true"/>
              </w:rPr>
              <w:t>[</w:t>
            </w:r>
            <w:r>
              <w:rPr>
                <w:rStyle w:val="IndexLink"/>
                <w:rtl w:val="true"/>
              </w:rPr>
              <w:t>عدم قدح وجوب المخالف فی الاجماع المحصل و لا المنقول</w:t>
            </w:r>
            <w:r>
              <w:rPr>
                <w:rStyle w:val="IndexLink"/>
                <w:rtl w:val="true"/>
              </w:rPr>
              <w:t>]</w:t>
              <w:tab/>
            </w:r>
            <w:r>
              <w:rPr>
                <w:rStyle w:val="IndexLink"/>
              </w:rPr>
              <w:t>152</w:t>
            </w:r>
          </w:hyperlink>
        </w:p>
        <w:p>
          <w:pPr>
            <w:pStyle w:val="Contents5"/>
            <w:tabs>
              <w:tab w:val="clear" w:pos="7892"/>
              <w:tab w:val="right" w:pos="9026" w:leader="dot"/>
            </w:tabs>
            <w:rPr/>
          </w:pPr>
          <w:hyperlink w:anchor="__RefHeading___Toc2646698_3224264995">
            <w:r>
              <w:rPr>
                <w:webHidden/>
                <w:rStyle w:val="IndexLink"/>
                <w:rtl w:val="true"/>
              </w:rPr>
              <w:t>[</w:t>
            </w:r>
            <w:r>
              <w:rPr>
                <w:rStyle w:val="IndexLink"/>
                <w:rtl w:val="true"/>
              </w:rPr>
              <w:t>وجوه احتجاج القوانین علی کفایة الظنّ فی اصول الدین و الردّ علیها</w:t>
            </w:r>
            <w:r>
              <w:rPr>
                <w:rStyle w:val="IndexLink"/>
                <w:rtl w:val="true"/>
              </w:rPr>
              <w:t>]</w:t>
              <w:tab/>
            </w:r>
            <w:r>
              <w:rPr>
                <w:rStyle w:val="IndexLink"/>
              </w:rPr>
              <w:t>153</w:t>
            </w:r>
          </w:hyperlink>
        </w:p>
        <w:p>
          <w:pPr>
            <w:pStyle w:val="Contents5"/>
            <w:tabs>
              <w:tab w:val="clear" w:pos="7892"/>
              <w:tab w:val="right" w:pos="9026" w:leader="dot"/>
            </w:tabs>
            <w:rPr/>
          </w:pPr>
          <w:hyperlink w:anchor="__RefHeading___Toc2646700_3224264995">
            <w:r>
              <w:rPr>
                <w:webHidden/>
                <w:rStyle w:val="IndexLink"/>
                <w:rtl w:val="true"/>
              </w:rPr>
              <w:t>[</w:t>
            </w:r>
            <w:r>
              <w:rPr>
                <w:rStyle w:val="IndexLink"/>
                <w:rtl w:val="true"/>
              </w:rPr>
              <w:t>وجه رابع إضافة إلی ما ذکره صاحب القوانین من الوجوه لکفایة مطلق الظنّ فی اصول الدین</w:t>
            </w:r>
            <w:r>
              <w:rPr>
                <w:rStyle w:val="IndexLink"/>
                <w:rtl w:val="true"/>
              </w:rPr>
              <w:t>]</w:t>
              <w:tab/>
            </w:r>
            <w:r>
              <w:rPr>
                <w:rStyle w:val="IndexLink"/>
              </w:rPr>
              <w:t>154</w:t>
            </w:r>
          </w:hyperlink>
        </w:p>
        <w:p>
          <w:pPr>
            <w:pStyle w:val="Contents5"/>
            <w:tabs>
              <w:tab w:val="clear" w:pos="7892"/>
              <w:tab w:val="right" w:pos="9026" w:leader="dot"/>
            </w:tabs>
            <w:rPr/>
          </w:pPr>
          <w:hyperlink w:anchor="__RefHeading___Toc2646702_3224264995">
            <w:r>
              <w:rPr>
                <w:webHidden/>
                <w:rStyle w:val="IndexLink"/>
                <w:rtl w:val="true"/>
              </w:rPr>
              <w:t>[</w:t>
            </w:r>
            <w:r>
              <w:rPr>
                <w:rStyle w:val="IndexLink"/>
                <w:rtl w:val="true"/>
              </w:rPr>
              <w:t>ردّ الوجه الرابع</w:t>
            </w:r>
            <w:r>
              <w:rPr>
                <w:rStyle w:val="IndexLink"/>
                <w:rtl w:val="true"/>
              </w:rPr>
              <w:t>]</w:t>
              <w:tab/>
            </w:r>
            <w:r>
              <w:rPr>
                <w:rStyle w:val="IndexLink"/>
              </w:rPr>
              <w:t>155</w:t>
            </w:r>
          </w:hyperlink>
        </w:p>
        <w:p>
          <w:pPr>
            <w:pStyle w:val="Contents5"/>
            <w:tabs>
              <w:tab w:val="clear" w:pos="7892"/>
              <w:tab w:val="right" w:pos="9026" w:leader="dot"/>
            </w:tabs>
            <w:rPr/>
          </w:pPr>
          <w:hyperlink w:anchor="__RefHeading___Toc2646704_3224264995">
            <w:r>
              <w:rPr>
                <w:webHidden/>
                <w:rStyle w:val="IndexLink"/>
                <w:rtl w:val="true"/>
              </w:rPr>
              <w:t>[</w:t>
            </w:r>
            <w:r>
              <w:rPr>
                <w:rStyle w:val="IndexLink"/>
                <w:rtl w:val="true"/>
              </w:rPr>
              <w:t>حجج النافین لوجوب النظر و تضعیفها</w:t>
            </w:r>
            <w:r>
              <w:rPr>
                <w:rStyle w:val="IndexLink"/>
                <w:rtl w:val="true"/>
              </w:rPr>
              <w:t>]</w:t>
              <w:tab/>
            </w:r>
            <w:r>
              <w:rPr>
                <w:rStyle w:val="IndexLink"/>
              </w:rPr>
              <w:t>155</w:t>
            </w:r>
          </w:hyperlink>
        </w:p>
        <w:p>
          <w:pPr>
            <w:pStyle w:val="Contents5"/>
            <w:tabs>
              <w:tab w:val="clear" w:pos="7892"/>
              <w:tab w:val="right" w:pos="9026" w:leader="dot"/>
            </w:tabs>
            <w:rPr/>
          </w:pPr>
          <w:hyperlink w:anchor="__RefHeading___Toc2646706_3224264995">
            <w:r>
              <w:rPr>
                <w:webHidden/>
                <w:rStyle w:val="IndexLink"/>
                <w:rtl w:val="true"/>
              </w:rPr>
              <w:t>[</w:t>
            </w:r>
            <w:r>
              <w:rPr>
                <w:rStyle w:val="IndexLink"/>
                <w:rtl w:val="true"/>
              </w:rPr>
              <w:t>فسق المکتفی بالظنّ فی المعارف الخمس</w:t>
            </w:r>
            <w:r>
              <w:rPr>
                <w:rStyle w:val="IndexLink"/>
                <w:rtl w:val="true"/>
              </w:rPr>
              <w:t>]</w:t>
              <w:tab/>
            </w:r>
            <w:r>
              <w:rPr>
                <w:rStyle w:val="IndexLink"/>
              </w:rPr>
              <w:t>156</w:t>
            </w:r>
          </w:hyperlink>
        </w:p>
        <w:p>
          <w:pPr>
            <w:pStyle w:val="Contents5"/>
            <w:tabs>
              <w:tab w:val="clear" w:pos="7892"/>
              <w:tab w:val="right" w:pos="9026" w:leader="dot"/>
            </w:tabs>
            <w:rPr/>
          </w:pPr>
          <w:hyperlink w:anchor="__RefHeading___Toc2646708_3224264995">
            <w:r>
              <w:rPr>
                <w:webHidden/>
                <w:rStyle w:val="IndexLink"/>
                <w:rtl w:val="true"/>
              </w:rPr>
              <w:t>[</w:t>
            </w:r>
            <w:r>
              <w:rPr>
                <w:rStyle w:val="IndexLink"/>
                <w:rtl w:val="true"/>
              </w:rPr>
              <w:t>الحکم الوضعی للظانّ أو الشاکّ فی المعارف الخمس</w:t>
            </w:r>
            <w:r>
              <w:rPr>
                <w:rStyle w:val="IndexLink"/>
                <w:rtl w:val="true"/>
              </w:rPr>
              <w:t>]</w:t>
              <w:tab/>
            </w:r>
            <w:r>
              <w:rPr>
                <w:rStyle w:val="IndexLink"/>
              </w:rPr>
              <w:t>156</w:t>
            </w:r>
          </w:hyperlink>
        </w:p>
        <w:p>
          <w:pPr>
            <w:pStyle w:val="Contents5"/>
            <w:tabs>
              <w:tab w:val="clear" w:pos="7892"/>
              <w:tab w:val="right" w:pos="9026" w:leader="dot"/>
            </w:tabs>
            <w:rPr/>
          </w:pPr>
          <w:hyperlink w:anchor="__RefHeading___Toc2646710_3224264995">
            <w:r>
              <w:rPr>
                <w:webHidden/>
                <w:rStyle w:val="IndexLink"/>
                <w:rtl w:val="true"/>
              </w:rPr>
              <w:t>[</w:t>
            </w:r>
            <w:r>
              <w:rPr>
                <w:rStyle w:val="IndexLink"/>
                <w:rtl w:val="true"/>
              </w:rPr>
              <w:t>المراد بالضروری الموجب إنکاره الکفر</w:t>
            </w:r>
            <w:r>
              <w:rPr>
                <w:rStyle w:val="IndexLink"/>
                <w:rtl w:val="true"/>
              </w:rPr>
              <w:t>]</w:t>
              <w:tab/>
            </w:r>
            <w:r>
              <w:rPr>
                <w:rStyle w:val="IndexLink"/>
              </w:rPr>
              <w:t>157</w:t>
            </w:r>
          </w:hyperlink>
        </w:p>
        <w:p>
          <w:pPr>
            <w:pStyle w:val="Contents5"/>
            <w:tabs>
              <w:tab w:val="clear" w:pos="7892"/>
              <w:tab w:val="right" w:pos="9026" w:leader="dot"/>
            </w:tabs>
            <w:rPr/>
          </w:pPr>
          <w:hyperlink w:anchor="__RefHeading___Toc2646712_3224264995">
            <w:r>
              <w:rPr>
                <w:webHidden/>
                <w:rStyle w:val="IndexLink"/>
                <w:rtl w:val="true"/>
              </w:rPr>
              <w:t>[</w:t>
            </w:r>
            <w:r>
              <w:rPr>
                <w:rStyle w:val="IndexLink"/>
                <w:rtl w:val="true"/>
              </w:rPr>
              <w:t>الاستخفاف باللّه أو أحد خلفائه</w:t>
            </w:r>
            <w:r>
              <w:rPr>
                <w:rStyle w:val="IndexLink"/>
                <w:rtl w:val="true"/>
              </w:rPr>
              <w:t>]</w:t>
              <w:tab/>
            </w:r>
            <w:r>
              <w:rPr>
                <w:rStyle w:val="IndexLink"/>
              </w:rPr>
              <w:t>158</w:t>
            </w:r>
          </w:hyperlink>
        </w:p>
        <w:p>
          <w:pPr>
            <w:pStyle w:val="Contents5"/>
            <w:tabs>
              <w:tab w:val="clear" w:pos="7892"/>
              <w:tab w:val="right" w:pos="9026" w:leader="dot"/>
            </w:tabs>
            <w:rPr/>
          </w:pPr>
          <w:hyperlink w:anchor="__RefHeading___Toc2646714_3224264995">
            <w:r>
              <w:rPr>
                <w:webHidden/>
                <w:rStyle w:val="IndexLink"/>
                <w:rtl w:val="true"/>
              </w:rPr>
              <w:t>[</w:t>
            </w:r>
            <w:r>
              <w:rPr>
                <w:rStyle w:val="IndexLink"/>
                <w:rtl w:val="true"/>
              </w:rPr>
              <w:t>مناقشة کلام الماتن فی کفایة المعرفة عن التقلید</w:t>
            </w:r>
            <w:r>
              <w:rPr>
                <w:rStyle w:val="IndexLink"/>
                <w:rtl w:val="true"/>
              </w:rPr>
              <w:t>]</w:t>
              <w:tab/>
            </w:r>
            <w:r>
              <w:rPr>
                <w:rStyle w:val="IndexLink"/>
              </w:rPr>
              <w:t>159</w:t>
            </w:r>
          </w:hyperlink>
        </w:p>
        <w:p>
          <w:pPr>
            <w:pStyle w:val="Contents5"/>
            <w:tabs>
              <w:tab w:val="clear" w:pos="7892"/>
              <w:tab w:val="right" w:pos="9026" w:leader="dot"/>
            </w:tabs>
            <w:rPr/>
          </w:pPr>
          <w:hyperlink w:anchor="__RefHeading___Toc2646716_3224264995">
            <w:r>
              <w:rPr>
                <w:webHidden/>
                <w:rStyle w:val="IndexLink"/>
                <w:rtl w:val="true"/>
              </w:rPr>
              <w:t>[</w:t>
            </w:r>
            <w:r>
              <w:rPr>
                <w:rStyle w:val="IndexLink"/>
                <w:rtl w:val="true"/>
              </w:rPr>
              <w:t>عدم معذوریة المجتهد المخطئ</w:t>
            </w:r>
            <w:r>
              <w:rPr>
                <w:rStyle w:val="IndexLink"/>
                <w:rtl w:val="true"/>
              </w:rPr>
              <w:t>]</w:t>
              <w:tab/>
            </w:r>
            <w:r>
              <w:rPr>
                <w:rStyle w:val="IndexLink"/>
              </w:rPr>
              <w:t>159</w:t>
            </w:r>
          </w:hyperlink>
        </w:p>
        <w:p>
          <w:pPr>
            <w:pStyle w:val="Contents5"/>
            <w:tabs>
              <w:tab w:val="clear" w:pos="7892"/>
              <w:tab w:val="right" w:pos="9026" w:leader="dot"/>
            </w:tabs>
            <w:rPr/>
          </w:pPr>
          <w:hyperlink w:anchor="__RefHeading___Toc2646718_3224264995">
            <w:r>
              <w:rPr>
                <w:webHidden/>
                <w:rStyle w:val="IndexLink"/>
                <w:rtl w:val="true"/>
              </w:rPr>
              <w:t>[</w:t>
            </w:r>
            <w:r>
              <w:rPr>
                <w:rStyle w:val="IndexLink"/>
                <w:rtl w:val="true"/>
              </w:rPr>
              <w:t>مناقشة کلام الماتن و بیان طرق معرفة الصانع</w:t>
            </w:r>
            <w:r>
              <w:rPr>
                <w:rStyle w:val="IndexLink"/>
                <w:rtl w:val="true"/>
              </w:rPr>
              <w:t>]</w:t>
              <w:tab/>
            </w:r>
            <w:r>
              <w:rPr>
                <w:rStyle w:val="IndexLink"/>
              </w:rPr>
              <w:t>159</w:t>
            </w:r>
          </w:hyperlink>
        </w:p>
        <w:p>
          <w:pPr>
            <w:pStyle w:val="Contents5"/>
            <w:tabs>
              <w:tab w:val="clear" w:pos="7892"/>
              <w:tab w:val="right" w:pos="9026" w:leader="dot"/>
            </w:tabs>
            <w:rPr/>
          </w:pPr>
          <w:hyperlink w:anchor="__RefHeading___Toc2646720_3224264995">
            <w:r>
              <w:rPr>
                <w:webHidden/>
                <w:rStyle w:val="IndexLink"/>
                <w:rtl w:val="true"/>
              </w:rPr>
              <w:t>[</w:t>
            </w:r>
            <w:r>
              <w:rPr>
                <w:rStyle w:val="IndexLink"/>
                <w:rtl w:val="true"/>
              </w:rPr>
              <w:t xml:space="preserve">عدم خلوّ الزمان عن وجود نبیّ أو إمام </w:t>
            </w:r>
            <w:r>
              <w:rPr>
                <w:rStyle w:val="IndexLink"/>
                <w:rtl w:val="true"/>
              </w:rPr>
              <w:t>(</w:t>
            </w:r>
            <w:r>
              <w:rPr>
                <w:rStyle w:val="IndexLink"/>
                <w:rtl w:val="true"/>
              </w:rPr>
              <w:t>اللطف الخاص و اللطف العام</w:t>
            </w:r>
            <w:r>
              <w:rPr>
                <w:rStyle w:val="IndexLink"/>
                <w:rtl w:val="true"/>
              </w:rPr>
              <w:t>)]</w:t>
              <w:tab/>
            </w:r>
            <w:r>
              <w:rPr>
                <w:rStyle w:val="IndexLink"/>
              </w:rPr>
              <w:t>159</w:t>
            </w:r>
          </w:hyperlink>
        </w:p>
        <w:p>
          <w:pPr>
            <w:pStyle w:val="Contents5"/>
            <w:tabs>
              <w:tab w:val="clear" w:pos="7892"/>
              <w:tab w:val="right" w:pos="9026" w:leader="dot"/>
            </w:tabs>
            <w:rPr/>
          </w:pPr>
          <w:hyperlink w:anchor="__RefHeading___Toc2646722_3224264995">
            <w:r>
              <w:rPr>
                <w:webHidden/>
                <w:rStyle w:val="IndexLink"/>
                <w:rtl w:val="true"/>
              </w:rPr>
              <w:t>[</w:t>
            </w:r>
            <w:r>
              <w:rPr>
                <w:rStyle w:val="IndexLink"/>
                <w:rtl w:val="true"/>
              </w:rPr>
              <w:t>وجوب تحصیل الظنّ لغیر المتمکّن من العلم بالمعارف الخمس</w:t>
            </w:r>
            <w:r>
              <w:rPr>
                <w:rStyle w:val="IndexLink"/>
                <w:rtl w:val="true"/>
              </w:rPr>
              <w:t>]</w:t>
              <w:tab/>
            </w:r>
            <w:r>
              <w:rPr>
                <w:rStyle w:val="IndexLink"/>
              </w:rPr>
              <w:t>160</w:t>
            </w:r>
          </w:hyperlink>
        </w:p>
        <w:p>
          <w:pPr>
            <w:pStyle w:val="Contents5"/>
            <w:tabs>
              <w:tab w:val="clear" w:pos="7892"/>
              <w:tab w:val="right" w:pos="9026" w:leader="dot"/>
            </w:tabs>
            <w:rPr/>
          </w:pPr>
          <w:hyperlink w:anchor="__RefHeading___Toc2646724_3224264995">
            <w:r>
              <w:rPr>
                <w:webHidden/>
                <w:rStyle w:val="IndexLink"/>
                <w:rtl w:val="true"/>
              </w:rPr>
              <w:t>[</w:t>
            </w:r>
            <w:r>
              <w:rPr>
                <w:rStyle w:val="IndexLink"/>
                <w:rtl w:val="true"/>
              </w:rPr>
              <w:t>احتمال کون الواجب هو نفس الاعتقاد بالحقّ</w:t>
            </w:r>
            <w:r>
              <w:rPr>
                <w:rStyle w:val="IndexLink"/>
                <w:rtl w:val="true"/>
              </w:rPr>
              <w:t>]</w:t>
              <w:tab/>
            </w:r>
            <w:r>
              <w:rPr>
                <w:rStyle w:val="IndexLink"/>
              </w:rPr>
              <w:t>160</w:t>
            </w:r>
          </w:hyperlink>
        </w:p>
        <w:p>
          <w:pPr>
            <w:pStyle w:val="Contents5"/>
            <w:tabs>
              <w:tab w:val="clear" w:pos="7892"/>
              <w:tab w:val="right" w:pos="9026" w:leader="dot"/>
            </w:tabs>
            <w:rPr/>
          </w:pPr>
          <w:hyperlink w:anchor="__RefHeading___Toc2646726_3224264995">
            <w:r>
              <w:rPr>
                <w:webHidden/>
                <w:rStyle w:val="IndexLink"/>
                <w:rtl w:val="true"/>
              </w:rPr>
              <w:t>[</w:t>
            </w:r>
            <w:r>
              <w:rPr>
                <w:rStyle w:val="IndexLink"/>
                <w:rtl w:val="true"/>
              </w:rPr>
              <w:t>عدم الفرق بین فرضی التقلید الجزمی و الظنّی بالباطل</w:t>
            </w:r>
            <w:r>
              <w:rPr>
                <w:rStyle w:val="IndexLink"/>
                <w:rtl w:val="true"/>
              </w:rPr>
              <w:t>]</w:t>
              <w:tab/>
            </w:r>
            <w:r>
              <w:rPr>
                <w:rStyle w:val="IndexLink"/>
              </w:rPr>
              <w:t>160</w:t>
            </w:r>
          </w:hyperlink>
        </w:p>
        <w:p>
          <w:pPr>
            <w:pStyle w:val="Contents5"/>
            <w:tabs>
              <w:tab w:val="clear" w:pos="7892"/>
              <w:tab w:val="right" w:pos="9026" w:leader="dot"/>
            </w:tabs>
            <w:rPr/>
          </w:pPr>
          <w:hyperlink w:anchor="__RefHeading___Toc2646728_3224264995">
            <w:r>
              <w:rPr>
                <w:webHidden/>
                <w:rStyle w:val="IndexLink"/>
                <w:rtl w:val="true"/>
              </w:rPr>
              <w:t>[</w:t>
            </w:r>
            <w:r>
              <w:rPr>
                <w:rStyle w:val="IndexLink"/>
                <w:rtl w:val="true"/>
              </w:rPr>
              <w:t>نصوص من یقام علیه الحجّة</w:t>
            </w:r>
            <w:r>
              <w:rPr>
                <w:rStyle w:val="IndexLink"/>
                <w:rtl w:val="true"/>
              </w:rPr>
              <w:t>]</w:t>
              <w:tab/>
            </w:r>
            <w:r>
              <w:rPr>
                <w:rStyle w:val="IndexLink"/>
              </w:rPr>
              <w:t>161</w:t>
            </w:r>
          </w:hyperlink>
        </w:p>
        <w:p>
          <w:pPr>
            <w:pStyle w:val="Contents5"/>
            <w:tabs>
              <w:tab w:val="clear" w:pos="7892"/>
              <w:tab w:val="right" w:pos="9026" w:leader="dot"/>
            </w:tabs>
            <w:rPr/>
          </w:pPr>
          <w:hyperlink w:anchor="__RefHeading___Toc2646730_3224264995">
            <w:r>
              <w:rPr>
                <w:webHidden/>
                <w:rStyle w:val="IndexLink"/>
                <w:rtl w:val="true"/>
              </w:rPr>
              <w:t>[</w:t>
            </w:r>
            <w:r>
              <w:rPr>
                <w:rStyle w:val="IndexLink"/>
                <w:rtl w:val="true"/>
              </w:rPr>
              <w:t>المراد من جواز التقلید فی اصول الدین</w:t>
            </w:r>
            <w:r>
              <w:rPr>
                <w:rStyle w:val="IndexLink"/>
                <w:rtl w:val="true"/>
              </w:rPr>
              <w:t>]</w:t>
              <w:tab/>
            </w:r>
            <w:r>
              <w:rPr>
                <w:rStyle w:val="IndexLink"/>
              </w:rPr>
              <w:t>161</w:t>
            </w:r>
          </w:hyperlink>
        </w:p>
        <w:p>
          <w:pPr>
            <w:pStyle w:val="Contents5"/>
            <w:tabs>
              <w:tab w:val="clear" w:pos="7892"/>
              <w:tab w:val="right" w:pos="9026" w:leader="dot"/>
            </w:tabs>
            <w:rPr/>
          </w:pPr>
          <w:hyperlink w:anchor="__RefHeading___Toc2646732_3224264995">
            <w:r>
              <w:rPr>
                <w:webHidden/>
                <w:rStyle w:val="IndexLink"/>
                <w:rtl w:val="true"/>
              </w:rPr>
              <w:t>[</w:t>
            </w:r>
            <w:r>
              <w:rPr>
                <w:rStyle w:val="IndexLink"/>
                <w:rtl w:val="true"/>
              </w:rPr>
              <w:t>مناقشة کلام الماتن فی عدم وجوب النظر علی المقلّد الجازم فی اصول الدین</w:t>
            </w:r>
            <w:r>
              <w:rPr>
                <w:rStyle w:val="IndexLink"/>
                <w:rtl w:val="true"/>
              </w:rPr>
              <w:t>]</w:t>
              <w:tab/>
            </w:r>
            <w:r>
              <w:rPr>
                <w:rStyle w:val="IndexLink"/>
              </w:rPr>
              <w:t>161</w:t>
            </w:r>
          </w:hyperlink>
        </w:p>
        <w:p>
          <w:pPr>
            <w:pStyle w:val="Contents5"/>
            <w:tabs>
              <w:tab w:val="clear" w:pos="7892"/>
              <w:tab w:val="right" w:pos="9026" w:leader="dot"/>
            </w:tabs>
            <w:rPr/>
          </w:pPr>
          <w:hyperlink w:anchor="__RefHeading___Toc2646734_3224264995">
            <w:r>
              <w:rPr>
                <w:webHidden/>
                <w:rStyle w:val="IndexLink"/>
                <w:rtl w:val="true"/>
              </w:rPr>
              <w:t>[</w:t>
            </w:r>
            <w:r>
              <w:rPr>
                <w:rStyle w:val="IndexLink"/>
                <w:rtl w:val="true"/>
              </w:rPr>
              <w:t>فی الآثار المترتّبة علی الظنّ علی القول بعدم اعتباره خصوصا أو مطلقا</w:t>
            </w:r>
            <w:r>
              <w:rPr>
                <w:rStyle w:val="IndexLink"/>
                <w:rtl w:val="true"/>
              </w:rPr>
              <w:t>]</w:t>
              <w:tab/>
            </w:r>
            <w:r>
              <w:rPr>
                <w:rStyle w:val="IndexLink"/>
              </w:rPr>
              <w:t>162</w:t>
            </w:r>
          </w:hyperlink>
        </w:p>
        <w:p>
          <w:pPr>
            <w:pStyle w:val="Contents5"/>
            <w:tabs>
              <w:tab w:val="clear" w:pos="7892"/>
              <w:tab w:val="right" w:pos="9026" w:leader="dot"/>
            </w:tabs>
            <w:rPr/>
          </w:pPr>
          <w:hyperlink w:anchor="__RefHeading___Toc2646736_3224264995">
            <w:r>
              <w:rPr>
                <w:webHidden/>
                <w:rStyle w:val="IndexLink"/>
                <w:rtl w:val="true"/>
              </w:rPr>
              <w:t>[</w:t>
            </w:r>
            <w:r>
              <w:rPr>
                <w:rStyle w:val="IndexLink"/>
                <w:rtl w:val="true"/>
              </w:rPr>
              <w:t>أثر الجبر و الترجیح بالظنّ غیر المعتبر</w:t>
            </w:r>
            <w:r>
              <w:rPr>
                <w:rStyle w:val="IndexLink"/>
                <w:rtl w:val="true"/>
              </w:rPr>
              <w:t>]</w:t>
              <w:tab/>
            </w:r>
            <w:r>
              <w:rPr>
                <w:rStyle w:val="IndexLink"/>
              </w:rPr>
              <w:t>163</w:t>
            </w:r>
          </w:hyperlink>
        </w:p>
        <w:p>
          <w:pPr>
            <w:pStyle w:val="Contents5"/>
            <w:tabs>
              <w:tab w:val="clear" w:pos="7892"/>
              <w:tab w:val="right" w:pos="9026" w:leader="dot"/>
            </w:tabs>
            <w:rPr/>
          </w:pPr>
          <w:hyperlink w:anchor="__RefHeading___Toc2646738_3224264995">
            <w:r>
              <w:rPr>
                <w:webHidden/>
                <w:rStyle w:val="IndexLink"/>
                <w:rtl w:val="true"/>
              </w:rPr>
              <w:t>[</w:t>
            </w:r>
            <w:r>
              <w:rPr>
                <w:rStyle w:val="IndexLink"/>
                <w:rtl w:val="true"/>
              </w:rPr>
              <w:t>الفرق بین المرجّح و المؤیّد و الجابر و الموهن</w:t>
            </w:r>
            <w:r>
              <w:rPr>
                <w:rStyle w:val="IndexLink"/>
                <w:rtl w:val="true"/>
              </w:rPr>
              <w:t>]</w:t>
              <w:tab/>
            </w:r>
            <w:r>
              <w:rPr>
                <w:rStyle w:val="IndexLink"/>
              </w:rPr>
              <w:t>163</w:t>
            </w:r>
          </w:hyperlink>
        </w:p>
        <w:p>
          <w:pPr>
            <w:pStyle w:val="Contents5"/>
            <w:tabs>
              <w:tab w:val="clear" w:pos="7892"/>
              <w:tab w:val="right" w:pos="9026" w:leader="dot"/>
            </w:tabs>
            <w:rPr/>
          </w:pPr>
          <w:hyperlink w:anchor="__RefHeading___Toc2646740_3224264995">
            <w:r>
              <w:rPr>
                <w:webHidden/>
                <w:rStyle w:val="IndexLink"/>
                <w:rtl w:val="true"/>
              </w:rPr>
              <w:t>[</w:t>
            </w:r>
            <w:r>
              <w:rPr>
                <w:rStyle w:val="IndexLink"/>
                <w:rtl w:val="true"/>
              </w:rPr>
              <w:t>ابتناء مرجّحیة الظنّ أو جابریّته علی القول باعتبار الأخبار من باب الظنّ الفعلی</w:t>
            </w:r>
            <w:r>
              <w:rPr>
                <w:rStyle w:val="IndexLink"/>
                <w:rtl w:val="true"/>
              </w:rPr>
              <w:t>]</w:t>
              <w:tab/>
            </w:r>
            <w:r>
              <w:rPr>
                <w:rStyle w:val="IndexLink"/>
              </w:rPr>
              <w:t>164</w:t>
            </w:r>
          </w:hyperlink>
        </w:p>
        <w:p>
          <w:pPr>
            <w:pStyle w:val="Contents5"/>
            <w:tabs>
              <w:tab w:val="clear" w:pos="7892"/>
              <w:tab w:val="right" w:pos="9026" w:leader="dot"/>
            </w:tabs>
            <w:rPr/>
          </w:pPr>
          <w:hyperlink w:anchor="__RefHeading___Toc2646742_3224264995">
            <w:r>
              <w:rPr>
                <w:webHidden/>
                <w:rStyle w:val="IndexLink"/>
                <w:rtl w:val="true"/>
              </w:rPr>
              <w:t>[</w:t>
            </w:r>
            <w:r>
              <w:rPr>
                <w:rStyle w:val="IndexLink"/>
                <w:rtl w:val="true"/>
              </w:rPr>
              <w:t>الأقوال فی اعتبار خبر الواحد</w:t>
            </w:r>
            <w:r>
              <w:rPr>
                <w:rStyle w:val="IndexLink"/>
                <w:rtl w:val="true"/>
              </w:rPr>
              <w:t>]</w:t>
              <w:tab/>
            </w:r>
            <w:r>
              <w:rPr>
                <w:rStyle w:val="IndexLink"/>
              </w:rPr>
              <w:t>164</w:t>
            </w:r>
          </w:hyperlink>
        </w:p>
        <w:p>
          <w:pPr>
            <w:pStyle w:val="Contents5"/>
            <w:tabs>
              <w:tab w:val="clear" w:pos="7892"/>
              <w:tab w:val="right" w:pos="9026" w:leader="dot"/>
            </w:tabs>
            <w:rPr/>
          </w:pPr>
          <w:hyperlink w:anchor="__RefHeading___Toc2646744_3224264995">
            <w:r>
              <w:rPr>
                <w:webHidden/>
                <w:rStyle w:val="IndexLink"/>
                <w:rtl w:val="true"/>
              </w:rPr>
              <w:t>[</w:t>
            </w:r>
            <w:r>
              <w:rPr>
                <w:rStyle w:val="IndexLink"/>
                <w:rtl w:val="true"/>
              </w:rPr>
              <w:t>اعتبار مطلق مظنون الصدور من الاخبار، و انّ العبرة بصفة الروایة لا الراوی</w:t>
            </w:r>
            <w:r>
              <w:rPr>
                <w:rStyle w:val="IndexLink"/>
                <w:rtl w:val="true"/>
              </w:rPr>
              <w:t>]</w:t>
              <w:tab/>
            </w:r>
            <w:r>
              <w:rPr>
                <w:rStyle w:val="IndexLink"/>
              </w:rPr>
              <w:t>165</w:t>
            </w:r>
          </w:hyperlink>
        </w:p>
        <w:p>
          <w:pPr>
            <w:pStyle w:val="Contents5"/>
            <w:tabs>
              <w:tab w:val="clear" w:pos="7892"/>
              <w:tab w:val="right" w:pos="9026" w:leader="dot"/>
            </w:tabs>
            <w:rPr/>
          </w:pPr>
          <w:hyperlink w:anchor="__RefHeading___Toc2646746_3224264995">
            <w:r>
              <w:rPr>
                <w:webHidden/>
                <w:rStyle w:val="IndexLink"/>
                <w:rtl w:val="true"/>
              </w:rPr>
              <w:t>[</w:t>
            </w:r>
            <w:r>
              <w:rPr>
                <w:rStyle w:val="IndexLink"/>
                <w:rtl w:val="true"/>
              </w:rPr>
              <w:t>مناقشة مع الماتن فی هذا المجال</w:t>
            </w:r>
            <w:r>
              <w:rPr>
                <w:rStyle w:val="IndexLink"/>
                <w:rtl w:val="true"/>
              </w:rPr>
              <w:t>]</w:t>
              <w:tab/>
            </w:r>
            <w:r>
              <w:rPr>
                <w:rStyle w:val="IndexLink"/>
              </w:rPr>
              <w:t>165</w:t>
            </w:r>
          </w:hyperlink>
        </w:p>
        <w:p>
          <w:pPr>
            <w:pStyle w:val="Contents5"/>
            <w:tabs>
              <w:tab w:val="clear" w:pos="7892"/>
              <w:tab w:val="right" w:pos="9026" w:leader="dot"/>
            </w:tabs>
            <w:rPr/>
          </w:pPr>
          <w:hyperlink w:anchor="__RefHeading___Toc2646748_3224264995">
            <w:r>
              <w:rPr>
                <w:webHidden/>
                <w:rStyle w:val="IndexLink"/>
                <w:rtl w:val="true"/>
              </w:rPr>
              <w:t>[</w:t>
            </w:r>
            <w:r>
              <w:rPr>
                <w:rStyle w:val="IndexLink"/>
                <w:rtl w:val="true"/>
              </w:rPr>
              <w:t>عدم الملازمة بین موافقة المظنون للواقع و صدور اللفظ عن الواقع</w:t>
            </w:r>
            <w:r>
              <w:rPr>
                <w:rStyle w:val="IndexLink"/>
                <w:rtl w:val="true"/>
              </w:rPr>
              <w:t>]</w:t>
              <w:tab/>
            </w:r>
            <w:r>
              <w:rPr>
                <w:rStyle w:val="IndexLink"/>
              </w:rPr>
              <w:t>166</w:t>
            </w:r>
          </w:hyperlink>
        </w:p>
        <w:p>
          <w:pPr>
            <w:pStyle w:val="Contents5"/>
            <w:tabs>
              <w:tab w:val="clear" w:pos="7892"/>
              <w:tab w:val="right" w:pos="9026" w:leader="dot"/>
            </w:tabs>
            <w:rPr/>
          </w:pPr>
          <w:hyperlink w:anchor="__RefHeading___Toc2646750_3224264995">
            <w:r>
              <w:rPr>
                <w:webHidden/>
                <w:rStyle w:val="IndexLink"/>
                <w:rtl w:val="true"/>
              </w:rPr>
              <w:t>[</w:t>
            </w:r>
            <w:r>
              <w:rPr>
                <w:rStyle w:val="IndexLink"/>
                <w:rtl w:val="true"/>
              </w:rPr>
              <w:t>قبول خبر الفاسق إن أفاد الظنّ المستقر</w:t>
            </w:r>
            <w:r>
              <w:rPr>
                <w:rStyle w:val="IndexLink"/>
                <w:rtl w:val="true"/>
              </w:rPr>
              <w:t>]</w:t>
              <w:tab/>
            </w:r>
            <w:r>
              <w:rPr>
                <w:rStyle w:val="IndexLink"/>
              </w:rPr>
              <w:t>166</w:t>
            </w:r>
          </w:hyperlink>
        </w:p>
        <w:p>
          <w:pPr>
            <w:pStyle w:val="Contents5"/>
            <w:tabs>
              <w:tab w:val="clear" w:pos="7892"/>
              <w:tab w:val="right" w:pos="9026" w:leader="dot"/>
            </w:tabs>
            <w:rPr/>
          </w:pPr>
          <w:hyperlink w:anchor="__RefHeading___Toc2646752_3224264995">
            <w:r>
              <w:rPr>
                <w:webHidden/>
                <w:rStyle w:val="IndexLink"/>
                <w:rtl w:val="true"/>
              </w:rPr>
              <w:t>[</w:t>
            </w:r>
            <w:r>
              <w:rPr>
                <w:rStyle w:val="IndexLink"/>
                <w:rtl w:val="true"/>
              </w:rPr>
              <w:t>تحقیق الکلام فی جبر سند الروایة بالظنّ غیر المعتبر</w:t>
            </w:r>
            <w:r>
              <w:rPr>
                <w:rStyle w:val="IndexLink"/>
                <w:rtl w:val="true"/>
              </w:rPr>
              <w:t>]</w:t>
              <w:tab/>
            </w:r>
            <w:r>
              <w:rPr>
                <w:rStyle w:val="IndexLink"/>
              </w:rPr>
              <w:t>167</w:t>
            </w:r>
          </w:hyperlink>
        </w:p>
        <w:p>
          <w:pPr>
            <w:pStyle w:val="Contents5"/>
            <w:tabs>
              <w:tab w:val="clear" w:pos="7892"/>
              <w:tab w:val="right" w:pos="9026" w:leader="dot"/>
            </w:tabs>
            <w:rPr/>
          </w:pPr>
          <w:hyperlink w:anchor="__RefHeading___Toc2646754_3224264995">
            <w:r>
              <w:rPr>
                <w:webHidden/>
                <w:rStyle w:val="IndexLink"/>
                <w:rtl w:val="true"/>
              </w:rPr>
              <w:t>[</w:t>
            </w:r>
            <w:r>
              <w:rPr>
                <w:rStyle w:val="IndexLink"/>
                <w:rtl w:val="true"/>
              </w:rPr>
              <w:t>جبر السند بالشهرة</w:t>
            </w:r>
            <w:r>
              <w:rPr>
                <w:rStyle w:val="IndexLink"/>
                <w:rtl w:val="true"/>
              </w:rPr>
              <w:t>]</w:t>
              <w:tab/>
            </w:r>
            <w:r>
              <w:rPr>
                <w:rStyle w:val="IndexLink"/>
              </w:rPr>
              <w:t>167</w:t>
            </w:r>
          </w:hyperlink>
        </w:p>
        <w:p>
          <w:pPr>
            <w:pStyle w:val="Contents5"/>
            <w:tabs>
              <w:tab w:val="clear" w:pos="7892"/>
              <w:tab w:val="right" w:pos="9026" w:leader="dot"/>
            </w:tabs>
            <w:rPr/>
          </w:pPr>
          <w:hyperlink w:anchor="__RefHeading___Toc2646756_3224264995">
            <w:r>
              <w:rPr>
                <w:webHidden/>
                <w:rStyle w:val="IndexLink"/>
                <w:rtl w:val="true"/>
              </w:rPr>
              <w:t>[</w:t>
            </w:r>
            <w:r>
              <w:rPr>
                <w:rStyle w:val="IndexLink"/>
                <w:rtl w:val="true"/>
              </w:rPr>
              <w:t>فقه الرضا علیه السلام</w:t>
            </w:r>
            <w:r>
              <w:rPr>
                <w:rStyle w:val="IndexLink"/>
                <w:rtl w:val="true"/>
              </w:rPr>
              <w:t>]</w:t>
              <w:tab/>
            </w:r>
            <w:r>
              <w:rPr>
                <w:rStyle w:val="IndexLink"/>
              </w:rPr>
              <w:t>168</w:t>
            </w:r>
          </w:hyperlink>
        </w:p>
        <w:p>
          <w:pPr>
            <w:pStyle w:val="Contents5"/>
            <w:tabs>
              <w:tab w:val="clear" w:pos="7892"/>
              <w:tab w:val="right" w:pos="9026" w:leader="dot"/>
            </w:tabs>
            <w:rPr/>
          </w:pPr>
          <w:hyperlink w:anchor="__RefHeading___Toc2646758_3224264995">
            <w:r>
              <w:rPr>
                <w:webHidden/>
                <w:rStyle w:val="IndexLink"/>
                <w:rtl w:val="true"/>
              </w:rPr>
              <w:t>[</w:t>
            </w:r>
            <w:r>
              <w:rPr>
                <w:rStyle w:val="IndexLink"/>
                <w:rtl w:val="true"/>
              </w:rPr>
              <w:t>جبر السند بالظنّ المنهیّ عن العمل به</w:t>
            </w:r>
            <w:r>
              <w:rPr>
                <w:rStyle w:val="IndexLink"/>
                <w:rtl w:val="true"/>
              </w:rPr>
              <w:t>]</w:t>
              <w:tab/>
            </w:r>
            <w:r>
              <w:rPr>
                <w:rStyle w:val="IndexLink"/>
              </w:rPr>
              <w:t>169</w:t>
            </w:r>
          </w:hyperlink>
        </w:p>
        <w:p>
          <w:pPr>
            <w:pStyle w:val="Contents5"/>
            <w:tabs>
              <w:tab w:val="clear" w:pos="7892"/>
              <w:tab w:val="right" w:pos="9026" w:leader="dot"/>
            </w:tabs>
            <w:rPr/>
          </w:pPr>
          <w:hyperlink w:anchor="__RefHeading___Toc2646760_3224264995">
            <w:r>
              <w:rPr>
                <w:webHidden/>
                <w:rStyle w:val="IndexLink"/>
                <w:rtl w:val="true"/>
              </w:rPr>
              <w:t>[</w:t>
            </w:r>
            <w:r>
              <w:rPr>
                <w:rStyle w:val="IndexLink"/>
                <w:rtl w:val="true"/>
              </w:rPr>
              <w:t>الفرق بین القیاس و سائر الظنون</w:t>
            </w:r>
            <w:r>
              <w:rPr>
                <w:rStyle w:val="IndexLink"/>
                <w:rtl w:val="true"/>
              </w:rPr>
              <w:t>]</w:t>
              <w:tab/>
            </w:r>
            <w:r>
              <w:rPr>
                <w:rStyle w:val="IndexLink"/>
              </w:rPr>
              <w:t>169</w:t>
            </w:r>
          </w:hyperlink>
        </w:p>
        <w:p>
          <w:pPr>
            <w:pStyle w:val="Contents5"/>
            <w:tabs>
              <w:tab w:val="clear" w:pos="7892"/>
              <w:tab w:val="right" w:pos="9026" w:leader="dot"/>
            </w:tabs>
            <w:rPr/>
          </w:pPr>
          <w:hyperlink w:anchor="__RefHeading___Toc2646762_3224264995">
            <w:r>
              <w:rPr>
                <w:webHidden/>
                <w:rStyle w:val="IndexLink"/>
                <w:rtl w:val="true"/>
              </w:rPr>
              <w:t>[</w:t>
            </w:r>
            <w:r>
              <w:rPr>
                <w:rStyle w:val="IndexLink"/>
                <w:rtl w:val="true"/>
              </w:rPr>
              <w:t>فی جبر ضعف الدلالة</w:t>
            </w:r>
            <w:r>
              <w:rPr>
                <w:rStyle w:val="IndexLink"/>
                <w:rtl w:val="true"/>
              </w:rPr>
              <w:t>]</w:t>
              <w:tab/>
            </w:r>
            <w:r>
              <w:rPr>
                <w:rStyle w:val="IndexLink"/>
              </w:rPr>
              <w:t>170</w:t>
            </w:r>
          </w:hyperlink>
        </w:p>
        <w:p>
          <w:pPr>
            <w:pStyle w:val="Contents5"/>
            <w:tabs>
              <w:tab w:val="clear" w:pos="7892"/>
              <w:tab w:val="right" w:pos="9026" w:leader="dot"/>
            </w:tabs>
            <w:rPr/>
          </w:pPr>
          <w:hyperlink w:anchor="__RefHeading___Toc2646764_3224264995">
            <w:r>
              <w:rPr>
                <w:webHidden/>
                <w:rStyle w:val="IndexLink"/>
                <w:rtl w:val="true"/>
              </w:rPr>
              <w:t>[</w:t>
            </w:r>
            <w:r>
              <w:rPr>
                <w:rStyle w:val="IndexLink"/>
                <w:rtl w:val="true"/>
              </w:rPr>
              <w:t>منع استناد فهم اللغویّ إلی الحسّ</w:t>
            </w:r>
            <w:r>
              <w:rPr>
                <w:rStyle w:val="IndexLink"/>
                <w:rtl w:val="true"/>
              </w:rPr>
              <w:t>]</w:t>
              <w:tab/>
            </w:r>
            <w:r>
              <w:rPr>
                <w:rStyle w:val="IndexLink"/>
              </w:rPr>
              <w:t>171</w:t>
            </w:r>
          </w:hyperlink>
        </w:p>
        <w:p>
          <w:pPr>
            <w:pStyle w:val="Contents5"/>
            <w:tabs>
              <w:tab w:val="clear" w:pos="7892"/>
              <w:tab w:val="right" w:pos="9026" w:leader="dot"/>
            </w:tabs>
            <w:rPr/>
          </w:pPr>
          <w:hyperlink w:anchor="__RefHeading___Toc2646766_3224264995">
            <w:r>
              <w:rPr>
                <w:webHidden/>
                <w:rStyle w:val="IndexLink"/>
                <w:rtl w:val="true"/>
              </w:rPr>
              <w:t>[</w:t>
            </w:r>
            <w:r>
              <w:rPr>
                <w:rStyle w:val="IndexLink"/>
                <w:rtl w:val="true"/>
              </w:rPr>
              <w:t>عدم الفرق بین الظنّ الحاصل من الحدس و الحاصل من الحسّ</w:t>
            </w:r>
            <w:r>
              <w:rPr>
                <w:rStyle w:val="IndexLink"/>
                <w:rtl w:val="true"/>
              </w:rPr>
              <w:t>]</w:t>
              <w:tab/>
            </w:r>
            <w:r>
              <w:rPr>
                <w:rStyle w:val="IndexLink"/>
              </w:rPr>
              <w:t>172</w:t>
            </w:r>
          </w:hyperlink>
        </w:p>
        <w:p>
          <w:pPr>
            <w:pStyle w:val="Contents5"/>
            <w:tabs>
              <w:tab w:val="clear" w:pos="7892"/>
              <w:tab w:val="right" w:pos="9026" w:leader="dot"/>
            </w:tabs>
            <w:rPr/>
          </w:pPr>
          <w:hyperlink w:anchor="__RefHeading___Toc2646768_3224264995">
            <w:r>
              <w:rPr>
                <w:webHidden/>
                <w:rStyle w:val="IndexLink"/>
                <w:rtl w:val="true"/>
              </w:rPr>
              <w:t>[</w:t>
            </w:r>
            <w:r>
              <w:rPr>
                <w:rStyle w:val="IndexLink"/>
                <w:rtl w:val="true"/>
              </w:rPr>
              <w:t>فی انّ الظنّ غیر المعتبر موهن</w:t>
            </w:r>
            <w:r>
              <w:rPr>
                <w:rStyle w:val="IndexLink"/>
                <w:rtl w:val="true"/>
              </w:rPr>
              <w:t>]</w:t>
              <w:tab/>
            </w:r>
            <w:r>
              <w:rPr>
                <w:rStyle w:val="IndexLink"/>
              </w:rPr>
              <w:t>173</w:t>
            </w:r>
          </w:hyperlink>
        </w:p>
        <w:p>
          <w:pPr>
            <w:pStyle w:val="Contents5"/>
            <w:tabs>
              <w:tab w:val="clear" w:pos="7892"/>
              <w:tab w:val="right" w:pos="9026" w:leader="dot"/>
            </w:tabs>
            <w:rPr/>
          </w:pPr>
          <w:hyperlink w:anchor="__RefHeading___Toc2646770_3224264995">
            <w:r>
              <w:rPr>
                <w:webHidden/>
                <w:rStyle w:val="IndexLink"/>
                <w:rtl w:val="true"/>
              </w:rPr>
              <w:t>[</w:t>
            </w:r>
            <w:r>
              <w:rPr>
                <w:rStyle w:val="IndexLink"/>
                <w:rtl w:val="true"/>
              </w:rPr>
              <w:t>اعتبار سند الأخبار و دلالتها من باب الظنّ الفعلی</w:t>
            </w:r>
            <w:r>
              <w:rPr>
                <w:rStyle w:val="IndexLink"/>
                <w:rtl w:val="true"/>
              </w:rPr>
              <w:t>]</w:t>
              <w:tab/>
            </w:r>
            <w:r>
              <w:rPr>
                <w:rStyle w:val="IndexLink"/>
              </w:rPr>
              <w:t>173</w:t>
            </w:r>
          </w:hyperlink>
        </w:p>
        <w:p>
          <w:pPr>
            <w:pStyle w:val="Contents5"/>
            <w:tabs>
              <w:tab w:val="clear" w:pos="7892"/>
              <w:tab w:val="right" w:pos="9026" w:leader="dot"/>
            </w:tabs>
            <w:rPr/>
          </w:pPr>
          <w:hyperlink w:anchor="__RefHeading___Toc2646772_3224264995">
            <w:r>
              <w:rPr>
                <w:webHidden/>
                <w:rStyle w:val="IndexLink"/>
                <w:rtl w:val="true"/>
              </w:rPr>
              <w:t>[</w:t>
            </w:r>
            <w:r>
              <w:rPr>
                <w:rStyle w:val="IndexLink"/>
                <w:rtl w:val="true"/>
              </w:rPr>
              <w:t>احتمال اعتبار الامارة فی الموضوعات من باب الظنّ النوعی</w:t>
            </w:r>
            <w:r>
              <w:rPr>
                <w:rStyle w:val="IndexLink"/>
                <w:rtl w:val="true"/>
              </w:rPr>
              <w:t>]</w:t>
              <w:tab/>
            </w:r>
            <w:r>
              <w:rPr>
                <w:rStyle w:val="IndexLink"/>
              </w:rPr>
              <w:t>173</w:t>
            </w:r>
          </w:hyperlink>
        </w:p>
        <w:p>
          <w:pPr>
            <w:pStyle w:val="Contents5"/>
            <w:tabs>
              <w:tab w:val="clear" w:pos="7892"/>
              <w:tab w:val="right" w:pos="9026" w:leader="dot"/>
            </w:tabs>
            <w:rPr/>
          </w:pPr>
          <w:hyperlink w:anchor="__RefHeading___Toc2646774_3224264995">
            <w:r>
              <w:rPr>
                <w:webHidden/>
                <w:rStyle w:val="IndexLink"/>
                <w:rtl w:val="true"/>
              </w:rPr>
              <w:t>[</w:t>
            </w:r>
            <w:r>
              <w:rPr>
                <w:rStyle w:val="IndexLink"/>
                <w:rtl w:val="true"/>
              </w:rPr>
              <w:t>المانع الداخلی علی خلاف ما اعتبر من باب الظنّ النوعی</w:t>
            </w:r>
            <w:r>
              <w:rPr>
                <w:rStyle w:val="IndexLink"/>
                <w:rtl w:val="true"/>
              </w:rPr>
              <w:t>]</w:t>
              <w:tab/>
            </w:r>
            <w:r>
              <w:rPr>
                <w:rStyle w:val="IndexLink"/>
              </w:rPr>
              <w:t>174</w:t>
            </w:r>
          </w:hyperlink>
        </w:p>
        <w:p>
          <w:pPr>
            <w:pStyle w:val="Contents5"/>
            <w:tabs>
              <w:tab w:val="clear" w:pos="7892"/>
              <w:tab w:val="right" w:pos="9026" w:leader="dot"/>
            </w:tabs>
            <w:rPr/>
          </w:pPr>
          <w:hyperlink w:anchor="__RefHeading___Toc2646776_3224264995">
            <w:r>
              <w:rPr>
                <w:webHidden/>
                <w:rStyle w:val="IndexLink"/>
                <w:rtl w:val="true"/>
              </w:rPr>
              <w:t>[</w:t>
            </w:r>
            <w:r>
              <w:rPr>
                <w:rStyle w:val="IndexLink"/>
                <w:rtl w:val="true"/>
              </w:rPr>
              <w:t>عدم حجّیة القیاس فی مقابل النصّ</w:t>
            </w:r>
            <w:r>
              <w:rPr>
                <w:rStyle w:val="IndexLink"/>
                <w:rtl w:val="true"/>
              </w:rPr>
              <w:t>]</w:t>
              <w:tab/>
            </w:r>
            <w:r>
              <w:rPr>
                <w:rStyle w:val="IndexLink"/>
              </w:rPr>
              <w:t>175</w:t>
            </w:r>
          </w:hyperlink>
        </w:p>
        <w:p>
          <w:pPr>
            <w:pStyle w:val="Contents5"/>
            <w:tabs>
              <w:tab w:val="clear" w:pos="7892"/>
              <w:tab w:val="right" w:pos="9026" w:leader="dot"/>
            </w:tabs>
            <w:rPr/>
          </w:pPr>
          <w:hyperlink w:anchor="__RefHeading___Toc2646778_3224264995">
            <w:r>
              <w:rPr>
                <w:webHidden/>
                <w:rStyle w:val="IndexLink"/>
                <w:rtl w:val="true"/>
              </w:rPr>
              <w:t>[</w:t>
            </w:r>
            <w:r>
              <w:rPr>
                <w:rStyle w:val="IndexLink"/>
                <w:rtl w:val="true"/>
              </w:rPr>
              <w:t>ترجیح أحد المتعارضین سندا و دلالة بالظنّ غیر المعتبر</w:t>
            </w:r>
            <w:r>
              <w:rPr>
                <w:rStyle w:val="IndexLink"/>
                <w:rtl w:val="true"/>
              </w:rPr>
              <w:t>]</w:t>
              <w:tab/>
            </w:r>
            <w:r>
              <w:rPr>
                <w:rStyle w:val="IndexLink"/>
              </w:rPr>
              <w:t>175</w:t>
            </w:r>
          </w:hyperlink>
        </w:p>
        <w:p>
          <w:pPr>
            <w:pStyle w:val="Contents5"/>
            <w:tabs>
              <w:tab w:val="clear" w:pos="7892"/>
              <w:tab w:val="right" w:pos="9026" w:leader="dot"/>
            </w:tabs>
            <w:rPr/>
          </w:pPr>
          <w:hyperlink w:anchor="__RefHeading___Toc2646780_3224264995">
            <w:r>
              <w:rPr>
                <w:webHidden/>
                <w:rStyle w:val="IndexLink"/>
                <w:rtl w:val="true"/>
              </w:rPr>
              <w:t>[</w:t>
            </w:r>
            <w:r>
              <w:rPr>
                <w:rStyle w:val="IndexLink"/>
                <w:rtl w:val="true"/>
              </w:rPr>
              <w:t>الترجیح بمطلق المزیّة فی أحد المتعارضین</w:t>
            </w:r>
            <w:r>
              <w:rPr>
                <w:rStyle w:val="IndexLink"/>
                <w:rtl w:val="true"/>
              </w:rPr>
              <w:t>]</w:t>
              <w:tab/>
            </w:r>
            <w:r>
              <w:rPr>
                <w:rStyle w:val="IndexLink"/>
              </w:rPr>
              <w:t>175</w:t>
            </w:r>
          </w:hyperlink>
        </w:p>
        <w:p>
          <w:pPr>
            <w:pStyle w:val="Contents5"/>
            <w:tabs>
              <w:tab w:val="clear" w:pos="7892"/>
              <w:tab w:val="right" w:pos="9026" w:leader="dot"/>
            </w:tabs>
            <w:rPr/>
          </w:pPr>
          <w:hyperlink w:anchor="__RefHeading___Toc2646782_3224264995">
            <w:r>
              <w:rPr>
                <w:webHidden/>
                <w:rStyle w:val="IndexLink"/>
                <w:rtl w:val="true"/>
              </w:rPr>
              <w:t>[</w:t>
            </w:r>
            <w:r>
              <w:rPr>
                <w:rStyle w:val="IndexLink"/>
                <w:rtl w:val="true"/>
              </w:rPr>
              <w:t>الجبر و الوهن و الترجیح و التأیید بالظنّ غیر المعتبر</w:t>
            </w:r>
            <w:r>
              <w:rPr>
                <w:rStyle w:val="IndexLink"/>
                <w:rtl w:val="true"/>
              </w:rPr>
              <w:t>]</w:t>
              <w:tab/>
            </w:r>
            <w:r>
              <w:rPr>
                <w:rStyle w:val="IndexLink"/>
              </w:rPr>
              <w:t>175</w:t>
            </w:r>
          </w:hyperlink>
        </w:p>
        <w:p>
          <w:pPr>
            <w:pStyle w:val="Contents5"/>
            <w:tabs>
              <w:tab w:val="clear" w:pos="7892"/>
              <w:tab w:val="right" w:pos="9026" w:leader="dot"/>
            </w:tabs>
            <w:rPr/>
          </w:pPr>
          <w:hyperlink w:anchor="__RefHeading___Toc2646784_3224264995">
            <w:r>
              <w:rPr>
                <w:webHidden/>
                <w:rStyle w:val="IndexLink"/>
                <w:rtl w:val="true"/>
              </w:rPr>
              <w:t>[</w:t>
            </w:r>
            <w:r>
              <w:rPr>
                <w:rStyle w:val="IndexLink"/>
                <w:rtl w:val="true"/>
              </w:rPr>
              <w:t>المنع عن القیاس لیس لمفسدة ذاتیة</w:t>
            </w:r>
            <w:r>
              <w:rPr>
                <w:rStyle w:val="IndexLink"/>
                <w:rtl w:val="true"/>
              </w:rPr>
              <w:t>]</w:t>
              <w:tab/>
            </w:r>
            <w:r>
              <w:rPr>
                <w:rStyle w:val="IndexLink"/>
              </w:rPr>
              <w:t>176</w:t>
            </w:r>
          </w:hyperlink>
        </w:p>
        <w:p>
          <w:pPr>
            <w:pStyle w:val="Contents5"/>
            <w:tabs>
              <w:tab w:val="clear" w:pos="7892"/>
              <w:tab w:val="right" w:pos="9026" w:leader="dot"/>
            </w:tabs>
            <w:rPr/>
          </w:pPr>
          <w:hyperlink w:anchor="__RefHeading___Toc2646786_3224264995">
            <w:r>
              <w:rPr>
                <w:webHidden/>
                <w:rStyle w:val="IndexLink"/>
                <w:rtl w:val="true"/>
              </w:rPr>
              <w:t>[</w:t>
            </w:r>
            <w:r>
              <w:rPr>
                <w:rStyle w:val="IndexLink"/>
                <w:rtl w:val="true"/>
              </w:rPr>
              <w:t>عمل جماعة من الأصحاب بالقیاس</w:t>
            </w:r>
            <w:r>
              <w:rPr>
                <w:rStyle w:val="IndexLink"/>
                <w:rtl w:val="true"/>
              </w:rPr>
              <w:t>]</w:t>
              <w:tab/>
            </w:r>
            <w:r>
              <w:rPr>
                <w:rStyle w:val="IndexLink"/>
              </w:rPr>
              <w:t>177</w:t>
            </w:r>
          </w:hyperlink>
        </w:p>
        <w:p>
          <w:pPr>
            <w:pStyle w:val="Contents5"/>
            <w:tabs>
              <w:tab w:val="clear" w:pos="7892"/>
              <w:tab w:val="right" w:pos="9026" w:leader="dot"/>
            </w:tabs>
            <w:rPr/>
          </w:pPr>
          <w:hyperlink w:anchor="__RefHeading___Toc2646788_3224264995">
            <w:r>
              <w:rPr>
                <w:webHidden/>
                <w:rStyle w:val="IndexLink"/>
                <w:rtl w:val="true"/>
              </w:rPr>
              <w:t>[</w:t>
            </w:r>
            <w:r>
              <w:rPr>
                <w:rStyle w:val="IndexLink"/>
                <w:rtl w:val="true"/>
              </w:rPr>
              <w:t>بناء العام علی الخاص فی المتعارضین بالعموم و الخصوص المطلق</w:t>
            </w:r>
            <w:r>
              <w:rPr>
                <w:rStyle w:val="IndexLink"/>
                <w:rtl w:val="true"/>
              </w:rPr>
              <w:t>]</w:t>
              <w:tab/>
            </w:r>
            <w:r>
              <w:rPr>
                <w:rStyle w:val="IndexLink"/>
              </w:rPr>
              <w:t>178</w:t>
            </w:r>
          </w:hyperlink>
        </w:p>
        <w:p>
          <w:pPr>
            <w:pStyle w:val="Contents5"/>
            <w:tabs>
              <w:tab w:val="clear" w:pos="7892"/>
              <w:tab w:val="right" w:pos="9026" w:leader="dot"/>
            </w:tabs>
            <w:rPr/>
          </w:pPr>
          <w:hyperlink w:anchor="__RefHeading___Toc2646790_3224264995">
            <w:r>
              <w:rPr>
                <w:webHidden/>
                <w:rStyle w:val="IndexLink"/>
                <w:rtl w:val="true"/>
              </w:rPr>
              <w:t>[</w:t>
            </w:r>
            <w:r>
              <w:rPr>
                <w:rStyle w:val="IndexLink"/>
                <w:rtl w:val="true"/>
              </w:rPr>
              <w:t>حکم تعارض العامّین من وجه</w:t>
            </w:r>
            <w:r>
              <w:rPr>
                <w:rStyle w:val="IndexLink"/>
                <w:rtl w:val="true"/>
              </w:rPr>
              <w:t>]</w:t>
              <w:tab/>
            </w:r>
            <w:r>
              <w:rPr>
                <w:rStyle w:val="IndexLink"/>
              </w:rPr>
              <w:t>178</w:t>
            </w:r>
          </w:hyperlink>
        </w:p>
        <w:p>
          <w:pPr>
            <w:pStyle w:val="Contents5"/>
            <w:tabs>
              <w:tab w:val="clear" w:pos="7892"/>
              <w:tab w:val="right" w:pos="9026" w:leader="dot"/>
            </w:tabs>
            <w:rPr/>
          </w:pPr>
          <w:hyperlink w:anchor="__RefHeading___Toc2646792_3224264995">
            <w:r>
              <w:rPr>
                <w:webHidden/>
                <w:rStyle w:val="IndexLink"/>
                <w:rtl w:val="true"/>
              </w:rPr>
              <w:t>[</w:t>
            </w:r>
            <w:r>
              <w:rPr>
                <w:rStyle w:val="IndexLink"/>
                <w:rtl w:val="true"/>
              </w:rPr>
              <w:t>حکم تعارض المتباینین</w:t>
            </w:r>
            <w:r>
              <w:rPr>
                <w:rStyle w:val="IndexLink"/>
                <w:rtl w:val="true"/>
              </w:rPr>
              <w:t>]</w:t>
              <w:tab/>
            </w:r>
            <w:r>
              <w:rPr>
                <w:rStyle w:val="IndexLink"/>
              </w:rPr>
              <w:t>181</w:t>
            </w:r>
          </w:hyperlink>
        </w:p>
        <w:p>
          <w:pPr>
            <w:pStyle w:val="Contents5"/>
            <w:tabs>
              <w:tab w:val="clear" w:pos="7892"/>
              <w:tab w:val="right" w:pos="9026" w:leader="dot"/>
            </w:tabs>
            <w:rPr/>
          </w:pPr>
          <w:hyperlink w:anchor="__RefHeading___Toc2646794_3224264995">
            <w:r>
              <w:rPr>
                <w:webHidden/>
                <w:rStyle w:val="IndexLink"/>
                <w:rtl w:val="true"/>
              </w:rPr>
              <w:t>[</w:t>
            </w:r>
            <w:r>
              <w:rPr>
                <w:rStyle w:val="IndexLink"/>
                <w:rtl w:val="true"/>
              </w:rPr>
              <w:t>المتباینان من الکتاب</w:t>
            </w:r>
            <w:r>
              <w:rPr>
                <w:rStyle w:val="IndexLink"/>
                <w:rtl w:val="true"/>
              </w:rPr>
              <w:t>]</w:t>
              <w:tab/>
            </w:r>
            <w:r>
              <w:rPr>
                <w:rStyle w:val="IndexLink"/>
              </w:rPr>
              <w:t>183</w:t>
            </w:r>
          </w:hyperlink>
        </w:p>
        <w:p>
          <w:pPr>
            <w:pStyle w:val="Contents5"/>
            <w:tabs>
              <w:tab w:val="clear" w:pos="7892"/>
              <w:tab w:val="right" w:pos="9026" w:leader="dot"/>
            </w:tabs>
            <w:rPr/>
          </w:pPr>
          <w:hyperlink w:anchor="__RefHeading___Toc2646796_3224264995">
            <w:r>
              <w:rPr>
                <w:webHidden/>
                <w:rStyle w:val="IndexLink"/>
                <w:rtl w:val="true"/>
              </w:rPr>
              <w:t>[</w:t>
            </w:r>
            <w:r>
              <w:rPr>
                <w:rStyle w:val="IndexLink"/>
                <w:rtl w:val="true"/>
              </w:rPr>
              <w:t>اختصاص اعمال المرجّحات بمظنون الصدور</w:t>
            </w:r>
            <w:r>
              <w:rPr>
                <w:rStyle w:val="IndexLink"/>
                <w:rtl w:val="true"/>
              </w:rPr>
              <w:t>]</w:t>
              <w:tab/>
            </w:r>
            <w:r>
              <w:rPr>
                <w:rStyle w:val="IndexLink"/>
              </w:rPr>
              <w:t>183</w:t>
            </w:r>
          </w:hyperlink>
        </w:p>
        <w:p>
          <w:pPr>
            <w:pStyle w:val="Contents5"/>
            <w:tabs>
              <w:tab w:val="clear" w:pos="7892"/>
              <w:tab w:val="right" w:pos="9026" w:leader="dot"/>
            </w:tabs>
            <w:rPr/>
          </w:pPr>
          <w:hyperlink w:anchor="__RefHeading___Toc2646798_3224264995">
            <w:r>
              <w:rPr>
                <w:webHidden/>
                <w:rStyle w:val="IndexLink"/>
                <w:rtl w:val="true"/>
              </w:rPr>
              <w:t>[</w:t>
            </w:r>
            <w:r>
              <w:rPr>
                <w:rStyle w:val="IndexLink"/>
                <w:rtl w:val="true"/>
              </w:rPr>
              <w:t>ما یشبه العامّین من وجه</w:t>
            </w:r>
            <w:r>
              <w:rPr>
                <w:rStyle w:val="IndexLink"/>
                <w:rtl w:val="true"/>
              </w:rPr>
              <w:t>]</w:t>
              <w:tab/>
            </w:r>
            <w:r>
              <w:rPr>
                <w:rStyle w:val="IndexLink"/>
              </w:rPr>
              <w:t>184</w:t>
            </w:r>
          </w:hyperlink>
        </w:p>
        <w:p>
          <w:pPr>
            <w:pStyle w:val="Contents5"/>
            <w:tabs>
              <w:tab w:val="clear" w:pos="7892"/>
              <w:tab w:val="right" w:pos="9026" w:leader="dot"/>
            </w:tabs>
            <w:rPr/>
          </w:pPr>
          <w:hyperlink w:anchor="__RefHeading___Toc2646800_3224264995">
            <w:r>
              <w:rPr>
                <w:webHidden/>
                <w:rStyle w:val="IndexLink"/>
                <w:rtl w:val="true"/>
              </w:rPr>
              <w:t>[</w:t>
            </w:r>
            <w:r>
              <w:rPr>
                <w:rStyle w:val="IndexLink"/>
                <w:rtl w:val="true"/>
              </w:rPr>
              <w:t>منع البعد عن القول بحجّیة الظواهر مشروطا بحصول الظنّ</w:t>
            </w:r>
            <w:r>
              <w:rPr>
                <w:rStyle w:val="IndexLink"/>
                <w:rtl w:val="true"/>
              </w:rPr>
              <w:t>]</w:t>
              <w:tab/>
            </w:r>
            <w:r>
              <w:rPr>
                <w:rStyle w:val="IndexLink"/>
              </w:rPr>
              <w:t>185</w:t>
            </w:r>
          </w:hyperlink>
        </w:p>
        <w:p>
          <w:pPr>
            <w:pStyle w:val="Contents5"/>
            <w:tabs>
              <w:tab w:val="clear" w:pos="7892"/>
              <w:tab w:val="right" w:pos="9026" w:leader="dot"/>
            </w:tabs>
            <w:rPr/>
          </w:pPr>
          <w:hyperlink w:anchor="__RefHeading___Toc2646802_3224264995">
            <w:r>
              <w:rPr>
                <w:webHidden/>
                <w:rStyle w:val="IndexLink"/>
                <w:rtl w:val="true"/>
              </w:rPr>
              <w:t>[</w:t>
            </w:r>
            <w:r>
              <w:rPr>
                <w:rStyle w:val="IndexLink"/>
                <w:rtl w:val="true"/>
              </w:rPr>
              <w:t>انحصار دلیل حجّیة الظواهر فی الأدلّة اللبّیة</w:t>
            </w:r>
            <w:r>
              <w:rPr>
                <w:rStyle w:val="IndexLink"/>
                <w:rtl w:val="true"/>
              </w:rPr>
              <w:t>]</w:t>
              <w:tab/>
            </w:r>
            <w:r>
              <w:rPr>
                <w:rStyle w:val="IndexLink"/>
              </w:rPr>
              <w:t>185</w:t>
            </w:r>
          </w:hyperlink>
        </w:p>
        <w:p>
          <w:pPr>
            <w:pStyle w:val="Contents5"/>
            <w:tabs>
              <w:tab w:val="clear" w:pos="7892"/>
              <w:tab w:val="right" w:pos="9026" w:leader="dot"/>
            </w:tabs>
            <w:rPr/>
          </w:pPr>
          <w:hyperlink w:anchor="__RefHeading___Toc2646804_3224264995">
            <w:r>
              <w:rPr>
                <w:webHidden/>
                <w:rStyle w:val="IndexLink"/>
                <w:rtl w:val="true"/>
              </w:rPr>
              <w:t>[</w:t>
            </w:r>
            <w:r>
              <w:rPr>
                <w:rStyle w:val="IndexLink"/>
                <w:rtl w:val="true"/>
              </w:rPr>
              <w:t>المرجّحات السندیة لا تأثیر لها بالنسبة إلی إجمال الدلالة بسبب تعارض العامّین من وجه و نحوه</w:t>
            </w:r>
            <w:r>
              <w:rPr>
                <w:rStyle w:val="IndexLink"/>
                <w:rtl w:val="true"/>
              </w:rPr>
              <w:t>]</w:t>
              <w:tab/>
            </w:r>
            <w:r>
              <w:rPr>
                <w:rStyle w:val="IndexLink"/>
              </w:rPr>
              <w:t>185</w:t>
            </w:r>
          </w:hyperlink>
        </w:p>
        <w:p>
          <w:pPr>
            <w:pStyle w:val="Contents5"/>
            <w:tabs>
              <w:tab w:val="clear" w:pos="7892"/>
              <w:tab w:val="right" w:pos="9026" w:leader="dot"/>
            </w:tabs>
            <w:rPr/>
          </w:pPr>
          <w:hyperlink w:anchor="__RefHeading___Toc2646806_3224264995">
            <w:r>
              <w:rPr>
                <w:webHidden/>
                <w:rStyle w:val="IndexLink"/>
                <w:rtl w:val="true"/>
              </w:rPr>
              <w:t>[</w:t>
            </w:r>
            <w:r>
              <w:rPr>
                <w:rStyle w:val="IndexLink"/>
                <w:rtl w:val="true"/>
              </w:rPr>
              <w:t>مناقشة فی کلام الماتن فی خرء طیر غیر مأکول</w:t>
            </w:r>
            <w:r>
              <w:rPr>
                <w:rStyle w:val="IndexLink"/>
                <w:rtl w:val="true"/>
              </w:rPr>
              <w:t>]</w:t>
              <w:tab/>
            </w:r>
            <w:r>
              <w:rPr>
                <w:rStyle w:val="IndexLink"/>
              </w:rPr>
              <w:t>186</w:t>
            </w:r>
          </w:hyperlink>
        </w:p>
        <w:p>
          <w:pPr>
            <w:pStyle w:val="Contents5"/>
            <w:tabs>
              <w:tab w:val="clear" w:pos="7892"/>
              <w:tab w:val="right" w:pos="9026" w:leader="dot"/>
            </w:tabs>
            <w:rPr/>
          </w:pPr>
          <w:hyperlink w:anchor="__RefHeading___Toc2646808_3224264995">
            <w:r>
              <w:rPr>
                <w:webHidden/>
                <w:rStyle w:val="IndexLink"/>
                <w:rtl w:val="true"/>
              </w:rPr>
              <w:t>[</w:t>
            </w:r>
            <w:r>
              <w:rPr>
                <w:rStyle w:val="IndexLink"/>
                <w:rtl w:val="true"/>
              </w:rPr>
              <w:t>الردّ علی الترجیح بمطلق الأقربیة من أیّ سبب حصلت</w:t>
            </w:r>
            <w:r>
              <w:rPr>
                <w:rStyle w:val="IndexLink"/>
                <w:rtl w:val="true"/>
              </w:rPr>
              <w:t>]</w:t>
              <w:tab/>
            </w:r>
            <w:r>
              <w:rPr>
                <w:rStyle w:val="IndexLink"/>
              </w:rPr>
              <w:t>187</w:t>
            </w:r>
          </w:hyperlink>
        </w:p>
        <w:p>
          <w:pPr>
            <w:pStyle w:val="Contents5"/>
            <w:tabs>
              <w:tab w:val="clear" w:pos="7892"/>
              <w:tab w:val="right" w:pos="9026" w:leader="dot"/>
            </w:tabs>
            <w:rPr/>
          </w:pPr>
          <w:hyperlink w:anchor="__RefHeading___Toc2646810_3224264995">
            <w:r>
              <w:rPr>
                <w:webHidden/>
                <w:rStyle w:val="IndexLink"/>
                <w:rtl w:val="true"/>
              </w:rPr>
              <w:t>[</w:t>
            </w:r>
            <w:r>
              <w:rPr>
                <w:rStyle w:val="IndexLink"/>
                <w:rtl w:val="true"/>
              </w:rPr>
              <w:t>تفسیر أمر الماتن بالتدبّر بعد إلحاقه کثیر من المرجّحات بما دلّ علی الترجیح بمطلق الظنّ بالأقربیة و المزیّة</w:t>
            </w:r>
            <w:r>
              <w:rPr>
                <w:rStyle w:val="IndexLink"/>
                <w:rtl w:val="true"/>
              </w:rPr>
              <w:t>]</w:t>
              <w:tab/>
            </w:r>
            <w:r>
              <w:rPr>
                <w:rStyle w:val="IndexLink"/>
              </w:rPr>
              <w:t>187</w:t>
            </w:r>
          </w:hyperlink>
        </w:p>
        <w:p>
          <w:pPr>
            <w:pStyle w:val="Contents5"/>
            <w:tabs>
              <w:tab w:val="clear" w:pos="7892"/>
              <w:tab w:val="right" w:pos="9026" w:leader="dot"/>
            </w:tabs>
            <w:rPr/>
          </w:pPr>
          <w:hyperlink w:anchor="__RefHeading___Toc2646812_3224264995">
            <w:r>
              <w:rPr>
                <w:webHidden/>
                <w:rStyle w:val="IndexLink"/>
                <w:rtl w:val="true"/>
              </w:rPr>
              <w:t>[</w:t>
            </w:r>
            <w:r>
              <w:rPr>
                <w:rStyle w:val="IndexLink"/>
                <w:rtl w:val="true"/>
              </w:rPr>
              <w:t>منع الفرق بین أبعدیة المخالف للعامة عن التقیة و أقربیة المخالف للعامة إلی الواقع</w:t>
            </w:r>
            <w:r>
              <w:rPr>
                <w:rStyle w:val="IndexLink"/>
                <w:rtl w:val="true"/>
              </w:rPr>
              <w:t>]</w:t>
              <w:tab/>
            </w:r>
            <w:r>
              <w:rPr>
                <w:rStyle w:val="IndexLink"/>
              </w:rPr>
              <w:t>187</w:t>
            </w:r>
          </w:hyperlink>
        </w:p>
        <w:p>
          <w:pPr>
            <w:pStyle w:val="Contents2"/>
            <w:tabs>
              <w:tab w:val="clear" w:pos="8743"/>
              <w:tab w:val="right" w:pos="9026" w:leader="dot"/>
            </w:tabs>
            <w:rPr/>
          </w:pPr>
          <w:hyperlink w:anchor="__RefHeading___Toc2646814_3224264995">
            <w:r>
              <w:rPr>
                <w:webHidden/>
                <w:rStyle w:val="IndexLink"/>
                <w:rtl w:val="true"/>
              </w:rPr>
              <w:t>[</w:t>
            </w:r>
            <w:r>
              <w:rPr>
                <w:rStyle w:val="IndexLink"/>
                <w:rtl w:val="true"/>
              </w:rPr>
              <w:t>مباحث الشک</w:t>
            </w:r>
            <w:r>
              <w:rPr>
                <w:rStyle w:val="IndexLink"/>
                <w:rtl w:val="true"/>
              </w:rPr>
              <w:t>]</w:t>
              <w:tab/>
            </w:r>
            <w:r>
              <w:rPr>
                <w:rStyle w:val="IndexLink"/>
              </w:rPr>
              <w:t>189</w:t>
            </w:r>
          </w:hyperlink>
        </w:p>
        <w:p>
          <w:pPr>
            <w:pStyle w:val="Contents3"/>
            <w:tabs>
              <w:tab w:val="clear" w:pos="8459"/>
              <w:tab w:val="right" w:pos="9026" w:leader="dot"/>
            </w:tabs>
            <w:rPr/>
          </w:pPr>
          <w:hyperlink w:anchor="__RefHeading___Toc2646816_3224264995">
            <w:r>
              <w:rPr>
                <w:webHidden/>
                <w:rStyle w:val="IndexLink"/>
                <w:rtl w:val="true"/>
              </w:rPr>
              <w:t>[</w:t>
            </w:r>
            <w:r>
              <w:rPr>
                <w:rStyle w:val="IndexLink"/>
                <w:rtl w:val="true"/>
              </w:rPr>
              <w:t>الکلام فی الأدلّة العقلیة</w:t>
            </w:r>
            <w:r>
              <w:rPr>
                <w:rStyle w:val="IndexLink"/>
                <w:rtl w:val="true"/>
              </w:rPr>
              <w:t>]</w:t>
              <w:tab/>
            </w:r>
            <w:r>
              <w:rPr>
                <w:rStyle w:val="IndexLink"/>
              </w:rPr>
              <w:t>189</w:t>
            </w:r>
          </w:hyperlink>
        </w:p>
        <w:p>
          <w:pPr>
            <w:pStyle w:val="Contents4"/>
            <w:tabs>
              <w:tab w:val="clear" w:pos="8176"/>
              <w:tab w:val="right" w:pos="9026" w:leader="dot"/>
            </w:tabs>
            <w:rPr/>
          </w:pPr>
          <w:hyperlink w:anchor="__RefHeading___Toc2646818_3224264995">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2646820_3224264995">
            <w:r>
              <w:rPr>
                <w:webHidden/>
                <w:rStyle w:val="IndexLink"/>
                <w:rtl w:val="true"/>
              </w:rPr>
              <w:t>[</w:t>
            </w:r>
            <w:r>
              <w:rPr>
                <w:rStyle w:val="IndexLink"/>
                <w:rtl w:val="true"/>
              </w:rPr>
              <w:t>دلیل العقل و أقسامه</w:t>
            </w:r>
            <w:r>
              <w:rPr>
                <w:rStyle w:val="IndexLink"/>
                <w:rtl w:val="true"/>
              </w:rPr>
              <w:t>]</w:t>
              <w:tab/>
            </w:r>
            <w:r>
              <w:rPr>
                <w:rStyle w:val="IndexLink"/>
              </w:rPr>
              <w:t>189</w:t>
            </w:r>
          </w:hyperlink>
        </w:p>
        <w:p>
          <w:pPr>
            <w:pStyle w:val="Contents4"/>
            <w:tabs>
              <w:tab w:val="clear" w:pos="8176"/>
              <w:tab w:val="right" w:pos="9026" w:leader="dot"/>
            </w:tabs>
            <w:rPr/>
          </w:pPr>
          <w:hyperlink w:anchor="__RefHeading___Toc2646822_3224264995">
            <w:r>
              <w:rPr>
                <w:webHidden/>
                <w:rStyle w:val="IndexLink"/>
                <w:rtl w:val="true"/>
              </w:rPr>
              <w:t>[</w:t>
            </w:r>
            <w:r>
              <w:rPr>
                <w:rStyle w:val="IndexLink"/>
                <w:rtl w:val="true"/>
              </w:rPr>
              <w:t>النظر فی تعریف حکم العقل و تقسیمه و أقسامه</w:t>
            </w:r>
            <w:r>
              <w:rPr>
                <w:rStyle w:val="IndexLink"/>
                <w:rtl w:val="true"/>
              </w:rPr>
              <w:t>]</w:t>
              <w:tab/>
            </w:r>
            <w:r>
              <w:rPr>
                <w:rStyle w:val="IndexLink"/>
              </w:rPr>
              <w:t>189</w:t>
            </w:r>
          </w:hyperlink>
        </w:p>
        <w:p>
          <w:pPr>
            <w:pStyle w:val="Contents4"/>
            <w:tabs>
              <w:tab w:val="clear" w:pos="8176"/>
              <w:tab w:val="right" w:pos="9026" w:leader="dot"/>
            </w:tabs>
            <w:rPr/>
          </w:pPr>
          <w:hyperlink w:anchor="__RefHeading___Toc2646824_3224264995">
            <w:r>
              <w:rPr>
                <w:webHidden/>
                <w:rStyle w:val="IndexLink"/>
                <w:rtl w:val="true"/>
              </w:rPr>
              <w:t>[</w:t>
            </w:r>
            <w:r>
              <w:rPr>
                <w:rStyle w:val="IndexLink"/>
                <w:rtl w:val="true"/>
              </w:rPr>
              <w:t>الدلیل فی اصطلاح الاصولیین</w:t>
            </w:r>
            <w:r>
              <w:rPr>
                <w:rStyle w:val="IndexLink"/>
                <w:rtl w:val="true"/>
              </w:rPr>
              <w:t>]</w:t>
              <w:tab/>
            </w:r>
            <w:r>
              <w:rPr>
                <w:rStyle w:val="IndexLink"/>
              </w:rPr>
              <w:t>189</w:t>
            </w:r>
          </w:hyperlink>
        </w:p>
        <w:p>
          <w:pPr>
            <w:pStyle w:val="Contents4"/>
            <w:tabs>
              <w:tab w:val="clear" w:pos="8176"/>
              <w:tab w:val="right" w:pos="9026" w:leader="dot"/>
            </w:tabs>
            <w:rPr/>
          </w:pPr>
          <w:hyperlink w:anchor="__RefHeading___Toc2646826_3224264995">
            <w:r>
              <w:rPr>
                <w:webHidden/>
                <w:rStyle w:val="IndexLink"/>
                <w:rtl w:val="true"/>
              </w:rPr>
              <w:t>[</w:t>
            </w:r>
            <w:r>
              <w:rPr>
                <w:rStyle w:val="IndexLink"/>
                <w:rtl w:val="true"/>
              </w:rPr>
              <w:t>وجه إطلاق العقلی علی کلا قسمی دلیل العقل</w:t>
            </w:r>
            <w:r>
              <w:rPr>
                <w:rStyle w:val="IndexLink"/>
                <w:rtl w:val="true"/>
              </w:rPr>
              <w:t>]</w:t>
              <w:tab/>
            </w:r>
            <w:r>
              <w:rPr>
                <w:rStyle w:val="IndexLink"/>
              </w:rPr>
              <w:t>192</w:t>
            </w:r>
          </w:hyperlink>
        </w:p>
        <w:p>
          <w:pPr>
            <w:pStyle w:val="Contents4"/>
            <w:tabs>
              <w:tab w:val="clear" w:pos="8176"/>
              <w:tab w:val="right" w:pos="9026" w:leader="dot"/>
            </w:tabs>
            <w:rPr/>
          </w:pPr>
          <w:hyperlink w:anchor="__RefHeading___Toc2646828_3224264995">
            <w:r>
              <w:rPr>
                <w:webHidden/>
                <w:rStyle w:val="IndexLink"/>
                <w:rtl w:val="true"/>
              </w:rPr>
              <w:t>[</w:t>
            </w:r>
            <w:r>
              <w:rPr>
                <w:rStyle w:val="IndexLink"/>
                <w:rtl w:val="true"/>
              </w:rPr>
              <w:t>المراد من العقل هنا و فی اشتراط التکلیف به</w:t>
            </w:r>
            <w:r>
              <w:rPr>
                <w:rStyle w:val="IndexLink"/>
                <w:rtl w:val="true"/>
              </w:rPr>
              <w:t>]</w:t>
              <w:tab/>
            </w:r>
            <w:r>
              <w:rPr>
                <w:rStyle w:val="IndexLink"/>
              </w:rPr>
              <w:t>192</w:t>
            </w:r>
          </w:hyperlink>
        </w:p>
        <w:p>
          <w:pPr>
            <w:pStyle w:val="Contents4"/>
            <w:tabs>
              <w:tab w:val="clear" w:pos="8176"/>
              <w:tab w:val="right" w:pos="9026" w:leader="dot"/>
            </w:tabs>
            <w:rPr/>
          </w:pPr>
          <w:hyperlink w:anchor="__RefHeading___Toc2646830_3224264995">
            <w:r>
              <w:rPr>
                <w:webHidden/>
                <w:rStyle w:val="IndexLink"/>
                <w:rtl w:val="true"/>
              </w:rPr>
              <w:t>[</w:t>
            </w:r>
            <w:r>
              <w:rPr>
                <w:rStyle w:val="IndexLink"/>
                <w:rtl w:val="true"/>
              </w:rPr>
              <w:t>مراتب الاتّصاف بصفة العقل</w:t>
            </w:r>
            <w:r>
              <w:rPr>
                <w:rStyle w:val="IndexLink"/>
                <w:rtl w:val="true"/>
              </w:rPr>
              <w:t>]</w:t>
              <w:tab/>
            </w:r>
            <w:r>
              <w:rPr>
                <w:rStyle w:val="IndexLink"/>
              </w:rPr>
              <w:t>192</w:t>
            </w:r>
          </w:hyperlink>
        </w:p>
        <w:p>
          <w:pPr>
            <w:pStyle w:val="Contents4"/>
            <w:tabs>
              <w:tab w:val="clear" w:pos="8176"/>
              <w:tab w:val="right" w:pos="9026" w:leader="dot"/>
            </w:tabs>
            <w:rPr/>
          </w:pPr>
          <w:hyperlink w:anchor="__RefHeading___Toc2646832_3224264995">
            <w:r>
              <w:rPr>
                <w:webHidden/>
                <w:rStyle w:val="IndexLink"/>
                <w:rtl w:val="true"/>
              </w:rPr>
              <w:t>[</w:t>
            </w:r>
            <w:r>
              <w:rPr>
                <w:rStyle w:val="IndexLink"/>
                <w:rtl w:val="true"/>
              </w:rPr>
              <w:t>وجه عدم تسمیة أصالة البراءة المستندة إلی قبح العقاب بلا بیان حکما</w:t>
            </w:r>
            <w:r>
              <w:rPr>
                <w:rStyle w:val="IndexLink"/>
                <w:rtl w:val="true"/>
              </w:rPr>
              <w:t>]</w:t>
              <w:tab/>
            </w:r>
            <w:r>
              <w:rPr>
                <w:rStyle w:val="IndexLink"/>
              </w:rPr>
              <w:t>194</w:t>
            </w:r>
          </w:hyperlink>
        </w:p>
        <w:p>
          <w:pPr>
            <w:pStyle w:val="Contents4"/>
            <w:tabs>
              <w:tab w:val="clear" w:pos="8176"/>
              <w:tab w:val="right" w:pos="9026" w:leader="dot"/>
            </w:tabs>
            <w:rPr/>
          </w:pPr>
          <w:hyperlink w:anchor="__RefHeading___Toc2646834_3224264995">
            <w:r>
              <w:rPr>
                <w:webHidden/>
                <w:rStyle w:val="IndexLink"/>
                <w:rtl w:val="true"/>
              </w:rPr>
              <w:t>[</w:t>
            </w:r>
            <w:r>
              <w:rPr>
                <w:rStyle w:val="IndexLink"/>
                <w:rtl w:val="true"/>
              </w:rPr>
              <w:t>أصل الإباحة دلیل عقلی</w:t>
            </w:r>
            <w:r>
              <w:rPr>
                <w:rStyle w:val="IndexLink"/>
                <w:rtl w:val="true"/>
              </w:rPr>
              <w:t>]</w:t>
              <w:tab/>
            </w:r>
            <w:r>
              <w:rPr>
                <w:rStyle w:val="IndexLink"/>
              </w:rPr>
              <w:t>194</w:t>
            </w:r>
          </w:hyperlink>
        </w:p>
        <w:p>
          <w:pPr>
            <w:pStyle w:val="Contents4"/>
            <w:tabs>
              <w:tab w:val="clear" w:pos="8176"/>
              <w:tab w:val="right" w:pos="9026" w:leader="dot"/>
            </w:tabs>
            <w:rPr/>
          </w:pPr>
          <w:hyperlink w:anchor="__RefHeading___Toc2646836_3224264995">
            <w:r>
              <w:rPr>
                <w:webHidden/>
                <w:rStyle w:val="IndexLink"/>
                <w:rtl w:val="true"/>
              </w:rPr>
              <w:t>[</w:t>
            </w:r>
            <w:r>
              <w:rPr>
                <w:rStyle w:val="IndexLink"/>
                <w:rtl w:val="true"/>
              </w:rPr>
              <w:t>افتراق أصل الإباحة عن أصل البراءة</w:t>
            </w:r>
            <w:r>
              <w:rPr>
                <w:rStyle w:val="IndexLink"/>
                <w:rtl w:val="true"/>
              </w:rPr>
              <w:t>]</w:t>
              <w:tab/>
            </w:r>
            <w:r>
              <w:rPr>
                <w:rStyle w:val="IndexLink"/>
              </w:rPr>
              <w:t>194</w:t>
            </w:r>
          </w:hyperlink>
        </w:p>
        <w:p>
          <w:pPr>
            <w:pStyle w:val="Contents4"/>
            <w:tabs>
              <w:tab w:val="clear" w:pos="8176"/>
              <w:tab w:val="right" w:pos="9026" w:leader="dot"/>
            </w:tabs>
            <w:rPr/>
          </w:pPr>
          <w:hyperlink w:anchor="__RefHeading___Toc2646838_3224264995">
            <w:r>
              <w:rPr>
                <w:webHidden/>
                <w:rStyle w:val="IndexLink"/>
                <w:rtl w:val="true"/>
              </w:rPr>
              <w:t>[</w:t>
            </w:r>
            <w:r>
              <w:rPr>
                <w:rStyle w:val="IndexLink"/>
                <w:rtl w:val="true"/>
              </w:rPr>
              <w:t>مستند أصل الإباحة</w:t>
            </w:r>
            <w:r>
              <w:rPr>
                <w:rStyle w:val="IndexLink"/>
                <w:rtl w:val="true"/>
              </w:rPr>
              <w:t>]</w:t>
              <w:tab/>
            </w:r>
            <w:r>
              <w:rPr>
                <w:rStyle w:val="IndexLink"/>
              </w:rPr>
              <w:t>195</w:t>
            </w:r>
          </w:hyperlink>
        </w:p>
        <w:p>
          <w:pPr>
            <w:pStyle w:val="Contents4"/>
            <w:tabs>
              <w:tab w:val="clear" w:pos="8176"/>
              <w:tab w:val="right" w:pos="9026" w:leader="dot"/>
            </w:tabs>
            <w:rPr/>
          </w:pPr>
          <w:hyperlink w:anchor="__RefHeading___Toc2646840_3224264995">
            <w:r>
              <w:rPr>
                <w:webHidden/>
                <w:rStyle w:val="IndexLink"/>
                <w:rtl w:val="true"/>
              </w:rPr>
              <w:t>[</w:t>
            </w:r>
            <w:r>
              <w:rPr>
                <w:rStyle w:val="IndexLink"/>
                <w:rtl w:val="true"/>
              </w:rPr>
              <w:t>انقسام دلیل العقل إلی قطعی و ظنّی</w:t>
            </w:r>
            <w:r>
              <w:rPr>
                <w:rStyle w:val="IndexLink"/>
                <w:rtl w:val="true"/>
              </w:rPr>
              <w:t>]</w:t>
              <w:tab/>
            </w:r>
            <w:r>
              <w:rPr>
                <w:rStyle w:val="IndexLink"/>
              </w:rPr>
              <w:t>195</w:t>
            </w:r>
          </w:hyperlink>
        </w:p>
        <w:p>
          <w:pPr>
            <w:pStyle w:val="Contents4"/>
            <w:tabs>
              <w:tab w:val="clear" w:pos="8176"/>
              <w:tab w:val="right" w:pos="9026" w:leader="dot"/>
            </w:tabs>
            <w:rPr/>
          </w:pPr>
          <w:hyperlink w:anchor="__RefHeading___Toc2646842_3224264995">
            <w:r>
              <w:rPr>
                <w:webHidden/>
                <w:rStyle w:val="IndexLink"/>
                <w:rtl w:val="true"/>
              </w:rPr>
              <w:t>[</w:t>
            </w:r>
            <w:r>
              <w:rPr>
                <w:rStyle w:val="IndexLink"/>
                <w:rtl w:val="true"/>
              </w:rPr>
              <w:t>أعمّیة مورد أصل الإباحة الشرعیة بالنسبة للعقلیة منها</w:t>
            </w:r>
            <w:r>
              <w:rPr>
                <w:rStyle w:val="IndexLink"/>
                <w:rtl w:val="true"/>
              </w:rPr>
              <w:t>]</w:t>
              <w:tab/>
            </w:r>
            <w:r>
              <w:rPr>
                <w:rStyle w:val="IndexLink"/>
              </w:rPr>
              <w:t>195</w:t>
            </w:r>
          </w:hyperlink>
        </w:p>
        <w:p>
          <w:pPr>
            <w:pStyle w:val="Contents4"/>
            <w:tabs>
              <w:tab w:val="clear" w:pos="8176"/>
              <w:tab w:val="right" w:pos="9026" w:leader="dot"/>
            </w:tabs>
            <w:rPr/>
          </w:pPr>
          <w:hyperlink w:anchor="__RefHeading___Toc2646844_3224264995">
            <w:r>
              <w:rPr>
                <w:webHidden/>
                <w:rStyle w:val="IndexLink"/>
                <w:rtl w:val="true"/>
              </w:rPr>
              <w:t>[</w:t>
            </w:r>
            <w:r>
              <w:rPr>
                <w:rStyle w:val="IndexLink"/>
                <w:rtl w:val="true"/>
              </w:rPr>
              <w:t>القول باعتبار الاستصحاب و الید و السوق بحکم العقل</w:t>
            </w:r>
            <w:r>
              <w:rPr>
                <w:rStyle w:val="IndexLink"/>
                <w:rtl w:val="true"/>
              </w:rPr>
              <w:t>]</w:t>
              <w:tab/>
            </w:r>
            <w:r>
              <w:rPr>
                <w:rStyle w:val="IndexLink"/>
              </w:rPr>
              <w:t>196</w:t>
            </w:r>
          </w:hyperlink>
        </w:p>
        <w:p>
          <w:pPr>
            <w:pStyle w:val="Contents4"/>
            <w:tabs>
              <w:tab w:val="clear" w:pos="8176"/>
              <w:tab w:val="right" w:pos="9026" w:leader="dot"/>
            </w:tabs>
            <w:rPr/>
          </w:pPr>
          <w:hyperlink w:anchor="__RefHeading___Toc2646846_3224264995">
            <w:r>
              <w:rPr>
                <w:webHidden/>
                <w:rStyle w:val="IndexLink"/>
                <w:rtl w:val="true"/>
              </w:rPr>
              <w:t>[</w:t>
            </w:r>
            <w:r>
              <w:rPr>
                <w:rStyle w:val="IndexLink"/>
                <w:rtl w:val="true"/>
              </w:rPr>
              <w:t>حجّیة إدراک العقل غیر المستقل</w:t>
            </w:r>
            <w:r>
              <w:rPr>
                <w:rStyle w:val="IndexLink"/>
                <w:rtl w:val="true"/>
              </w:rPr>
              <w:t>]</w:t>
              <w:tab/>
            </w:r>
            <w:r>
              <w:rPr>
                <w:rStyle w:val="IndexLink"/>
              </w:rPr>
              <w:t>196</w:t>
            </w:r>
          </w:hyperlink>
        </w:p>
        <w:p>
          <w:pPr>
            <w:pStyle w:val="Contents4"/>
            <w:tabs>
              <w:tab w:val="clear" w:pos="8176"/>
              <w:tab w:val="right" w:pos="9026" w:leader="dot"/>
            </w:tabs>
            <w:rPr/>
          </w:pPr>
          <w:hyperlink w:anchor="__RefHeading___Toc2646848_3224264995">
            <w:r>
              <w:rPr>
                <w:webHidden/>
                <w:rStyle w:val="IndexLink"/>
                <w:rtl w:val="true"/>
              </w:rPr>
              <w:t>[</w:t>
            </w:r>
            <w:r>
              <w:rPr>
                <w:rStyle w:val="IndexLink"/>
                <w:rtl w:val="true"/>
              </w:rPr>
              <w:t>أقسام إدراک العقل المستقل</w:t>
            </w:r>
            <w:r>
              <w:rPr>
                <w:rStyle w:val="IndexLink"/>
                <w:rtl w:val="true"/>
              </w:rPr>
              <w:t>]</w:t>
              <w:tab/>
            </w:r>
            <w:r>
              <w:rPr>
                <w:rStyle w:val="IndexLink"/>
              </w:rPr>
              <w:t>196</w:t>
            </w:r>
          </w:hyperlink>
        </w:p>
        <w:p>
          <w:pPr>
            <w:pStyle w:val="Contents4"/>
            <w:tabs>
              <w:tab w:val="clear" w:pos="8176"/>
              <w:tab w:val="right" w:pos="9026" w:leader="dot"/>
            </w:tabs>
            <w:rPr/>
          </w:pPr>
          <w:hyperlink w:anchor="__RefHeading___Toc2646850_3224264995">
            <w:r>
              <w:rPr>
                <w:webHidden/>
                <w:rStyle w:val="IndexLink"/>
                <w:rtl w:val="true"/>
              </w:rPr>
              <w:t>[</w:t>
            </w:r>
            <w:r>
              <w:rPr>
                <w:rStyle w:val="IndexLink"/>
                <w:rtl w:val="true"/>
              </w:rPr>
              <w:t>عدم الخلاف فی بعض إدراکات العقل المستقل</w:t>
            </w:r>
            <w:r>
              <w:rPr>
                <w:rStyle w:val="IndexLink"/>
                <w:rtl w:val="true"/>
              </w:rPr>
              <w:t>]</w:t>
              <w:tab/>
            </w:r>
            <w:r>
              <w:rPr>
                <w:rStyle w:val="IndexLink"/>
              </w:rPr>
              <w:t>197</w:t>
            </w:r>
          </w:hyperlink>
        </w:p>
        <w:p>
          <w:pPr>
            <w:pStyle w:val="Contents4"/>
            <w:tabs>
              <w:tab w:val="clear" w:pos="8176"/>
              <w:tab w:val="right" w:pos="9026" w:leader="dot"/>
            </w:tabs>
            <w:rPr/>
          </w:pPr>
          <w:hyperlink w:anchor="__RefHeading___Toc2646852_3224264995">
            <w:r>
              <w:rPr>
                <w:webHidden/>
                <w:rStyle w:val="IndexLink"/>
                <w:rtl w:val="true"/>
              </w:rPr>
              <w:t>[</w:t>
            </w:r>
            <w:r>
              <w:rPr>
                <w:rStyle w:val="IndexLink"/>
                <w:rtl w:val="true"/>
              </w:rPr>
              <w:t>الخلاف فی إدراک العقل للحسن و القبح بمعنی الثواب و العقاب علی الفعل</w:t>
            </w:r>
            <w:r>
              <w:rPr>
                <w:rStyle w:val="IndexLink"/>
                <w:rtl w:val="true"/>
              </w:rPr>
              <w:t>]</w:t>
              <w:tab/>
            </w:r>
            <w:r>
              <w:rPr>
                <w:rStyle w:val="IndexLink"/>
              </w:rPr>
              <w:t>197</w:t>
            </w:r>
          </w:hyperlink>
        </w:p>
        <w:p>
          <w:pPr>
            <w:pStyle w:val="Contents4"/>
            <w:tabs>
              <w:tab w:val="clear" w:pos="8176"/>
              <w:tab w:val="right" w:pos="9026" w:leader="dot"/>
            </w:tabs>
            <w:rPr/>
          </w:pPr>
          <w:hyperlink w:anchor="__RefHeading___Toc2646854_3224264995">
            <w:r>
              <w:rPr>
                <w:webHidden/>
                <w:rStyle w:val="IndexLink"/>
                <w:rtl w:val="true"/>
              </w:rPr>
              <w:t>[</w:t>
            </w:r>
            <w:r>
              <w:rPr>
                <w:rStyle w:val="IndexLink"/>
                <w:rtl w:val="true"/>
              </w:rPr>
              <w:t>بیان دعوی الأشاعرة</w:t>
            </w:r>
            <w:r>
              <w:rPr>
                <w:rStyle w:val="IndexLink"/>
                <w:rtl w:val="true"/>
              </w:rPr>
              <w:t>]</w:t>
              <w:tab/>
            </w:r>
            <w:r>
              <w:rPr>
                <w:rStyle w:val="IndexLink"/>
              </w:rPr>
              <w:t>197</w:t>
            </w:r>
          </w:hyperlink>
        </w:p>
        <w:p>
          <w:pPr>
            <w:pStyle w:val="Contents4"/>
            <w:tabs>
              <w:tab w:val="clear" w:pos="8176"/>
              <w:tab w:val="right" w:pos="9026" w:leader="dot"/>
            </w:tabs>
            <w:rPr/>
          </w:pPr>
          <w:hyperlink w:anchor="__RefHeading___Toc2646856_3224264995">
            <w:r>
              <w:rPr>
                <w:webHidden/>
                <w:rStyle w:val="IndexLink"/>
                <w:rtl w:val="true"/>
              </w:rPr>
              <w:t>[</w:t>
            </w:r>
            <w:r>
              <w:rPr>
                <w:rStyle w:val="IndexLink"/>
                <w:rtl w:val="true"/>
              </w:rPr>
              <w:t>موارد نزاع الأشاعرة فی إدراک العقل للحسن و القبح</w:t>
            </w:r>
            <w:r>
              <w:rPr>
                <w:rStyle w:val="IndexLink"/>
                <w:rtl w:val="true"/>
              </w:rPr>
              <w:t>]</w:t>
              <w:tab/>
            </w:r>
            <w:r>
              <w:rPr>
                <w:rStyle w:val="IndexLink"/>
              </w:rPr>
              <w:t>198</w:t>
            </w:r>
          </w:hyperlink>
        </w:p>
        <w:p>
          <w:pPr>
            <w:pStyle w:val="Contents4"/>
            <w:tabs>
              <w:tab w:val="clear" w:pos="8176"/>
              <w:tab w:val="right" w:pos="9026" w:leader="dot"/>
            </w:tabs>
            <w:rPr/>
          </w:pPr>
          <w:hyperlink w:anchor="__RefHeading___Toc2646858_3224264995">
            <w:r>
              <w:rPr>
                <w:webHidden/>
                <w:rStyle w:val="IndexLink"/>
                <w:rtl w:val="true"/>
              </w:rPr>
              <w:t>[</w:t>
            </w:r>
            <w:r>
              <w:rPr>
                <w:rStyle w:val="IndexLink"/>
                <w:rtl w:val="true"/>
              </w:rPr>
              <w:t>مذهب الاخباریة فی إدراک العقل للحسن و القبح</w:t>
            </w:r>
            <w:r>
              <w:rPr>
                <w:rStyle w:val="IndexLink"/>
                <w:rtl w:val="true"/>
              </w:rPr>
              <w:t>]</w:t>
              <w:tab/>
            </w:r>
            <w:r>
              <w:rPr>
                <w:rStyle w:val="IndexLink"/>
              </w:rPr>
              <w:t>199</w:t>
            </w:r>
          </w:hyperlink>
        </w:p>
        <w:p>
          <w:pPr>
            <w:pStyle w:val="Contents4"/>
            <w:tabs>
              <w:tab w:val="clear" w:pos="8176"/>
              <w:tab w:val="right" w:pos="9026" w:leader="dot"/>
            </w:tabs>
            <w:rPr/>
          </w:pPr>
          <w:hyperlink w:anchor="__RefHeading___Toc2646860_3224264995">
            <w:r>
              <w:rPr>
                <w:webHidden/>
                <w:rStyle w:val="IndexLink"/>
                <w:rtl w:val="true"/>
              </w:rPr>
              <w:t>[</w:t>
            </w:r>
            <w:r>
              <w:rPr>
                <w:rStyle w:val="IndexLink"/>
                <w:rtl w:val="true"/>
              </w:rPr>
              <w:t>الرأی المنسوب إلی السیّد الصدر فی الوافیة فی هذا الباب</w:t>
            </w:r>
            <w:r>
              <w:rPr>
                <w:rStyle w:val="IndexLink"/>
                <w:rtl w:val="true"/>
              </w:rPr>
              <w:t>]</w:t>
              <w:tab/>
            </w:r>
            <w:r>
              <w:rPr>
                <w:rStyle w:val="IndexLink"/>
              </w:rPr>
              <w:t>200</w:t>
            </w:r>
          </w:hyperlink>
        </w:p>
        <w:p>
          <w:pPr>
            <w:pStyle w:val="Contents4"/>
            <w:tabs>
              <w:tab w:val="clear" w:pos="8176"/>
              <w:tab w:val="right" w:pos="9026" w:leader="dot"/>
            </w:tabs>
            <w:rPr/>
          </w:pPr>
          <w:hyperlink w:anchor="__RefHeading___Toc2646862_3224264995">
            <w:r>
              <w:rPr>
                <w:webHidden/>
                <w:rStyle w:val="IndexLink"/>
                <w:rtl w:val="true"/>
              </w:rPr>
              <w:t>[</w:t>
            </w:r>
            <w:r>
              <w:rPr>
                <w:rStyle w:val="IndexLink"/>
                <w:rtl w:val="true"/>
              </w:rPr>
              <w:t>القول بعدم ملازمة حکم العقل لحکم الشرع لإمکان المعارضة بین الملاکات فی الواقع</w:t>
            </w:r>
            <w:r>
              <w:rPr>
                <w:rStyle w:val="IndexLink"/>
                <w:rtl w:val="true"/>
              </w:rPr>
              <w:t>]</w:t>
              <w:tab/>
            </w:r>
            <w:r>
              <w:rPr>
                <w:rStyle w:val="IndexLink"/>
              </w:rPr>
              <w:t>201</w:t>
            </w:r>
          </w:hyperlink>
        </w:p>
        <w:p>
          <w:pPr>
            <w:pStyle w:val="Contents4"/>
            <w:tabs>
              <w:tab w:val="clear" w:pos="8176"/>
              <w:tab w:val="right" w:pos="9026" w:leader="dot"/>
            </w:tabs>
            <w:rPr/>
          </w:pPr>
          <w:hyperlink w:anchor="__RefHeading___Toc2646864_3224264995">
            <w:r>
              <w:rPr>
                <w:webHidden/>
                <w:rStyle w:val="IndexLink"/>
                <w:rtl w:val="true"/>
              </w:rPr>
              <w:t>[</w:t>
            </w:r>
            <w:r>
              <w:rPr>
                <w:rStyle w:val="IndexLink"/>
                <w:rtl w:val="true"/>
              </w:rPr>
              <w:t>خلاصة الوجوه للقول بعدم الملازمة</w:t>
            </w:r>
            <w:r>
              <w:rPr>
                <w:rStyle w:val="IndexLink"/>
                <w:rtl w:val="true"/>
              </w:rPr>
              <w:t>]</w:t>
              <w:tab/>
            </w:r>
            <w:r>
              <w:rPr>
                <w:rStyle w:val="IndexLink"/>
              </w:rPr>
              <w:t>201</w:t>
            </w:r>
          </w:hyperlink>
        </w:p>
        <w:p>
          <w:pPr>
            <w:pStyle w:val="Contents4"/>
            <w:tabs>
              <w:tab w:val="clear" w:pos="8176"/>
              <w:tab w:val="right" w:pos="9026" w:leader="dot"/>
            </w:tabs>
            <w:rPr/>
          </w:pPr>
          <w:hyperlink w:anchor="__RefHeading___Toc2646866_3224264995">
            <w:r>
              <w:rPr>
                <w:webHidden/>
                <w:rStyle w:val="IndexLink"/>
                <w:rtl w:val="true"/>
              </w:rPr>
              <w:t>[</w:t>
            </w:r>
            <w:r>
              <w:rPr>
                <w:rStyle w:val="IndexLink"/>
                <w:rtl w:val="true"/>
              </w:rPr>
              <w:t>محلّ النزاع من الوجوه المذکورة فی منع الملازمة</w:t>
            </w:r>
            <w:r>
              <w:rPr>
                <w:rStyle w:val="IndexLink"/>
                <w:rtl w:val="true"/>
              </w:rPr>
              <w:t>]</w:t>
              <w:tab/>
            </w:r>
            <w:r>
              <w:rPr>
                <w:rStyle w:val="IndexLink"/>
              </w:rPr>
              <w:t>202</w:t>
            </w:r>
          </w:hyperlink>
        </w:p>
        <w:p>
          <w:pPr>
            <w:pStyle w:val="Contents4"/>
            <w:tabs>
              <w:tab w:val="clear" w:pos="8176"/>
              <w:tab w:val="right" w:pos="9026" w:leader="dot"/>
            </w:tabs>
            <w:rPr/>
          </w:pPr>
          <w:hyperlink w:anchor="__RefHeading___Toc2646868_3224264995">
            <w:r>
              <w:rPr>
                <w:webHidden/>
                <w:rStyle w:val="IndexLink"/>
                <w:rtl w:val="true"/>
              </w:rPr>
              <w:t>[</w:t>
            </w:r>
            <w:r>
              <w:rPr>
                <w:rStyle w:val="IndexLink"/>
                <w:rtl w:val="true"/>
              </w:rPr>
              <w:t>حجّة الأقوال فی المسألة</w:t>
            </w:r>
            <w:r>
              <w:rPr>
                <w:rStyle w:val="IndexLink"/>
                <w:rtl w:val="true"/>
              </w:rPr>
              <w:t>]</w:t>
              <w:tab/>
            </w:r>
            <w:r>
              <w:rPr>
                <w:rStyle w:val="IndexLink"/>
              </w:rPr>
              <w:t>202</w:t>
            </w:r>
          </w:hyperlink>
        </w:p>
        <w:p>
          <w:pPr>
            <w:pStyle w:val="Contents4"/>
            <w:tabs>
              <w:tab w:val="clear" w:pos="8176"/>
              <w:tab w:val="right" w:pos="9026" w:leader="dot"/>
            </w:tabs>
            <w:rPr/>
          </w:pPr>
          <w:hyperlink w:anchor="__RefHeading___Toc2646870_3224264995">
            <w:r>
              <w:rPr>
                <w:webHidden/>
                <w:rStyle w:val="IndexLink"/>
                <w:rtl w:val="true"/>
              </w:rPr>
              <w:t>[</w:t>
            </w:r>
            <w:r>
              <w:rPr>
                <w:rStyle w:val="IndexLink"/>
                <w:rtl w:val="true"/>
              </w:rPr>
              <w:t>حجّة القول بعدم الملازمة</w:t>
            </w:r>
            <w:r>
              <w:rPr>
                <w:rStyle w:val="IndexLink"/>
                <w:rtl w:val="true"/>
              </w:rPr>
              <w:t>]</w:t>
              <w:tab/>
            </w:r>
            <w:r>
              <w:rPr>
                <w:rStyle w:val="IndexLink"/>
              </w:rPr>
              <w:t>203</w:t>
            </w:r>
          </w:hyperlink>
        </w:p>
        <w:p>
          <w:pPr>
            <w:pStyle w:val="Contents4"/>
            <w:tabs>
              <w:tab w:val="clear" w:pos="8176"/>
              <w:tab w:val="right" w:pos="9026" w:leader="dot"/>
            </w:tabs>
            <w:rPr/>
          </w:pPr>
          <w:hyperlink w:anchor="__RefHeading___Toc2646872_3224264995">
            <w:r>
              <w:rPr>
                <w:webHidden/>
                <w:rStyle w:val="IndexLink"/>
                <w:rtl w:val="true"/>
              </w:rPr>
              <w:t>[</w:t>
            </w:r>
            <w:r>
              <w:rPr>
                <w:rStyle w:val="IndexLink"/>
                <w:rtl w:val="true"/>
              </w:rPr>
              <w:t>عدم حجّیة ما یحتمل الخطأ من الطرق</w:t>
            </w:r>
            <w:r>
              <w:rPr>
                <w:rStyle w:val="IndexLink"/>
                <w:rtl w:val="true"/>
              </w:rPr>
              <w:t>]</w:t>
              <w:tab/>
            </w:r>
            <w:r>
              <w:rPr>
                <w:rStyle w:val="IndexLink"/>
              </w:rPr>
              <w:t>203</w:t>
            </w:r>
          </w:hyperlink>
        </w:p>
        <w:p>
          <w:pPr>
            <w:pStyle w:val="Contents4"/>
            <w:tabs>
              <w:tab w:val="clear" w:pos="8176"/>
              <w:tab w:val="right" w:pos="9026" w:leader="dot"/>
            </w:tabs>
            <w:rPr/>
          </w:pPr>
          <w:hyperlink w:anchor="__RefHeading___Toc2646874_3224264995">
            <w:r>
              <w:rPr>
                <w:webHidden/>
                <w:rStyle w:val="IndexLink"/>
                <w:rtl w:val="true"/>
              </w:rPr>
              <w:t>[</w:t>
            </w:r>
            <w:r>
              <w:rPr>
                <w:rStyle w:val="IndexLink"/>
                <w:rtl w:val="true"/>
              </w:rPr>
              <w:t>عدم احتمال الخطأ فی العقل الفطری إلّا فرضا</w:t>
            </w:r>
            <w:r>
              <w:rPr>
                <w:rStyle w:val="IndexLink"/>
                <w:rtl w:val="true"/>
              </w:rPr>
              <w:t>]</w:t>
              <w:tab/>
            </w:r>
            <w:r>
              <w:rPr>
                <w:rStyle w:val="IndexLink"/>
              </w:rPr>
              <w:t>203</w:t>
            </w:r>
          </w:hyperlink>
        </w:p>
        <w:p>
          <w:pPr>
            <w:pStyle w:val="Contents4"/>
            <w:tabs>
              <w:tab w:val="clear" w:pos="8176"/>
              <w:tab w:val="right" w:pos="9026" w:leader="dot"/>
            </w:tabs>
            <w:rPr/>
          </w:pPr>
          <w:hyperlink w:anchor="__RefHeading___Toc2646876_3224264995">
            <w:r>
              <w:rPr>
                <w:webHidden/>
                <w:rStyle w:val="IndexLink"/>
                <w:rtl w:val="true"/>
              </w:rPr>
              <w:t>[</w:t>
            </w:r>
            <w:r>
              <w:rPr>
                <w:rStyle w:val="IndexLink"/>
                <w:rtl w:val="true"/>
              </w:rPr>
              <w:t>حجیّة ما کان احتمال الخلاف فیه غیر عقلائی</w:t>
            </w:r>
            <w:r>
              <w:rPr>
                <w:rStyle w:val="IndexLink"/>
                <w:rtl w:val="true"/>
              </w:rPr>
              <w:t>]</w:t>
              <w:tab/>
            </w:r>
            <w:r>
              <w:rPr>
                <w:rStyle w:val="IndexLink"/>
              </w:rPr>
              <w:t>203</w:t>
            </w:r>
          </w:hyperlink>
        </w:p>
        <w:p>
          <w:pPr>
            <w:pStyle w:val="Contents4"/>
            <w:tabs>
              <w:tab w:val="clear" w:pos="8176"/>
              <w:tab w:val="right" w:pos="9026" w:leader="dot"/>
            </w:tabs>
            <w:rPr/>
          </w:pPr>
          <w:hyperlink w:anchor="__RefHeading___Toc2646878_3224264995">
            <w:r>
              <w:rPr>
                <w:webHidden/>
                <w:rStyle w:val="IndexLink"/>
                <w:rtl w:val="true"/>
              </w:rPr>
              <w:t>[</w:t>
            </w:r>
            <w:r>
              <w:rPr>
                <w:rStyle w:val="IndexLink"/>
                <w:rtl w:val="true"/>
              </w:rPr>
              <w:t>حجّیة ما کان الاعتناء باحتمال المخالفة فیه مستلزما للعسر و الحرج و ما نحوه</w:t>
            </w:r>
            <w:r>
              <w:rPr>
                <w:rStyle w:val="IndexLink"/>
                <w:rtl w:val="true"/>
              </w:rPr>
              <w:t>]</w:t>
              <w:tab/>
            </w:r>
            <w:r>
              <w:rPr>
                <w:rStyle w:val="IndexLink"/>
              </w:rPr>
              <w:t>203</w:t>
            </w:r>
          </w:hyperlink>
        </w:p>
        <w:p>
          <w:pPr>
            <w:pStyle w:val="Contents4"/>
            <w:tabs>
              <w:tab w:val="clear" w:pos="8176"/>
              <w:tab w:val="right" w:pos="9026" w:leader="dot"/>
            </w:tabs>
            <w:rPr/>
          </w:pPr>
          <w:hyperlink w:anchor="__RefHeading___Toc2646880_3224264995">
            <w:r>
              <w:rPr>
                <w:webHidden/>
                <w:rStyle w:val="IndexLink"/>
                <w:rtl w:val="true"/>
              </w:rPr>
              <w:t>[</w:t>
            </w:r>
            <w:r>
              <w:rPr>
                <w:rStyle w:val="IndexLink"/>
                <w:rtl w:val="true"/>
              </w:rPr>
              <w:t>دعوی عدم الأمن من الخلاف فی القطع الحاصل من المقدّمات العقلیّة النظریّة</w:t>
            </w:r>
            <w:r>
              <w:rPr>
                <w:rStyle w:val="IndexLink"/>
                <w:rtl w:val="true"/>
              </w:rPr>
              <w:t>]</w:t>
              <w:tab/>
            </w:r>
            <w:r>
              <w:rPr>
                <w:rStyle w:val="IndexLink"/>
              </w:rPr>
              <w:t>204</w:t>
            </w:r>
          </w:hyperlink>
        </w:p>
        <w:p>
          <w:pPr>
            <w:pStyle w:val="Contents4"/>
            <w:tabs>
              <w:tab w:val="clear" w:pos="8176"/>
              <w:tab w:val="right" w:pos="9026" w:leader="dot"/>
            </w:tabs>
            <w:rPr/>
          </w:pPr>
          <w:hyperlink w:anchor="__RefHeading___Toc2646882_3224264995">
            <w:r>
              <w:rPr>
                <w:webHidden/>
                <w:rStyle w:val="IndexLink"/>
                <w:rtl w:val="true"/>
              </w:rPr>
              <w:t>[</w:t>
            </w:r>
            <w:r>
              <w:rPr>
                <w:rStyle w:val="IndexLink"/>
                <w:rtl w:val="true"/>
              </w:rPr>
              <w:t>احتمال الخلاف فی ما یحصل من أخبار الکتب الأربعة أو الاصول الأربعمائة غیر عقلائی</w:t>
            </w:r>
            <w:r>
              <w:rPr>
                <w:rStyle w:val="IndexLink"/>
                <w:rtl w:val="true"/>
              </w:rPr>
              <w:t>]</w:t>
              <w:tab/>
            </w:r>
            <w:r>
              <w:rPr>
                <w:rStyle w:val="IndexLink"/>
              </w:rPr>
              <w:t>204</w:t>
            </w:r>
          </w:hyperlink>
        </w:p>
        <w:p>
          <w:pPr>
            <w:pStyle w:val="Contents4"/>
            <w:tabs>
              <w:tab w:val="clear" w:pos="8176"/>
              <w:tab w:val="right" w:pos="9026" w:leader="dot"/>
            </w:tabs>
            <w:rPr/>
          </w:pPr>
          <w:hyperlink w:anchor="__RefHeading___Toc2646884_3224264995">
            <w:r>
              <w:rPr>
                <w:webHidden/>
                <w:rStyle w:val="IndexLink"/>
                <w:rtl w:val="true"/>
              </w:rPr>
              <w:t>[</w:t>
            </w:r>
            <w:r>
              <w:rPr>
                <w:rStyle w:val="IndexLink"/>
                <w:rtl w:val="true"/>
              </w:rPr>
              <w:t>دعوی ضمان درک ما یترتّب علی الخلاف المترتّب من سلوک الأخبار</w:t>
            </w:r>
            <w:r>
              <w:rPr>
                <w:rStyle w:val="IndexLink"/>
                <w:rtl w:val="true"/>
              </w:rPr>
              <w:t>]</w:t>
              <w:tab/>
            </w:r>
            <w:r>
              <w:rPr>
                <w:rStyle w:val="IndexLink"/>
              </w:rPr>
              <w:t>204</w:t>
            </w:r>
          </w:hyperlink>
        </w:p>
        <w:p>
          <w:pPr>
            <w:pStyle w:val="Contents4"/>
            <w:tabs>
              <w:tab w:val="clear" w:pos="8176"/>
              <w:tab w:val="right" w:pos="9026" w:leader="dot"/>
            </w:tabs>
            <w:rPr/>
          </w:pPr>
          <w:hyperlink w:anchor="__RefHeading___Toc2646886_3224264995">
            <w:r>
              <w:rPr>
                <w:webHidden/>
                <w:rStyle w:val="IndexLink"/>
                <w:rtl w:val="true"/>
              </w:rPr>
              <w:t>[</w:t>
            </w:r>
            <w:r>
              <w:rPr>
                <w:rStyle w:val="IndexLink"/>
                <w:rtl w:val="true"/>
              </w:rPr>
              <w:t>تسلیم کبری المانعین من الملازمة</w:t>
            </w:r>
            <w:r>
              <w:rPr>
                <w:rStyle w:val="IndexLink"/>
                <w:rtl w:val="true"/>
              </w:rPr>
              <w:t>]</w:t>
              <w:tab/>
            </w:r>
            <w:r>
              <w:rPr>
                <w:rStyle w:val="IndexLink"/>
              </w:rPr>
              <w:t>204</w:t>
            </w:r>
          </w:hyperlink>
        </w:p>
        <w:p>
          <w:pPr>
            <w:pStyle w:val="Contents4"/>
            <w:tabs>
              <w:tab w:val="clear" w:pos="8176"/>
              <w:tab w:val="right" w:pos="9026" w:leader="dot"/>
            </w:tabs>
            <w:rPr/>
          </w:pPr>
          <w:hyperlink w:anchor="__RefHeading___Toc2646888_3224264995">
            <w:r>
              <w:rPr>
                <w:webHidden/>
                <w:rStyle w:val="IndexLink"/>
                <w:rtl w:val="true"/>
              </w:rPr>
              <w:t>[</w:t>
            </w:r>
            <w:r>
              <w:rPr>
                <w:rStyle w:val="IndexLink"/>
                <w:rtl w:val="true"/>
              </w:rPr>
              <w:t>قول العامة بالتصویب و تبعیة الأحکام الظنّیات العقل و مستحسنات أوهامهم</w:t>
            </w:r>
            <w:r>
              <w:rPr>
                <w:rStyle w:val="IndexLink"/>
                <w:rtl w:val="true"/>
              </w:rPr>
              <w:t>]</w:t>
              <w:tab/>
            </w:r>
            <w:r>
              <w:rPr>
                <w:rStyle w:val="IndexLink"/>
              </w:rPr>
              <w:t>204</w:t>
            </w:r>
          </w:hyperlink>
        </w:p>
        <w:p>
          <w:pPr>
            <w:pStyle w:val="Contents4"/>
            <w:tabs>
              <w:tab w:val="clear" w:pos="8176"/>
              <w:tab w:val="right" w:pos="9026" w:leader="dot"/>
            </w:tabs>
            <w:rPr/>
          </w:pPr>
          <w:hyperlink w:anchor="__RefHeading___Toc2646890_3224264995">
            <w:r>
              <w:rPr>
                <w:webHidden/>
                <w:rStyle w:val="IndexLink"/>
                <w:rtl w:val="true"/>
              </w:rPr>
              <w:t>[</w:t>
            </w:r>
            <w:r>
              <w:rPr>
                <w:rStyle w:val="IndexLink"/>
                <w:rtl w:val="true"/>
              </w:rPr>
              <w:t>المنع من الفرق بین قطعیات العقل النظری و بین قطعیات النقل الوصوی</w:t>
            </w:r>
            <w:r>
              <w:rPr>
                <w:rStyle w:val="IndexLink"/>
                <w:rtl w:val="true"/>
              </w:rPr>
              <w:t>]</w:t>
              <w:tab/>
            </w:r>
            <w:r>
              <w:rPr>
                <w:rStyle w:val="IndexLink"/>
              </w:rPr>
              <w:t>205</w:t>
            </w:r>
          </w:hyperlink>
        </w:p>
        <w:p>
          <w:pPr>
            <w:pStyle w:val="Contents4"/>
            <w:tabs>
              <w:tab w:val="clear" w:pos="8176"/>
              <w:tab w:val="right" w:pos="9026" w:leader="dot"/>
            </w:tabs>
            <w:rPr/>
          </w:pPr>
          <w:hyperlink w:anchor="__RefHeading___Toc2646892_3224264995">
            <w:r>
              <w:rPr>
                <w:webHidden/>
                <w:rStyle w:val="IndexLink"/>
                <w:rtl w:val="true"/>
              </w:rPr>
              <w:t>[</w:t>
            </w:r>
            <w:r>
              <w:rPr>
                <w:rStyle w:val="IndexLink"/>
                <w:rtl w:val="true"/>
              </w:rPr>
              <w:t>منع مدخلیة توسّط تبلیغ الحجّة فی وجوب إطاعة حکم اللّه</w:t>
            </w:r>
            <w:r>
              <w:rPr>
                <w:rStyle w:val="IndexLink"/>
                <w:rtl w:val="true"/>
              </w:rPr>
              <w:t>]</w:t>
              <w:tab/>
            </w:r>
            <w:r>
              <w:rPr>
                <w:rStyle w:val="IndexLink"/>
              </w:rPr>
              <w:t>205</w:t>
            </w:r>
          </w:hyperlink>
        </w:p>
        <w:p>
          <w:pPr>
            <w:pStyle w:val="Contents4"/>
            <w:tabs>
              <w:tab w:val="clear" w:pos="8176"/>
              <w:tab w:val="right" w:pos="9026" w:leader="dot"/>
            </w:tabs>
            <w:rPr/>
          </w:pPr>
          <w:hyperlink w:anchor="__RefHeading___Toc2646894_3224264995">
            <w:r>
              <w:rPr>
                <w:webHidden/>
                <w:rStyle w:val="IndexLink"/>
                <w:rtl w:val="true"/>
              </w:rPr>
              <w:t>[</w:t>
            </w:r>
            <w:r>
              <w:rPr>
                <w:rStyle w:val="IndexLink"/>
                <w:rtl w:val="true"/>
              </w:rPr>
              <w:t>محمل قوله علیه السلام</w:t>
            </w:r>
            <w:r>
              <w:rPr>
                <w:rStyle w:val="IndexLink"/>
                <w:rtl w:val="true"/>
              </w:rPr>
              <w:t>: «</w:t>
            </w:r>
            <w:r>
              <w:rPr>
                <w:rStyle w:val="IndexLink"/>
                <w:rtl w:val="true"/>
              </w:rPr>
              <w:t>دین اللّه لا یصاب بالعقول</w:t>
            </w:r>
            <w:r>
              <w:rPr>
                <w:rStyle w:val="IndexLink"/>
                <w:rtl w:val="true"/>
              </w:rPr>
              <w:t>»]</w:t>
              <w:tab/>
            </w:r>
            <w:r>
              <w:rPr>
                <w:rStyle w:val="IndexLink"/>
              </w:rPr>
              <w:t>205</w:t>
            </w:r>
          </w:hyperlink>
        </w:p>
        <w:p>
          <w:pPr>
            <w:pStyle w:val="Contents4"/>
            <w:tabs>
              <w:tab w:val="clear" w:pos="8176"/>
              <w:tab w:val="right" w:pos="9026" w:leader="dot"/>
            </w:tabs>
            <w:rPr/>
          </w:pPr>
          <w:hyperlink w:anchor="__RefHeading___Toc2646896_3224264995">
            <w:r>
              <w:rPr>
                <w:webHidden/>
                <w:rStyle w:val="IndexLink"/>
                <w:rtl w:val="true"/>
              </w:rPr>
              <w:t>[</w:t>
            </w:r>
            <w:r>
              <w:rPr>
                <w:rStyle w:val="IndexLink"/>
                <w:rtl w:val="true"/>
              </w:rPr>
              <w:t>إمکان الکشف عن الحکم الشرعی بواسطة الحکم العقلی</w:t>
            </w:r>
            <w:r>
              <w:rPr>
                <w:rStyle w:val="IndexLink"/>
                <w:rtl w:val="true"/>
              </w:rPr>
              <w:t>]</w:t>
              <w:tab/>
            </w:r>
            <w:r>
              <w:rPr>
                <w:rStyle w:val="IndexLink"/>
              </w:rPr>
              <w:t>206</w:t>
            </w:r>
          </w:hyperlink>
        </w:p>
        <w:p>
          <w:pPr>
            <w:pStyle w:val="Contents4"/>
            <w:tabs>
              <w:tab w:val="clear" w:pos="8176"/>
              <w:tab w:val="right" w:pos="9026" w:leader="dot"/>
            </w:tabs>
            <w:rPr/>
          </w:pPr>
          <w:hyperlink w:anchor="__RefHeading___Toc2646898_3224264995">
            <w:r>
              <w:rPr>
                <w:webHidden/>
                <w:rStyle w:val="IndexLink"/>
                <w:rtl w:val="true"/>
              </w:rPr>
              <w:t>[</w:t>
            </w:r>
            <w:r>
              <w:rPr>
                <w:rStyle w:val="IndexLink"/>
                <w:rtl w:val="true"/>
              </w:rPr>
              <w:t>دراسة دعوی إناطة الأحکام الشرعیة بخصوص النقل</w:t>
            </w:r>
            <w:r>
              <w:rPr>
                <w:rStyle w:val="IndexLink"/>
                <w:rtl w:val="true"/>
              </w:rPr>
              <w:t>]</w:t>
              <w:tab/>
            </w:r>
            <w:r>
              <w:rPr>
                <w:rStyle w:val="IndexLink"/>
              </w:rPr>
              <w:t>206</w:t>
            </w:r>
          </w:hyperlink>
        </w:p>
        <w:p>
          <w:pPr>
            <w:pStyle w:val="Contents4"/>
            <w:tabs>
              <w:tab w:val="clear" w:pos="8176"/>
              <w:tab w:val="right" w:pos="9026" w:leader="dot"/>
            </w:tabs>
            <w:rPr/>
          </w:pPr>
          <w:hyperlink w:anchor="__RefHeading___Toc2646900_3224264995">
            <w:r>
              <w:rPr>
                <w:webHidden/>
                <w:rStyle w:val="IndexLink"/>
                <w:rtl w:val="true"/>
              </w:rPr>
              <w:t>[</w:t>
            </w:r>
            <w:r>
              <w:rPr>
                <w:rStyle w:val="IndexLink"/>
                <w:rtl w:val="true"/>
              </w:rPr>
              <w:t>إشارة إلی ندرة إدراک العقل البدیهی لحکم شرعی نظری</w:t>
            </w:r>
            <w:r>
              <w:rPr>
                <w:rStyle w:val="IndexLink"/>
                <w:rtl w:val="true"/>
              </w:rPr>
              <w:t>]</w:t>
              <w:tab/>
            </w:r>
            <w:r>
              <w:rPr>
                <w:rStyle w:val="IndexLink"/>
              </w:rPr>
              <w:t>207</w:t>
            </w:r>
          </w:hyperlink>
        </w:p>
        <w:p>
          <w:pPr>
            <w:pStyle w:val="Contents4"/>
            <w:tabs>
              <w:tab w:val="clear" w:pos="8176"/>
              <w:tab w:val="right" w:pos="9026" w:leader="dot"/>
            </w:tabs>
            <w:rPr/>
          </w:pPr>
          <w:hyperlink w:anchor="__RefHeading___Toc2646902_3224264995">
            <w:r>
              <w:rPr>
                <w:webHidden/>
                <w:rStyle w:val="IndexLink"/>
                <w:rtl w:val="true"/>
              </w:rPr>
              <w:t>[</w:t>
            </w:r>
            <w:r>
              <w:rPr>
                <w:rStyle w:val="IndexLink"/>
                <w:rtl w:val="true"/>
              </w:rPr>
              <w:t>وجوه تصویر معنی الملازمة بین حکم العقل و الشرع</w:t>
            </w:r>
            <w:r>
              <w:rPr>
                <w:rStyle w:val="IndexLink"/>
                <w:rtl w:val="true"/>
              </w:rPr>
              <w:t>]</w:t>
              <w:tab/>
            </w:r>
            <w:r>
              <w:rPr>
                <w:rStyle w:val="IndexLink"/>
              </w:rPr>
              <w:t>207</w:t>
            </w:r>
          </w:hyperlink>
        </w:p>
        <w:p>
          <w:pPr>
            <w:pStyle w:val="Contents4"/>
            <w:tabs>
              <w:tab w:val="clear" w:pos="8176"/>
              <w:tab w:val="right" w:pos="9026" w:leader="dot"/>
            </w:tabs>
            <w:rPr/>
          </w:pPr>
          <w:hyperlink w:anchor="__RefHeading___Toc2646904_3224264995">
            <w:r>
              <w:rPr>
                <w:webHidden/>
                <w:rStyle w:val="IndexLink"/>
                <w:rtl w:val="true"/>
              </w:rPr>
              <w:t>[</w:t>
            </w:r>
            <w:r>
              <w:rPr>
                <w:rStyle w:val="IndexLink"/>
                <w:rtl w:val="true"/>
              </w:rPr>
              <w:t>امور توهّم منع الملازمة</w:t>
            </w:r>
            <w:r>
              <w:rPr>
                <w:rStyle w:val="IndexLink"/>
                <w:rtl w:val="true"/>
              </w:rPr>
              <w:t>]</w:t>
              <w:tab/>
            </w:r>
            <w:r>
              <w:rPr>
                <w:rStyle w:val="IndexLink"/>
              </w:rPr>
              <w:t>208</w:t>
            </w:r>
          </w:hyperlink>
        </w:p>
        <w:p>
          <w:pPr>
            <w:pStyle w:val="Contents4"/>
            <w:tabs>
              <w:tab w:val="clear" w:pos="8176"/>
              <w:tab w:val="right" w:pos="9026" w:leader="dot"/>
            </w:tabs>
            <w:rPr/>
          </w:pPr>
          <w:hyperlink w:anchor="__RefHeading___Toc2646906_3224264995">
            <w:r>
              <w:rPr>
                <w:webHidden/>
                <w:rStyle w:val="IndexLink"/>
                <w:rtl w:val="true"/>
              </w:rPr>
              <w:t>[</w:t>
            </w:r>
            <w:r>
              <w:rPr>
                <w:rStyle w:val="IndexLink"/>
                <w:rtl w:val="true"/>
              </w:rPr>
              <w:t>دلالة الألفاظ وضعیّة و رجحان وضع بعض الألفاظ لبعض المعانی بإرادة الواضع</w:t>
            </w:r>
            <w:r>
              <w:rPr>
                <w:rStyle w:val="IndexLink"/>
                <w:rtl w:val="true"/>
              </w:rPr>
              <w:t>]</w:t>
              <w:tab/>
            </w:r>
            <w:r>
              <w:rPr>
                <w:rStyle w:val="IndexLink"/>
              </w:rPr>
              <w:t>208</w:t>
            </w:r>
          </w:hyperlink>
        </w:p>
        <w:p>
          <w:pPr>
            <w:pStyle w:val="Contents4"/>
            <w:tabs>
              <w:tab w:val="clear" w:pos="8176"/>
              <w:tab w:val="right" w:pos="9026" w:leader="dot"/>
            </w:tabs>
            <w:rPr/>
          </w:pPr>
          <w:hyperlink w:anchor="__RefHeading___Toc2646908_3224264995">
            <w:r>
              <w:rPr>
                <w:webHidden/>
                <w:rStyle w:val="IndexLink"/>
                <w:rtl w:val="true"/>
              </w:rPr>
              <w:t>[</w:t>
            </w:r>
            <w:r>
              <w:rPr>
                <w:rStyle w:val="IndexLink"/>
                <w:rtl w:val="true"/>
              </w:rPr>
              <w:t>دعوی استلزام الملازمة بین الحکمین سوق الأوامر الشرعیة لمجرّد النصح و الإرشاد</w:t>
            </w:r>
            <w:r>
              <w:rPr>
                <w:rStyle w:val="IndexLink"/>
                <w:rtl w:val="true"/>
              </w:rPr>
              <w:t>]</w:t>
              <w:tab/>
            </w:r>
            <w:r>
              <w:rPr>
                <w:rStyle w:val="IndexLink"/>
              </w:rPr>
              <w:t>209</w:t>
            </w:r>
          </w:hyperlink>
        </w:p>
        <w:p>
          <w:pPr>
            <w:pStyle w:val="Contents4"/>
            <w:tabs>
              <w:tab w:val="clear" w:pos="8176"/>
              <w:tab w:val="right" w:pos="9026" w:leader="dot"/>
            </w:tabs>
            <w:rPr/>
          </w:pPr>
          <w:hyperlink w:anchor="__RefHeading___Toc2646910_3224264995">
            <w:r>
              <w:rPr>
                <w:webHidden/>
                <w:rStyle w:val="IndexLink"/>
                <w:rtl w:val="true"/>
              </w:rPr>
              <w:t>[</w:t>
            </w:r>
            <w:r>
              <w:rPr>
                <w:rStyle w:val="IndexLink"/>
                <w:rtl w:val="true"/>
              </w:rPr>
              <w:t>ردّ الوجوه الموهمة لمنع الملازمة</w:t>
            </w:r>
            <w:r>
              <w:rPr>
                <w:rStyle w:val="IndexLink"/>
                <w:rtl w:val="true"/>
              </w:rPr>
              <w:t>]</w:t>
              <w:tab/>
            </w:r>
            <w:r>
              <w:rPr>
                <w:rStyle w:val="IndexLink"/>
              </w:rPr>
              <w:t>209</w:t>
            </w:r>
          </w:hyperlink>
        </w:p>
        <w:p>
          <w:pPr>
            <w:pStyle w:val="Contents4"/>
            <w:tabs>
              <w:tab w:val="clear" w:pos="8176"/>
              <w:tab w:val="right" w:pos="9026" w:leader="dot"/>
            </w:tabs>
            <w:rPr/>
          </w:pPr>
          <w:hyperlink w:anchor="__RefHeading___Toc2646912_3224264995">
            <w:r>
              <w:rPr>
                <w:webHidden/>
                <w:rStyle w:val="IndexLink"/>
                <w:rtl w:val="true"/>
              </w:rPr>
              <w:t>[</w:t>
            </w:r>
            <w:r>
              <w:rPr>
                <w:rStyle w:val="IndexLink"/>
                <w:rtl w:val="true"/>
              </w:rPr>
              <w:t>إرادة الحکیم لا تکون إلّا عن مصلحة و مفسدة</w:t>
            </w:r>
            <w:r>
              <w:rPr>
                <w:rStyle w:val="IndexLink"/>
                <w:rtl w:val="true"/>
              </w:rPr>
              <w:t>]</w:t>
              <w:tab/>
            </w:r>
            <w:r>
              <w:rPr>
                <w:rStyle w:val="IndexLink"/>
              </w:rPr>
              <w:t>209</w:t>
            </w:r>
          </w:hyperlink>
        </w:p>
        <w:p>
          <w:pPr>
            <w:pStyle w:val="Contents4"/>
            <w:tabs>
              <w:tab w:val="clear" w:pos="8176"/>
              <w:tab w:val="right" w:pos="9026" w:leader="dot"/>
            </w:tabs>
            <w:rPr/>
          </w:pPr>
          <w:hyperlink w:anchor="__RefHeading___Toc2646914_3224264995">
            <w:r>
              <w:rPr>
                <w:webHidden/>
                <w:rStyle w:val="IndexLink"/>
                <w:rtl w:val="true"/>
              </w:rPr>
              <w:t>[</w:t>
            </w:r>
            <w:r>
              <w:rPr>
                <w:rStyle w:val="IndexLink"/>
                <w:rtl w:val="true"/>
              </w:rPr>
              <w:t>کشف الحکم الشرعی عن الملاک لا یستلزم إرشادیته و عدم استحقاق الثواب و العقاب علیه</w:t>
            </w:r>
            <w:r>
              <w:rPr>
                <w:rStyle w:val="IndexLink"/>
                <w:rtl w:val="true"/>
              </w:rPr>
              <w:t>]</w:t>
              <w:tab/>
            </w:r>
            <w:r>
              <w:rPr>
                <w:rStyle w:val="IndexLink"/>
              </w:rPr>
              <w:t>209</w:t>
            </w:r>
          </w:hyperlink>
        </w:p>
        <w:p>
          <w:pPr>
            <w:pStyle w:val="Contents4"/>
            <w:tabs>
              <w:tab w:val="clear" w:pos="8176"/>
              <w:tab w:val="right" w:pos="9026" w:leader="dot"/>
            </w:tabs>
            <w:rPr/>
          </w:pPr>
          <w:hyperlink w:anchor="__RefHeading___Toc2646916_3224264995">
            <w:r>
              <w:rPr>
                <w:webHidden/>
                <w:rStyle w:val="IndexLink"/>
                <w:rtl w:val="true"/>
              </w:rPr>
              <w:t>[</w:t>
            </w:r>
            <w:r>
              <w:rPr>
                <w:rStyle w:val="IndexLink"/>
                <w:rtl w:val="true"/>
              </w:rPr>
              <w:t>إرشادیة الأوامر الشرعیة إلی المصالح و المفاسد لا تنافی مولویتها من جهة أخری</w:t>
            </w:r>
            <w:r>
              <w:rPr>
                <w:rStyle w:val="IndexLink"/>
                <w:rtl w:val="true"/>
              </w:rPr>
              <w:t>]</w:t>
              <w:tab/>
            </w:r>
            <w:r>
              <w:rPr>
                <w:rStyle w:val="IndexLink"/>
              </w:rPr>
              <w:t>210</w:t>
            </w:r>
          </w:hyperlink>
        </w:p>
        <w:p>
          <w:pPr>
            <w:pStyle w:val="Contents4"/>
            <w:tabs>
              <w:tab w:val="clear" w:pos="8176"/>
              <w:tab w:val="right" w:pos="9026" w:leader="dot"/>
            </w:tabs>
            <w:rPr/>
          </w:pPr>
          <w:hyperlink w:anchor="__RefHeading___Toc2646918_3224264995">
            <w:r>
              <w:rPr>
                <w:webHidden/>
                <w:rStyle w:val="IndexLink"/>
                <w:rtl w:val="true"/>
              </w:rPr>
              <w:t>[</w:t>
            </w:r>
            <w:r>
              <w:rPr>
                <w:rStyle w:val="IndexLink"/>
                <w:rtl w:val="true"/>
              </w:rPr>
              <w:t>أفعال اللّه معلّلة بالأغراض غیر العائدة إلی نفسه تعالی</w:t>
            </w:r>
            <w:r>
              <w:rPr>
                <w:rStyle w:val="IndexLink"/>
                <w:rtl w:val="true"/>
              </w:rPr>
              <w:t>]</w:t>
              <w:tab/>
            </w:r>
            <w:r>
              <w:rPr>
                <w:rStyle w:val="IndexLink"/>
              </w:rPr>
              <w:t>210</w:t>
            </w:r>
          </w:hyperlink>
        </w:p>
        <w:p>
          <w:pPr>
            <w:pStyle w:val="Contents4"/>
            <w:tabs>
              <w:tab w:val="clear" w:pos="8176"/>
              <w:tab w:val="right" w:pos="9026" w:leader="dot"/>
            </w:tabs>
            <w:rPr/>
          </w:pPr>
          <w:hyperlink w:anchor="__RefHeading___Toc2646920_3224264995">
            <w:r>
              <w:rPr>
                <w:webHidden/>
                <w:rStyle w:val="IndexLink"/>
                <w:rtl w:val="true"/>
              </w:rPr>
              <w:t>[</w:t>
            </w:r>
            <w:r>
              <w:rPr>
                <w:rStyle w:val="IndexLink"/>
                <w:rtl w:val="true"/>
              </w:rPr>
              <w:t>العلل الأربع فی أفعال المخلوقین</w:t>
            </w:r>
            <w:r>
              <w:rPr>
                <w:rStyle w:val="IndexLink"/>
                <w:rtl w:val="true"/>
              </w:rPr>
              <w:t>]</w:t>
              <w:tab/>
            </w:r>
            <w:r>
              <w:rPr>
                <w:rStyle w:val="IndexLink"/>
              </w:rPr>
              <w:t>210</w:t>
            </w:r>
          </w:hyperlink>
        </w:p>
        <w:p>
          <w:pPr>
            <w:pStyle w:val="Contents3"/>
            <w:tabs>
              <w:tab w:val="clear" w:pos="8459"/>
              <w:tab w:val="right" w:pos="9026" w:leader="dot"/>
            </w:tabs>
            <w:rPr/>
          </w:pPr>
          <w:hyperlink w:anchor="__RefHeading___Toc2646922_3224264995">
            <w:r>
              <w:rPr>
                <w:webHidden/>
                <w:rStyle w:val="IndexLink"/>
                <w:rtl w:val="true"/>
              </w:rPr>
              <w:t>[</w:t>
            </w:r>
            <w:r>
              <w:rPr>
                <w:rStyle w:val="IndexLink"/>
                <w:rtl w:val="true"/>
              </w:rPr>
              <w:t>الکلام فی أصل البراءة</w:t>
            </w:r>
            <w:r>
              <w:rPr>
                <w:rStyle w:val="IndexLink"/>
                <w:rtl w:val="true"/>
              </w:rPr>
              <w:t>]</w:t>
              <w:tab/>
            </w:r>
            <w:r>
              <w:rPr>
                <w:rStyle w:val="IndexLink"/>
              </w:rPr>
              <w:t>211</w:t>
            </w:r>
          </w:hyperlink>
        </w:p>
        <w:p>
          <w:pPr>
            <w:pStyle w:val="Contents4"/>
            <w:tabs>
              <w:tab w:val="clear" w:pos="8176"/>
              <w:tab w:val="right" w:pos="9026" w:leader="dot"/>
            </w:tabs>
            <w:rPr/>
          </w:pPr>
          <w:hyperlink w:anchor="__RefHeading___Toc2646924_3224264995">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2646926_3224264995">
            <w:r>
              <w:rPr>
                <w:webHidden/>
                <w:rStyle w:val="IndexLink"/>
                <w:rtl w:val="true"/>
              </w:rPr>
              <w:t>[</w:t>
            </w:r>
            <w:r>
              <w:rPr>
                <w:rStyle w:val="IndexLink"/>
                <w:rtl w:val="true"/>
              </w:rPr>
              <w:t>معانی الأصل</w:t>
            </w:r>
            <w:r>
              <w:rPr>
                <w:rStyle w:val="IndexLink"/>
                <w:rtl w:val="true"/>
              </w:rPr>
              <w:t>]</w:t>
              <w:tab/>
            </w:r>
            <w:r>
              <w:rPr>
                <w:rStyle w:val="IndexLink"/>
              </w:rPr>
              <w:t>211</w:t>
            </w:r>
          </w:hyperlink>
        </w:p>
        <w:p>
          <w:pPr>
            <w:pStyle w:val="Contents4"/>
            <w:tabs>
              <w:tab w:val="clear" w:pos="8176"/>
              <w:tab w:val="right" w:pos="9026" w:leader="dot"/>
            </w:tabs>
            <w:rPr/>
          </w:pPr>
          <w:hyperlink w:anchor="__RefHeading___Toc2646928_3224264995">
            <w:r>
              <w:rPr>
                <w:webHidden/>
                <w:rStyle w:val="IndexLink"/>
                <w:rtl w:val="true"/>
              </w:rPr>
              <w:t>[</w:t>
            </w:r>
            <w:r>
              <w:rPr>
                <w:rStyle w:val="IndexLink"/>
                <w:rtl w:val="true"/>
              </w:rPr>
              <w:t>المراد من أصالة البراءة</w:t>
            </w:r>
            <w:r>
              <w:rPr>
                <w:rStyle w:val="IndexLink"/>
                <w:rtl w:val="true"/>
              </w:rPr>
              <w:t>]</w:t>
              <w:tab/>
            </w:r>
            <w:r>
              <w:rPr>
                <w:rStyle w:val="IndexLink"/>
              </w:rPr>
              <w:t>212</w:t>
            </w:r>
          </w:hyperlink>
        </w:p>
        <w:p>
          <w:pPr>
            <w:pStyle w:val="Contents4"/>
            <w:tabs>
              <w:tab w:val="clear" w:pos="8176"/>
              <w:tab w:val="right" w:pos="9026" w:leader="dot"/>
            </w:tabs>
            <w:rPr/>
          </w:pPr>
          <w:hyperlink w:anchor="__RefHeading___Toc2646930_3224264995">
            <w:r>
              <w:rPr>
                <w:webHidden/>
                <w:rStyle w:val="IndexLink"/>
                <w:rtl w:val="true"/>
              </w:rPr>
              <w:t>[</w:t>
            </w:r>
            <w:r>
              <w:rPr>
                <w:rStyle w:val="IndexLink"/>
                <w:rtl w:val="true"/>
              </w:rPr>
              <w:t>تعریف الفقه و تعریف الاجتهاد</w:t>
            </w:r>
            <w:r>
              <w:rPr>
                <w:rStyle w:val="IndexLink"/>
                <w:rtl w:val="true"/>
              </w:rPr>
              <w:t>]</w:t>
              <w:tab/>
            </w:r>
            <w:r>
              <w:rPr>
                <w:rStyle w:val="IndexLink"/>
              </w:rPr>
              <w:t>215</w:t>
            </w:r>
          </w:hyperlink>
        </w:p>
        <w:p>
          <w:pPr>
            <w:pStyle w:val="Contents4"/>
            <w:tabs>
              <w:tab w:val="clear" w:pos="8176"/>
              <w:tab w:val="right" w:pos="9026" w:leader="dot"/>
            </w:tabs>
            <w:rPr/>
          </w:pPr>
          <w:hyperlink w:anchor="__RefHeading___Toc2646932_3224264995">
            <w:r>
              <w:rPr>
                <w:webHidden/>
                <w:rStyle w:val="IndexLink"/>
                <w:rtl w:val="true"/>
              </w:rPr>
              <w:t>[</w:t>
            </w:r>
            <w:r>
              <w:rPr>
                <w:rStyle w:val="IndexLink"/>
                <w:rtl w:val="true"/>
              </w:rPr>
              <w:t>الدلیل الفقاهتی و الدلیل الاجتهادی</w:t>
            </w:r>
            <w:r>
              <w:rPr>
                <w:rStyle w:val="IndexLink"/>
                <w:rtl w:val="true"/>
              </w:rPr>
              <w:t>]</w:t>
              <w:tab/>
            </w:r>
            <w:r>
              <w:rPr>
                <w:rStyle w:val="IndexLink"/>
              </w:rPr>
              <w:t>215</w:t>
            </w:r>
          </w:hyperlink>
        </w:p>
        <w:p>
          <w:pPr>
            <w:pStyle w:val="Contents4"/>
            <w:tabs>
              <w:tab w:val="clear" w:pos="8176"/>
              <w:tab w:val="right" w:pos="9026" w:leader="dot"/>
            </w:tabs>
            <w:rPr/>
          </w:pPr>
          <w:hyperlink w:anchor="__RefHeading___Toc2646934_3224264995">
            <w:r>
              <w:rPr>
                <w:webHidden/>
                <w:rStyle w:val="IndexLink"/>
                <w:rtl w:val="true"/>
              </w:rPr>
              <w:t>[</w:t>
            </w:r>
            <w:r>
              <w:rPr>
                <w:rStyle w:val="IndexLink"/>
                <w:rtl w:val="true"/>
              </w:rPr>
              <w:t>النسبة بین الأدلّة و الاصول</w:t>
            </w:r>
            <w:r>
              <w:rPr>
                <w:rStyle w:val="IndexLink"/>
                <w:rtl w:val="true"/>
              </w:rPr>
              <w:t>]</w:t>
              <w:tab/>
            </w:r>
            <w:r>
              <w:rPr>
                <w:rStyle w:val="IndexLink"/>
              </w:rPr>
              <w:t>216</w:t>
            </w:r>
          </w:hyperlink>
        </w:p>
        <w:p>
          <w:pPr>
            <w:pStyle w:val="Contents4"/>
            <w:tabs>
              <w:tab w:val="clear" w:pos="8176"/>
              <w:tab w:val="right" w:pos="9026" w:leader="dot"/>
            </w:tabs>
            <w:rPr/>
          </w:pPr>
          <w:hyperlink w:anchor="__RefHeading___Toc2646936_3224264995">
            <w:r>
              <w:rPr>
                <w:webHidden/>
                <w:rStyle w:val="IndexLink"/>
                <w:rtl w:val="true"/>
              </w:rPr>
              <w:t>[</w:t>
            </w:r>
            <w:r>
              <w:rPr>
                <w:rStyle w:val="IndexLink"/>
                <w:rtl w:val="true"/>
              </w:rPr>
              <w:t>الورود و الحکومة</w:t>
            </w:r>
            <w:r>
              <w:rPr>
                <w:rStyle w:val="IndexLink"/>
                <w:rtl w:val="true"/>
              </w:rPr>
              <w:t>]</w:t>
              <w:tab/>
            </w:r>
            <w:r>
              <w:rPr>
                <w:rStyle w:val="IndexLink"/>
              </w:rPr>
              <w:t>217</w:t>
            </w:r>
          </w:hyperlink>
        </w:p>
        <w:p>
          <w:pPr>
            <w:pStyle w:val="Contents4"/>
            <w:tabs>
              <w:tab w:val="clear" w:pos="8176"/>
              <w:tab w:val="right" w:pos="9026" w:leader="dot"/>
            </w:tabs>
            <w:rPr/>
          </w:pPr>
          <w:hyperlink w:anchor="__RefHeading___Toc2646938_3224264995">
            <w:r>
              <w:rPr>
                <w:webHidden/>
                <w:rStyle w:val="IndexLink"/>
                <w:rtl w:val="true"/>
              </w:rPr>
              <w:t>[</w:t>
            </w:r>
            <w:r>
              <w:rPr>
                <w:rStyle w:val="IndexLink"/>
                <w:rtl w:val="true"/>
              </w:rPr>
              <w:t>مفاد أدلّة حجّیة الأدلّة الظنّیة</w:t>
            </w:r>
            <w:r>
              <w:rPr>
                <w:rStyle w:val="IndexLink"/>
                <w:rtl w:val="true"/>
              </w:rPr>
              <w:t>]</w:t>
              <w:tab/>
            </w:r>
            <w:r>
              <w:rPr>
                <w:rStyle w:val="IndexLink"/>
              </w:rPr>
              <w:t>218</w:t>
            </w:r>
          </w:hyperlink>
        </w:p>
        <w:p>
          <w:pPr>
            <w:pStyle w:val="Contents4"/>
            <w:tabs>
              <w:tab w:val="clear" w:pos="8176"/>
              <w:tab w:val="right" w:pos="9026" w:leader="dot"/>
            </w:tabs>
            <w:rPr/>
          </w:pPr>
          <w:hyperlink w:anchor="__RefHeading___Toc2646940_3224264995">
            <w:r>
              <w:rPr>
                <w:webHidden/>
                <w:rStyle w:val="IndexLink"/>
                <w:rtl w:val="true"/>
              </w:rPr>
              <w:t>[</w:t>
            </w:r>
            <w:r>
              <w:rPr>
                <w:rStyle w:val="IndexLink"/>
                <w:rtl w:val="true"/>
              </w:rPr>
              <w:t>مختاره فی النسبة بین الأدلّة و الاصول</w:t>
            </w:r>
            <w:r>
              <w:rPr>
                <w:rStyle w:val="IndexLink"/>
                <w:rtl w:val="true"/>
              </w:rPr>
              <w:t>]</w:t>
              <w:tab/>
            </w:r>
            <w:r>
              <w:rPr>
                <w:rStyle w:val="IndexLink"/>
              </w:rPr>
              <w:t>219</w:t>
            </w:r>
          </w:hyperlink>
        </w:p>
        <w:p>
          <w:pPr>
            <w:pStyle w:val="Contents4"/>
            <w:tabs>
              <w:tab w:val="clear" w:pos="8176"/>
              <w:tab w:val="right" w:pos="9026" w:leader="dot"/>
            </w:tabs>
            <w:rPr/>
          </w:pPr>
          <w:hyperlink w:anchor="__RefHeading___Toc2646942_3224264995">
            <w:r>
              <w:rPr>
                <w:webHidden/>
                <w:rStyle w:val="IndexLink"/>
                <w:rtl w:val="true"/>
              </w:rPr>
              <w:t>[</w:t>
            </w:r>
            <w:r>
              <w:rPr>
                <w:rStyle w:val="IndexLink"/>
                <w:rtl w:val="true"/>
              </w:rPr>
              <w:t>أقسام الاصول و الفرق بینها</w:t>
            </w:r>
            <w:r>
              <w:rPr>
                <w:rStyle w:val="IndexLink"/>
                <w:rtl w:val="true"/>
              </w:rPr>
              <w:t>]</w:t>
              <w:tab/>
            </w:r>
            <w:r>
              <w:rPr>
                <w:rStyle w:val="IndexLink"/>
              </w:rPr>
              <w:t>219</w:t>
            </w:r>
          </w:hyperlink>
        </w:p>
        <w:p>
          <w:pPr>
            <w:pStyle w:val="Contents4"/>
            <w:tabs>
              <w:tab w:val="clear" w:pos="8176"/>
              <w:tab w:val="right" w:pos="9026" w:leader="dot"/>
            </w:tabs>
            <w:rPr/>
          </w:pPr>
          <w:hyperlink w:anchor="__RefHeading___Toc2646944_3224264995">
            <w:r>
              <w:rPr>
                <w:webHidden/>
                <w:rStyle w:val="IndexLink"/>
                <w:rtl w:val="true"/>
              </w:rPr>
              <w:t>[</w:t>
            </w:r>
            <w:r>
              <w:rPr>
                <w:rStyle w:val="IndexLink"/>
                <w:rtl w:val="true"/>
              </w:rPr>
              <w:t>الفرق بین أصل البراءة و استصحابها</w:t>
            </w:r>
            <w:r>
              <w:rPr>
                <w:rStyle w:val="IndexLink"/>
                <w:rtl w:val="true"/>
              </w:rPr>
              <w:t>]</w:t>
              <w:tab/>
            </w:r>
            <w:r>
              <w:rPr>
                <w:rStyle w:val="IndexLink"/>
              </w:rPr>
              <w:t>219</w:t>
            </w:r>
          </w:hyperlink>
        </w:p>
        <w:p>
          <w:pPr>
            <w:pStyle w:val="Contents4"/>
            <w:tabs>
              <w:tab w:val="clear" w:pos="8176"/>
              <w:tab w:val="right" w:pos="9026" w:leader="dot"/>
            </w:tabs>
            <w:rPr/>
          </w:pPr>
          <w:hyperlink w:anchor="__RefHeading___Toc2646946_3224264995">
            <w:r>
              <w:rPr>
                <w:webHidden/>
                <w:rStyle w:val="IndexLink"/>
                <w:rtl w:val="true"/>
              </w:rPr>
              <w:t>[</w:t>
            </w:r>
            <w:r>
              <w:rPr>
                <w:rStyle w:val="IndexLink"/>
                <w:rtl w:val="true"/>
              </w:rPr>
              <w:t>الفرق بین أصالة البراءة و أصالة العدم</w:t>
            </w:r>
            <w:r>
              <w:rPr>
                <w:rStyle w:val="IndexLink"/>
                <w:rtl w:val="true"/>
              </w:rPr>
              <w:t>]</w:t>
              <w:tab/>
            </w:r>
            <w:r>
              <w:rPr>
                <w:rStyle w:val="IndexLink"/>
              </w:rPr>
              <w:t>220</w:t>
            </w:r>
          </w:hyperlink>
        </w:p>
        <w:p>
          <w:pPr>
            <w:pStyle w:val="Contents4"/>
            <w:tabs>
              <w:tab w:val="clear" w:pos="8176"/>
              <w:tab w:val="right" w:pos="9026" w:leader="dot"/>
            </w:tabs>
            <w:rPr/>
          </w:pPr>
          <w:hyperlink w:anchor="__RefHeading___Toc2646948_3224264995">
            <w:r>
              <w:rPr>
                <w:webHidden/>
                <w:rStyle w:val="IndexLink"/>
                <w:rtl w:val="true"/>
              </w:rPr>
              <w:t>[</w:t>
            </w:r>
            <w:r>
              <w:rPr>
                <w:rStyle w:val="IndexLink"/>
                <w:rtl w:val="true"/>
              </w:rPr>
              <w:t>مورد أصالة العدم و مورد أصالة البراءة</w:t>
            </w:r>
            <w:r>
              <w:rPr>
                <w:rStyle w:val="IndexLink"/>
                <w:rtl w:val="true"/>
              </w:rPr>
              <w:t>]</w:t>
              <w:tab/>
            </w:r>
            <w:r>
              <w:rPr>
                <w:rStyle w:val="IndexLink"/>
              </w:rPr>
              <w:t>221</w:t>
            </w:r>
          </w:hyperlink>
        </w:p>
        <w:p>
          <w:pPr>
            <w:pStyle w:val="Contents4"/>
            <w:tabs>
              <w:tab w:val="clear" w:pos="8176"/>
              <w:tab w:val="right" w:pos="9026" w:leader="dot"/>
            </w:tabs>
            <w:rPr/>
          </w:pPr>
          <w:hyperlink w:anchor="__RefHeading___Toc2646950_3224264995">
            <w:r>
              <w:rPr>
                <w:webHidden/>
                <w:rStyle w:val="IndexLink"/>
                <w:rtl w:val="true"/>
              </w:rPr>
              <w:t>[</w:t>
            </w:r>
            <w:r>
              <w:rPr>
                <w:rStyle w:val="IndexLink"/>
                <w:rtl w:val="true"/>
              </w:rPr>
              <w:t>المراد من استصحاب العدم</w:t>
            </w:r>
            <w:r>
              <w:rPr>
                <w:rStyle w:val="IndexLink"/>
                <w:rtl w:val="true"/>
              </w:rPr>
              <w:t>]</w:t>
              <w:tab/>
            </w:r>
            <w:r>
              <w:rPr>
                <w:rStyle w:val="IndexLink"/>
              </w:rPr>
              <w:t>221</w:t>
            </w:r>
          </w:hyperlink>
        </w:p>
        <w:p>
          <w:pPr>
            <w:pStyle w:val="Contents4"/>
            <w:tabs>
              <w:tab w:val="clear" w:pos="8176"/>
              <w:tab w:val="right" w:pos="9026" w:leader="dot"/>
            </w:tabs>
            <w:rPr/>
          </w:pPr>
          <w:hyperlink w:anchor="__RefHeading___Toc2646952_3224264995">
            <w:r>
              <w:rPr>
                <w:webHidden/>
                <w:rStyle w:val="IndexLink"/>
                <w:rtl w:val="true"/>
              </w:rPr>
              <w:t>[</w:t>
            </w:r>
            <w:r>
              <w:rPr>
                <w:rStyle w:val="IndexLink"/>
                <w:rtl w:val="true"/>
              </w:rPr>
              <w:t>الفرق بین أصالة البراءة و عدم الدلیل دلیل العدم</w:t>
            </w:r>
            <w:r>
              <w:rPr>
                <w:rStyle w:val="IndexLink"/>
                <w:rtl w:val="true"/>
              </w:rPr>
              <w:t>]</w:t>
              <w:tab/>
            </w:r>
            <w:r>
              <w:rPr>
                <w:rStyle w:val="IndexLink"/>
              </w:rPr>
              <w:t>221</w:t>
            </w:r>
          </w:hyperlink>
        </w:p>
        <w:p>
          <w:pPr>
            <w:pStyle w:val="Contents4"/>
            <w:tabs>
              <w:tab w:val="clear" w:pos="8176"/>
              <w:tab w:val="right" w:pos="9026" w:leader="dot"/>
            </w:tabs>
            <w:rPr/>
          </w:pPr>
          <w:hyperlink w:anchor="__RefHeading___Toc2646954_3224264995">
            <w:r>
              <w:rPr>
                <w:webHidden/>
                <w:rStyle w:val="IndexLink"/>
                <w:rtl w:val="true"/>
              </w:rPr>
              <w:t>[</w:t>
            </w:r>
            <w:r>
              <w:rPr>
                <w:rStyle w:val="IndexLink"/>
                <w:rtl w:val="true"/>
              </w:rPr>
              <w:t>إشارة إلی ظاهر کلام صاحب القوانین فی أوّل البراءة</w:t>
            </w:r>
            <w:r>
              <w:rPr>
                <w:rStyle w:val="IndexLink"/>
                <w:rtl w:val="true"/>
              </w:rPr>
              <w:t>]</w:t>
              <w:tab/>
            </w:r>
            <w:r>
              <w:rPr>
                <w:rStyle w:val="IndexLink"/>
              </w:rPr>
              <w:t>222</w:t>
            </w:r>
          </w:hyperlink>
        </w:p>
        <w:p>
          <w:pPr>
            <w:pStyle w:val="Contents4"/>
            <w:tabs>
              <w:tab w:val="clear" w:pos="8176"/>
              <w:tab w:val="right" w:pos="9026" w:leader="dot"/>
            </w:tabs>
            <w:rPr/>
          </w:pPr>
          <w:hyperlink w:anchor="__RefHeading___Toc2646956_3224264995">
            <w:r>
              <w:rPr>
                <w:webHidden/>
                <w:rStyle w:val="IndexLink"/>
                <w:rtl w:val="true"/>
              </w:rPr>
              <w:t>[</w:t>
            </w:r>
            <w:r>
              <w:rPr>
                <w:rStyle w:val="IndexLink"/>
                <w:rtl w:val="true"/>
              </w:rPr>
              <w:t>النسبة بین أصل البراءة و بین عدم الدلیل دلیل العدم</w:t>
            </w:r>
            <w:r>
              <w:rPr>
                <w:rStyle w:val="IndexLink"/>
                <w:rtl w:val="true"/>
              </w:rPr>
              <w:t>]</w:t>
              <w:tab/>
            </w:r>
            <w:r>
              <w:rPr>
                <w:rStyle w:val="IndexLink"/>
              </w:rPr>
              <w:t>222</w:t>
            </w:r>
          </w:hyperlink>
        </w:p>
        <w:p>
          <w:pPr>
            <w:pStyle w:val="Contents4"/>
            <w:tabs>
              <w:tab w:val="clear" w:pos="8176"/>
              <w:tab w:val="right" w:pos="9026" w:leader="dot"/>
            </w:tabs>
            <w:rPr/>
          </w:pPr>
          <w:hyperlink w:anchor="__RefHeading___Toc2646958_3224264995">
            <w:r>
              <w:rPr>
                <w:webHidden/>
                <w:rStyle w:val="IndexLink"/>
                <w:rtl w:val="true"/>
              </w:rPr>
              <w:t>[</w:t>
            </w:r>
            <w:r>
              <w:rPr>
                <w:rStyle w:val="IndexLink"/>
                <w:rtl w:val="true"/>
              </w:rPr>
              <w:t>قولهم</w:t>
            </w:r>
            <w:r>
              <w:rPr>
                <w:rStyle w:val="IndexLink"/>
                <w:rtl w:val="true"/>
              </w:rPr>
              <w:t>: «</w:t>
            </w:r>
            <w:r>
              <w:rPr>
                <w:rStyle w:val="IndexLink"/>
                <w:rtl w:val="true"/>
              </w:rPr>
              <w:t>عدم الوجدان لا یدلّ علی عدم الوجود</w:t>
            </w:r>
            <w:r>
              <w:rPr>
                <w:rStyle w:val="IndexLink"/>
                <w:rtl w:val="true"/>
              </w:rPr>
              <w:t>»]</w:t>
              <w:tab/>
            </w:r>
            <w:r>
              <w:rPr>
                <w:rStyle w:val="IndexLink"/>
              </w:rPr>
              <w:t>223</w:t>
            </w:r>
          </w:hyperlink>
        </w:p>
        <w:p>
          <w:pPr>
            <w:pStyle w:val="Contents4"/>
            <w:tabs>
              <w:tab w:val="clear" w:pos="8176"/>
              <w:tab w:val="right" w:pos="9026" w:leader="dot"/>
            </w:tabs>
            <w:rPr/>
          </w:pPr>
          <w:hyperlink w:anchor="__RefHeading___Toc2646960_3224264995">
            <w:r>
              <w:rPr>
                <w:webHidden/>
                <w:rStyle w:val="IndexLink"/>
                <w:rtl w:val="true"/>
              </w:rPr>
              <w:t>[</w:t>
            </w:r>
            <w:r>
              <w:rPr>
                <w:rStyle w:val="IndexLink"/>
                <w:rtl w:val="true"/>
              </w:rPr>
              <w:t>أصالة عدم الأکثر</w:t>
            </w:r>
            <w:r>
              <w:rPr>
                <w:rStyle w:val="IndexLink"/>
                <w:rtl w:val="true"/>
              </w:rPr>
              <w:t>]</w:t>
              <w:tab/>
            </w:r>
            <w:r>
              <w:rPr>
                <w:rStyle w:val="IndexLink"/>
              </w:rPr>
              <w:t>223</w:t>
            </w:r>
          </w:hyperlink>
        </w:p>
        <w:p>
          <w:pPr>
            <w:pStyle w:val="Contents4"/>
            <w:tabs>
              <w:tab w:val="clear" w:pos="8176"/>
              <w:tab w:val="right" w:pos="9026" w:leader="dot"/>
            </w:tabs>
            <w:rPr/>
          </w:pPr>
          <w:hyperlink w:anchor="__RefHeading___Toc2646962_3224264995">
            <w:r>
              <w:rPr>
                <w:webHidden/>
                <w:rStyle w:val="IndexLink"/>
                <w:rtl w:val="true"/>
              </w:rPr>
              <w:t>[</w:t>
            </w:r>
            <w:r>
              <w:rPr>
                <w:rStyle w:val="IndexLink"/>
                <w:rtl w:val="true"/>
              </w:rPr>
              <w:t>الفرق بین البراءة العقلیة و الإباحة العقلیة</w:t>
            </w:r>
            <w:r>
              <w:rPr>
                <w:rStyle w:val="IndexLink"/>
                <w:rtl w:val="true"/>
              </w:rPr>
              <w:t>]</w:t>
              <w:tab/>
            </w:r>
            <w:r>
              <w:rPr>
                <w:rStyle w:val="IndexLink"/>
              </w:rPr>
              <w:t>223</w:t>
            </w:r>
          </w:hyperlink>
        </w:p>
        <w:p>
          <w:pPr>
            <w:pStyle w:val="Contents4"/>
            <w:tabs>
              <w:tab w:val="clear" w:pos="8176"/>
              <w:tab w:val="right" w:pos="9026" w:leader="dot"/>
            </w:tabs>
            <w:rPr/>
          </w:pPr>
          <w:hyperlink w:anchor="__RefHeading___Toc2646964_3224264995">
            <w:r>
              <w:rPr>
                <w:webHidden/>
                <w:rStyle w:val="IndexLink"/>
                <w:rtl w:val="true"/>
              </w:rPr>
              <w:t>[</w:t>
            </w:r>
            <w:r>
              <w:rPr>
                <w:rStyle w:val="IndexLink"/>
                <w:rtl w:val="true"/>
              </w:rPr>
              <w:t>تحریر محلّ النزاع</w:t>
            </w:r>
            <w:r>
              <w:rPr>
                <w:rStyle w:val="IndexLink"/>
                <w:rtl w:val="true"/>
              </w:rPr>
              <w:t>]</w:t>
              <w:tab/>
            </w:r>
            <w:r>
              <w:rPr>
                <w:rStyle w:val="IndexLink"/>
              </w:rPr>
              <w:t>224</w:t>
            </w:r>
          </w:hyperlink>
        </w:p>
        <w:p>
          <w:pPr>
            <w:pStyle w:val="Contents4"/>
            <w:tabs>
              <w:tab w:val="clear" w:pos="8176"/>
              <w:tab w:val="right" w:pos="9026" w:leader="dot"/>
            </w:tabs>
            <w:rPr/>
          </w:pPr>
          <w:hyperlink w:anchor="__RefHeading___Toc2646966_3224264995">
            <w:r>
              <w:rPr>
                <w:webHidden/>
                <w:rStyle w:val="IndexLink"/>
                <w:rtl w:val="true"/>
              </w:rPr>
              <w:t>[</w:t>
            </w:r>
            <w:r>
              <w:rPr>
                <w:rStyle w:val="IndexLink"/>
                <w:rtl w:val="true"/>
              </w:rPr>
              <w:t>انقسام أفعال لا یدرک العقل حسنها و قبحها إلی ضروری العیش و غیره</w:t>
            </w:r>
            <w:r>
              <w:rPr>
                <w:rStyle w:val="IndexLink"/>
                <w:rtl w:val="true"/>
              </w:rPr>
              <w:t>]</w:t>
              <w:tab/>
            </w:r>
            <w:r>
              <w:rPr>
                <w:rStyle w:val="IndexLink"/>
              </w:rPr>
              <w:t>227</w:t>
            </w:r>
          </w:hyperlink>
        </w:p>
        <w:p>
          <w:pPr>
            <w:pStyle w:val="Contents4"/>
            <w:tabs>
              <w:tab w:val="clear" w:pos="8176"/>
              <w:tab w:val="right" w:pos="9026" w:leader="dot"/>
            </w:tabs>
            <w:rPr/>
          </w:pPr>
          <w:hyperlink w:anchor="__RefHeading___Toc2646968_3224264995">
            <w:r>
              <w:rPr>
                <w:webHidden/>
                <w:rStyle w:val="IndexLink"/>
                <w:rtl w:val="true"/>
              </w:rPr>
              <w:t>[</w:t>
            </w:r>
            <w:r>
              <w:rPr>
                <w:rStyle w:val="IndexLink"/>
                <w:rtl w:val="true"/>
              </w:rPr>
              <w:t>ضروریات العیش مرخّص فیها بحکم العقل</w:t>
            </w:r>
            <w:r>
              <w:rPr>
                <w:rStyle w:val="IndexLink"/>
                <w:rtl w:val="true"/>
              </w:rPr>
              <w:t>]</w:t>
              <w:tab/>
            </w:r>
            <w:r>
              <w:rPr>
                <w:rStyle w:val="IndexLink"/>
              </w:rPr>
              <w:t>227</w:t>
            </w:r>
          </w:hyperlink>
        </w:p>
        <w:p>
          <w:pPr>
            <w:pStyle w:val="Contents4"/>
            <w:tabs>
              <w:tab w:val="clear" w:pos="8176"/>
              <w:tab w:val="right" w:pos="9026" w:leader="dot"/>
            </w:tabs>
            <w:rPr/>
          </w:pPr>
          <w:hyperlink w:anchor="__RefHeading___Toc2646970_3224264995">
            <w:r>
              <w:rPr>
                <w:webHidden/>
                <w:rStyle w:val="IndexLink"/>
                <w:rtl w:val="true"/>
              </w:rPr>
              <w:t>[</w:t>
            </w:r>
            <w:r>
              <w:rPr>
                <w:rStyle w:val="IndexLink"/>
                <w:rtl w:val="true"/>
              </w:rPr>
              <w:t>تعیین محلّ النزاع فی المسألة</w:t>
            </w:r>
            <w:r>
              <w:rPr>
                <w:rStyle w:val="IndexLink"/>
                <w:rtl w:val="true"/>
              </w:rPr>
              <w:t>]</w:t>
              <w:tab/>
            </w:r>
            <w:r>
              <w:rPr>
                <w:rStyle w:val="IndexLink"/>
              </w:rPr>
              <w:t>228</w:t>
            </w:r>
          </w:hyperlink>
        </w:p>
        <w:p>
          <w:pPr>
            <w:pStyle w:val="Contents4"/>
            <w:tabs>
              <w:tab w:val="clear" w:pos="8176"/>
              <w:tab w:val="right" w:pos="9026" w:leader="dot"/>
            </w:tabs>
            <w:rPr/>
          </w:pPr>
          <w:hyperlink w:anchor="__RefHeading___Toc2646972_3224264995">
            <w:r>
              <w:rPr>
                <w:webHidden/>
                <w:rStyle w:val="IndexLink"/>
                <w:rtl w:val="true"/>
              </w:rPr>
              <w:t>[</w:t>
            </w:r>
            <w:r>
              <w:rPr>
                <w:rStyle w:val="IndexLink"/>
                <w:rtl w:val="true"/>
              </w:rPr>
              <w:t>المراد ممّا قبل الشرع فی عنوان النزاع</w:t>
            </w:r>
            <w:r>
              <w:rPr>
                <w:rStyle w:val="IndexLink"/>
                <w:rtl w:val="true"/>
              </w:rPr>
              <w:t>]</w:t>
              <w:tab/>
            </w:r>
            <w:r>
              <w:rPr>
                <w:rStyle w:val="IndexLink"/>
              </w:rPr>
              <w:t>228</w:t>
            </w:r>
          </w:hyperlink>
        </w:p>
        <w:p>
          <w:pPr>
            <w:pStyle w:val="Contents4"/>
            <w:tabs>
              <w:tab w:val="clear" w:pos="8176"/>
              <w:tab w:val="right" w:pos="9026" w:leader="dot"/>
            </w:tabs>
            <w:rPr/>
          </w:pPr>
          <w:hyperlink w:anchor="__RefHeading___Toc2646974_3224264995">
            <w:r>
              <w:rPr>
                <w:webHidden/>
                <w:rStyle w:val="IndexLink"/>
                <w:rtl w:val="true"/>
              </w:rPr>
              <w:t>[</w:t>
            </w:r>
            <w:r>
              <w:rPr>
                <w:rStyle w:val="IndexLink"/>
                <w:rtl w:val="true"/>
              </w:rPr>
              <w:t>ثمرة النزاع</w:t>
            </w:r>
            <w:r>
              <w:rPr>
                <w:rStyle w:val="IndexLink"/>
                <w:rtl w:val="true"/>
              </w:rPr>
              <w:t>]</w:t>
              <w:tab/>
            </w:r>
            <w:r>
              <w:rPr>
                <w:rStyle w:val="IndexLink"/>
              </w:rPr>
              <w:t>229</w:t>
            </w:r>
          </w:hyperlink>
        </w:p>
        <w:p>
          <w:pPr>
            <w:pStyle w:val="Contents4"/>
            <w:tabs>
              <w:tab w:val="clear" w:pos="8176"/>
              <w:tab w:val="right" w:pos="9026" w:leader="dot"/>
            </w:tabs>
            <w:rPr/>
          </w:pPr>
          <w:hyperlink w:anchor="__RefHeading___Toc2646976_3224264995">
            <w:r>
              <w:rPr>
                <w:webHidden/>
                <w:rStyle w:val="IndexLink"/>
                <w:rtl w:val="true"/>
              </w:rPr>
              <w:t>[</w:t>
            </w:r>
            <w:r>
              <w:rPr>
                <w:rStyle w:val="IndexLink"/>
                <w:rtl w:val="true"/>
              </w:rPr>
              <w:t>تأسیس الأصل فی المسألة عند الشکّ فی حکمها</w:t>
            </w:r>
            <w:r>
              <w:rPr>
                <w:rStyle w:val="IndexLink"/>
                <w:rtl w:val="true"/>
              </w:rPr>
              <w:t>]</w:t>
              <w:tab/>
            </w:r>
            <w:r>
              <w:rPr>
                <w:rStyle w:val="IndexLink"/>
              </w:rPr>
              <w:t>229</w:t>
            </w:r>
          </w:hyperlink>
        </w:p>
        <w:p>
          <w:pPr>
            <w:pStyle w:val="Contents4"/>
            <w:tabs>
              <w:tab w:val="clear" w:pos="8176"/>
              <w:tab w:val="right" w:pos="9026" w:leader="dot"/>
            </w:tabs>
            <w:rPr/>
          </w:pPr>
          <w:hyperlink w:anchor="__RefHeading___Toc2646978_3224264995">
            <w:r>
              <w:rPr>
                <w:webHidden/>
                <w:rStyle w:val="IndexLink"/>
                <w:rtl w:val="true"/>
              </w:rPr>
              <w:t>[</w:t>
            </w:r>
            <w:r>
              <w:rPr>
                <w:rStyle w:val="IndexLink"/>
                <w:rtl w:val="true"/>
              </w:rPr>
              <w:t>امتناع خلاء الواقعة عن حکم</w:t>
            </w:r>
            <w:r>
              <w:rPr>
                <w:rStyle w:val="IndexLink"/>
                <w:rtl w:val="true"/>
              </w:rPr>
              <w:t>]</w:t>
              <w:tab/>
            </w:r>
            <w:r>
              <w:rPr>
                <w:rStyle w:val="IndexLink"/>
              </w:rPr>
              <w:t>231</w:t>
            </w:r>
          </w:hyperlink>
        </w:p>
        <w:p>
          <w:pPr>
            <w:pStyle w:val="Contents4"/>
            <w:tabs>
              <w:tab w:val="clear" w:pos="8176"/>
              <w:tab w:val="right" w:pos="9026" w:leader="dot"/>
            </w:tabs>
            <w:rPr/>
          </w:pPr>
          <w:hyperlink w:anchor="__RefHeading___Toc2646980_3224264995">
            <w:r>
              <w:rPr>
                <w:webHidden/>
                <w:rStyle w:val="IndexLink"/>
                <w:rtl w:val="true"/>
              </w:rPr>
              <w:t>[</w:t>
            </w:r>
            <w:r>
              <w:rPr>
                <w:rStyle w:val="IndexLink"/>
                <w:rtl w:val="true"/>
              </w:rPr>
              <w:t>تأسیس الأصل فی المسألة عند الشکّ فی موضوعها</w:t>
            </w:r>
            <w:r>
              <w:rPr>
                <w:rStyle w:val="IndexLink"/>
                <w:rtl w:val="true"/>
              </w:rPr>
              <w:t>]</w:t>
              <w:tab/>
            </w:r>
            <w:r>
              <w:rPr>
                <w:rStyle w:val="IndexLink"/>
              </w:rPr>
              <w:t>231</w:t>
            </w:r>
          </w:hyperlink>
        </w:p>
        <w:p>
          <w:pPr>
            <w:pStyle w:val="Contents4"/>
            <w:tabs>
              <w:tab w:val="clear" w:pos="8176"/>
              <w:tab w:val="right" w:pos="9026" w:leader="dot"/>
            </w:tabs>
            <w:rPr/>
          </w:pPr>
          <w:hyperlink w:anchor="__RefHeading___Toc2646982_3224264995">
            <w:r>
              <w:rPr>
                <w:webHidden/>
                <w:rStyle w:val="IndexLink"/>
                <w:rtl w:val="true"/>
              </w:rPr>
              <w:t>[</w:t>
            </w:r>
            <w:r>
              <w:rPr>
                <w:rStyle w:val="IndexLink"/>
                <w:rtl w:val="true"/>
              </w:rPr>
              <w:t>تحقیق الحقّ فی المسألة</w:t>
            </w:r>
            <w:r>
              <w:rPr>
                <w:rStyle w:val="IndexLink"/>
                <w:rtl w:val="true"/>
              </w:rPr>
              <w:t>]</w:t>
              <w:tab/>
            </w:r>
            <w:r>
              <w:rPr>
                <w:rStyle w:val="IndexLink"/>
              </w:rPr>
              <w:t>231</w:t>
            </w:r>
          </w:hyperlink>
        </w:p>
        <w:p>
          <w:pPr>
            <w:pStyle w:val="Contents4"/>
            <w:tabs>
              <w:tab w:val="clear" w:pos="8176"/>
              <w:tab w:val="right" w:pos="9026" w:leader="dot"/>
            </w:tabs>
            <w:rPr/>
          </w:pPr>
          <w:hyperlink w:anchor="__RefHeading___Toc2646984_3224264995">
            <w:r>
              <w:rPr>
                <w:webHidden/>
                <w:rStyle w:val="IndexLink"/>
                <w:rtl w:val="true"/>
              </w:rPr>
              <w:t>[</w:t>
            </w:r>
            <w:r>
              <w:rPr>
                <w:rStyle w:val="IndexLink"/>
                <w:rtl w:val="true"/>
              </w:rPr>
              <w:t>کفایة فتوی الفقیه الواحد فی احتمال المضرّة</w:t>
            </w:r>
            <w:r>
              <w:rPr>
                <w:rStyle w:val="IndexLink"/>
                <w:rtl w:val="true"/>
              </w:rPr>
              <w:t>]</w:t>
              <w:tab/>
            </w:r>
            <w:r>
              <w:rPr>
                <w:rStyle w:val="IndexLink"/>
              </w:rPr>
              <w:t>232</w:t>
            </w:r>
          </w:hyperlink>
        </w:p>
        <w:p>
          <w:pPr>
            <w:pStyle w:val="Contents4"/>
            <w:tabs>
              <w:tab w:val="clear" w:pos="8176"/>
              <w:tab w:val="right" w:pos="9026" w:leader="dot"/>
            </w:tabs>
            <w:rPr/>
          </w:pPr>
          <w:hyperlink w:anchor="__RefHeading___Toc2646986_3224264995">
            <w:r>
              <w:rPr>
                <w:webHidden/>
                <w:rStyle w:val="IndexLink"/>
                <w:rtl w:val="true"/>
              </w:rPr>
              <w:t>[</w:t>
            </w:r>
            <w:r>
              <w:rPr>
                <w:rStyle w:val="IndexLink"/>
                <w:rtl w:val="true"/>
              </w:rPr>
              <w:t>عدم الفرق بین هذا الزمان و قبل البعثة من حیث حکم العقل بالاباحة فی المسألة</w:t>
            </w:r>
            <w:r>
              <w:rPr>
                <w:rStyle w:val="IndexLink"/>
                <w:rtl w:val="true"/>
              </w:rPr>
              <w:t>]</w:t>
              <w:tab/>
            </w:r>
            <w:r>
              <w:rPr>
                <w:rStyle w:val="IndexLink"/>
              </w:rPr>
              <w:t>232</w:t>
            </w:r>
          </w:hyperlink>
        </w:p>
        <w:p>
          <w:pPr>
            <w:pStyle w:val="Contents4"/>
            <w:tabs>
              <w:tab w:val="clear" w:pos="8176"/>
              <w:tab w:val="right" w:pos="9026" w:leader="dot"/>
            </w:tabs>
            <w:rPr/>
          </w:pPr>
          <w:hyperlink w:anchor="__RefHeading___Toc2646988_3224264995">
            <w:r>
              <w:rPr>
                <w:webHidden/>
                <w:rStyle w:val="IndexLink"/>
                <w:rtl w:val="true"/>
              </w:rPr>
              <w:t>[</w:t>
            </w:r>
            <w:r>
              <w:rPr>
                <w:rStyle w:val="IndexLink"/>
                <w:rtl w:val="true"/>
              </w:rPr>
              <w:t>الفوارق بین أصل الاباحة و أصل البراءة</w:t>
            </w:r>
            <w:r>
              <w:rPr>
                <w:rStyle w:val="IndexLink"/>
                <w:rtl w:val="true"/>
              </w:rPr>
              <w:t>]</w:t>
              <w:tab/>
            </w:r>
            <w:r>
              <w:rPr>
                <w:rStyle w:val="IndexLink"/>
              </w:rPr>
              <w:t>233</w:t>
            </w:r>
          </w:hyperlink>
        </w:p>
        <w:p>
          <w:pPr>
            <w:pStyle w:val="Contents4"/>
            <w:tabs>
              <w:tab w:val="clear" w:pos="8176"/>
              <w:tab w:val="right" w:pos="9026" w:leader="dot"/>
            </w:tabs>
            <w:rPr/>
          </w:pPr>
          <w:hyperlink w:anchor="__RefHeading___Toc2646990_3224264995">
            <w:r>
              <w:rPr>
                <w:webHidden/>
                <w:rStyle w:val="IndexLink"/>
                <w:rtl w:val="true"/>
              </w:rPr>
              <w:t>[</w:t>
            </w:r>
            <w:r>
              <w:rPr>
                <w:rStyle w:val="IndexLink"/>
                <w:rtl w:val="true"/>
              </w:rPr>
              <w:t>محلّ النزاع فی جریان البراءة و عدمه</w:t>
            </w:r>
            <w:r>
              <w:rPr>
                <w:rStyle w:val="IndexLink"/>
                <w:rtl w:val="true"/>
              </w:rPr>
              <w:t>]</w:t>
              <w:tab/>
            </w:r>
            <w:r>
              <w:rPr>
                <w:rStyle w:val="IndexLink"/>
              </w:rPr>
              <w:t>234</w:t>
            </w:r>
          </w:hyperlink>
        </w:p>
        <w:p>
          <w:pPr>
            <w:pStyle w:val="Contents4"/>
            <w:tabs>
              <w:tab w:val="clear" w:pos="8176"/>
              <w:tab w:val="right" w:pos="9026" w:leader="dot"/>
            </w:tabs>
            <w:rPr/>
          </w:pPr>
          <w:hyperlink w:anchor="__RefHeading___Toc2646992_3224264995">
            <w:r>
              <w:rPr>
                <w:webHidden/>
                <w:rStyle w:val="IndexLink"/>
                <w:rtl w:val="true"/>
              </w:rPr>
              <w:t>الاولی</w:t>
            </w:r>
            <w:r>
              <w:rPr>
                <w:rStyle w:val="IndexLink"/>
                <w:rtl w:val="true"/>
              </w:rPr>
              <w:t>: [</w:t>
            </w:r>
            <w:r>
              <w:rPr>
                <w:rStyle w:val="IndexLink"/>
                <w:rtl w:val="true"/>
              </w:rPr>
              <w:t>الموضوعات المستنبطة و الصرفة</w:t>
            </w:r>
            <w:r>
              <w:rPr>
                <w:rStyle w:val="IndexLink"/>
                <w:rtl w:val="true"/>
              </w:rPr>
              <w:t>]</w:t>
              <w:tab/>
            </w:r>
            <w:r>
              <w:rPr>
                <w:rStyle w:val="IndexLink"/>
              </w:rPr>
              <w:t>234</w:t>
            </w:r>
          </w:hyperlink>
        </w:p>
        <w:p>
          <w:pPr>
            <w:pStyle w:val="Contents4"/>
            <w:tabs>
              <w:tab w:val="clear" w:pos="8176"/>
              <w:tab w:val="right" w:pos="9026" w:leader="dot"/>
            </w:tabs>
            <w:rPr/>
          </w:pPr>
          <w:hyperlink w:anchor="__RefHeading___Toc2646994_3224264995">
            <w:r>
              <w:rPr>
                <w:webHidden/>
                <w:rStyle w:val="IndexLink"/>
                <w:rtl w:val="true"/>
              </w:rPr>
              <w:t>[</w:t>
            </w:r>
            <w:r>
              <w:rPr>
                <w:rStyle w:val="IndexLink"/>
                <w:rtl w:val="true"/>
              </w:rPr>
              <w:t>الثانیة</w:t>
            </w:r>
            <w:r>
              <w:rPr>
                <w:rStyle w:val="IndexLink"/>
                <w:rtl w:val="true"/>
              </w:rPr>
              <w:t xml:space="preserve">: </w:t>
            </w:r>
            <w:r>
              <w:rPr>
                <w:rStyle w:val="IndexLink"/>
                <w:rtl w:val="true"/>
              </w:rPr>
              <w:t>محلّ النزاع فی مجری البراءة أو الاشتغال</w:t>
            </w:r>
            <w:r>
              <w:rPr>
                <w:rStyle w:val="IndexLink"/>
                <w:rtl w:val="true"/>
              </w:rPr>
              <w:t>]</w:t>
              <w:tab/>
            </w:r>
            <w:r>
              <w:rPr>
                <w:rStyle w:val="IndexLink"/>
              </w:rPr>
              <w:t>235</w:t>
            </w:r>
          </w:hyperlink>
        </w:p>
        <w:p>
          <w:pPr>
            <w:pStyle w:val="Contents4"/>
            <w:tabs>
              <w:tab w:val="clear" w:pos="8176"/>
              <w:tab w:val="right" w:pos="9026" w:leader="dot"/>
            </w:tabs>
            <w:rPr/>
          </w:pPr>
          <w:hyperlink w:anchor="__RefHeading___Toc2646996_3224264995">
            <w:r>
              <w:rPr>
                <w:webHidden/>
                <w:rStyle w:val="IndexLink"/>
                <w:rtl w:val="true"/>
              </w:rPr>
              <w:t>[</w:t>
            </w:r>
            <w:r>
              <w:rPr>
                <w:rStyle w:val="IndexLink"/>
                <w:rtl w:val="true"/>
              </w:rPr>
              <w:t>الشکّ فی الوجوب و الحرمة بعد العلم الاجمالی بأحدهما</w:t>
            </w:r>
            <w:r>
              <w:rPr>
                <w:rStyle w:val="IndexLink"/>
                <w:rtl w:val="true"/>
              </w:rPr>
              <w:t>]</w:t>
              <w:tab/>
            </w:r>
            <w:r>
              <w:rPr>
                <w:rStyle w:val="IndexLink"/>
              </w:rPr>
              <w:t>236</w:t>
            </w:r>
          </w:hyperlink>
        </w:p>
        <w:p>
          <w:pPr>
            <w:pStyle w:val="Contents4"/>
            <w:tabs>
              <w:tab w:val="clear" w:pos="8176"/>
              <w:tab w:val="right" w:pos="9026" w:leader="dot"/>
            </w:tabs>
            <w:rPr/>
          </w:pPr>
          <w:hyperlink w:anchor="__RefHeading___Toc2646998_3224264995">
            <w:r>
              <w:rPr>
                <w:webHidden/>
                <w:rStyle w:val="IndexLink"/>
                <w:rtl w:val="true"/>
              </w:rPr>
              <w:t>[</w:t>
            </w:r>
            <w:r>
              <w:rPr>
                <w:rStyle w:val="IndexLink"/>
                <w:rtl w:val="true"/>
              </w:rPr>
              <w:t>أقسام الشکّ فی التکلیف</w:t>
            </w:r>
            <w:r>
              <w:rPr>
                <w:rStyle w:val="IndexLink"/>
                <w:rtl w:val="true"/>
              </w:rPr>
              <w:t>]</w:t>
              <w:tab/>
            </w:r>
            <w:r>
              <w:rPr>
                <w:rStyle w:val="IndexLink"/>
              </w:rPr>
              <w:t>237</w:t>
            </w:r>
          </w:hyperlink>
        </w:p>
        <w:p>
          <w:pPr>
            <w:pStyle w:val="Contents4"/>
            <w:tabs>
              <w:tab w:val="clear" w:pos="8176"/>
              <w:tab w:val="right" w:pos="9026" w:leader="dot"/>
            </w:tabs>
            <w:rPr/>
          </w:pPr>
          <w:hyperlink w:anchor="__RefHeading___Toc2647000_3224264995">
            <w:r>
              <w:rPr>
                <w:webHidden/>
                <w:rStyle w:val="IndexLink"/>
                <w:rtl w:val="true"/>
              </w:rPr>
              <w:t>[</w:t>
            </w:r>
            <w:r>
              <w:rPr>
                <w:rStyle w:val="IndexLink"/>
                <w:rtl w:val="true"/>
              </w:rPr>
              <w:t>أقسام الشکّ فی المکلّف به</w:t>
            </w:r>
            <w:r>
              <w:rPr>
                <w:rStyle w:val="IndexLink"/>
                <w:rtl w:val="true"/>
              </w:rPr>
              <w:t>]</w:t>
              <w:tab/>
            </w:r>
            <w:r>
              <w:rPr>
                <w:rStyle w:val="IndexLink"/>
              </w:rPr>
              <w:t>237</w:t>
            </w:r>
          </w:hyperlink>
        </w:p>
        <w:p>
          <w:pPr>
            <w:pStyle w:val="Contents4"/>
            <w:tabs>
              <w:tab w:val="clear" w:pos="8176"/>
              <w:tab w:val="right" w:pos="9026" w:leader="dot"/>
            </w:tabs>
            <w:rPr/>
          </w:pPr>
          <w:hyperlink w:anchor="__RefHeading___Toc2647002_3224264995">
            <w:r>
              <w:rPr>
                <w:webHidden/>
                <w:rStyle w:val="IndexLink"/>
                <w:rtl w:val="true"/>
              </w:rPr>
              <w:t>[</w:t>
            </w:r>
            <w:r>
              <w:rPr>
                <w:rStyle w:val="IndexLink"/>
                <w:rtl w:val="true"/>
              </w:rPr>
              <w:t>الضابط للشکّ فی التکلیف فی المکلّف به</w:t>
            </w:r>
            <w:r>
              <w:rPr>
                <w:rStyle w:val="IndexLink"/>
                <w:rtl w:val="true"/>
              </w:rPr>
              <w:t>]</w:t>
              <w:tab/>
            </w:r>
            <w:r>
              <w:rPr>
                <w:rStyle w:val="IndexLink"/>
              </w:rPr>
              <w:t>238</w:t>
            </w:r>
          </w:hyperlink>
        </w:p>
        <w:p>
          <w:pPr>
            <w:pStyle w:val="Contents4"/>
            <w:tabs>
              <w:tab w:val="clear" w:pos="8176"/>
              <w:tab w:val="right" w:pos="9026" w:leader="dot"/>
            </w:tabs>
            <w:rPr/>
          </w:pPr>
          <w:hyperlink w:anchor="__RefHeading___Toc2647004_3224264995">
            <w:r>
              <w:rPr>
                <w:webHidden/>
                <w:rStyle w:val="IndexLink"/>
                <w:rtl w:val="true"/>
              </w:rPr>
              <w:t>[</w:t>
            </w:r>
            <w:r>
              <w:rPr>
                <w:rStyle w:val="IndexLink"/>
                <w:rtl w:val="true"/>
              </w:rPr>
              <w:t>عدم الملازمة بین الشکّ فی التکلیف و الحکم بالبراءة فیه</w:t>
            </w:r>
            <w:r>
              <w:rPr>
                <w:rStyle w:val="IndexLink"/>
                <w:rtl w:val="true"/>
              </w:rPr>
              <w:t>]</w:t>
              <w:tab/>
            </w:r>
            <w:r>
              <w:rPr>
                <w:rStyle w:val="IndexLink"/>
              </w:rPr>
              <w:t>238</w:t>
            </w:r>
          </w:hyperlink>
        </w:p>
        <w:p>
          <w:pPr>
            <w:pStyle w:val="Contents4"/>
            <w:tabs>
              <w:tab w:val="clear" w:pos="8176"/>
              <w:tab w:val="right" w:pos="9026" w:leader="dot"/>
            </w:tabs>
            <w:rPr/>
          </w:pPr>
          <w:hyperlink w:anchor="__RefHeading___Toc2647006_3224264995">
            <w:r>
              <w:rPr>
                <w:webHidden/>
                <w:rStyle w:val="IndexLink"/>
                <w:rtl w:val="true"/>
              </w:rPr>
              <w:t>[</w:t>
            </w:r>
            <w:r>
              <w:rPr>
                <w:rStyle w:val="IndexLink"/>
                <w:rtl w:val="true"/>
              </w:rPr>
              <w:t>حصر الاصول العملیة فی الأربعة</w:t>
            </w:r>
            <w:r>
              <w:rPr>
                <w:rStyle w:val="IndexLink"/>
                <w:rtl w:val="true"/>
              </w:rPr>
              <w:t>]</w:t>
              <w:tab/>
            </w:r>
            <w:r>
              <w:rPr>
                <w:rStyle w:val="IndexLink"/>
              </w:rPr>
              <w:t>239</w:t>
            </w:r>
          </w:hyperlink>
        </w:p>
        <w:p>
          <w:pPr>
            <w:pStyle w:val="Contents4"/>
            <w:tabs>
              <w:tab w:val="clear" w:pos="8176"/>
              <w:tab w:val="right" w:pos="9026" w:leader="dot"/>
            </w:tabs>
            <w:rPr/>
          </w:pPr>
          <w:hyperlink w:anchor="__RefHeading___Toc2647008_3224264995">
            <w:r>
              <w:rPr>
                <w:webHidden/>
                <w:rStyle w:val="IndexLink"/>
                <w:rtl w:val="true"/>
              </w:rPr>
              <w:t>[</w:t>
            </w:r>
            <w:r>
              <w:rPr>
                <w:rStyle w:val="IndexLink"/>
                <w:rtl w:val="true"/>
              </w:rPr>
              <w:t>عدم حسن الاحتیاط فی المعلوم بالعلم الوجدانی</w:t>
            </w:r>
            <w:r>
              <w:rPr>
                <w:rStyle w:val="IndexLink"/>
                <w:rtl w:val="true"/>
              </w:rPr>
              <w:t>]</w:t>
              <w:tab/>
            </w:r>
            <w:r>
              <w:rPr>
                <w:rStyle w:val="IndexLink"/>
              </w:rPr>
              <w:t>240</w:t>
            </w:r>
          </w:hyperlink>
        </w:p>
        <w:p>
          <w:pPr>
            <w:pStyle w:val="Contents4"/>
            <w:tabs>
              <w:tab w:val="clear" w:pos="8176"/>
              <w:tab w:val="right" w:pos="9026" w:leader="dot"/>
            </w:tabs>
            <w:rPr/>
          </w:pPr>
          <w:hyperlink w:anchor="__RefHeading___Toc2647010_3224264995">
            <w:r>
              <w:rPr>
                <w:webHidden/>
                <w:rStyle w:val="IndexLink"/>
                <w:rtl w:val="true"/>
              </w:rPr>
              <w:t>[</w:t>
            </w:r>
            <w:r>
              <w:rPr>
                <w:rStyle w:val="IndexLink"/>
                <w:rtl w:val="true"/>
              </w:rPr>
              <w:t>صور اشتباه الحکم</w:t>
            </w:r>
            <w:r>
              <w:rPr>
                <w:rStyle w:val="IndexLink"/>
                <w:rtl w:val="true"/>
              </w:rPr>
              <w:t>]</w:t>
              <w:tab/>
            </w:r>
            <w:r>
              <w:rPr>
                <w:rStyle w:val="IndexLink"/>
              </w:rPr>
              <w:t>240</w:t>
            </w:r>
          </w:hyperlink>
        </w:p>
        <w:p>
          <w:pPr>
            <w:pStyle w:val="Contents4"/>
            <w:tabs>
              <w:tab w:val="clear" w:pos="8176"/>
              <w:tab w:val="right" w:pos="9026" w:leader="dot"/>
            </w:tabs>
            <w:rPr/>
          </w:pPr>
          <w:hyperlink w:anchor="__RefHeading___Toc2647012_3224264995">
            <w:r>
              <w:rPr>
                <w:webHidden/>
                <w:rStyle w:val="IndexLink"/>
                <w:rtl w:val="true"/>
              </w:rPr>
              <w:t>[</w:t>
            </w:r>
            <w:r>
              <w:rPr>
                <w:rStyle w:val="IndexLink"/>
                <w:rtl w:val="true"/>
              </w:rPr>
              <w:t>اختلاف الاخباریة فی الشبهة الحکمیة</w:t>
            </w:r>
            <w:r>
              <w:rPr>
                <w:rStyle w:val="IndexLink"/>
                <w:rtl w:val="true"/>
              </w:rPr>
              <w:t>]</w:t>
              <w:tab/>
            </w:r>
            <w:r>
              <w:rPr>
                <w:rStyle w:val="IndexLink"/>
              </w:rPr>
              <w:t>241</w:t>
            </w:r>
          </w:hyperlink>
        </w:p>
        <w:p>
          <w:pPr>
            <w:pStyle w:val="Contents4"/>
            <w:tabs>
              <w:tab w:val="clear" w:pos="8176"/>
              <w:tab w:val="right" w:pos="9026" w:leader="dot"/>
            </w:tabs>
            <w:rPr/>
          </w:pPr>
          <w:hyperlink w:anchor="__RefHeading___Toc2647014_3224264995">
            <w:r>
              <w:rPr>
                <w:webHidden/>
                <w:rStyle w:val="IndexLink"/>
                <w:rtl w:val="true"/>
              </w:rPr>
              <w:t>[</w:t>
            </w:r>
            <w:r>
              <w:rPr>
                <w:rStyle w:val="IndexLink"/>
                <w:rtl w:val="true"/>
              </w:rPr>
              <w:t>دراسة الاستدلال بآیة نفی التعذیب قبل بعث الرسل علی عدم التلازم بین حکمی العقل و الشرع و البراءة</w:t>
            </w:r>
            <w:r>
              <w:rPr>
                <w:rStyle w:val="IndexLink"/>
                <w:rtl w:val="true"/>
              </w:rPr>
              <w:t>]</w:t>
              <w:tab/>
            </w:r>
            <w:r>
              <w:rPr>
                <w:rStyle w:val="IndexLink"/>
              </w:rPr>
              <w:t>242</w:t>
            </w:r>
          </w:hyperlink>
        </w:p>
        <w:p>
          <w:pPr>
            <w:pStyle w:val="Contents4"/>
            <w:tabs>
              <w:tab w:val="clear" w:pos="8176"/>
              <w:tab w:val="right" w:pos="9026" w:leader="dot"/>
            </w:tabs>
            <w:rPr/>
          </w:pPr>
          <w:hyperlink w:anchor="__RefHeading___Toc2647016_3224264995">
            <w:r>
              <w:rPr>
                <w:webHidden/>
                <w:rStyle w:val="IndexLink"/>
                <w:rtl w:val="true"/>
              </w:rPr>
              <w:t>[</w:t>
            </w:r>
            <w:r>
              <w:rPr>
                <w:rStyle w:val="IndexLink"/>
                <w:rtl w:val="true"/>
              </w:rPr>
              <w:t>توجیه الاستدلال بآیة عدم تکلیف نفس إلّا بما آتاه اللّه، علی البراءة</w:t>
            </w:r>
            <w:r>
              <w:rPr>
                <w:rStyle w:val="IndexLink"/>
                <w:rtl w:val="true"/>
              </w:rPr>
              <w:t>]</w:t>
              <w:tab/>
            </w:r>
            <w:r>
              <w:rPr>
                <w:rStyle w:val="IndexLink"/>
              </w:rPr>
              <w:t>243</w:t>
            </w:r>
          </w:hyperlink>
        </w:p>
        <w:p>
          <w:pPr>
            <w:pStyle w:val="Contents4"/>
            <w:tabs>
              <w:tab w:val="clear" w:pos="8176"/>
              <w:tab w:val="right" w:pos="9026" w:leader="dot"/>
            </w:tabs>
            <w:rPr/>
          </w:pPr>
          <w:hyperlink w:anchor="__RefHeading___Toc2647018_3224264995">
            <w:r>
              <w:rPr>
                <w:webHidden/>
                <w:rStyle w:val="IndexLink"/>
                <w:rtl w:val="true"/>
              </w:rPr>
              <w:t>[</w:t>
            </w:r>
            <w:r>
              <w:rPr>
                <w:rStyle w:val="IndexLink"/>
                <w:rtl w:val="true"/>
              </w:rPr>
              <w:t>دراسة فی آیة وَ ما کانَ اللَّهُ لِیُضِلَّ قَوْماً بَعْدَ إِذْ هَداهُمْ</w:t>
            </w:r>
            <w:r>
              <w:rPr>
                <w:rStyle w:val="IndexLink"/>
                <w:rtl w:val="true"/>
              </w:rPr>
              <w:t>]</w:t>
              <w:tab/>
            </w:r>
            <w:r>
              <w:rPr>
                <w:rStyle w:val="IndexLink"/>
              </w:rPr>
              <w:t>246</w:t>
            </w:r>
          </w:hyperlink>
        </w:p>
        <w:p>
          <w:pPr>
            <w:pStyle w:val="Contents4"/>
            <w:tabs>
              <w:tab w:val="clear" w:pos="8176"/>
              <w:tab w:val="right" w:pos="9026" w:leader="dot"/>
            </w:tabs>
            <w:rPr/>
          </w:pPr>
          <w:hyperlink w:anchor="__RefHeading___Toc2647020_3224264995">
            <w:r>
              <w:rPr>
                <w:webHidden/>
                <w:rStyle w:val="IndexLink"/>
                <w:rtl w:val="true"/>
              </w:rPr>
              <w:t>[</w:t>
            </w:r>
            <w:r>
              <w:rPr>
                <w:rStyle w:val="IndexLink"/>
                <w:rtl w:val="true"/>
              </w:rPr>
              <w:t xml:space="preserve">دراسة فی آیة لِیَهْلِکَ مَنْ هَلَکَ </w:t>
            </w:r>
            <w:r>
              <w:rPr>
                <w:rStyle w:val="IndexLink"/>
                <w:rtl w:val="true"/>
              </w:rPr>
              <w:t>...]</w:t>
              <w:tab/>
            </w:r>
            <w:r>
              <w:rPr>
                <w:rStyle w:val="IndexLink"/>
              </w:rPr>
              <w:t>247</w:t>
            </w:r>
          </w:hyperlink>
        </w:p>
        <w:p>
          <w:pPr>
            <w:pStyle w:val="Contents4"/>
            <w:tabs>
              <w:tab w:val="clear" w:pos="8176"/>
              <w:tab w:val="right" w:pos="9026" w:leader="dot"/>
            </w:tabs>
            <w:rPr/>
          </w:pPr>
          <w:hyperlink w:anchor="__RefHeading___Toc2647022_3224264995">
            <w:r>
              <w:rPr>
                <w:webHidden/>
                <w:rStyle w:val="IndexLink"/>
                <w:rtl w:val="true"/>
              </w:rPr>
              <w:t>[</w:t>
            </w:r>
            <w:r>
              <w:rPr>
                <w:rStyle w:val="IndexLink"/>
                <w:rtl w:val="true"/>
              </w:rPr>
              <w:t>الاستدلال بآیة قُلْ لا أَجِدُ فِی ما أُوحِیَ إِلَیَ</w:t>
            </w:r>
            <w:r>
              <w:rPr>
                <w:rStyle w:val="IndexLink"/>
                <w:rtl w:val="true"/>
              </w:rPr>
              <w:t>]</w:t>
              <w:tab/>
            </w:r>
            <w:r>
              <w:rPr>
                <w:rStyle w:val="IndexLink"/>
              </w:rPr>
              <w:t>248</w:t>
            </w:r>
          </w:hyperlink>
        </w:p>
        <w:p>
          <w:pPr>
            <w:pStyle w:val="Contents4"/>
            <w:tabs>
              <w:tab w:val="clear" w:pos="8176"/>
              <w:tab w:val="right" w:pos="9026" w:leader="dot"/>
            </w:tabs>
            <w:rPr/>
          </w:pPr>
          <w:hyperlink w:anchor="__RefHeading___Toc2647024_3224264995">
            <w:r>
              <w:rPr>
                <w:webHidden/>
                <w:rStyle w:val="IndexLink"/>
                <w:rtl w:val="true"/>
              </w:rPr>
              <w:t>[</w:t>
            </w:r>
            <w:r>
              <w:rPr>
                <w:rStyle w:val="IndexLink"/>
                <w:rtl w:val="true"/>
              </w:rPr>
              <w:t>کفایة الفحص عن المخصّص و المعارض فی ما بأیدینا لجواز العمل بالعمومات و الأدلّة</w:t>
            </w:r>
            <w:r>
              <w:rPr>
                <w:rStyle w:val="IndexLink"/>
                <w:rtl w:val="true"/>
              </w:rPr>
              <w:t>]</w:t>
              <w:tab/>
            </w:r>
            <w:r>
              <w:rPr>
                <w:rStyle w:val="IndexLink"/>
              </w:rPr>
              <w:t>249</w:t>
            </w:r>
          </w:hyperlink>
        </w:p>
        <w:p>
          <w:pPr>
            <w:pStyle w:val="Contents4"/>
            <w:tabs>
              <w:tab w:val="clear" w:pos="8176"/>
              <w:tab w:val="right" w:pos="9026" w:leader="dot"/>
            </w:tabs>
            <w:rPr/>
          </w:pPr>
          <w:hyperlink w:anchor="__RefHeading___Toc2647026_3224264995">
            <w:r>
              <w:rPr>
                <w:webHidden/>
                <w:rStyle w:val="IndexLink"/>
                <w:rtl w:val="true"/>
              </w:rPr>
              <w:t>[</w:t>
            </w:r>
            <w:r>
              <w:rPr>
                <w:rStyle w:val="IndexLink"/>
                <w:rtl w:val="true"/>
              </w:rPr>
              <w:t>آیات دالّة علی عدم تحریم ما لا نصّ فیه</w:t>
            </w:r>
            <w:r>
              <w:rPr>
                <w:rStyle w:val="IndexLink"/>
                <w:rtl w:val="true"/>
              </w:rPr>
              <w:t>]</w:t>
              <w:tab/>
            </w:r>
            <w:r>
              <w:rPr>
                <w:rStyle w:val="IndexLink"/>
              </w:rPr>
              <w:t>250</w:t>
            </w:r>
          </w:hyperlink>
        </w:p>
        <w:p>
          <w:pPr>
            <w:pStyle w:val="Contents4"/>
            <w:tabs>
              <w:tab w:val="clear" w:pos="8176"/>
              <w:tab w:val="right" w:pos="9026" w:leader="dot"/>
            </w:tabs>
            <w:rPr/>
          </w:pPr>
          <w:hyperlink w:anchor="__RefHeading___Toc2647028_3224264995">
            <w:r>
              <w:rPr>
                <w:webHidden/>
                <w:rStyle w:val="IndexLink"/>
                <w:rtl w:val="true"/>
              </w:rPr>
              <w:t>[</w:t>
            </w:r>
            <w:r>
              <w:rPr>
                <w:rStyle w:val="IndexLink"/>
                <w:rtl w:val="true"/>
              </w:rPr>
              <w:t>الجواب علی إیراد الماتن علی الآیات و الأخبار المستدلّ بها علی البراءة</w:t>
            </w:r>
            <w:r>
              <w:rPr>
                <w:rStyle w:val="IndexLink"/>
                <w:rtl w:val="true"/>
              </w:rPr>
              <w:t>]</w:t>
              <w:tab/>
            </w:r>
            <w:r>
              <w:rPr>
                <w:rStyle w:val="IndexLink"/>
              </w:rPr>
              <w:t>252</w:t>
            </w:r>
          </w:hyperlink>
        </w:p>
        <w:p>
          <w:pPr>
            <w:pStyle w:val="Contents4"/>
            <w:tabs>
              <w:tab w:val="clear" w:pos="8176"/>
              <w:tab w:val="right" w:pos="9026" w:leader="dot"/>
            </w:tabs>
            <w:rPr/>
          </w:pPr>
          <w:hyperlink w:anchor="__RefHeading___Toc2647030_3224264995">
            <w:r>
              <w:rPr>
                <w:webHidden/>
                <w:rStyle w:val="IndexLink"/>
                <w:rtl w:val="true"/>
              </w:rPr>
              <w:t>[</w:t>
            </w:r>
            <w:r>
              <w:rPr>
                <w:rStyle w:val="IndexLink"/>
                <w:rtl w:val="true"/>
              </w:rPr>
              <w:t>دراسة فی قول الاخباریة بالاحتیاط فی الشبهة التحریمیة</w:t>
            </w:r>
            <w:r>
              <w:rPr>
                <w:rStyle w:val="IndexLink"/>
                <w:rtl w:val="true"/>
              </w:rPr>
              <w:t>]</w:t>
              <w:tab/>
            </w:r>
            <w:r>
              <w:rPr>
                <w:rStyle w:val="IndexLink"/>
              </w:rPr>
              <w:t>252</w:t>
            </w:r>
          </w:hyperlink>
        </w:p>
        <w:p>
          <w:pPr>
            <w:pStyle w:val="Contents4"/>
            <w:tabs>
              <w:tab w:val="clear" w:pos="8176"/>
              <w:tab w:val="right" w:pos="9026" w:leader="dot"/>
            </w:tabs>
            <w:rPr/>
          </w:pPr>
          <w:hyperlink w:anchor="__RefHeading___Toc2647032_3224264995">
            <w:r>
              <w:rPr>
                <w:webHidden/>
                <w:rStyle w:val="IndexLink"/>
                <w:rtl w:val="true"/>
              </w:rPr>
              <w:t>[</w:t>
            </w:r>
            <w:r>
              <w:rPr>
                <w:rStyle w:val="IndexLink"/>
                <w:rtl w:val="true"/>
              </w:rPr>
              <w:t>جواب آخر عن إیراد الماتن علی الآیات و الأخبار المستدلّ بها علی البراءة</w:t>
            </w:r>
            <w:r>
              <w:rPr>
                <w:rStyle w:val="IndexLink"/>
                <w:rtl w:val="true"/>
              </w:rPr>
              <w:t>]</w:t>
              <w:tab/>
            </w:r>
            <w:r>
              <w:rPr>
                <w:rStyle w:val="IndexLink"/>
              </w:rPr>
              <w:t>254</w:t>
            </w:r>
          </w:hyperlink>
        </w:p>
        <w:p>
          <w:pPr>
            <w:pStyle w:val="Contents4"/>
            <w:tabs>
              <w:tab w:val="clear" w:pos="8176"/>
              <w:tab w:val="right" w:pos="9026" w:leader="dot"/>
            </w:tabs>
            <w:rPr/>
          </w:pPr>
          <w:hyperlink w:anchor="__RefHeading___Toc2647034_3224264995">
            <w:r>
              <w:rPr>
                <w:webHidden/>
                <w:rStyle w:val="IndexLink"/>
                <w:rtl w:val="true"/>
              </w:rPr>
              <w:t>[</w:t>
            </w:r>
            <w:r>
              <w:rPr>
                <w:rStyle w:val="IndexLink"/>
                <w:rtl w:val="true"/>
              </w:rPr>
              <w:t>رفع الایراد عن حدیث الرفع</w:t>
            </w:r>
            <w:r>
              <w:rPr>
                <w:rStyle w:val="IndexLink"/>
                <w:rtl w:val="true"/>
              </w:rPr>
              <w:t>]</w:t>
              <w:tab/>
            </w:r>
            <w:r>
              <w:rPr>
                <w:rStyle w:val="IndexLink"/>
              </w:rPr>
              <w:t>255</w:t>
            </w:r>
          </w:hyperlink>
        </w:p>
        <w:p>
          <w:pPr>
            <w:pStyle w:val="Contents4"/>
            <w:tabs>
              <w:tab w:val="clear" w:pos="8176"/>
              <w:tab w:val="right" w:pos="9026" w:leader="dot"/>
            </w:tabs>
            <w:rPr/>
          </w:pPr>
          <w:hyperlink w:anchor="__RefHeading___Toc2647036_3224264995">
            <w:r>
              <w:rPr>
                <w:webHidden/>
                <w:rStyle w:val="IndexLink"/>
                <w:rtl w:val="true"/>
              </w:rPr>
              <w:t>[</w:t>
            </w:r>
            <w:r>
              <w:rPr>
                <w:rStyle w:val="IndexLink"/>
                <w:rtl w:val="true"/>
              </w:rPr>
              <w:t>و منها</w:t>
            </w:r>
            <w:r>
              <w:rPr>
                <w:rStyle w:val="IndexLink"/>
                <w:rtl w:val="true"/>
              </w:rPr>
              <w:t xml:space="preserve">: </w:t>
            </w:r>
            <w:r>
              <w:rPr>
                <w:rStyle w:val="IndexLink"/>
                <w:rtl w:val="true"/>
              </w:rPr>
              <w:t>أصالة الاجزاء</w:t>
            </w:r>
            <w:r>
              <w:rPr>
                <w:rStyle w:val="IndexLink"/>
                <w:rtl w:val="true"/>
              </w:rPr>
              <w:t>]</w:t>
              <w:tab/>
            </w:r>
            <w:r>
              <w:rPr>
                <w:rStyle w:val="IndexLink"/>
              </w:rPr>
              <w:t>257</w:t>
            </w:r>
          </w:hyperlink>
        </w:p>
        <w:p>
          <w:pPr>
            <w:pStyle w:val="Contents4"/>
            <w:tabs>
              <w:tab w:val="clear" w:pos="8176"/>
              <w:tab w:val="right" w:pos="9026" w:leader="dot"/>
            </w:tabs>
            <w:rPr/>
          </w:pPr>
          <w:hyperlink w:anchor="__RefHeading___Toc2647038_3224264995">
            <w:r>
              <w:rPr>
                <w:webHidden/>
                <w:rStyle w:val="IndexLink"/>
                <w:rtl w:val="true"/>
              </w:rPr>
              <w:t>[</w:t>
            </w:r>
            <w:r>
              <w:rPr>
                <w:rStyle w:val="IndexLink"/>
                <w:rtl w:val="true"/>
              </w:rPr>
              <w:t>و منها</w:t>
            </w:r>
            <w:r>
              <w:rPr>
                <w:rStyle w:val="IndexLink"/>
                <w:rtl w:val="true"/>
              </w:rPr>
              <w:t xml:space="preserve">: </w:t>
            </w:r>
            <w:r>
              <w:rPr>
                <w:rStyle w:val="IndexLink"/>
                <w:rtl w:val="true"/>
              </w:rPr>
              <w:t>کفایة عدم العلم فی نفی الجزء أو الشرط المشکوک جزئیته أو شرطیته</w:t>
            </w:r>
            <w:r>
              <w:rPr>
                <w:rStyle w:val="IndexLink"/>
                <w:rtl w:val="true"/>
              </w:rPr>
              <w:t>]</w:t>
              <w:tab/>
            </w:r>
            <w:r>
              <w:rPr>
                <w:rStyle w:val="IndexLink"/>
              </w:rPr>
              <w:t>258</w:t>
            </w:r>
          </w:hyperlink>
        </w:p>
        <w:p>
          <w:pPr>
            <w:pStyle w:val="Contents4"/>
            <w:tabs>
              <w:tab w:val="clear" w:pos="8176"/>
              <w:tab w:val="right" w:pos="9026" w:leader="dot"/>
            </w:tabs>
            <w:rPr/>
          </w:pPr>
          <w:hyperlink w:anchor="__RefHeading___Toc2647040_3224264995">
            <w:r>
              <w:rPr>
                <w:webHidden/>
                <w:rStyle w:val="IndexLink"/>
                <w:rtl w:val="true"/>
              </w:rPr>
              <w:t>و منها</w:t>
            </w:r>
            <w:r>
              <w:rPr>
                <w:rStyle w:val="IndexLink"/>
                <w:rtl w:val="true"/>
              </w:rPr>
              <w:t xml:space="preserve">: </w:t>
            </w:r>
            <w:r>
              <w:rPr>
                <w:rStyle w:val="IndexLink"/>
                <w:rtl w:val="true"/>
              </w:rPr>
              <w:t>دعوی دوران الأمر بین قلّة الإضمار و کثرته، و الأصل عدم الزائد</w:t>
            </w:r>
            <w:r>
              <w:rPr>
                <w:rStyle w:val="IndexLink"/>
                <w:rtl w:val="true"/>
              </w:rPr>
              <w:tab/>
            </w:r>
            <w:r>
              <w:rPr>
                <w:rStyle w:val="IndexLink"/>
              </w:rPr>
              <w:t>258</w:t>
            </w:r>
          </w:hyperlink>
        </w:p>
        <w:p>
          <w:pPr>
            <w:pStyle w:val="Contents4"/>
            <w:tabs>
              <w:tab w:val="clear" w:pos="8176"/>
              <w:tab w:val="right" w:pos="9026" w:leader="dot"/>
            </w:tabs>
            <w:rPr/>
          </w:pPr>
          <w:hyperlink w:anchor="__RefHeading___Toc2647042_3224264995">
            <w:r>
              <w:rPr>
                <w:webHidden/>
                <w:rStyle w:val="IndexLink"/>
                <w:rtl w:val="true"/>
              </w:rPr>
              <w:t>و منها</w:t>
            </w:r>
            <w:r>
              <w:rPr>
                <w:rStyle w:val="IndexLink"/>
                <w:rtl w:val="true"/>
              </w:rPr>
              <w:t xml:space="preserve">: </w:t>
            </w:r>
            <w:r>
              <w:rPr>
                <w:rStyle w:val="IndexLink"/>
                <w:rtl w:val="true"/>
              </w:rPr>
              <w:t>دعوی أنّ المتیقّن هو رفع المؤاخذة فیقتصر علیه</w:t>
            </w:r>
            <w:r>
              <w:rPr>
                <w:rStyle w:val="IndexLink"/>
                <w:rtl w:val="true"/>
              </w:rPr>
              <w:t>.</w:t>
              <w:tab/>
            </w:r>
            <w:r>
              <w:rPr>
                <w:rStyle w:val="IndexLink"/>
              </w:rPr>
              <w:t>258</w:t>
            </w:r>
          </w:hyperlink>
        </w:p>
        <w:p>
          <w:pPr>
            <w:pStyle w:val="Contents4"/>
            <w:tabs>
              <w:tab w:val="clear" w:pos="8176"/>
              <w:tab w:val="right" w:pos="9026" w:leader="dot"/>
            </w:tabs>
            <w:rPr/>
          </w:pPr>
          <w:hyperlink w:anchor="__RefHeading___Toc2647044_3224264995">
            <w:r>
              <w:rPr>
                <w:webHidden/>
                <w:rStyle w:val="IndexLink"/>
                <w:rtl w:val="true"/>
              </w:rPr>
              <w:t>[</w:t>
            </w:r>
            <w:r>
              <w:rPr>
                <w:rStyle w:val="IndexLink"/>
                <w:rtl w:val="true"/>
              </w:rPr>
              <w:t>أنّ المصرّح به فیما استوهبه النبیّ لیلة المعراج هو المؤاخذة</w:t>
            </w:r>
            <w:r>
              <w:rPr>
                <w:rStyle w:val="IndexLink"/>
                <w:rtl w:val="true"/>
              </w:rPr>
              <w:t>]</w:t>
              <w:tab/>
            </w:r>
            <w:r>
              <w:rPr>
                <w:rStyle w:val="IndexLink"/>
              </w:rPr>
              <w:t>258</w:t>
            </w:r>
          </w:hyperlink>
        </w:p>
        <w:p>
          <w:pPr>
            <w:pStyle w:val="Contents4"/>
            <w:tabs>
              <w:tab w:val="clear" w:pos="8176"/>
              <w:tab w:val="right" w:pos="9026" w:leader="dot"/>
            </w:tabs>
            <w:rPr/>
          </w:pPr>
          <w:hyperlink w:anchor="__RefHeading___Toc2647046_3224264995">
            <w:r>
              <w:rPr>
                <w:webHidden/>
                <w:rStyle w:val="IndexLink"/>
                <w:rtl w:val="true"/>
              </w:rPr>
              <w:t>[</w:t>
            </w:r>
            <w:r>
              <w:rPr>
                <w:rStyle w:val="IndexLink"/>
                <w:rtl w:val="true"/>
              </w:rPr>
              <w:t>دراسة أمر الماتن بالتأمل بعد تضعیفه الأخذ بالمتیقّن فی حمل حدیث الرفع علی خصوص المؤاخذة</w:t>
            </w:r>
            <w:r>
              <w:rPr>
                <w:rStyle w:val="IndexLink"/>
                <w:rtl w:val="true"/>
              </w:rPr>
              <w:t>]</w:t>
              <w:tab/>
            </w:r>
            <w:r>
              <w:rPr>
                <w:rStyle w:val="IndexLink"/>
              </w:rPr>
              <w:t>259</w:t>
            </w:r>
          </w:hyperlink>
        </w:p>
        <w:p>
          <w:pPr>
            <w:pStyle w:val="Contents4"/>
            <w:tabs>
              <w:tab w:val="clear" w:pos="8176"/>
              <w:tab w:val="right" w:pos="9026" w:leader="dot"/>
            </w:tabs>
            <w:rPr/>
          </w:pPr>
          <w:hyperlink w:anchor="__RefHeading___Toc2647048_3224264995">
            <w:r>
              <w:rPr>
                <w:webHidden/>
                <w:rStyle w:val="IndexLink"/>
                <w:rtl w:val="true"/>
              </w:rPr>
              <w:t>[</w:t>
            </w:r>
            <w:r>
              <w:rPr>
                <w:rStyle w:val="IndexLink"/>
                <w:rtl w:val="true"/>
              </w:rPr>
              <w:t>ما یقرّب حمل الحدیث علی رفع جمیع الآثار</w:t>
            </w:r>
            <w:r>
              <w:rPr>
                <w:rStyle w:val="IndexLink"/>
                <w:rtl w:val="true"/>
              </w:rPr>
              <w:t>]</w:t>
              <w:tab/>
            </w:r>
            <w:r>
              <w:rPr>
                <w:rStyle w:val="IndexLink"/>
              </w:rPr>
              <w:t>261</w:t>
            </w:r>
          </w:hyperlink>
        </w:p>
        <w:p>
          <w:pPr>
            <w:pStyle w:val="Contents4"/>
            <w:tabs>
              <w:tab w:val="clear" w:pos="8176"/>
              <w:tab w:val="right" w:pos="9026" w:leader="dot"/>
            </w:tabs>
            <w:rPr/>
          </w:pPr>
          <w:hyperlink w:anchor="__RefHeading___Toc2647050_3224264995">
            <w:r>
              <w:rPr>
                <w:webHidden/>
                <w:rStyle w:val="IndexLink"/>
                <w:rtl w:val="true"/>
              </w:rPr>
              <w:t>[</w:t>
            </w:r>
            <w:r>
              <w:rPr>
                <w:rStyle w:val="IndexLink"/>
                <w:rtl w:val="true"/>
              </w:rPr>
              <w:t>الخطأ و النسیان الصادران عن ترک التحفّظ</w:t>
            </w:r>
            <w:r>
              <w:rPr>
                <w:rStyle w:val="IndexLink"/>
                <w:rtl w:val="true"/>
              </w:rPr>
              <w:t>]</w:t>
              <w:tab/>
            </w:r>
            <w:r>
              <w:rPr>
                <w:rStyle w:val="IndexLink"/>
              </w:rPr>
              <w:t>263</w:t>
            </w:r>
          </w:hyperlink>
        </w:p>
        <w:p>
          <w:pPr>
            <w:pStyle w:val="Contents4"/>
            <w:tabs>
              <w:tab w:val="clear" w:pos="8176"/>
              <w:tab w:val="right" w:pos="9026" w:leader="dot"/>
            </w:tabs>
            <w:rPr/>
          </w:pPr>
          <w:hyperlink w:anchor="__RefHeading___Toc2647052_3224264995">
            <w:r>
              <w:rPr>
                <w:webHidden/>
                <w:rStyle w:val="IndexLink"/>
                <w:rtl w:val="true"/>
              </w:rPr>
              <w:t>[</w:t>
            </w:r>
            <w:r>
              <w:rPr>
                <w:rStyle w:val="IndexLink"/>
                <w:rtl w:val="true"/>
              </w:rPr>
              <w:t>التکلیف الشاقّ الناشئ عن اختیار المکلّف</w:t>
            </w:r>
            <w:r>
              <w:rPr>
                <w:rStyle w:val="IndexLink"/>
                <w:rtl w:val="true"/>
              </w:rPr>
              <w:t>]</w:t>
              <w:tab/>
            </w:r>
            <w:r>
              <w:rPr>
                <w:rStyle w:val="IndexLink"/>
              </w:rPr>
              <w:t>263</w:t>
            </w:r>
          </w:hyperlink>
        </w:p>
        <w:p>
          <w:pPr>
            <w:pStyle w:val="Contents4"/>
            <w:tabs>
              <w:tab w:val="clear" w:pos="8176"/>
              <w:tab w:val="right" w:pos="9026" w:leader="dot"/>
            </w:tabs>
            <w:rPr/>
          </w:pPr>
          <w:hyperlink w:anchor="__RefHeading___Toc2647054_3224264995">
            <w:r>
              <w:rPr>
                <w:webHidden/>
                <w:rStyle w:val="IndexLink"/>
                <w:rtl w:val="true"/>
              </w:rPr>
              <w:t>[</w:t>
            </w:r>
            <w:r>
              <w:rPr>
                <w:rStyle w:val="IndexLink"/>
                <w:rtl w:val="true"/>
              </w:rPr>
              <w:t>التکلیف بما لا یطاق الناشئ عن سوء اختیار المکلّف</w:t>
            </w:r>
            <w:r>
              <w:rPr>
                <w:rStyle w:val="IndexLink"/>
                <w:rtl w:val="true"/>
              </w:rPr>
              <w:t>]</w:t>
              <w:tab/>
            </w:r>
            <w:r>
              <w:rPr>
                <w:rStyle w:val="IndexLink"/>
              </w:rPr>
              <w:t>263</w:t>
            </w:r>
          </w:hyperlink>
        </w:p>
        <w:p>
          <w:pPr>
            <w:pStyle w:val="Contents4"/>
            <w:tabs>
              <w:tab w:val="clear" w:pos="8176"/>
              <w:tab w:val="right" w:pos="9026" w:leader="dot"/>
            </w:tabs>
            <w:rPr/>
          </w:pPr>
          <w:hyperlink w:anchor="__RefHeading___Toc2647056_3224264995">
            <w:r>
              <w:rPr>
                <w:webHidden/>
                <w:rStyle w:val="IndexLink"/>
                <w:rtl w:val="true"/>
              </w:rPr>
              <w:t>[</w:t>
            </w:r>
            <w:r>
              <w:rPr>
                <w:rStyle w:val="IndexLink"/>
                <w:rtl w:val="true"/>
              </w:rPr>
              <w:t>عدم معذوریّة الجاهل المقصّر</w:t>
            </w:r>
            <w:r>
              <w:rPr>
                <w:rStyle w:val="IndexLink"/>
                <w:rtl w:val="true"/>
              </w:rPr>
              <w:t>]</w:t>
              <w:tab/>
            </w:r>
            <w:r>
              <w:rPr>
                <w:rStyle w:val="IndexLink"/>
              </w:rPr>
              <w:t>263</w:t>
            </w:r>
          </w:hyperlink>
        </w:p>
        <w:p>
          <w:pPr>
            <w:pStyle w:val="Contents4"/>
            <w:tabs>
              <w:tab w:val="clear" w:pos="8176"/>
              <w:tab w:val="right" w:pos="9026" w:leader="dot"/>
            </w:tabs>
            <w:rPr/>
          </w:pPr>
          <w:hyperlink w:anchor="__RefHeading___Toc2647058_3224264995">
            <w:r>
              <w:rPr>
                <w:webHidden/>
                <w:rStyle w:val="IndexLink"/>
                <w:rtl w:val="true"/>
              </w:rPr>
              <w:t>[</w:t>
            </w:r>
            <w:r>
              <w:rPr>
                <w:rStyle w:val="IndexLink"/>
                <w:rtl w:val="true"/>
              </w:rPr>
              <w:t>الاجزاء و الشرائط واقعیة فی العبادات</w:t>
            </w:r>
            <w:r>
              <w:rPr>
                <w:rStyle w:val="IndexLink"/>
                <w:rtl w:val="true"/>
              </w:rPr>
              <w:t>]</w:t>
              <w:tab/>
            </w:r>
            <w:r>
              <w:rPr>
                <w:rStyle w:val="IndexLink"/>
              </w:rPr>
              <w:t>264</w:t>
            </w:r>
          </w:hyperlink>
        </w:p>
        <w:p>
          <w:pPr>
            <w:pStyle w:val="Contents4"/>
            <w:tabs>
              <w:tab w:val="clear" w:pos="8176"/>
              <w:tab w:val="right" w:pos="9026" w:leader="dot"/>
            </w:tabs>
            <w:rPr/>
          </w:pPr>
          <w:hyperlink w:anchor="__RefHeading___Toc2647060_3224264995">
            <w:r>
              <w:rPr>
                <w:webHidden/>
                <w:rStyle w:val="IndexLink"/>
                <w:rtl w:val="true"/>
              </w:rPr>
              <w:t>[</w:t>
            </w:r>
            <w:r>
              <w:rPr>
                <w:rStyle w:val="IndexLink"/>
                <w:rtl w:val="true"/>
              </w:rPr>
              <w:t>عدم اندراج الاصول المثبتة فی أخبار الاستصحاب</w:t>
            </w:r>
            <w:r>
              <w:rPr>
                <w:rStyle w:val="IndexLink"/>
                <w:rtl w:val="true"/>
              </w:rPr>
              <w:t>]</w:t>
              <w:tab/>
            </w:r>
            <w:r>
              <w:rPr>
                <w:rStyle w:val="IndexLink"/>
              </w:rPr>
              <w:t>264</w:t>
            </w:r>
          </w:hyperlink>
        </w:p>
        <w:p>
          <w:pPr>
            <w:pStyle w:val="Contents4"/>
            <w:tabs>
              <w:tab w:val="clear" w:pos="8176"/>
              <w:tab w:val="right" w:pos="9026" w:leader="dot"/>
            </w:tabs>
            <w:rPr/>
          </w:pPr>
          <w:hyperlink w:anchor="__RefHeading___Toc2647062_3224264995">
            <w:r>
              <w:rPr>
                <w:webHidden/>
                <w:rStyle w:val="IndexLink"/>
                <w:rtl w:val="true"/>
              </w:rPr>
              <w:t>[</w:t>
            </w:r>
            <w:r>
              <w:rPr>
                <w:rStyle w:val="IndexLink"/>
                <w:rtl w:val="true"/>
              </w:rPr>
              <w:t>استواء أسباب الضمان من حیث الجهل و العلم بها و العمد و الخطأ و النسیان فیها</w:t>
            </w:r>
            <w:r>
              <w:rPr>
                <w:rStyle w:val="IndexLink"/>
                <w:rtl w:val="true"/>
              </w:rPr>
              <w:t>]</w:t>
              <w:tab/>
            </w:r>
            <w:r>
              <w:rPr>
                <w:rStyle w:val="IndexLink"/>
              </w:rPr>
              <w:t>265</w:t>
            </w:r>
          </w:hyperlink>
        </w:p>
        <w:p>
          <w:pPr>
            <w:pStyle w:val="Contents4"/>
            <w:tabs>
              <w:tab w:val="clear" w:pos="8176"/>
              <w:tab w:val="right" w:pos="9026" w:leader="dot"/>
            </w:tabs>
            <w:rPr/>
          </w:pPr>
          <w:hyperlink w:anchor="__RefHeading___Toc2647064_3224264995">
            <w:r>
              <w:rPr>
                <w:webHidden/>
                <w:rStyle w:val="IndexLink"/>
                <w:rtl w:val="true"/>
              </w:rPr>
              <w:t>[</w:t>
            </w:r>
            <w:r>
              <w:rPr>
                <w:rStyle w:val="IndexLink"/>
                <w:rtl w:val="true"/>
              </w:rPr>
              <w:t>حدّ شمول حدیث الرفع لأقسام الآثار</w:t>
            </w:r>
            <w:r>
              <w:rPr>
                <w:rStyle w:val="IndexLink"/>
                <w:rtl w:val="true"/>
              </w:rPr>
              <w:t>]</w:t>
              <w:tab/>
            </w:r>
            <w:r>
              <w:rPr>
                <w:rStyle w:val="IndexLink"/>
              </w:rPr>
              <w:t>265</w:t>
            </w:r>
          </w:hyperlink>
        </w:p>
        <w:p>
          <w:pPr>
            <w:pStyle w:val="Contents4"/>
            <w:tabs>
              <w:tab w:val="clear" w:pos="8176"/>
              <w:tab w:val="right" w:pos="9026" w:leader="dot"/>
            </w:tabs>
            <w:rPr/>
          </w:pPr>
          <w:hyperlink w:anchor="__RefHeading___Toc2647066_3224264995">
            <w:r>
              <w:rPr>
                <w:webHidden/>
                <w:rStyle w:val="IndexLink"/>
                <w:rtl w:val="true"/>
              </w:rPr>
              <w:t>[</w:t>
            </w:r>
            <w:r>
              <w:rPr>
                <w:rStyle w:val="IndexLink"/>
                <w:rtl w:val="true"/>
              </w:rPr>
              <w:t>تبعیة الرفع لإرادة المکره</w:t>
            </w:r>
            <w:r>
              <w:rPr>
                <w:rStyle w:val="IndexLink"/>
                <w:rtl w:val="true"/>
              </w:rPr>
              <w:t>]</w:t>
              <w:tab/>
            </w:r>
            <w:r>
              <w:rPr>
                <w:rStyle w:val="IndexLink"/>
              </w:rPr>
              <w:t>268</w:t>
            </w:r>
          </w:hyperlink>
        </w:p>
        <w:p>
          <w:pPr>
            <w:pStyle w:val="Contents4"/>
            <w:tabs>
              <w:tab w:val="clear" w:pos="8176"/>
              <w:tab w:val="right" w:pos="9026" w:leader="dot"/>
            </w:tabs>
            <w:rPr/>
          </w:pPr>
          <w:hyperlink w:anchor="__RefHeading___Toc2647068_3224264995">
            <w:r>
              <w:rPr>
                <w:webHidden/>
                <w:rStyle w:val="IndexLink"/>
                <w:rtl w:val="true"/>
              </w:rPr>
              <w:t>[</w:t>
            </w:r>
            <w:r>
              <w:rPr>
                <w:rStyle w:val="IndexLink"/>
                <w:rtl w:val="true"/>
              </w:rPr>
              <w:t>الاضرار بالغیر مکرها</w:t>
            </w:r>
            <w:r>
              <w:rPr>
                <w:rStyle w:val="IndexLink"/>
                <w:rtl w:val="true"/>
              </w:rPr>
              <w:t>]</w:t>
              <w:tab/>
            </w:r>
            <w:r>
              <w:rPr>
                <w:rStyle w:val="IndexLink"/>
              </w:rPr>
              <w:t>268</w:t>
            </w:r>
          </w:hyperlink>
        </w:p>
        <w:p>
          <w:pPr>
            <w:pStyle w:val="Contents4"/>
            <w:tabs>
              <w:tab w:val="clear" w:pos="8176"/>
              <w:tab w:val="right" w:pos="9026" w:leader="dot"/>
            </w:tabs>
            <w:rPr/>
          </w:pPr>
          <w:hyperlink w:anchor="__RefHeading___Toc2647070_3224264995">
            <w:r>
              <w:rPr>
                <w:webHidden/>
                <w:rStyle w:val="IndexLink"/>
                <w:rtl w:val="true"/>
              </w:rPr>
              <w:t>[</w:t>
            </w:r>
            <w:r>
              <w:rPr>
                <w:rStyle w:val="IndexLink"/>
                <w:rtl w:val="true"/>
              </w:rPr>
              <w:t>التفکّر و الطیرة</w:t>
            </w:r>
            <w:r>
              <w:rPr>
                <w:rStyle w:val="IndexLink"/>
                <w:rtl w:val="true"/>
              </w:rPr>
              <w:t>]</w:t>
              <w:tab/>
            </w:r>
            <w:r>
              <w:rPr>
                <w:rStyle w:val="IndexLink"/>
              </w:rPr>
              <w:t>269</w:t>
            </w:r>
          </w:hyperlink>
        </w:p>
        <w:p>
          <w:pPr>
            <w:pStyle w:val="Contents4"/>
            <w:tabs>
              <w:tab w:val="clear" w:pos="8176"/>
              <w:tab w:val="right" w:pos="9026" w:leader="dot"/>
            </w:tabs>
            <w:rPr/>
          </w:pPr>
          <w:hyperlink w:anchor="__RefHeading___Toc2647072_3224264995">
            <w:r>
              <w:rPr>
                <w:webHidden/>
                <w:rStyle w:val="IndexLink"/>
                <w:rtl w:val="true"/>
              </w:rPr>
              <w:t>[</w:t>
            </w:r>
            <w:r>
              <w:rPr>
                <w:rStyle w:val="IndexLink"/>
                <w:rtl w:val="true"/>
              </w:rPr>
              <w:t>مناقشة إیراد الماتن علی دلالة حدیث الحجب علی البراءة</w:t>
            </w:r>
            <w:r>
              <w:rPr>
                <w:rStyle w:val="IndexLink"/>
                <w:rtl w:val="true"/>
              </w:rPr>
              <w:t>]</w:t>
              <w:tab/>
            </w:r>
            <w:r>
              <w:rPr>
                <w:rStyle w:val="IndexLink"/>
              </w:rPr>
              <w:t>269</w:t>
            </w:r>
          </w:hyperlink>
        </w:p>
        <w:p>
          <w:pPr>
            <w:pStyle w:val="Contents4"/>
            <w:tabs>
              <w:tab w:val="clear" w:pos="8176"/>
              <w:tab w:val="right" w:pos="9026" w:leader="dot"/>
            </w:tabs>
            <w:rPr/>
          </w:pPr>
          <w:hyperlink w:anchor="__RefHeading___Toc2647074_3224264995">
            <w:r>
              <w:rPr>
                <w:webHidden/>
                <w:rStyle w:val="IndexLink"/>
                <w:rtl w:val="true"/>
              </w:rPr>
              <w:t>[</w:t>
            </w:r>
            <w:r>
              <w:rPr>
                <w:rStyle w:val="IndexLink"/>
                <w:rtl w:val="true"/>
              </w:rPr>
              <w:t>ردّ کلام الماتن فی حدیث</w:t>
            </w:r>
            <w:r>
              <w:rPr>
                <w:rStyle w:val="IndexLink"/>
                <w:rtl w:val="true"/>
              </w:rPr>
              <w:t>: «</w:t>
            </w:r>
            <w:r>
              <w:rPr>
                <w:rStyle w:val="IndexLink"/>
                <w:rtl w:val="true"/>
              </w:rPr>
              <w:t>فسکت عن أشیاء</w:t>
            </w:r>
            <w:r>
              <w:rPr>
                <w:rStyle w:val="IndexLink"/>
                <w:rtl w:val="true"/>
              </w:rPr>
              <w:t>»]</w:t>
              <w:tab/>
            </w:r>
            <w:r>
              <w:rPr>
                <w:rStyle w:val="IndexLink"/>
              </w:rPr>
              <w:t>270</w:t>
            </w:r>
          </w:hyperlink>
        </w:p>
        <w:p>
          <w:pPr>
            <w:pStyle w:val="Contents4"/>
            <w:tabs>
              <w:tab w:val="clear" w:pos="8176"/>
              <w:tab w:val="right" w:pos="9026" w:leader="dot"/>
            </w:tabs>
            <w:rPr/>
          </w:pPr>
          <w:hyperlink w:anchor="__RefHeading___Toc2647076_3224264995">
            <w:r>
              <w:rPr>
                <w:webHidden/>
                <w:rStyle w:val="IndexLink"/>
                <w:rtl w:val="true"/>
              </w:rPr>
              <w:t>[</w:t>
            </w:r>
            <w:r>
              <w:rPr>
                <w:rStyle w:val="IndexLink"/>
                <w:rtl w:val="true"/>
              </w:rPr>
              <w:t>الکلام فی حدیث</w:t>
            </w:r>
            <w:r>
              <w:rPr>
                <w:rStyle w:val="IndexLink"/>
                <w:rtl w:val="true"/>
              </w:rPr>
              <w:t>: «</w:t>
            </w:r>
            <w:r>
              <w:rPr>
                <w:rStyle w:val="IndexLink"/>
                <w:rtl w:val="true"/>
              </w:rPr>
              <w:t>کلّ شی‌ء مطلق</w:t>
            </w:r>
            <w:r>
              <w:rPr>
                <w:rStyle w:val="IndexLink"/>
                <w:rtl w:val="true"/>
              </w:rPr>
              <w:t>»]</w:t>
              <w:tab/>
            </w:r>
            <w:r>
              <w:rPr>
                <w:rStyle w:val="IndexLink"/>
              </w:rPr>
              <w:t>270</w:t>
            </w:r>
          </w:hyperlink>
        </w:p>
        <w:p>
          <w:pPr>
            <w:pStyle w:val="Contents4"/>
            <w:tabs>
              <w:tab w:val="clear" w:pos="8176"/>
              <w:tab w:val="right" w:pos="9026" w:leader="dot"/>
            </w:tabs>
            <w:rPr/>
          </w:pPr>
          <w:hyperlink w:anchor="__RefHeading___Toc2647078_3224264995">
            <w:r>
              <w:rPr>
                <w:webHidden/>
                <w:rStyle w:val="IndexLink"/>
                <w:rtl w:val="true"/>
              </w:rPr>
              <w:t>[</w:t>
            </w:r>
            <w:r>
              <w:rPr>
                <w:rStyle w:val="IndexLink"/>
                <w:rtl w:val="true"/>
              </w:rPr>
              <w:t>محاکمة بین القوانین و الفصول فی معنی حدیث</w:t>
            </w:r>
            <w:r>
              <w:rPr>
                <w:rStyle w:val="IndexLink"/>
                <w:rtl w:val="true"/>
              </w:rPr>
              <w:t>: «</w:t>
            </w:r>
            <w:r>
              <w:rPr>
                <w:rStyle w:val="IndexLink"/>
                <w:rtl w:val="true"/>
              </w:rPr>
              <w:t>کلّ شی‌ء مطلق</w:t>
            </w:r>
            <w:r>
              <w:rPr>
                <w:rStyle w:val="IndexLink"/>
                <w:rtl w:val="true"/>
              </w:rPr>
              <w:t>»]</w:t>
              <w:tab/>
            </w:r>
            <w:r>
              <w:rPr>
                <w:rStyle w:val="IndexLink"/>
              </w:rPr>
              <w:t>272</w:t>
            </w:r>
          </w:hyperlink>
        </w:p>
        <w:p>
          <w:pPr>
            <w:pStyle w:val="Contents4"/>
            <w:tabs>
              <w:tab w:val="clear" w:pos="8176"/>
              <w:tab w:val="right" w:pos="9026" w:leader="dot"/>
            </w:tabs>
            <w:rPr/>
          </w:pPr>
          <w:hyperlink w:anchor="__RefHeading___Toc2647080_3224264995">
            <w:r>
              <w:rPr>
                <w:webHidden/>
                <w:rStyle w:val="IndexLink"/>
                <w:rtl w:val="true"/>
              </w:rPr>
              <w:t>[</w:t>
            </w:r>
            <w:r>
              <w:rPr>
                <w:rStyle w:val="IndexLink"/>
                <w:rtl w:val="true"/>
              </w:rPr>
              <w:t>مناقشات فی دلالة الحدیث علی البراءة</w:t>
            </w:r>
            <w:r>
              <w:rPr>
                <w:rStyle w:val="IndexLink"/>
                <w:rtl w:val="true"/>
              </w:rPr>
              <w:t>]</w:t>
              <w:tab/>
            </w:r>
            <w:r>
              <w:rPr>
                <w:rStyle w:val="IndexLink"/>
              </w:rPr>
              <w:t>273</w:t>
            </w:r>
          </w:hyperlink>
        </w:p>
        <w:p>
          <w:pPr>
            <w:pStyle w:val="Contents4"/>
            <w:tabs>
              <w:tab w:val="clear" w:pos="8176"/>
              <w:tab w:val="right" w:pos="9026" w:leader="dot"/>
            </w:tabs>
            <w:rPr/>
          </w:pPr>
          <w:hyperlink w:anchor="__RefHeading___Toc2647082_3224264995">
            <w:r>
              <w:rPr>
                <w:webHidden/>
                <w:rStyle w:val="IndexLink"/>
                <w:rtl w:val="true"/>
              </w:rPr>
              <w:t>[</w:t>
            </w:r>
            <w:r>
              <w:rPr>
                <w:rStyle w:val="IndexLink"/>
                <w:rtl w:val="true"/>
              </w:rPr>
              <w:t>منع عدم حجّیة الظنّ فی اصول الفقه</w:t>
            </w:r>
            <w:r>
              <w:rPr>
                <w:rStyle w:val="IndexLink"/>
                <w:rtl w:val="true"/>
              </w:rPr>
              <w:t>]</w:t>
              <w:tab/>
            </w:r>
            <w:r>
              <w:rPr>
                <w:rStyle w:val="IndexLink"/>
              </w:rPr>
              <w:t>274</w:t>
            </w:r>
          </w:hyperlink>
        </w:p>
        <w:p>
          <w:pPr>
            <w:pStyle w:val="Contents4"/>
            <w:tabs>
              <w:tab w:val="clear" w:pos="8176"/>
              <w:tab w:val="right" w:pos="9026" w:leader="dot"/>
            </w:tabs>
            <w:rPr/>
          </w:pPr>
          <w:hyperlink w:anchor="__RefHeading___Toc2647084_3224264995">
            <w:r>
              <w:rPr>
                <w:webHidden/>
                <w:rStyle w:val="IndexLink"/>
                <w:rtl w:val="true"/>
              </w:rPr>
              <w:t>[</w:t>
            </w:r>
            <w:r>
              <w:rPr>
                <w:rStyle w:val="IndexLink"/>
                <w:rtl w:val="true"/>
              </w:rPr>
              <w:t>وجوه کون البراءة بحثا اصولیا أو فقهیا أو کلامیا</w:t>
            </w:r>
            <w:r>
              <w:rPr>
                <w:rStyle w:val="IndexLink"/>
                <w:rtl w:val="true"/>
              </w:rPr>
              <w:t>]</w:t>
              <w:tab/>
            </w:r>
            <w:r>
              <w:rPr>
                <w:rStyle w:val="IndexLink"/>
              </w:rPr>
              <w:t>274</w:t>
            </w:r>
          </w:hyperlink>
        </w:p>
        <w:p>
          <w:pPr>
            <w:pStyle w:val="Contents4"/>
            <w:tabs>
              <w:tab w:val="clear" w:pos="8176"/>
              <w:tab w:val="right" w:pos="9026" w:leader="dot"/>
            </w:tabs>
            <w:rPr/>
          </w:pPr>
          <w:hyperlink w:anchor="__RefHeading___Toc2647086_3224264995">
            <w:r>
              <w:rPr>
                <w:webHidden/>
                <w:rStyle w:val="IndexLink"/>
                <w:rtl w:val="true"/>
              </w:rPr>
              <w:t>[</w:t>
            </w:r>
            <w:r>
              <w:rPr>
                <w:rStyle w:val="IndexLink"/>
                <w:rtl w:val="true"/>
              </w:rPr>
              <w:t>الردّ علی صاحب الوسائل فی إیراده علی دلالة الحدیث</w:t>
            </w:r>
            <w:r>
              <w:rPr>
                <w:rStyle w:val="IndexLink"/>
                <w:rtl w:val="true"/>
              </w:rPr>
              <w:t>]</w:t>
              <w:tab/>
            </w:r>
            <w:r>
              <w:rPr>
                <w:rStyle w:val="IndexLink"/>
              </w:rPr>
              <w:t>275</w:t>
            </w:r>
          </w:hyperlink>
        </w:p>
        <w:p>
          <w:pPr>
            <w:pStyle w:val="Contents4"/>
            <w:tabs>
              <w:tab w:val="clear" w:pos="8176"/>
              <w:tab w:val="right" w:pos="9026" w:leader="dot"/>
            </w:tabs>
            <w:rPr/>
          </w:pPr>
          <w:hyperlink w:anchor="__RefHeading___Toc2647088_3224264995">
            <w:r>
              <w:rPr>
                <w:webHidden/>
                <w:rStyle w:val="IndexLink"/>
                <w:rtl w:val="true"/>
              </w:rPr>
              <w:t>[</w:t>
            </w:r>
            <w:r>
              <w:rPr>
                <w:rStyle w:val="IndexLink"/>
                <w:rtl w:val="true"/>
              </w:rPr>
              <w:t>کلام فی الأخذ بمخالف العامّة</w:t>
            </w:r>
            <w:r>
              <w:rPr>
                <w:rStyle w:val="IndexLink"/>
                <w:rtl w:val="true"/>
              </w:rPr>
              <w:t>]</w:t>
              <w:tab/>
            </w:r>
            <w:r>
              <w:rPr>
                <w:rStyle w:val="IndexLink"/>
              </w:rPr>
              <w:t>276</w:t>
            </w:r>
          </w:hyperlink>
        </w:p>
        <w:p>
          <w:pPr>
            <w:pStyle w:val="Contents4"/>
            <w:tabs>
              <w:tab w:val="clear" w:pos="8176"/>
              <w:tab w:val="right" w:pos="9026" w:leader="dot"/>
            </w:tabs>
            <w:rPr/>
          </w:pPr>
          <w:hyperlink w:anchor="__RefHeading___Toc2647090_3224264995">
            <w:r>
              <w:rPr>
                <w:webHidden/>
                <w:rStyle w:val="IndexLink"/>
                <w:rtl w:val="true"/>
              </w:rPr>
              <w:t>[</w:t>
            </w:r>
            <w:r>
              <w:rPr>
                <w:rStyle w:val="IndexLink"/>
                <w:rtl w:val="true"/>
              </w:rPr>
              <w:t>أقوائیة دلالة حدیث</w:t>
            </w:r>
            <w:r>
              <w:rPr>
                <w:rStyle w:val="IndexLink"/>
                <w:rtl w:val="true"/>
              </w:rPr>
              <w:t>: «</w:t>
            </w:r>
            <w:r>
              <w:rPr>
                <w:rStyle w:val="IndexLink"/>
                <w:rtl w:val="true"/>
              </w:rPr>
              <w:t>کلّ شی‌ء مطلق</w:t>
            </w:r>
            <w:r>
              <w:rPr>
                <w:rStyle w:val="IndexLink"/>
                <w:rtl w:val="true"/>
              </w:rPr>
              <w:t xml:space="preserve">» </w:t>
            </w:r>
            <w:r>
              <w:rPr>
                <w:rStyle w:val="IndexLink"/>
                <w:rtl w:val="true"/>
              </w:rPr>
              <w:t>علی البراءة</w:t>
            </w:r>
            <w:r>
              <w:rPr>
                <w:rStyle w:val="IndexLink"/>
                <w:rtl w:val="true"/>
              </w:rPr>
              <w:t>]</w:t>
              <w:tab/>
            </w:r>
            <w:r>
              <w:rPr>
                <w:rStyle w:val="IndexLink"/>
              </w:rPr>
              <w:t>276</w:t>
            </w:r>
          </w:hyperlink>
        </w:p>
        <w:p>
          <w:pPr>
            <w:pStyle w:val="Contents4"/>
            <w:tabs>
              <w:tab w:val="clear" w:pos="8176"/>
              <w:tab w:val="right" w:pos="9026" w:leader="dot"/>
            </w:tabs>
            <w:rPr/>
          </w:pPr>
          <w:hyperlink w:anchor="__RefHeading___Toc2647092_3224264995">
            <w:r>
              <w:rPr>
                <w:webHidden/>
                <w:rStyle w:val="IndexLink"/>
                <w:rtl w:val="true"/>
              </w:rPr>
              <w:t>[</w:t>
            </w:r>
            <w:r>
              <w:rPr>
                <w:rStyle w:val="IndexLink"/>
                <w:rtl w:val="true"/>
              </w:rPr>
              <w:t>توضیح إیراد الماتن علی الاستدلال بصحیحة عبد الرحمن بن حجاج</w:t>
            </w:r>
            <w:r>
              <w:rPr>
                <w:rStyle w:val="IndexLink"/>
                <w:rtl w:val="true"/>
              </w:rPr>
              <w:t>]</w:t>
              <w:tab/>
            </w:r>
            <w:r>
              <w:rPr>
                <w:rStyle w:val="IndexLink"/>
              </w:rPr>
              <w:t>277</w:t>
            </w:r>
          </w:hyperlink>
        </w:p>
        <w:p>
          <w:pPr>
            <w:pStyle w:val="Contents4"/>
            <w:tabs>
              <w:tab w:val="clear" w:pos="8176"/>
              <w:tab w:val="right" w:pos="9026" w:leader="dot"/>
            </w:tabs>
            <w:rPr/>
          </w:pPr>
          <w:hyperlink w:anchor="__RefHeading___Toc2647094_3224264995">
            <w:r>
              <w:rPr>
                <w:webHidden/>
                <w:rStyle w:val="IndexLink"/>
                <w:rtl w:val="true"/>
              </w:rPr>
              <w:t>[</w:t>
            </w:r>
            <w:r>
              <w:rPr>
                <w:rStyle w:val="IndexLink"/>
                <w:rtl w:val="true"/>
              </w:rPr>
              <w:t>إشکال فی دلالة أخری للصحیحة و دفعه</w:t>
            </w:r>
            <w:r>
              <w:rPr>
                <w:rStyle w:val="IndexLink"/>
                <w:rtl w:val="true"/>
              </w:rPr>
              <w:t>]</w:t>
              <w:tab/>
            </w:r>
            <w:r>
              <w:rPr>
                <w:rStyle w:val="IndexLink"/>
              </w:rPr>
              <w:t>278</w:t>
            </w:r>
          </w:hyperlink>
        </w:p>
        <w:p>
          <w:pPr>
            <w:pStyle w:val="Contents4"/>
            <w:tabs>
              <w:tab w:val="clear" w:pos="8176"/>
              <w:tab w:val="right" w:pos="9026" w:leader="dot"/>
            </w:tabs>
            <w:rPr/>
          </w:pPr>
          <w:hyperlink w:anchor="__RefHeading___Toc2647096_3224264995">
            <w:r>
              <w:rPr>
                <w:webHidden/>
                <w:rStyle w:val="IndexLink"/>
                <w:rtl w:val="true"/>
              </w:rPr>
              <w:t>[</w:t>
            </w:r>
            <w:r>
              <w:rPr>
                <w:rStyle w:val="IndexLink"/>
                <w:rtl w:val="true"/>
              </w:rPr>
              <w:t>فی مفاد حدیث</w:t>
            </w:r>
            <w:r>
              <w:rPr>
                <w:rStyle w:val="IndexLink"/>
                <w:rtl w:val="true"/>
              </w:rPr>
              <w:t>: «</w:t>
            </w:r>
            <w:r>
              <w:rPr>
                <w:rStyle w:val="IndexLink"/>
                <w:rtl w:val="true"/>
              </w:rPr>
              <w:t>کلّ شی‌ء فیه حلال و حرام</w:t>
            </w:r>
            <w:r>
              <w:rPr>
                <w:rStyle w:val="IndexLink"/>
                <w:rtl w:val="true"/>
              </w:rPr>
              <w:t>»]</w:t>
              <w:tab/>
            </w:r>
            <w:r>
              <w:rPr>
                <w:rStyle w:val="IndexLink"/>
              </w:rPr>
              <w:t>279</w:t>
            </w:r>
          </w:hyperlink>
        </w:p>
        <w:p>
          <w:pPr>
            <w:pStyle w:val="Contents4"/>
            <w:tabs>
              <w:tab w:val="clear" w:pos="8176"/>
              <w:tab w:val="right" w:pos="9026" w:leader="dot"/>
            </w:tabs>
            <w:rPr/>
          </w:pPr>
          <w:hyperlink w:anchor="__RefHeading___Toc2647098_3224264995">
            <w:r>
              <w:rPr>
                <w:webHidden/>
                <w:rStyle w:val="IndexLink"/>
                <w:rtl w:val="true"/>
              </w:rPr>
              <w:t>[</w:t>
            </w:r>
            <w:r>
              <w:rPr>
                <w:rStyle w:val="IndexLink"/>
                <w:rtl w:val="true"/>
              </w:rPr>
              <w:t>إشارة إلی الخلاف فی وجوه الکلّی الطبیعی</w:t>
            </w:r>
            <w:r>
              <w:rPr>
                <w:rStyle w:val="IndexLink"/>
                <w:rtl w:val="true"/>
              </w:rPr>
              <w:t>]</w:t>
              <w:tab/>
            </w:r>
            <w:r>
              <w:rPr>
                <w:rStyle w:val="IndexLink"/>
              </w:rPr>
              <w:t>280</w:t>
            </w:r>
          </w:hyperlink>
        </w:p>
        <w:p>
          <w:pPr>
            <w:pStyle w:val="Contents4"/>
            <w:tabs>
              <w:tab w:val="clear" w:pos="8176"/>
              <w:tab w:val="right" w:pos="9026" w:leader="dot"/>
            </w:tabs>
            <w:rPr/>
          </w:pPr>
          <w:hyperlink w:anchor="__RefHeading___Toc2647100_3224264995">
            <w:r>
              <w:rPr>
                <w:webHidden/>
                <w:rStyle w:val="IndexLink"/>
                <w:rtl w:val="true"/>
              </w:rPr>
              <w:t>[</w:t>
            </w:r>
            <w:r>
              <w:rPr>
                <w:rStyle w:val="IndexLink"/>
                <w:rtl w:val="true"/>
              </w:rPr>
              <w:t>ردّ إیراد الماتن علی المحکیّ عن المحقّق من الاستدلال بإجماع أهل الشرائع عملا علی البراءة</w:t>
            </w:r>
            <w:r>
              <w:rPr>
                <w:rStyle w:val="IndexLink"/>
                <w:rtl w:val="true"/>
              </w:rPr>
              <w:t>]</w:t>
              <w:tab/>
            </w:r>
            <w:r>
              <w:rPr>
                <w:rStyle w:val="IndexLink"/>
              </w:rPr>
              <w:t>283</w:t>
            </w:r>
          </w:hyperlink>
        </w:p>
        <w:p>
          <w:pPr>
            <w:pStyle w:val="Contents4"/>
            <w:tabs>
              <w:tab w:val="clear" w:pos="8176"/>
              <w:tab w:val="right" w:pos="9026" w:leader="dot"/>
            </w:tabs>
            <w:rPr/>
          </w:pPr>
          <w:hyperlink w:anchor="__RefHeading___Toc2647102_3224264995">
            <w:r>
              <w:rPr>
                <w:webHidden/>
                <w:rStyle w:val="IndexLink"/>
                <w:rtl w:val="true"/>
              </w:rPr>
              <w:t>[</w:t>
            </w:r>
            <w:r>
              <w:rPr>
                <w:rStyle w:val="IndexLink"/>
                <w:rtl w:val="true"/>
              </w:rPr>
              <w:t>کلام فی النسبة بین قاعدتی قبح العقاب بلا بیان و دفع مناقشات مع الماتن فی النسبة بین قاعدة قبح العقاب و قاعدة دفع الضرر المحتمل، و تثبیت لزوم دفع الضرر المحتمل</w:t>
            </w:r>
            <w:r>
              <w:rPr>
                <w:rStyle w:val="IndexLink"/>
                <w:rtl w:val="true"/>
              </w:rPr>
              <w:t>]</w:t>
              <w:tab/>
            </w:r>
            <w:r>
              <w:rPr>
                <w:rStyle w:val="IndexLink"/>
              </w:rPr>
              <w:t>284</w:t>
            </w:r>
          </w:hyperlink>
        </w:p>
        <w:p>
          <w:pPr>
            <w:pStyle w:val="Contents4"/>
            <w:tabs>
              <w:tab w:val="clear" w:pos="8176"/>
              <w:tab w:val="right" w:pos="9026" w:leader="dot"/>
            </w:tabs>
            <w:rPr/>
          </w:pPr>
          <w:hyperlink w:anchor="__RefHeading___Toc2647104_3224264995">
            <w:r>
              <w:rPr>
                <w:webHidden/>
                <w:rStyle w:val="IndexLink"/>
                <w:rtl w:val="true"/>
              </w:rPr>
              <w:t>[</w:t>
            </w:r>
            <w:r>
              <w:rPr>
                <w:rStyle w:val="IndexLink"/>
                <w:rtl w:val="true"/>
              </w:rPr>
              <w:t>اتحاد أدلّة الاحتیاط مع قاعدة دفع الضرر المحتمل</w:t>
            </w:r>
            <w:r>
              <w:rPr>
                <w:rStyle w:val="IndexLink"/>
                <w:rtl w:val="true"/>
              </w:rPr>
              <w:t>]</w:t>
              <w:tab/>
            </w:r>
            <w:r>
              <w:rPr>
                <w:rStyle w:val="IndexLink"/>
              </w:rPr>
              <w:t>285</w:t>
            </w:r>
          </w:hyperlink>
        </w:p>
        <w:p>
          <w:pPr>
            <w:pStyle w:val="Contents4"/>
            <w:tabs>
              <w:tab w:val="clear" w:pos="8176"/>
              <w:tab w:val="right" w:pos="9026" w:leader="dot"/>
            </w:tabs>
            <w:rPr/>
          </w:pPr>
          <w:hyperlink w:anchor="__RefHeading___Toc2647106_3224264995">
            <w:r>
              <w:rPr>
                <w:webHidden/>
                <w:rStyle w:val="IndexLink"/>
                <w:rtl w:val="true"/>
              </w:rPr>
              <w:t>[</w:t>
            </w:r>
            <w:r>
              <w:rPr>
                <w:rStyle w:val="IndexLink"/>
                <w:rtl w:val="true"/>
              </w:rPr>
              <w:t>مناقشة کلام الماتن فی انّ امتثال غیر المعلوم من التکلیف الضرر المحتمل</w:t>
            </w:r>
            <w:r>
              <w:rPr>
                <w:rStyle w:val="IndexLink"/>
                <w:rtl w:val="true"/>
              </w:rPr>
              <w:t>]</w:t>
              <w:tab/>
            </w:r>
            <w:r>
              <w:rPr>
                <w:rStyle w:val="IndexLink"/>
              </w:rPr>
              <w:t>286</w:t>
            </w:r>
          </w:hyperlink>
        </w:p>
        <w:p>
          <w:pPr>
            <w:pStyle w:val="Contents4"/>
            <w:tabs>
              <w:tab w:val="clear" w:pos="8176"/>
              <w:tab w:val="right" w:pos="9026" w:leader="dot"/>
            </w:tabs>
            <w:rPr/>
          </w:pPr>
          <w:hyperlink w:anchor="__RefHeading___Toc2647108_3224264995">
            <w:r>
              <w:rPr>
                <w:webHidden/>
                <w:rStyle w:val="IndexLink"/>
                <w:rtl w:val="true"/>
              </w:rPr>
              <w:t>[</w:t>
            </w:r>
            <w:r>
              <w:rPr>
                <w:rStyle w:val="IndexLink"/>
                <w:rtl w:val="true"/>
              </w:rPr>
              <w:t>وجه معاقبة الکفار علی الفروع</w:t>
            </w:r>
            <w:r>
              <w:rPr>
                <w:rStyle w:val="IndexLink"/>
                <w:rtl w:val="true"/>
              </w:rPr>
              <w:t>]</w:t>
              <w:tab/>
            </w:r>
            <w:r>
              <w:rPr>
                <w:rStyle w:val="IndexLink"/>
              </w:rPr>
              <w:t>287</w:t>
            </w:r>
          </w:hyperlink>
        </w:p>
        <w:p>
          <w:pPr>
            <w:pStyle w:val="Contents4"/>
            <w:tabs>
              <w:tab w:val="clear" w:pos="8176"/>
              <w:tab w:val="right" w:pos="9026" w:leader="dot"/>
            </w:tabs>
            <w:rPr/>
          </w:pPr>
          <w:hyperlink w:anchor="__RefHeading___Toc2647110_3224264995">
            <w:r>
              <w:rPr>
                <w:webHidden/>
                <w:rStyle w:val="IndexLink"/>
                <w:rtl w:val="true"/>
              </w:rPr>
              <w:t>[</w:t>
            </w:r>
            <w:r>
              <w:rPr>
                <w:rStyle w:val="IndexLink"/>
                <w:rtl w:val="true"/>
              </w:rPr>
              <w:t>عدم تمامیة قبح العقاب بلا بیان عقلا</w:t>
            </w:r>
            <w:r>
              <w:rPr>
                <w:rStyle w:val="IndexLink"/>
                <w:rtl w:val="true"/>
              </w:rPr>
              <w:t>]</w:t>
              <w:tab/>
            </w:r>
            <w:r>
              <w:rPr>
                <w:rStyle w:val="IndexLink"/>
              </w:rPr>
              <w:t>288</w:t>
            </w:r>
          </w:hyperlink>
        </w:p>
        <w:p>
          <w:pPr>
            <w:pStyle w:val="Contents4"/>
            <w:tabs>
              <w:tab w:val="clear" w:pos="8176"/>
              <w:tab w:val="right" w:pos="9026" w:leader="dot"/>
            </w:tabs>
            <w:rPr/>
          </w:pPr>
          <w:hyperlink w:anchor="__RefHeading___Toc2647112_3224264995">
            <w:r>
              <w:rPr>
                <w:webHidden/>
                <w:rStyle w:val="IndexLink"/>
                <w:rtl w:val="true"/>
              </w:rPr>
              <w:t>[</w:t>
            </w:r>
            <w:r>
              <w:rPr>
                <w:rStyle w:val="IndexLink"/>
                <w:rtl w:val="true"/>
              </w:rPr>
              <w:t>مناقشة کلام الماتن علی استصحاب البراءة</w:t>
            </w:r>
            <w:r>
              <w:rPr>
                <w:rStyle w:val="IndexLink"/>
                <w:rtl w:val="true"/>
              </w:rPr>
              <w:t>]</w:t>
              <w:tab/>
            </w:r>
            <w:r>
              <w:rPr>
                <w:rStyle w:val="IndexLink"/>
              </w:rPr>
              <w:t>289</w:t>
            </w:r>
          </w:hyperlink>
        </w:p>
        <w:p>
          <w:pPr>
            <w:pStyle w:val="Contents4"/>
            <w:tabs>
              <w:tab w:val="clear" w:pos="8176"/>
              <w:tab w:val="right" w:pos="9026" w:leader="dot"/>
            </w:tabs>
            <w:rPr/>
          </w:pPr>
          <w:hyperlink w:anchor="__RefHeading___Toc2647114_3224264995">
            <w:r>
              <w:rPr>
                <w:webHidden/>
                <w:rStyle w:val="IndexLink"/>
                <w:rtl w:val="true"/>
              </w:rPr>
              <w:t>[</w:t>
            </w:r>
            <w:r>
              <w:rPr>
                <w:rStyle w:val="IndexLink"/>
                <w:rtl w:val="true"/>
              </w:rPr>
              <w:t>إشارة إلی اعتبار بقاء موضوع الاستصحاب بالمسامحة العرفیة لا الدقّة العقلیة</w:t>
            </w:r>
            <w:r>
              <w:rPr>
                <w:rStyle w:val="IndexLink"/>
                <w:rtl w:val="true"/>
              </w:rPr>
              <w:t>]</w:t>
              <w:tab/>
            </w:r>
            <w:r>
              <w:rPr>
                <w:rStyle w:val="IndexLink"/>
              </w:rPr>
              <w:t>290</w:t>
            </w:r>
          </w:hyperlink>
        </w:p>
        <w:p>
          <w:pPr>
            <w:pStyle w:val="Contents4"/>
            <w:tabs>
              <w:tab w:val="clear" w:pos="8176"/>
              <w:tab w:val="right" w:pos="9026" w:leader="dot"/>
            </w:tabs>
            <w:rPr/>
          </w:pPr>
          <w:hyperlink w:anchor="__RefHeading___Toc2647116_3224264995">
            <w:r>
              <w:rPr>
                <w:webHidden/>
                <w:rStyle w:val="IndexLink"/>
                <w:rtl w:val="true"/>
              </w:rPr>
              <w:t>[</w:t>
            </w:r>
            <w:r>
              <w:rPr>
                <w:rStyle w:val="IndexLink"/>
                <w:rtl w:val="true"/>
              </w:rPr>
              <w:t>ردّ الاستدلال بتعذّر الاحتیاط فی بعض الصور علی البراءة</w:t>
            </w:r>
            <w:r>
              <w:rPr>
                <w:rStyle w:val="IndexLink"/>
                <w:rtl w:val="true"/>
              </w:rPr>
              <w:t>]</w:t>
              <w:tab/>
            </w:r>
            <w:r>
              <w:rPr>
                <w:rStyle w:val="IndexLink"/>
              </w:rPr>
              <w:t>290</w:t>
            </w:r>
          </w:hyperlink>
        </w:p>
        <w:p>
          <w:pPr>
            <w:pStyle w:val="Contents4"/>
            <w:tabs>
              <w:tab w:val="clear" w:pos="8176"/>
              <w:tab w:val="right" w:pos="9026" w:leader="dot"/>
            </w:tabs>
            <w:rPr/>
          </w:pPr>
          <w:hyperlink w:anchor="__RefHeading___Toc2647118_3224264995">
            <w:r>
              <w:rPr>
                <w:webHidden/>
                <w:rStyle w:val="IndexLink"/>
                <w:rtl w:val="true"/>
              </w:rPr>
              <w:t>[</w:t>
            </w:r>
            <w:r>
              <w:rPr>
                <w:rStyle w:val="IndexLink"/>
                <w:rtl w:val="true"/>
              </w:rPr>
              <w:t>دراسة فی قوله تعالی</w:t>
            </w:r>
            <w:r>
              <w:rPr>
                <w:rStyle w:val="IndexLink"/>
                <w:rtl w:val="true"/>
              </w:rPr>
              <w:t xml:space="preserve">: </w:t>
            </w:r>
            <w:r>
              <w:rPr>
                <w:rStyle w:val="IndexLink"/>
                <w:rtl w:val="true"/>
              </w:rPr>
              <w:t>اتَّقُوا اللَّهَ حَقَّ تُقاتِهِ وَ جاهِدُوا فِی اللَّهِ حَقَّ جِهادِهِ</w:t>
            </w:r>
            <w:r>
              <w:rPr>
                <w:rStyle w:val="IndexLink"/>
                <w:rtl w:val="true"/>
              </w:rPr>
              <w:t>]</w:t>
              <w:tab/>
            </w:r>
            <w:r>
              <w:rPr>
                <w:rStyle w:val="IndexLink"/>
              </w:rPr>
              <w:t>290</w:t>
            </w:r>
          </w:hyperlink>
        </w:p>
        <w:p>
          <w:pPr>
            <w:pStyle w:val="Contents4"/>
            <w:tabs>
              <w:tab w:val="clear" w:pos="8176"/>
              <w:tab w:val="right" w:pos="9026" w:leader="dot"/>
            </w:tabs>
            <w:rPr/>
          </w:pPr>
          <w:hyperlink w:anchor="__RefHeading___Toc2647120_3224264995">
            <w:r>
              <w:rPr>
                <w:webHidden/>
                <w:rStyle w:val="IndexLink"/>
                <w:rtl w:val="true"/>
              </w:rPr>
              <w:t>[</w:t>
            </w:r>
            <w:r>
              <w:rPr>
                <w:rStyle w:val="IndexLink"/>
                <w:rtl w:val="true"/>
              </w:rPr>
              <w:t>دراسة أخبار التوقّف عند الشبهة</w:t>
            </w:r>
            <w:r>
              <w:rPr>
                <w:rStyle w:val="IndexLink"/>
                <w:rtl w:val="true"/>
              </w:rPr>
              <w:t>]</w:t>
              <w:tab/>
            </w:r>
            <w:r>
              <w:rPr>
                <w:rStyle w:val="IndexLink"/>
              </w:rPr>
              <w:t>292</w:t>
            </w:r>
          </w:hyperlink>
        </w:p>
        <w:p>
          <w:pPr>
            <w:pStyle w:val="Contents4"/>
            <w:tabs>
              <w:tab w:val="clear" w:pos="8176"/>
              <w:tab w:val="right" w:pos="9026" w:leader="dot"/>
            </w:tabs>
            <w:rPr/>
          </w:pPr>
          <w:hyperlink w:anchor="__RefHeading___Toc2647122_3224264995">
            <w:r>
              <w:rPr>
                <w:webHidden/>
                <w:rStyle w:val="IndexLink"/>
                <w:rtl w:val="true"/>
              </w:rPr>
              <w:t>[</w:t>
            </w:r>
            <w:r>
              <w:rPr>
                <w:rStyle w:val="IndexLink"/>
                <w:rtl w:val="true"/>
              </w:rPr>
              <w:t>شرح و دراسة ما یستفاد من المتن فی إبطال الردّ علی أخبار التوقّف بأنّ أخبار البراءة أخصّ منها</w:t>
            </w:r>
            <w:r>
              <w:rPr>
                <w:rStyle w:val="IndexLink"/>
                <w:rtl w:val="true"/>
              </w:rPr>
              <w:t>]</w:t>
              <w:tab/>
            </w:r>
            <w:r>
              <w:rPr>
                <w:rStyle w:val="IndexLink"/>
              </w:rPr>
              <w:t>294</w:t>
            </w:r>
          </w:hyperlink>
        </w:p>
        <w:p>
          <w:pPr>
            <w:pStyle w:val="Contents4"/>
            <w:tabs>
              <w:tab w:val="clear" w:pos="8176"/>
              <w:tab w:val="right" w:pos="9026" w:leader="dot"/>
            </w:tabs>
            <w:rPr/>
          </w:pPr>
          <w:hyperlink w:anchor="__RefHeading___Toc2647124_3224264995">
            <w:r>
              <w:rPr>
                <w:webHidden/>
                <w:rStyle w:val="IndexLink"/>
                <w:rtl w:val="true"/>
              </w:rPr>
              <w:t>[</w:t>
            </w:r>
            <w:r>
              <w:rPr>
                <w:rStyle w:val="IndexLink"/>
                <w:rtl w:val="true"/>
              </w:rPr>
              <w:t>بیان وجه التأمل المأمور به فی کلام الماتن فی هذا الموضع</w:t>
            </w:r>
            <w:r>
              <w:rPr>
                <w:rStyle w:val="IndexLink"/>
                <w:rtl w:val="true"/>
              </w:rPr>
              <w:t>]</w:t>
              <w:tab/>
            </w:r>
            <w:r>
              <w:rPr>
                <w:rStyle w:val="IndexLink"/>
              </w:rPr>
              <w:t>295</w:t>
            </w:r>
          </w:hyperlink>
        </w:p>
        <w:p>
          <w:pPr>
            <w:pStyle w:val="Contents4"/>
            <w:tabs>
              <w:tab w:val="clear" w:pos="8176"/>
              <w:tab w:val="right" w:pos="9026" w:leader="dot"/>
            </w:tabs>
            <w:rPr/>
          </w:pPr>
          <w:hyperlink w:anchor="__RefHeading___Toc2647126_3224264995">
            <w:r>
              <w:rPr>
                <w:webHidden/>
                <w:rStyle w:val="IndexLink"/>
                <w:rtl w:val="true"/>
              </w:rPr>
              <w:t>[</w:t>
            </w:r>
            <w:r>
              <w:rPr>
                <w:rStyle w:val="IndexLink"/>
                <w:rtl w:val="true"/>
              </w:rPr>
              <w:t>دراسة الأخبار الآمرة بالاحتیاط</w:t>
            </w:r>
            <w:r>
              <w:rPr>
                <w:rStyle w:val="IndexLink"/>
                <w:rtl w:val="true"/>
              </w:rPr>
              <w:t>]</w:t>
              <w:tab/>
            </w:r>
            <w:r>
              <w:rPr>
                <w:rStyle w:val="IndexLink"/>
              </w:rPr>
              <w:t>297</w:t>
            </w:r>
          </w:hyperlink>
        </w:p>
        <w:p>
          <w:pPr>
            <w:pStyle w:val="Contents4"/>
            <w:tabs>
              <w:tab w:val="clear" w:pos="8176"/>
              <w:tab w:val="right" w:pos="9026" w:leader="dot"/>
            </w:tabs>
            <w:rPr/>
          </w:pPr>
          <w:hyperlink w:anchor="__RefHeading___Toc2647128_3224264995">
            <w:r>
              <w:rPr>
                <w:webHidden/>
                <w:rStyle w:val="IndexLink"/>
                <w:rtl w:val="true"/>
              </w:rPr>
              <w:t>[</w:t>
            </w:r>
            <w:r>
              <w:rPr>
                <w:rStyle w:val="IndexLink"/>
                <w:rtl w:val="true"/>
              </w:rPr>
              <w:t>دراسة خبر</w:t>
            </w:r>
            <w:r>
              <w:rPr>
                <w:rStyle w:val="IndexLink"/>
                <w:rtl w:val="true"/>
              </w:rPr>
              <w:t>: «</w:t>
            </w:r>
            <w:r>
              <w:rPr>
                <w:rStyle w:val="IndexLink"/>
                <w:rtl w:val="true"/>
              </w:rPr>
              <w:t>دع ما یریبک</w:t>
            </w:r>
            <w:r>
              <w:rPr>
                <w:rStyle w:val="IndexLink"/>
                <w:rtl w:val="true"/>
              </w:rPr>
              <w:t>»]</w:t>
              <w:tab/>
            </w:r>
            <w:r>
              <w:rPr>
                <w:rStyle w:val="IndexLink"/>
              </w:rPr>
              <w:t>298</w:t>
            </w:r>
          </w:hyperlink>
        </w:p>
        <w:p>
          <w:pPr>
            <w:pStyle w:val="Contents4"/>
            <w:tabs>
              <w:tab w:val="clear" w:pos="8176"/>
              <w:tab w:val="right" w:pos="9026" w:leader="dot"/>
            </w:tabs>
            <w:rPr/>
          </w:pPr>
          <w:hyperlink w:anchor="__RefHeading___Toc2647130_3224264995">
            <w:r>
              <w:rPr>
                <w:webHidden/>
                <w:rStyle w:val="IndexLink"/>
                <w:rtl w:val="true"/>
              </w:rPr>
              <w:t>[</w:t>
            </w:r>
            <w:r>
              <w:rPr>
                <w:rStyle w:val="IndexLink"/>
                <w:rtl w:val="true"/>
              </w:rPr>
              <w:t>دراسة أخبار التثلیث</w:t>
            </w:r>
            <w:r>
              <w:rPr>
                <w:rStyle w:val="IndexLink"/>
                <w:rtl w:val="true"/>
              </w:rPr>
              <w:t>]</w:t>
              <w:tab/>
            </w:r>
            <w:r>
              <w:rPr>
                <w:rStyle w:val="IndexLink"/>
              </w:rPr>
              <w:t>300</w:t>
            </w:r>
          </w:hyperlink>
        </w:p>
        <w:p>
          <w:pPr>
            <w:pStyle w:val="Contents4"/>
            <w:tabs>
              <w:tab w:val="clear" w:pos="8176"/>
              <w:tab w:val="right" w:pos="9026" w:leader="dot"/>
            </w:tabs>
            <w:rPr/>
          </w:pPr>
          <w:hyperlink w:anchor="__RefHeading___Toc2647132_3224264995">
            <w:r>
              <w:rPr>
                <w:webHidden/>
                <w:rStyle w:val="IndexLink"/>
                <w:rtl w:val="true"/>
              </w:rPr>
              <w:t>[</w:t>
            </w:r>
            <w:r>
              <w:rPr>
                <w:rStyle w:val="IndexLink"/>
                <w:rtl w:val="true"/>
              </w:rPr>
              <w:t>ارتکازیة حرمة مقدمة الحرام</w:t>
            </w:r>
            <w:r>
              <w:rPr>
                <w:rStyle w:val="IndexLink"/>
                <w:rtl w:val="true"/>
              </w:rPr>
              <w:t>]</w:t>
              <w:tab/>
            </w:r>
            <w:r>
              <w:rPr>
                <w:rStyle w:val="IndexLink"/>
              </w:rPr>
              <w:t>301</w:t>
            </w:r>
          </w:hyperlink>
        </w:p>
        <w:p>
          <w:pPr>
            <w:pStyle w:val="Contents4"/>
            <w:tabs>
              <w:tab w:val="clear" w:pos="8176"/>
              <w:tab w:val="right" w:pos="9026" w:leader="dot"/>
            </w:tabs>
            <w:rPr/>
          </w:pPr>
          <w:hyperlink w:anchor="__RefHeading___Toc2647134_3224264995">
            <w:r>
              <w:rPr>
                <w:webHidden/>
                <w:rStyle w:val="IndexLink"/>
                <w:rtl w:val="true"/>
              </w:rPr>
              <w:t>[</w:t>
            </w:r>
            <w:r>
              <w:rPr>
                <w:rStyle w:val="IndexLink"/>
                <w:rtl w:val="true"/>
              </w:rPr>
              <w:t>الظن الحاصل من الأدلة الظنیة لا ینافی العلم الإجمالی بوجود الأحکام فی مواردها</w:t>
            </w:r>
            <w:r>
              <w:rPr>
                <w:rStyle w:val="IndexLink"/>
                <w:rtl w:val="true"/>
              </w:rPr>
              <w:t>]</w:t>
              <w:tab/>
            </w:r>
            <w:r>
              <w:rPr>
                <w:rStyle w:val="IndexLink"/>
              </w:rPr>
              <w:t>301</w:t>
            </w:r>
          </w:hyperlink>
        </w:p>
        <w:p>
          <w:pPr>
            <w:pStyle w:val="Contents4"/>
            <w:tabs>
              <w:tab w:val="clear" w:pos="8176"/>
              <w:tab w:val="right" w:pos="9026" w:leader="dot"/>
            </w:tabs>
            <w:rPr/>
          </w:pPr>
          <w:hyperlink w:anchor="__RefHeading___Toc2647136_3224264995">
            <w:r>
              <w:rPr>
                <w:webHidden/>
                <w:rStyle w:val="IndexLink"/>
                <w:rtl w:val="true"/>
              </w:rPr>
              <w:t>[</w:t>
            </w:r>
            <w:r>
              <w:rPr>
                <w:rStyle w:val="IndexLink"/>
                <w:rtl w:val="true"/>
              </w:rPr>
              <w:t>الاحتمالات فی وجه اعتبار الأدلة الظنیة شرعا</w:t>
            </w:r>
            <w:r>
              <w:rPr>
                <w:rStyle w:val="IndexLink"/>
                <w:rtl w:val="true"/>
              </w:rPr>
              <w:t>]</w:t>
              <w:tab/>
            </w:r>
            <w:r>
              <w:rPr>
                <w:rStyle w:val="IndexLink"/>
              </w:rPr>
              <w:t>302</w:t>
            </w:r>
          </w:hyperlink>
        </w:p>
        <w:p>
          <w:pPr>
            <w:pStyle w:val="Contents4"/>
            <w:tabs>
              <w:tab w:val="clear" w:pos="8176"/>
              <w:tab w:val="right" w:pos="9026" w:leader="dot"/>
            </w:tabs>
            <w:rPr/>
          </w:pPr>
          <w:hyperlink w:anchor="__RefHeading___Toc2647138_3224264995">
            <w:r>
              <w:rPr>
                <w:webHidden/>
                <w:rStyle w:val="IndexLink"/>
                <w:rtl w:val="true"/>
              </w:rPr>
              <w:t>[</w:t>
            </w:r>
            <w:r>
              <w:rPr>
                <w:rStyle w:val="IndexLink"/>
                <w:rtl w:val="true"/>
              </w:rPr>
              <w:t>اجزاء الأوامر الظاهریة</w:t>
            </w:r>
            <w:r>
              <w:rPr>
                <w:rStyle w:val="IndexLink"/>
                <w:rtl w:val="true"/>
              </w:rPr>
              <w:t>]</w:t>
              <w:tab/>
            </w:r>
            <w:r>
              <w:rPr>
                <w:rStyle w:val="IndexLink"/>
              </w:rPr>
              <w:t>305</w:t>
            </w:r>
          </w:hyperlink>
        </w:p>
        <w:p>
          <w:pPr>
            <w:pStyle w:val="Contents4"/>
            <w:tabs>
              <w:tab w:val="clear" w:pos="8176"/>
              <w:tab w:val="right" w:pos="9026" w:leader="dot"/>
            </w:tabs>
            <w:rPr/>
          </w:pPr>
          <w:hyperlink w:anchor="__RefHeading___Toc2647140_3224264995">
            <w:r>
              <w:rPr>
                <w:webHidden/>
                <w:rStyle w:val="IndexLink"/>
                <w:rtl w:val="true"/>
              </w:rPr>
              <w:t>[</w:t>
            </w:r>
            <w:r>
              <w:rPr>
                <w:rStyle w:val="IndexLink"/>
                <w:rtl w:val="true"/>
              </w:rPr>
              <w:t>التفصیل المحکیّ عن المحقق فی حجّیة البراءة</w:t>
            </w:r>
            <w:r>
              <w:rPr>
                <w:rStyle w:val="IndexLink"/>
                <w:rtl w:val="true"/>
              </w:rPr>
              <w:t>]</w:t>
              <w:tab/>
            </w:r>
            <w:r>
              <w:rPr>
                <w:rStyle w:val="IndexLink"/>
              </w:rPr>
              <w:t>306</w:t>
            </w:r>
          </w:hyperlink>
        </w:p>
        <w:p>
          <w:pPr>
            <w:pStyle w:val="Contents4"/>
            <w:tabs>
              <w:tab w:val="clear" w:pos="8176"/>
              <w:tab w:val="right" w:pos="9026" w:leader="dot"/>
            </w:tabs>
            <w:rPr/>
          </w:pPr>
          <w:hyperlink w:anchor="__RefHeading___Toc2647142_3224264995">
            <w:r>
              <w:rPr>
                <w:webHidden/>
                <w:rStyle w:val="IndexLink"/>
                <w:rtl w:val="true"/>
              </w:rPr>
              <w:t>[</w:t>
            </w:r>
            <w:r>
              <w:rPr>
                <w:rStyle w:val="IndexLink"/>
                <w:rtl w:val="true"/>
              </w:rPr>
              <w:t>مقتضی الأدلّة بالنسبة إلی مفاد البراءة</w:t>
            </w:r>
            <w:r>
              <w:rPr>
                <w:rStyle w:val="IndexLink"/>
                <w:rtl w:val="true"/>
              </w:rPr>
              <w:t>]</w:t>
              <w:tab/>
            </w:r>
            <w:r>
              <w:rPr>
                <w:rStyle w:val="IndexLink"/>
              </w:rPr>
              <w:t>306</w:t>
            </w:r>
          </w:hyperlink>
        </w:p>
        <w:p>
          <w:pPr>
            <w:pStyle w:val="Contents4"/>
            <w:tabs>
              <w:tab w:val="clear" w:pos="8176"/>
              <w:tab w:val="right" w:pos="9026" w:leader="dot"/>
            </w:tabs>
            <w:rPr/>
          </w:pPr>
          <w:hyperlink w:anchor="__RefHeading___Toc2647144_3224264995">
            <w:r>
              <w:rPr>
                <w:webHidden/>
                <w:rStyle w:val="IndexLink"/>
                <w:rtl w:val="true"/>
              </w:rPr>
              <w:t>[</w:t>
            </w:r>
            <w:r>
              <w:rPr>
                <w:rStyle w:val="IndexLink"/>
                <w:rtl w:val="true"/>
              </w:rPr>
              <w:t>هل اعتبار البراءة من باب الظنّ أو التعبّد</w:t>
            </w:r>
            <w:r>
              <w:rPr>
                <w:rStyle w:val="IndexLink"/>
                <w:rtl w:val="true"/>
              </w:rPr>
              <w:t>]</w:t>
              <w:tab/>
            </w:r>
            <w:r>
              <w:rPr>
                <w:rStyle w:val="IndexLink"/>
              </w:rPr>
              <w:t>307</w:t>
            </w:r>
          </w:hyperlink>
        </w:p>
        <w:p>
          <w:pPr>
            <w:pStyle w:val="Contents4"/>
            <w:tabs>
              <w:tab w:val="clear" w:pos="8176"/>
              <w:tab w:val="right" w:pos="9026" w:leader="dot"/>
            </w:tabs>
            <w:rPr/>
          </w:pPr>
          <w:hyperlink w:anchor="__RefHeading___Toc2647146_3224264995">
            <w:r>
              <w:rPr>
                <w:webHidden/>
                <w:rStyle w:val="IndexLink"/>
                <w:rtl w:val="true"/>
              </w:rPr>
              <w:t>[</w:t>
            </w:r>
            <w:r>
              <w:rPr>
                <w:rStyle w:val="IndexLink"/>
                <w:rtl w:val="true"/>
              </w:rPr>
              <w:t>هل اعتبار البراءة من باب الظنّ أو التعبّد</w:t>
            </w:r>
            <w:r>
              <w:rPr>
                <w:rStyle w:val="IndexLink"/>
                <w:rtl w:val="true"/>
              </w:rPr>
              <w:t>]</w:t>
              <w:tab/>
            </w:r>
            <w:r>
              <w:rPr>
                <w:rStyle w:val="IndexLink"/>
              </w:rPr>
              <w:t>308</w:t>
            </w:r>
          </w:hyperlink>
        </w:p>
        <w:p>
          <w:pPr>
            <w:pStyle w:val="Contents4"/>
            <w:tabs>
              <w:tab w:val="clear" w:pos="8176"/>
              <w:tab w:val="right" w:pos="9026" w:leader="dot"/>
            </w:tabs>
            <w:rPr/>
          </w:pPr>
          <w:hyperlink w:anchor="__RefHeading___Toc2647148_3224264995">
            <w:r>
              <w:rPr>
                <w:webHidden/>
                <w:rStyle w:val="IndexLink"/>
                <w:rtl w:val="true"/>
              </w:rPr>
              <w:t>[</w:t>
            </w:r>
            <w:r>
              <w:rPr>
                <w:rStyle w:val="IndexLink"/>
                <w:rtl w:val="true"/>
              </w:rPr>
              <w:t>البراءة أصل فی موارد و دلیل فی أخری</w:t>
            </w:r>
            <w:r>
              <w:rPr>
                <w:rStyle w:val="IndexLink"/>
                <w:rtl w:val="true"/>
              </w:rPr>
              <w:t>]</w:t>
              <w:tab/>
            </w:r>
            <w:r>
              <w:rPr>
                <w:rStyle w:val="IndexLink"/>
              </w:rPr>
              <w:t>310</w:t>
            </w:r>
          </w:hyperlink>
        </w:p>
        <w:p>
          <w:pPr>
            <w:pStyle w:val="Contents4"/>
            <w:tabs>
              <w:tab w:val="clear" w:pos="8176"/>
              <w:tab w:val="right" w:pos="9026" w:leader="dot"/>
            </w:tabs>
            <w:rPr/>
          </w:pPr>
          <w:hyperlink w:anchor="__RefHeading___Toc2647150_3224264995">
            <w:r>
              <w:rPr>
                <w:webHidden/>
                <w:rStyle w:val="IndexLink"/>
                <w:rtl w:val="true"/>
              </w:rPr>
              <w:t>[</w:t>
            </w:r>
            <w:r>
              <w:rPr>
                <w:rStyle w:val="IndexLink"/>
                <w:rtl w:val="true"/>
              </w:rPr>
              <w:t>فی انّ أوامر الاحتیاط إرشادیة أم استحبابیة</w:t>
            </w:r>
            <w:r>
              <w:rPr>
                <w:rStyle w:val="IndexLink"/>
                <w:rtl w:val="true"/>
              </w:rPr>
              <w:t>]</w:t>
              <w:tab/>
            </w:r>
            <w:r>
              <w:rPr>
                <w:rStyle w:val="IndexLink"/>
              </w:rPr>
              <w:t>310</w:t>
            </w:r>
          </w:hyperlink>
        </w:p>
        <w:p>
          <w:pPr>
            <w:pStyle w:val="Contents4"/>
            <w:tabs>
              <w:tab w:val="clear" w:pos="8176"/>
              <w:tab w:val="right" w:pos="9026" w:leader="dot"/>
            </w:tabs>
            <w:rPr/>
          </w:pPr>
          <w:hyperlink w:anchor="__RefHeading___Toc2647152_3224264995">
            <w:r>
              <w:rPr>
                <w:webHidden/>
                <w:rStyle w:val="IndexLink"/>
                <w:rtl w:val="true"/>
              </w:rPr>
              <w:t>[</w:t>
            </w:r>
            <w:r>
              <w:rPr>
                <w:rStyle w:val="IndexLink"/>
                <w:rtl w:val="true"/>
              </w:rPr>
              <w:t>الاحتیاط فی محتمل الندب و الحرمة و ثمرات ذلک</w:t>
            </w:r>
            <w:r>
              <w:rPr>
                <w:rStyle w:val="IndexLink"/>
                <w:rtl w:val="true"/>
              </w:rPr>
              <w:t>]</w:t>
              <w:tab/>
            </w:r>
            <w:r>
              <w:rPr>
                <w:rStyle w:val="IndexLink"/>
              </w:rPr>
              <w:t>312</w:t>
            </w:r>
          </w:hyperlink>
        </w:p>
        <w:p>
          <w:pPr>
            <w:pStyle w:val="Contents4"/>
            <w:tabs>
              <w:tab w:val="clear" w:pos="8176"/>
              <w:tab w:val="right" w:pos="9026" w:leader="dot"/>
            </w:tabs>
            <w:rPr/>
          </w:pPr>
          <w:hyperlink w:anchor="__RefHeading___Toc2647154_3224264995">
            <w:r>
              <w:rPr>
                <w:webHidden/>
                <w:rStyle w:val="IndexLink"/>
                <w:rtl w:val="true"/>
              </w:rPr>
              <w:t>[</w:t>
            </w:r>
            <w:r>
              <w:rPr>
                <w:rStyle w:val="IndexLink"/>
                <w:rtl w:val="true"/>
              </w:rPr>
              <w:t>دراسة الحرمة الظاهریة و الحرمة الواقعیة المنسوبتین إلی الاخباریة فی الشبهة التحریمیة</w:t>
            </w:r>
            <w:r>
              <w:rPr>
                <w:rStyle w:val="IndexLink"/>
                <w:rtl w:val="true"/>
              </w:rPr>
              <w:t>]</w:t>
              <w:tab/>
            </w:r>
            <w:r>
              <w:rPr>
                <w:rStyle w:val="IndexLink"/>
              </w:rPr>
              <w:t>314</w:t>
            </w:r>
          </w:hyperlink>
        </w:p>
        <w:p>
          <w:pPr>
            <w:pStyle w:val="Contents4"/>
            <w:tabs>
              <w:tab w:val="clear" w:pos="8176"/>
              <w:tab w:val="right" w:pos="9026" w:leader="dot"/>
            </w:tabs>
            <w:rPr/>
          </w:pPr>
          <w:hyperlink w:anchor="__RefHeading___Toc2647156_3224264995">
            <w:r>
              <w:rPr>
                <w:webHidden/>
                <w:rStyle w:val="IndexLink"/>
                <w:rtl w:val="true"/>
              </w:rPr>
              <w:t>[</w:t>
            </w:r>
            <w:r>
              <w:rPr>
                <w:rStyle w:val="IndexLink"/>
                <w:rtl w:val="true"/>
              </w:rPr>
              <w:t>اعتبار عدم أصل حاکم فی جریان أصل الاباحة</w:t>
            </w:r>
            <w:r>
              <w:rPr>
                <w:rStyle w:val="IndexLink"/>
                <w:rtl w:val="true"/>
              </w:rPr>
              <w:t>]</w:t>
              <w:tab/>
            </w:r>
            <w:r>
              <w:rPr>
                <w:rStyle w:val="IndexLink"/>
              </w:rPr>
              <w:t>315</w:t>
            </w:r>
          </w:hyperlink>
        </w:p>
        <w:p>
          <w:pPr>
            <w:pStyle w:val="Contents4"/>
            <w:tabs>
              <w:tab w:val="clear" w:pos="8176"/>
              <w:tab w:val="right" w:pos="9026" w:leader="dot"/>
            </w:tabs>
            <w:rPr/>
          </w:pPr>
          <w:hyperlink w:anchor="__RefHeading___Toc2647158_3224264995">
            <w:r>
              <w:rPr>
                <w:webHidden/>
                <w:rStyle w:val="IndexLink"/>
                <w:rtl w:val="true"/>
              </w:rPr>
              <w:t>[</w:t>
            </w:r>
            <w:r>
              <w:rPr>
                <w:rStyle w:val="IndexLink"/>
                <w:rtl w:val="true"/>
              </w:rPr>
              <w:t>الأصل فی مشکوک التذکیة</w:t>
            </w:r>
            <w:r>
              <w:rPr>
                <w:rStyle w:val="IndexLink"/>
                <w:rtl w:val="true"/>
              </w:rPr>
              <w:t>]</w:t>
              <w:tab/>
            </w:r>
            <w:r>
              <w:rPr>
                <w:rStyle w:val="IndexLink"/>
              </w:rPr>
              <w:t>315</w:t>
            </w:r>
          </w:hyperlink>
        </w:p>
        <w:p>
          <w:pPr>
            <w:pStyle w:val="Contents4"/>
            <w:tabs>
              <w:tab w:val="clear" w:pos="8176"/>
              <w:tab w:val="right" w:pos="9026" w:leader="dot"/>
            </w:tabs>
            <w:rPr/>
          </w:pPr>
          <w:hyperlink w:anchor="__RefHeading___Toc2647160_3224264995">
            <w:r>
              <w:rPr>
                <w:webHidden/>
                <w:rStyle w:val="IndexLink"/>
                <w:rtl w:val="true"/>
              </w:rPr>
              <w:t>[</w:t>
            </w:r>
            <w:r>
              <w:rPr>
                <w:rStyle w:val="IndexLink"/>
                <w:rtl w:val="true"/>
              </w:rPr>
              <w:t>الحیوان المتولّد من طاهر و نجس لا یتبعهما فی الاسم</w:t>
            </w:r>
            <w:r>
              <w:rPr>
                <w:rStyle w:val="IndexLink"/>
                <w:rtl w:val="true"/>
              </w:rPr>
              <w:t>]</w:t>
              <w:tab/>
            </w:r>
            <w:r>
              <w:rPr>
                <w:rStyle w:val="IndexLink"/>
              </w:rPr>
              <w:t>316</w:t>
            </w:r>
          </w:hyperlink>
        </w:p>
        <w:p>
          <w:pPr>
            <w:pStyle w:val="Contents4"/>
            <w:tabs>
              <w:tab w:val="clear" w:pos="8176"/>
              <w:tab w:val="right" w:pos="9026" w:leader="dot"/>
            </w:tabs>
            <w:rPr/>
          </w:pPr>
          <w:hyperlink w:anchor="__RefHeading___Toc2647162_3224264995">
            <w:r>
              <w:rPr>
                <w:webHidden/>
                <w:rStyle w:val="IndexLink"/>
                <w:rtl w:val="true"/>
              </w:rPr>
              <w:t>[</w:t>
            </w:r>
            <w:r>
              <w:rPr>
                <w:rStyle w:val="IndexLink"/>
                <w:rtl w:val="true"/>
              </w:rPr>
              <w:t>حکومة الأصل السببی علی الأصل المسبّبی</w:t>
            </w:r>
            <w:r>
              <w:rPr>
                <w:rStyle w:val="IndexLink"/>
                <w:rtl w:val="true"/>
              </w:rPr>
              <w:t>]</w:t>
              <w:tab/>
            </w:r>
            <w:r>
              <w:rPr>
                <w:rStyle w:val="IndexLink"/>
              </w:rPr>
              <w:t>320</w:t>
            </w:r>
          </w:hyperlink>
        </w:p>
        <w:p>
          <w:pPr>
            <w:pStyle w:val="Contents4"/>
            <w:tabs>
              <w:tab w:val="clear" w:pos="8176"/>
              <w:tab w:val="right" w:pos="9026" w:leader="dot"/>
            </w:tabs>
            <w:rPr/>
          </w:pPr>
          <w:hyperlink w:anchor="__RefHeading___Toc2647164_3224264995">
            <w:r>
              <w:rPr>
                <w:webHidden/>
                <w:rStyle w:val="IndexLink"/>
                <w:rtl w:val="true"/>
              </w:rPr>
              <w:t>[</w:t>
            </w:r>
            <w:r>
              <w:rPr>
                <w:rStyle w:val="IndexLink"/>
                <w:rtl w:val="true"/>
              </w:rPr>
              <w:t>أکل الحیوان الحیّ</w:t>
            </w:r>
            <w:r>
              <w:rPr>
                <w:rStyle w:val="IndexLink"/>
                <w:rtl w:val="true"/>
              </w:rPr>
              <w:t>]</w:t>
              <w:tab/>
            </w:r>
            <w:r>
              <w:rPr>
                <w:rStyle w:val="IndexLink"/>
              </w:rPr>
              <w:t>321</w:t>
            </w:r>
          </w:hyperlink>
        </w:p>
        <w:p>
          <w:pPr>
            <w:pStyle w:val="Contents4"/>
            <w:tabs>
              <w:tab w:val="clear" w:pos="8176"/>
              <w:tab w:val="right" w:pos="9026" w:leader="dot"/>
            </w:tabs>
            <w:rPr/>
          </w:pPr>
          <w:hyperlink w:anchor="__RefHeading___Toc2647166_3224264995">
            <w:r>
              <w:rPr>
                <w:webHidden/>
                <w:rStyle w:val="IndexLink"/>
                <w:rtl w:val="true"/>
              </w:rPr>
              <w:t>[</w:t>
            </w:r>
            <w:r>
              <w:rPr>
                <w:rStyle w:val="IndexLink"/>
                <w:rtl w:val="true"/>
              </w:rPr>
              <w:t>الأصل فی کلّ حیوان جواز تذکیته و قابلیته لها</w:t>
            </w:r>
            <w:r>
              <w:rPr>
                <w:rStyle w:val="IndexLink"/>
                <w:rtl w:val="true"/>
              </w:rPr>
              <w:t>]</w:t>
              <w:tab/>
            </w:r>
            <w:r>
              <w:rPr>
                <w:rStyle w:val="IndexLink"/>
              </w:rPr>
              <w:t>322</w:t>
            </w:r>
          </w:hyperlink>
        </w:p>
        <w:p>
          <w:pPr>
            <w:pStyle w:val="Contents4"/>
            <w:tabs>
              <w:tab w:val="clear" w:pos="8176"/>
              <w:tab w:val="right" w:pos="9026" w:leader="dot"/>
            </w:tabs>
            <w:rPr/>
          </w:pPr>
          <w:hyperlink w:anchor="__RefHeading___Toc2647168_3224264995">
            <w:r>
              <w:rPr>
                <w:webHidden/>
                <w:rStyle w:val="IndexLink"/>
                <w:rtl w:val="true"/>
              </w:rPr>
              <w:t>[</w:t>
            </w:r>
            <w:r>
              <w:rPr>
                <w:rStyle w:val="IndexLink"/>
                <w:rtl w:val="true"/>
              </w:rPr>
              <w:t>مجری أصالة الحلیة فی اللحوم</w:t>
            </w:r>
            <w:r>
              <w:rPr>
                <w:rStyle w:val="IndexLink"/>
                <w:rtl w:val="true"/>
              </w:rPr>
              <w:t>]</w:t>
              <w:tab/>
            </w:r>
            <w:r>
              <w:rPr>
                <w:rStyle w:val="IndexLink"/>
              </w:rPr>
              <w:t>323</w:t>
            </w:r>
          </w:hyperlink>
        </w:p>
        <w:p>
          <w:pPr>
            <w:pStyle w:val="Contents4"/>
            <w:tabs>
              <w:tab w:val="clear" w:pos="8176"/>
              <w:tab w:val="right" w:pos="9026" w:leader="dot"/>
            </w:tabs>
            <w:rPr/>
          </w:pPr>
          <w:hyperlink w:anchor="__RefHeading___Toc2647170_3224264995">
            <w:r>
              <w:rPr>
                <w:webHidden/>
                <w:rStyle w:val="IndexLink"/>
                <w:rtl w:val="true"/>
              </w:rPr>
              <w:t>[</w:t>
            </w:r>
            <w:r>
              <w:rPr>
                <w:rStyle w:val="IndexLink"/>
                <w:rtl w:val="true"/>
              </w:rPr>
              <w:t>الردّ علی الماتن فی مقایسته بین مفاسد الاحتیاط و مفاسد ارتکاب المشتبه</w:t>
            </w:r>
            <w:r>
              <w:rPr>
                <w:rStyle w:val="IndexLink"/>
                <w:rtl w:val="true"/>
              </w:rPr>
              <w:t>]</w:t>
              <w:tab/>
            </w:r>
            <w:r>
              <w:rPr>
                <w:rStyle w:val="IndexLink"/>
              </w:rPr>
              <w:t>324</w:t>
            </w:r>
          </w:hyperlink>
        </w:p>
        <w:p>
          <w:pPr>
            <w:pStyle w:val="Contents4"/>
            <w:tabs>
              <w:tab w:val="clear" w:pos="8176"/>
              <w:tab w:val="right" w:pos="9026" w:leader="dot"/>
            </w:tabs>
            <w:rPr/>
          </w:pPr>
          <w:hyperlink w:anchor="__RefHeading___Toc2647172_3224264995">
            <w:r>
              <w:rPr>
                <w:webHidden/>
                <w:rStyle w:val="IndexLink"/>
                <w:rtl w:val="true"/>
              </w:rPr>
              <w:t>[</w:t>
            </w:r>
            <w:r>
              <w:rPr>
                <w:rStyle w:val="IndexLink"/>
                <w:rtl w:val="true"/>
              </w:rPr>
              <w:t>التعریض بما تعارف فی الأزمنة الأخیرة</w:t>
            </w:r>
            <w:r>
              <w:rPr>
                <w:rStyle w:val="IndexLink"/>
                <w:rtl w:val="true"/>
              </w:rPr>
              <w:t>]</w:t>
              <w:tab/>
            </w:r>
            <w:r>
              <w:rPr>
                <w:rStyle w:val="IndexLink"/>
              </w:rPr>
              <w:t>325</w:t>
            </w:r>
          </w:hyperlink>
        </w:p>
        <w:p>
          <w:pPr>
            <w:pStyle w:val="Contents4"/>
            <w:tabs>
              <w:tab w:val="clear" w:pos="8176"/>
              <w:tab w:val="right" w:pos="9026" w:leader="dot"/>
            </w:tabs>
            <w:rPr/>
          </w:pPr>
          <w:hyperlink w:anchor="__RefHeading___Toc2647174_3224264995">
            <w:r>
              <w:rPr>
                <w:webHidden/>
                <w:rStyle w:val="IndexLink"/>
                <w:rtl w:val="true"/>
              </w:rPr>
              <w:t>[</w:t>
            </w:r>
            <w:r>
              <w:rPr>
                <w:rStyle w:val="IndexLink"/>
                <w:rtl w:val="true"/>
              </w:rPr>
              <w:t>التردید بین الحرمة و غیر الوجوب لإجمال دلیل الحرمة فی متعلّقها</w:t>
            </w:r>
            <w:r>
              <w:rPr>
                <w:rStyle w:val="IndexLink"/>
                <w:rtl w:val="true"/>
              </w:rPr>
              <w:t>]</w:t>
              <w:tab/>
            </w:r>
            <w:r>
              <w:rPr>
                <w:rStyle w:val="IndexLink"/>
              </w:rPr>
              <w:t>325</w:t>
            </w:r>
          </w:hyperlink>
        </w:p>
        <w:p>
          <w:pPr>
            <w:pStyle w:val="Contents4"/>
            <w:tabs>
              <w:tab w:val="clear" w:pos="8176"/>
              <w:tab w:val="right" w:pos="9026" w:leader="dot"/>
            </w:tabs>
            <w:rPr/>
          </w:pPr>
          <w:hyperlink w:anchor="__RefHeading___Toc2647176_3224264995">
            <w:r>
              <w:rPr>
                <w:webHidden/>
                <w:rStyle w:val="IndexLink"/>
                <w:rtl w:val="true"/>
              </w:rPr>
              <w:t>[</w:t>
            </w:r>
            <w:r>
              <w:rPr>
                <w:rStyle w:val="IndexLink"/>
                <w:rtl w:val="true"/>
              </w:rPr>
              <w:t>التردید بین الحرمة و غیر الوجوب لتعارض النصّین</w:t>
            </w:r>
            <w:r>
              <w:rPr>
                <w:rStyle w:val="IndexLink"/>
                <w:rtl w:val="true"/>
              </w:rPr>
              <w:t>]</w:t>
              <w:tab/>
            </w:r>
            <w:r>
              <w:rPr>
                <w:rStyle w:val="IndexLink"/>
              </w:rPr>
              <w:t>326</w:t>
            </w:r>
          </w:hyperlink>
        </w:p>
        <w:p>
          <w:pPr>
            <w:pStyle w:val="Contents4"/>
            <w:tabs>
              <w:tab w:val="clear" w:pos="8176"/>
              <w:tab w:val="right" w:pos="9026" w:leader="dot"/>
            </w:tabs>
            <w:rPr/>
          </w:pPr>
          <w:hyperlink w:anchor="__RefHeading___Toc2647178_3224264995">
            <w:r>
              <w:rPr>
                <w:webHidden/>
                <w:rStyle w:val="IndexLink"/>
                <w:rtl w:val="true"/>
              </w:rPr>
              <w:t>[</w:t>
            </w:r>
            <w:r>
              <w:rPr>
                <w:rStyle w:val="IndexLink"/>
                <w:rtl w:val="true"/>
              </w:rPr>
              <w:t xml:space="preserve">إمکان التعادل بین نصّین متعارضین </w:t>
            </w:r>
            <w:r>
              <w:rPr>
                <w:rStyle w:val="IndexLink"/>
              </w:rPr>
              <w:t>310</w:t>
            </w:r>
            <w:r>
              <w:rPr>
                <w:rStyle w:val="IndexLink"/>
                <w:rtl w:val="true"/>
              </w:rPr>
              <w:t>]</w:t>
              <w:tab/>
            </w:r>
            <w:r>
              <w:rPr>
                <w:rStyle w:val="IndexLink"/>
              </w:rPr>
              <w:t>326</w:t>
            </w:r>
          </w:hyperlink>
        </w:p>
        <w:p>
          <w:pPr>
            <w:pStyle w:val="Contents4"/>
            <w:tabs>
              <w:tab w:val="clear" w:pos="8176"/>
              <w:tab w:val="right" w:pos="9026" w:leader="dot"/>
            </w:tabs>
            <w:rPr/>
          </w:pPr>
          <w:hyperlink w:anchor="__RefHeading___Toc2647180_3224264995">
            <w:r>
              <w:rPr>
                <w:webHidden/>
                <w:rStyle w:val="IndexLink"/>
                <w:rtl w:val="true"/>
              </w:rPr>
              <w:t>[</w:t>
            </w:r>
            <w:r>
              <w:rPr>
                <w:rStyle w:val="IndexLink"/>
                <w:rtl w:val="true"/>
              </w:rPr>
              <w:t>الناقل و المقرّر و المبیح و الحاظر</w:t>
            </w:r>
            <w:r>
              <w:rPr>
                <w:rStyle w:val="IndexLink"/>
                <w:rtl w:val="true"/>
              </w:rPr>
              <w:t>]</w:t>
              <w:tab/>
            </w:r>
            <w:r>
              <w:rPr>
                <w:rStyle w:val="IndexLink"/>
              </w:rPr>
              <w:t>327</w:t>
            </w:r>
          </w:hyperlink>
        </w:p>
        <w:p>
          <w:pPr>
            <w:pStyle w:val="Contents4"/>
            <w:tabs>
              <w:tab w:val="clear" w:pos="8176"/>
              <w:tab w:val="right" w:pos="9026" w:leader="dot"/>
            </w:tabs>
            <w:rPr/>
          </w:pPr>
          <w:hyperlink w:anchor="__RefHeading___Toc2647182_3224264995">
            <w:r>
              <w:rPr>
                <w:webHidden/>
                <w:rStyle w:val="IndexLink"/>
                <w:rtl w:val="true"/>
              </w:rPr>
              <w:t>[</w:t>
            </w:r>
            <w:r>
              <w:rPr>
                <w:rStyle w:val="IndexLink"/>
                <w:rtl w:val="true"/>
              </w:rPr>
              <w:t xml:space="preserve">التردید بین الحرمة و غیر الوجوب لأجل الشبهة فی الامور الخارجیة </w:t>
            </w:r>
            <w:r>
              <w:rPr>
                <w:rStyle w:val="IndexLink"/>
                <w:rtl w:val="true"/>
              </w:rPr>
              <w:t>«</w:t>
            </w:r>
            <w:r>
              <w:rPr>
                <w:rStyle w:val="IndexLink"/>
                <w:rtl w:val="true"/>
              </w:rPr>
              <w:t>الموضوع الصرف</w:t>
            </w:r>
            <w:r>
              <w:rPr>
                <w:rStyle w:val="IndexLink"/>
                <w:rtl w:val="true"/>
              </w:rPr>
              <w:t>»]</w:t>
              <w:tab/>
            </w:r>
            <w:r>
              <w:rPr>
                <w:rStyle w:val="IndexLink"/>
              </w:rPr>
              <w:t>327</w:t>
            </w:r>
          </w:hyperlink>
        </w:p>
        <w:p>
          <w:pPr>
            <w:pStyle w:val="Contents4"/>
            <w:tabs>
              <w:tab w:val="clear" w:pos="8176"/>
              <w:tab w:val="right" w:pos="9026" w:leader="dot"/>
            </w:tabs>
            <w:rPr/>
          </w:pPr>
          <w:hyperlink w:anchor="__RefHeading___Toc2647184_3224264995">
            <w:r>
              <w:rPr>
                <w:webHidden/>
                <w:rStyle w:val="IndexLink"/>
                <w:rtl w:val="true"/>
              </w:rPr>
              <w:t>[</w:t>
            </w:r>
            <w:r>
              <w:rPr>
                <w:rStyle w:val="IndexLink"/>
                <w:rtl w:val="true"/>
              </w:rPr>
              <w:t>عدم استقلال العقل بالبراءة</w:t>
            </w:r>
            <w:r>
              <w:rPr>
                <w:rStyle w:val="IndexLink"/>
                <w:rtl w:val="true"/>
              </w:rPr>
              <w:t>]</w:t>
              <w:tab/>
            </w:r>
            <w:r>
              <w:rPr>
                <w:rStyle w:val="IndexLink"/>
              </w:rPr>
              <w:t>329</w:t>
            </w:r>
          </w:hyperlink>
        </w:p>
        <w:p>
          <w:pPr>
            <w:pStyle w:val="Contents4"/>
            <w:tabs>
              <w:tab w:val="clear" w:pos="8176"/>
              <w:tab w:val="right" w:pos="9026" w:leader="dot"/>
            </w:tabs>
            <w:rPr/>
          </w:pPr>
          <w:hyperlink w:anchor="__RefHeading___Toc2647186_3224264995">
            <w:r>
              <w:rPr>
                <w:webHidden/>
                <w:rStyle w:val="IndexLink"/>
                <w:rtl w:val="true"/>
              </w:rPr>
              <w:t>[</w:t>
            </w:r>
            <w:r>
              <w:rPr>
                <w:rStyle w:val="IndexLink"/>
                <w:rtl w:val="true"/>
              </w:rPr>
              <w:t>امتناع احتمال المصلحة فی عدم بیان الضرر الأخروی</w:t>
            </w:r>
            <w:r>
              <w:rPr>
                <w:rStyle w:val="IndexLink"/>
                <w:rtl w:val="true"/>
              </w:rPr>
              <w:t>]</w:t>
              <w:tab/>
            </w:r>
            <w:r>
              <w:rPr>
                <w:rStyle w:val="IndexLink"/>
              </w:rPr>
              <w:t>330</w:t>
            </w:r>
          </w:hyperlink>
        </w:p>
        <w:p>
          <w:pPr>
            <w:pStyle w:val="Contents4"/>
            <w:tabs>
              <w:tab w:val="clear" w:pos="8176"/>
              <w:tab w:val="right" w:pos="9026" w:leader="dot"/>
            </w:tabs>
            <w:rPr/>
          </w:pPr>
          <w:hyperlink w:anchor="__RefHeading___Toc2647188_3224264995">
            <w:r>
              <w:rPr>
                <w:webHidden/>
                <w:rStyle w:val="IndexLink"/>
                <w:rtl w:val="true"/>
              </w:rPr>
              <w:t>[</w:t>
            </w:r>
            <w:r>
              <w:rPr>
                <w:rStyle w:val="IndexLink"/>
                <w:rtl w:val="true"/>
              </w:rPr>
              <w:t>أقسام الضرر و أحکامها</w:t>
            </w:r>
            <w:r>
              <w:rPr>
                <w:rStyle w:val="IndexLink"/>
                <w:rtl w:val="true"/>
              </w:rPr>
              <w:t>]</w:t>
              <w:tab/>
            </w:r>
            <w:r>
              <w:rPr>
                <w:rStyle w:val="IndexLink"/>
              </w:rPr>
              <w:t>331</w:t>
            </w:r>
          </w:hyperlink>
        </w:p>
        <w:p>
          <w:pPr>
            <w:pStyle w:val="Contents4"/>
            <w:tabs>
              <w:tab w:val="clear" w:pos="8176"/>
              <w:tab w:val="right" w:pos="9026" w:leader="dot"/>
            </w:tabs>
            <w:rPr/>
          </w:pPr>
          <w:hyperlink w:anchor="__RefHeading___Toc2647190_3224264995">
            <w:r>
              <w:rPr>
                <w:webHidden/>
                <w:rStyle w:val="IndexLink"/>
                <w:rtl w:val="true"/>
              </w:rPr>
              <w:t>[</w:t>
            </w:r>
            <w:r>
              <w:rPr>
                <w:rStyle w:val="IndexLink"/>
                <w:rtl w:val="true"/>
              </w:rPr>
              <w:t>اعتبار عدم أصل موضوعی فی جریان أصل الاباحة فی الشبهة الموضوعیة التحریمیة</w:t>
            </w:r>
            <w:r>
              <w:rPr>
                <w:rStyle w:val="IndexLink"/>
                <w:rtl w:val="true"/>
              </w:rPr>
              <w:t>]</w:t>
              <w:tab/>
            </w:r>
            <w:r>
              <w:rPr>
                <w:rStyle w:val="IndexLink"/>
              </w:rPr>
              <w:t>332</w:t>
            </w:r>
          </w:hyperlink>
        </w:p>
        <w:p>
          <w:pPr>
            <w:pStyle w:val="Contents4"/>
            <w:tabs>
              <w:tab w:val="clear" w:pos="8176"/>
              <w:tab w:val="right" w:pos="9026" w:leader="dot"/>
            </w:tabs>
            <w:rPr/>
          </w:pPr>
          <w:hyperlink w:anchor="__RefHeading___Toc2647192_3224264995">
            <w:r>
              <w:rPr>
                <w:webHidden/>
                <w:rStyle w:val="IndexLink"/>
                <w:rtl w:val="true"/>
              </w:rPr>
              <w:t>[</w:t>
            </w:r>
            <w:r>
              <w:rPr>
                <w:rStyle w:val="IndexLink"/>
                <w:rtl w:val="true"/>
              </w:rPr>
              <w:t>ندرة الحلال الخارجی المعلوم الحلّیة</w:t>
            </w:r>
            <w:r>
              <w:rPr>
                <w:rStyle w:val="IndexLink"/>
                <w:rtl w:val="true"/>
              </w:rPr>
              <w:t>]</w:t>
              <w:tab/>
            </w:r>
            <w:r>
              <w:rPr>
                <w:rStyle w:val="IndexLink"/>
              </w:rPr>
              <w:t>333</w:t>
            </w:r>
          </w:hyperlink>
        </w:p>
        <w:p>
          <w:pPr>
            <w:pStyle w:val="Contents4"/>
            <w:tabs>
              <w:tab w:val="clear" w:pos="8176"/>
              <w:tab w:val="right" w:pos="9026" w:leader="dot"/>
            </w:tabs>
            <w:rPr/>
          </w:pPr>
          <w:hyperlink w:anchor="__RefHeading___Toc2647194_3224264995">
            <w:r>
              <w:rPr>
                <w:webHidden/>
                <w:rStyle w:val="IndexLink"/>
                <w:rtl w:val="true"/>
              </w:rPr>
              <w:t>[</w:t>
            </w:r>
            <w:r>
              <w:rPr>
                <w:rStyle w:val="IndexLink"/>
                <w:rtl w:val="true"/>
              </w:rPr>
              <w:t>إمکان التوصّل إلی ظهور مطمئن مع اختلاف الأخبار فی أیّ باب</w:t>
            </w:r>
            <w:r>
              <w:rPr>
                <w:rStyle w:val="IndexLink"/>
                <w:rtl w:val="true"/>
              </w:rPr>
              <w:t>]</w:t>
              <w:tab/>
            </w:r>
            <w:r>
              <w:rPr>
                <w:rStyle w:val="IndexLink"/>
              </w:rPr>
              <w:t>333</w:t>
            </w:r>
          </w:hyperlink>
        </w:p>
        <w:p>
          <w:pPr>
            <w:pStyle w:val="Contents4"/>
            <w:tabs>
              <w:tab w:val="clear" w:pos="8176"/>
              <w:tab w:val="right" w:pos="9026" w:leader="dot"/>
            </w:tabs>
            <w:rPr/>
          </w:pPr>
          <w:hyperlink w:anchor="__RefHeading___Toc2647196_3224264995">
            <w:r>
              <w:rPr>
                <w:webHidden/>
                <w:rStyle w:val="IndexLink"/>
                <w:rtl w:val="true"/>
              </w:rPr>
              <w:t>[</w:t>
            </w:r>
            <w:r>
              <w:rPr>
                <w:rStyle w:val="IndexLink"/>
                <w:rtl w:val="true"/>
              </w:rPr>
              <w:t>توجیه کلام المحدّث الاسترابادی فی البراءة</w:t>
            </w:r>
            <w:r>
              <w:rPr>
                <w:rStyle w:val="IndexLink"/>
                <w:rtl w:val="true"/>
              </w:rPr>
              <w:t>]</w:t>
              <w:tab/>
            </w:r>
            <w:r>
              <w:rPr>
                <w:rStyle w:val="IndexLink"/>
              </w:rPr>
              <w:t>335</w:t>
            </w:r>
          </w:hyperlink>
        </w:p>
        <w:p>
          <w:pPr>
            <w:pStyle w:val="Contents4"/>
            <w:tabs>
              <w:tab w:val="clear" w:pos="8176"/>
              <w:tab w:val="right" w:pos="9026" w:leader="dot"/>
            </w:tabs>
            <w:rPr/>
          </w:pPr>
          <w:hyperlink w:anchor="__RefHeading___Toc2647198_3224264995">
            <w:r>
              <w:rPr>
                <w:webHidden/>
                <w:rStyle w:val="IndexLink"/>
                <w:rtl w:val="true"/>
              </w:rPr>
              <w:t>[</w:t>
            </w:r>
            <w:r>
              <w:rPr>
                <w:rStyle w:val="IndexLink"/>
                <w:rtl w:val="true"/>
              </w:rPr>
              <w:t>الکلام فی معنی الاحتیاط</w:t>
            </w:r>
            <w:r>
              <w:rPr>
                <w:rStyle w:val="IndexLink"/>
                <w:rtl w:val="true"/>
              </w:rPr>
              <w:t>]</w:t>
              <w:tab/>
            </w:r>
            <w:r>
              <w:rPr>
                <w:rStyle w:val="IndexLink"/>
              </w:rPr>
              <w:t>336</w:t>
            </w:r>
          </w:hyperlink>
        </w:p>
        <w:p>
          <w:pPr>
            <w:pStyle w:val="Contents4"/>
            <w:tabs>
              <w:tab w:val="clear" w:pos="8176"/>
              <w:tab w:val="right" w:pos="9026" w:leader="dot"/>
            </w:tabs>
            <w:rPr/>
          </w:pPr>
          <w:hyperlink w:anchor="__RefHeading___Toc2647200_3224264995">
            <w:r>
              <w:rPr>
                <w:webHidden/>
                <w:rStyle w:val="IndexLink"/>
                <w:rtl w:val="true"/>
              </w:rPr>
              <w:t>[</w:t>
            </w:r>
            <w:r>
              <w:rPr>
                <w:rStyle w:val="IndexLink"/>
                <w:rtl w:val="true"/>
              </w:rPr>
              <w:t>موارد الاحتیاط و حکمه</w:t>
            </w:r>
            <w:r>
              <w:rPr>
                <w:rStyle w:val="IndexLink"/>
                <w:rtl w:val="true"/>
              </w:rPr>
              <w:t>]</w:t>
              <w:tab/>
            </w:r>
            <w:r>
              <w:rPr>
                <w:rStyle w:val="IndexLink"/>
              </w:rPr>
              <w:t>337</w:t>
            </w:r>
          </w:hyperlink>
        </w:p>
        <w:p>
          <w:pPr>
            <w:pStyle w:val="Contents4"/>
            <w:tabs>
              <w:tab w:val="clear" w:pos="8176"/>
              <w:tab w:val="right" w:pos="9026" w:leader="dot"/>
            </w:tabs>
            <w:rPr/>
          </w:pPr>
          <w:hyperlink w:anchor="__RefHeading___Toc2647202_3224264995">
            <w:r>
              <w:rPr>
                <w:webHidden/>
                <w:rStyle w:val="IndexLink"/>
                <w:rtl w:val="true"/>
              </w:rPr>
              <w:t>[</w:t>
            </w:r>
            <w:r>
              <w:rPr>
                <w:rStyle w:val="IndexLink"/>
                <w:rtl w:val="true"/>
              </w:rPr>
              <w:t>فی تشخیص المثاب علیه عند الاحتیاط</w:t>
            </w:r>
            <w:r>
              <w:rPr>
                <w:rStyle w:val="IndexLink"/>
                <w:rtl w:val="true"/>
              </w:rPr>
              <w:t>]</w:t>
              <w:tab/>
            </w:r>
            <w:r>
              <w:rPr>
                <w:rStyle w:val="IndexLink"/>
              </w:rPr>
              <w:t>338</w:t>
            </w:r>
          </w:hyperlink>
        </w:p>
        <w:p>
          <w:pPr>
            <w:pStyle w:val="Contents4"/>
            <w:tabs>
              <w:tab w:val="clear" w:pos="8176"/>
              <w:tab w:val="right" w:pos="9026" w:leader="dot"/>
            </w:tabs>
            <w:rPr/>
          </w:pPr>
          <w:hyperlink w:anchor="__RefHeading___Toc2647204_3224264995">
            <w:r>
              <w:rPr>
                <w:webHidden/>
                <w:rStyle w:val="IndexLink"/>
                <w:rtl w:val="true"/>
              </w:rPr>
              <w:t>[</w:t>
            </w:r>
            <w:r>
              <w:rPr>
                <w:rStyle w:val="IndexLink"/>
                <w:rtl w:val="true"/>
              </w:rPr>
              <w:t>حسن الاحتیاط یوجب حسن الفعل المحتاط به</w:t>
            </w:r>
            <w:r>
              <w:rPr>
                <w:rStyle w:val="IndexLink"/>
                <w:rtl w:val="true"/>
              </w:rPr>
              <w:t>]</w:t>
              <w:tab/>
            </w:r>
            <w:r>
              <w:rPr>
                <w:rStyle w:val="IndexLink"/>
              </w:rPr>
              <w:t>339</w:t>
            </w:r>
          </w:hyperlink>
        </w:p>
        <w:p>
          <w:pPr>
            <w:pStyle w:val="Contents4"/>
            <w:tabs>
              <w:tab w:val="clear" w:pos="8176"/>
              <w:tab w:val="right" w:pos="9026" w:leader="dot"/>
            </w:tabs>
            <w:rPr/>
          </w:pPr>
          <w:hyperlink w:anchor="__RefHeading___Toc2647206_3224264995">
            <w:r>
              <w:rPr>
                <w:webHidden/>
                <w:rStyle w:val="IndexLink"/>
                <w:rtl w:val="true"/>
              </w:rPr>
              <w:t>[</w:t>
            </w:r>
            <w:r>
              <w:rPr>
                <w:rStyle w:val="IndexLink"/>
                <w:rtl w:val="true"/>
              </w:rPr>
              <w:t>اخبار من بلغه ثواب</w:t>
            </w:r>
            <w:r>
              <w:rPr>
                <w:rStyle w:val="IndexLink"/>
                <w:rtl w:val="true"/>
              </w:rPr>
              <w:t>]</w:t>
              <w:tab/>
            </w:r>
            <w:r>
              <w:rPr>
                <w:rStyle w:val="IndexLink"/>
              </w:rPr>
              <w:t>343</w:t>
            </w:r>
          </w:hyperlink>
        </w:p>
        <w:p>
          <w:pPr>
            <w:pStyle w:val="Contents4"/>
            <w:tabs>
              <w:tab w:val="clear" w:pos="8176"/>
              <w:tab w:val="right" w:pos="9026" w:leader="dot"/>
            </w:tabs>
            <w:rPr/>
          </w:pPr>
          <w:hyperlink w:anchor="__RefHeading___Toc2647208_3224264995">
            <w:r>
              <w:rPr>
                <w:webHidden/>
                <w:rStyle w:val="IndexLink"/>
                <w:rtl w:val="true"/>
              </w:rPr>
              <w:t>[</w:t>
            </w:r>
            <w:r>
              <w:rPr>
                <w:rStyle w:val="IndexLink"/>
                <w:rtl w:val="true"/>
              </w:rPr>
              <w:t>عدم حمل المطلق علی المقید فی المستحبات</w:t>
            </w:r>
            <w:r>
              <w:rPr>
                <w:rStyle w:val="IndexLink"/>
                <w:rtl w:val="true"/>
              </w:rPr>
              <w:t>]</w:t>
              <w:tab/>
            </w:r>
            <w:r>
              <w:rPr>
                <w:rStyle w:val="IndexLink"/>
              </w:rPr>
              <w:t>343</w:t>
            </w:r>
          </w:hyperlink>
        </w:p>
        <w:p>
          <w:pPr>
            <w:pStyle w:val="Contents4"/>
            <w:tabs>
              <w:tab w:val="clear" w:pos="8176"/>
              <w:tab w:val="right" w:pos="9026" w:leader="dot"/>
            </w:tabs>
            <w:rPr/>
          </w:pPr>
          <w:hyperlink w:anchor="__RefHeading___Toc2647210_3224264995">
            <w:r>
              <w:rPr>
                <w:webHidden/>
                <w:rStyle w:val="IndexLink"/>
                <w:rtl w:val="true"/>
              </w:rPr>
              <w:t>[</w:t>
            </w:r>
            <w:r>
              <w:rPr>
                <w:rStyle w:val="IndexLink"/>
                <w:rtl w:val="true"/>
              </w:rPr>
              <w:t>اختصاص البراءة بالشک فی الوجوب التعیینی أصلا أو عرضا</w:t>
            </w:r>
            <w:r>
              <w:rPr>
                <w:rStyle w:val="IndexLink"/>
                <w:rtl w:val="true"/>
              </w:rPr>
              <w:t>]</w:t>
              <w:tab/>
            </w:r>
            <w:r>
              <w:rPr>
                <w:rStyle w:val="IndexLink"/>
              </w:rPr>
              <w:t>346</w:t>
            </w:r>
          </w:hyperlink>
        </w:p>
        <w:p>
          <w:pPr>
            <w:pStyle w:val="Contents4"/>
            <w:tabs>
              <w:tab w:val="clear" w:pos="8176"/>
              <w:tab w:val="right" w:pos="9026" w:leader="dot"/>
            </w:tabs>
            <w:rPr/>
          </w:pPr>
          <w:hyperlink w:anchor="__RefHeading___Toc2647212_3224264995">
            <w:r>
              <w:rPr>
                <w:webHidden/>
                <w:rStyle w:val="IndexLink"/>
                <w:rtl w:val="true"/>
              </w:rPr>
              <w:t>[</w:t>
            </w:r>
            <w:r>
              <w:rPr>
                <w:rStyle w:val="IndexLink"/>
                <w:rtl w:val="true"/>
              </w:rPr>
              <w:t>اختصاص البراءة بالشک فی الوجوب التعیینی أصلا أو عرضا</w:t>
            </w:r>
            <w:r>
              <w:rPr>
                <w:rStyle w:val="IndexLink"/>
                <w:rtl w:val="true"/>
              </w:rPr>
              <w:t>]</w:t>
              <w:tab/>
            </w:r>
            <w:r>
              <w:rPr>
                <w:rStyle w:val="IndexLink"/>
              </w:rPr>
              <w:t>348</w:t>
            </w:r>
          </w:hyperlink>
        </w:p>
        <w:p>
          <w:pPr>
            <w:pStyle w:val="Contents4"/>
            <w:tabs>
              <w:tab w:val="clear" w:pos="8176"/>
              <w:tab w:val="right" w:pos="9026" w:leader="dot"/>
            </w:tabs>
            <w:rPr/>
          </w:pPr>
          <w:hyperlink w:anchor="__RefHeading___Toc2647214_3224264995">
            <w:r>
              <w:rPr>
                <w:webHidden/>
                <w:rStyle w:val="IndexLink"/>
                <w:rtl w:val="true"/>
              </w:rPr>
              <w:t>[</w:t>
            </w:r>
            <w:r>
              <w:rPr>
                <w:rStyle w:val="IndexLink"/>
                <w:rtl w:val="true"/>
              </w:rPr>
              <w:t>أصالة العدم و افتراقها عن أصالة البراءة</w:t>
            </w:r>
            <w:r>
              <w:rPr>
                <w:rStyle w:val="IndexLink"/>
                <w:rtl w:val="true"/>
              </w:rPr>
              <w:t>]</w:t>
              <w:tab/>
            </w:r>
            <w:r>
              <w:rPr>
                <w:rStyle w:val="IndexLink"/>
              </w:rPr>
              <w:t>348</w:t>
            </w:r>
          </w:hyperlink>
        </w:p>
        <w:p>
          <w:pPr>
            <w:pStyle w:val="Contents4"/>
            <w:tabs>
              <w:tab w:val="clear" w:pos="8176"/>
              <w:tab w:val="right" w:pos="9026" w:leader="dot"/>
            </w:tabs>
            <w:rPr/>
          </w:pPr>
          <w:hyperlink w:anchor="__RefHeading___Toc2647216_3224264995">
            <w:r>
              <w:rPr>
                <w:webHidden/>
                <w:rStyle w:val="IndexLink"/>
                <w:rtl w:val="true"/>
              </w:rPr>
              <w:t>[</w:t>
            </w:r>
            <w:r>
              <w:rPr>
                <w:rStyle w:val="IndexLink"/>
                <w:rtl w:val="true"/>
              </w:rPr>
              <w:t>التخییر العقلی و التخییر الشرعی</w:t>
            </w:r>
            <w:r>
              <w:rPr>
                <w:rStyle w:val="IndexLink"/>
                <w:rtl w:val="true"/>
              </w:rPr>
              <w:t>]</w:t>
              <w:tab/>
            </w:r>
            <w:r>
              <w:rPr>
                <w:rStyle w:val="IndexLink"/>
              </w:rPr>
              <w:t>349</w:t>
            </w:r>
          </w:hyperlink>
        </w:p>
        <w:p>
          <w:pPr>
            <w:pStyle w:val="Contents4"/>
            <w:tabs>
              <w:tab w:val="clear" w:pos="8176"/>
              <w:tab w:val="right" w:pos="9026" w:leader="dot"/>
            </w:tabs>
            <w:rPr/>
          </w:pPr>
          <w:hyperlink w:anchor="__RefHeading___Toc2647218_3224264995">
            <w:r>
              <w:rPr>
                <w:webHidden/>
                <w:rStyle w:val="IndexLink"/>
                <w:rtl w:val="true"/>
              </w:rPr>
              <w:t>[</w:t>
            </w:r>
            <w:r>
              <w:rPr>
                <w:rStyle w:val="IndexLink"/>
                <w:rtl w:val="true"/>
              </w:rPr>
              <w:t>استصحاب کلّیّ الوجوب لا یثبت قسما منه</w:t>
            </w:r>
            <w:r>
              <w:rPr>
                <w:rStyle w:val="IndexLink"/>
                <w:rtl w:val="true"/>
              </w:rPr>
              <w:t>]</w:t>
              <w:tab/>
            </w:r>
            <w:r>
              <w:rPr>
                <w:rStyle w:val="IndexLink"/>
              </w:rPr>
              <w:t>349</w:t>
            </w:r>
          </w:hyperlink>
        </w:p>
        <w:p>
          <w:pPr>
            <w:pStyle w:val="Contents4"/>
            <w:tabs>
              <w:tab w:val="clear" w:pos="8176"/>
              <w:tab w:val="right" w:pos="9026" w:leader="dot"/>
            </w:tabs>
            <w:rPr/>
          </w:pPr>
          <w:hyperlink w:anchor="__RefHeading___Toc2647220_3224264995">
            <w:r>
              <w:rPr>
                <w:webHidden/>
                <w:rStyle w:val="IndexLink"/>
                <w:rtl w:val="true"/>
              </w:rPr>
              <w:t>[</w:t>
            </w:r>
            <w:r>
              <w:rPr>
                <w:rStyle w:val="IndexLink"/>
                <w:rtl w:val="true"/>
              </w:rPr>
              <w:t>الشبهة الوجوبیة لإجمال النصّ</w:t>
            </w:r>
            <w:r>
              <w:rPr>
                <w:rStyle w:val="IndexLink"/>
                <w:rtl w:val="true"/>
              </w:rPr>
              <w:t>]</w:t>
              <w:tab/>
            </w:r>
            <w:r>
              <w:rPr>
                <w:rStyle w:val="IndexLink"/>
              </w:rPr>
              <w:t>350</w:t>
            </w:r>
          </w:hyperlink>
        </w:p>
        <w:p>
          <w:pPr>
            <w:pStyle w:val="Contents4"/>
            <w:tabs>
              <w:tab w:val="clear" w:pos="8176"/>
              <w:tab w:val="right" w:pos="9026" w:leader="dot"/>
            </w:tabs>
            <w:rPr/>
          </w:pPr>
          <w:hyperlink w:anchor="__RefHeading___Toc2647222_3224264995">
            <w:r>
              <w:rPr>
                <w:webHidden/>
                <w:rStyle w:val="IndexLink"/>
                <w:rtl w:val="true"/>
              </w:rPr>
              <w:t>[</w:t>
            </w:r>
            <w:r>
              <w:rPr>
                <w:rStyle w:val="IndexLink"/>
                <w:rtl w:val="true"/>
              </w:rPr>
              <w:t>ما یدخل فی نزاع هذا الباب</w:t>
            </w:r>
            <w:r>
              <w:rPr>
                <w:rStyle w:val="IndexLink"/>
                <w:rtl w:val="true"/>
              </w:rPr>
              <w:t>]</w:t>
              <w:tab/>
            </w:r>
            <w:r>
              <w:rPr>
                <w:rStyle w:val="IndexLink"/>
              </w:rPr>
              <w:t>350</w:t>
            </w:r>
          </w:hyperlink>
        </w:p>
        <w:p>
          <w:pPr>
            <w:pStyle w:val="Contents4"/>
            <w:tabs>
              <w:tab w:val="clear" w:pos="8176"/>
              <w:tab w:val="right" w:pos="9026" w:leader="dot"/>
            </w:tabs>
            <w:rPr/>
          </w:pPr>
          <w:hyperlink w:anchor="__RefHeading___Toc2647224_3224264995">
            <w:r>
              <w:rPr>
                <w:webHidden/>
                <w:rStyle w:val="IndexLink"/>
                <w:rtl w:val="true"/>
              </w:rPr>
              <w:t>[</w:t>
            </w:r>
            <w:r>
              <w:rPr>
                <w:rStyle w:val="IndexLink"/>
                <w:rtl w:val="true"/>
              </w:rPr>
              <w:t>مناقشة ردّ الماتن علی الاخباریة فی مورد الشبهة الوجوبیة لإجمال النصّ</w:t>
            </w:r>
            <w:r>
              <w:rPr>
                <w:rStyle w:val="IndexLink"/>
                <w:rtl w:val="true"/>
              </w:rPr>
              <w:t>]</w:t>
              <w:tab/>
            </w:r>
            <w:r>
              <w:rPr>
                <w:rStyle w:val="IndexLink"/>
              </w:rPr>
              <w:t>351</w:t>
            </w:r>
          </w:hyperlink>
        </w:p>
        <w:p>
          <w:pPr>
            <w:pStyle w:val="Contents4"/>
            <w:tabs>
              <w:tab w:val="clear" w:pos="8176"/>
              <w:tab w:val="right" w:pos="9026" w:leader="dot"/>
            </w:tabs>
            <w:rPr/>
          </w:pPr>
          <w:hyperlink w:anchor="__RefHeading___Toc2647226_3224264995">
            <w:r>
              <w:rPr>
                <w:webHidden/>
                <w:rStyle w:val="IndexLink"/>
                <w:rtl w:val="true"/>
              </w:rPr>
              <w:t>[</w:t>
            </w:r>
            <w:r>
              <w:rPr>
                <w:rStyle w:val="IndexLink"/>
                <w:rtl w:val="true"/>
              </w:rPr>
              <w:t>عدم ذاتیة المصالح و المفاسد و الحکم</w:t>
            </w:r>
            <w:r>
              <w:rPr>
                <w:rStyle w:val="IndexLink"/>
                <w:rtl w:val="true"/>
              </w:rPr>
              <w:t>]</w:t>
              <w:tab/>
            </w:r>
            <w:r>
              <w:rPr>
                <w:rStyle w:val="IndexLink"/>
              </w:rPr>
              <w:t>352</w:t>
            </w:r>
          </w:hyperlink>
        </w:p>
        <w:p>
          <w:pPr>
            <w:pStyle w:val="Contents4"/>
            <w:tabs>
              <w:tab w:val="clear" w:pos="8176"/>
              <w:tab w:val="right" w:pos="9026" w:leader="dot"/>
            </w:tabs>
            <w:rPr/>
          </w:pPr>
          <w:hyperlink w:anchor="__RefHeading___Toc2647228_3224264995">
            <w:r>
              <w:rPr>
                <w:webHidden/>
                <w:rStyle w:val="IndexLink"/>
                <w:rtl w:val="true"/>
              </w:rPr>
              <w:t>[</w:t>
            </w:r>
            <w:r>
              <w:rPr>
                <w:rStyle w:val="IndexLink"/>
                <w:rtl w:val="true"/>
              </w:rPr>
              <w:t>فی شمول اخبار من بلغ للشبهة الوجوبیة و عدمه</w:t>
            </w:r>
            <w:r>
              <w:rPr>
                <w:rStyle w:val="IndexLink"/>
                <w:rtl w:val="true"/>
              </w:rPr>
              <w:t>]</w:t>
              <w:tab/>
            </w:r>
            <w:r>
              <w:rPr>
                <w:rStyle w:val="IndexLink"/>
              </w:rPr>
              <w:t>352</w:t>
            </w:r>
          </w:hyperlink>
        </w:p>
        <w:p>
          <w:pPr>
            <w:pStyle w:val="Contents4"/>
            <w:tabs>
              <w:tab w:val="clear" w:pos="8176"/>
              <w:tab w:val="right" w:pos="9026" w:leader="dot"/>
            </w:tabs>
            <w:rPr/>
          </w:pPr>
          <w:hyperlink w:anchor="__RefHeading___Toc2647230_3224264995">
            <w:r>
              <w:rPr>
                <w:webHidden/>
                <w:rStyle w:val="IndexLink"/>
                <w:rtl w:val="true"/>
              </w:rPr>
              <w:t>[</w:t>
            </w:r>
            <w:r>
              <w:rPr>
                <w:rStyle w:val="IndexLink"/>
                <w:rtl w:val="true"/>
              </w:rPr>
              <w:t>الشبهة الوجوبیة من جهة تعارض النصّین</w:t>
            </w:r>
            <w:r>
              <w:rPr>
                <w:rStyle w:val="IndexLink"/>
                <w:rtl w:val="true"/>
              </w:rPr>
              <w:t>]</w:t>
              <w:tab/>
            </w:r>
            <w:r>
              <w:rPr>
                <w:rStyle w:val="IndexLink"/>
              </w:rPr>
              <w:t>352</w:t>
            </w:r>
          </w:hyperlink>
        </w:p>
        <w:p>
          <w:pPr>
            <w:pStyle w:val="Contents4"/>
            <w:tabs>
              <w:tab w:val="clear" w:pos="8176"/>
              <w:tab w:val="right" w:pos="9026" w:leader="dot"/>
            </w:tabs>
            <w:rPr/>
          </w:pPr>
          <w:hyperlink w:anchor="__RefHeading___Toc2647232_3224264995">
            <w:r>
              <w:rPr>
                <w:webHidden/>
                <w:rStyle w:val="IndexLink"/>
                <w:rtl w:val="true"/>
              </w:rPr>
              <w:t>[</w:t>
            </w:r>
            <w:r>
              <w:rPr>
                <w:rStyle w:val="IndexLink"/>
                <w:rtl w:val="true"/>
              </w:rPr>
              <w:t>إشارة إلی المراد من النصّین المتعادلین</w:t>
            </w:r>
            <w:r>
              <w:rPr>
                <w:rStyle w:val="IndexLink"/>
                <w:rtl w:val="true"/>
              </w:rPr>
              <w:t>]</w:t>
              <w:tab/>
            </w:r>
            <w:r>
              <w:rPr>
                <w:rStyle w:val="IndexLink"/>
              </w:rPr>
              <w:t>353</w:t>
            </w:r>
          </w:hyperlink>
        </w:p>
        <w:p>
          <w:pPr>
            <w:pStyle w:val="Contents4"/>
            <w:tabs>
              <w:tab w:val="clear" w:pos="8176"/>
              <w:tab w:val="right" w:pos="9026" w:leader="dot"/>
            </w:tabs>
            <w:rPr/>
          </w:pPr>
          <w:hyperlink w:anchor="__RefHeading___Toc2647234_3224264995">
            <w:r>
              <w:rPr>
                <w:webHidden/>
                <w:rStyle w:val="IndexLink"/>
                <w:rtl w:val="true"/>
              </w:rPr>
              <w:t>[</w:t>
            </w:r>
            <w:r>
              <w:rPr>
                <w:rStyle w:val="IndexLink"/>
                <w:rtl w:val="true"/>
              </w:rPr>
              <w:t>التحقیق فی الجواب علی التوقیع المرویّ فی الاحتجاج</w:t>
            </w:r>
            <w:r>
              <w:rPr>
                <w:rStyle w:val="IndexLink"/>
                <w:rtl w:val="true"/>
              </w:rPr>
              <w:t>]</w:t>
              <w:tab/>
            </w:r>
            <w:r>
              <w:rPr>
                <w:rStyle w:val="IndexLink"/>
              </w:rPr>
              <w:t>353</w:t>
            </w:r>
          </w:hyperlink>
        </w:p>
        <w:p>
          <w:pPr>
            <w:pStyle w:val="Contents4"/>
            <w:tabs>
              <w:tab w:val="clear" w:pos="8176"/>
              <w:tab w:val="right" w:pos="9026" w:leader="dot"/>
            </w:tabs>
            <w:rPr/>
          </w:pPr>
          <w:hyperlink w:anchor="__RefHeading___Toc2647236_3224264995">
            <w:r>
              <w:rPr>
                <w:webHidden/>
                <w:rStyle w:val="IndexLink"/>
                <w:rtl w:val="true"/>
              </w:rPr>
              <w:t>[</w:t>
            </w:r>
            <w:r>
              <w:rPr>
                <w:rStyle w:val="IndexLink"/>
                <w:rtl w:val="true"/>
              </w:rPr>
              <w:t>رفع المنافاة عمّا یتراءی من التنافی بین مسألتین نقلهما الماتن عن الأصحاب</w:t>
            </w:r>
            <w:r>
              <w:rPr>
                <w:rStyle w:val="IndexLink"/>
                <w:rtl w:val="true"/>
              </w:rPr>
              <w:t>]</w:t>
              <w:tab/>
            </w:r>
            <w:r>
              <w:rPr>
                <w:rStyle w:val="IndexLink"/>
              </w:rPr>
              <w:t>354</w:t>
            </w:r>
          </w:hyperlink>
        </w:p>
        <w:p>
          <w:pPr>
            <w:pStyle w:val="Contents4"/>
            <w:tabs>
              <w:tab w:val="clear" w:pos="8176"/>
              <w:tab w:val="right" w:pos="9026" w:leader="dot"/>
            </w:tabs>
            <w:rPr/>
          </w:pPr>
          <w:hyperlink w:anchor="__RefHeading___Toc2647238_3224264995">
            <w:r>
              <w:rPr>
                <w:webHidden/>
                <w:rStyle w:val="IndexLink"/>
                <w:rtl w:val="true"/>
              </w:rPr>
              <w:t>[</w:t>
            </w:r>
            <w:r>
              <w:rPr>
                <w:rStyle w:val="IndexLink"/>
                <w:rtl w:val="true"/>
              </w:rPr>
              <w:t>الشبهة الموضوعیة فی الوجوب</w:t>
            </w:r>
            <w:r>
              <w:rPr>
                <w:rStyle w:val="IndexLink"/>
                <w:rtl w:val="true"/>
              </w:rPr>
              <w:t>]</w:t>
              <w:tab/>
            </w:r>
            <w:r>
              <w:rPr>
                <w:rStyle w:val="IndexLink"/>
              </w:rPr>
              <w:t>355</w:t>
            </w:r>
          </w:hyperlink>
        </w:p>
        <w:p>
          <w:pPr>
            <w:pStyle w:val="Contents4"/>
            <w:tabs>
              <w:tab w:val="clear" w:pos="8176"/>
              <w:tab w:val="right" w:pos="9026" w:leader="dot"/>
            </w:tabs>
            <w:rPr/>
          </w:pPr>
          <w:hyperlink w:anchor="__RefHeading___Toc2647240_3224264995">
            <w:r>
              <w:rPr>
                <w:webHidden/>
                <w:rStyle w:val="IndexLink"/>
                <w:rtl w:val="true"/>
              </w:rPr>
              <w:t>[</w:t>
            </w:r>
            <w:r>
              <w:rPr>
                <w:rStyle w:val="IndexLink"/>
                <w:rtl w:val="true"/>
              </w:rPr>
              <w:t>حکم المشهور بحجّیة الظن فی قضاء الفوائت</w:t>
            </w:r>
            <w:r>
              <w:rPr>
                <w:rStyle w:val="IndexLink"/>
                <w:rtl w:val="true"/>
              </w:rPr>
              <w:t>]</w:t>
              <w:tab/>
            </w:r>
            <w:r>
              <w:rPr>
                <w:rStyle w:val="IndexLink"/>
              </w:rPr>
              <w:t>356</w:t>
            </w:r>
          </w:hyperlink>
        </w:p>
        <w:p>
          <w:pPr>
            <w:pStyle w:val="Contents4"/>
            <w:tabs>
              <w:tab w:val="clear" w:pos="8176"/>
              <w:tab w:val="right" w:pos="9026" w:leader="dot"/>
            </w:tabs>
            <w:rPr/>
          </w:pPr>
          <w:hyperlink w:anchor="__RefHeading___Toc2647242_3224264995">
            <w:r>
              <w:rPr>
                <w:webHidden/>
                <w:rStyle w:val="IndexLink"/>
                <w:rtl w:val="true"/>
              </w:rPr>
              <w:t>[</w:t>
            </w:r>
            <w:r>
              <w:rPr>
                <w:rStyle w:val="IndexLink"/>
                <w:rtl w:val="true"/>
              </w:rPr>
              <w:t>حکم المشهور بالاحتیاط عند تردد الفائتة بین الأقلّ و الأکثر</w:t>
            </w:r>
            <w:r>
              <w:rPr>
                <w:rStyle w:val="IndexLink"/>
                <w:rtl w:val="true"/>
              </w:rPr>
              <w:t>]</w:t>
              <w:tab/>
            </w:r>
            <w:r>
              <w:rPr>
                <w:rStyle w:val="IndexLink"/>
              </w:rPr>
              <w:t>356</w:t>
            </w:r>
          </w:hyperlink>
        </w:p>
        <w:p>
          <w:pPr>
            <w:pStyle w:val="Contents4"/>
            <w:tabs>
              <w:tab w:val="clear" w:pos="8176"/>
              <w:tab w:val="right" w:pos="9026" w:leader="dot"/>
            </w:tabs>
            <w:rPr/>
          </w:pPr>
          <w:hyperlink w:anchor="__RefHeading___Toc2647244_3224264995">
            <w:r>
              <w:rPr>
                <w:webHidden/>
                <w:rStyle w:val="IndexLink"/>
                <w:rtl w:val="true"/>
              </w:rPr>
              <w:t>[</w:t>
            </w:r>
            <w:r>
              <w:rPr>
                <w:rStyle w:val="IndexLink"/>
                <w:rtl w:val="true"/>
              </w:rPr>
              <w:t>مناقشات فی کلمات الماتن حول الأداء و القضاء</w:t>
            </w:r>
            <w:r>
              <w:rPr>
                <w:rStyle w:val="IndexLink"/>
                <w:rtl w:val="true"/>
              </w:rPr>
              <w:t>]</w:t>
              <w:tab/>
            </w:r>
            <w:r>
              <w:rPr>
                <w:rStyle w:val="IndexLink"/>
              </w:rPr>
              <w:t>359</w:t>
            </w:r>
          </w:hyperlink>
        </w:p>
        <w:p>
          <w:pPr>
            <w:pStyle w:val="Contents4"/>
            <w:tabs>
              <w:tab w:val="clear" w:pos="8176"/>
              <w:tab w:val="right" w:pos="9026" w:leader="dot"/>
            </w:tabs>
            <w:rPr/>
          </w:pPr>
          <w:hyperlink w:anchor="__RefHeading___Toc2647246_3224264995">
            <w:r>
              <w:rPr>
                <w:webHidden/>
                <w:rStyle w:val="IndexLink"/>
                <w:rtl w:val="true"/>
              </w:rPr>
              <w:t>[</w:t>
            </w:r>
            <w:r>
              <w:rPr>
                <w:rStyle w:val="IndexLink"/>
                <w:rtl w:val="true"/>
              </w:rPr>
              <w:t>عدم استلزام الاحتیاط فی قضاء النوافل للاحتیاط فی قضاء الفرائض</w:t>
            </w:r>
            <w:r>
              <w:rPr>
                <w:rStyle w:val="IndexLink"/>
                <w:rtl w:val="true"/>
              </w:rPr>
              <w:t>]</w:t>
              <w:tab/>
            </w:r>
            <w:r>
              <w:rPr>
                <w:rStyle w:val="IndexLink"/>
              </w:rPr>
              <w:t>362</w:t>
            </w:r>
          </w:hyperlink>
        </w:p>
        <w:p>
          <w:pPr>
            <w:pStyle w:val="Contents4"/>
            <w:tabs>
              <w:tab w:val="clear" w:pos="8176"/>
              <w:tab w:val="right" w:pos="9026" w:leader="dot"/>
            </w:tabs>
            <w:rPr/>
          </w:pPr>
          <w:hyperlink w:anchor="__RefHeading___Toc2647248_3224264995">
            <w:r>
              <w:rPr>
                <w:webHidden/>
                <w:rStyle w:val="IndexLink"/>
                <w:rtl w:val="true"/>
              </w:rPr>
              <w:t>[</w:t>
            </w:r>
            <w:r>
              <w:rPr>
                <w:rStyle w:val="IndexLink"/>
                <w:rtl w:val="true"/>
              </w:rPr>
              <w:t>دوران الأمر بین الوجوب و الحرمة من جهة عدم الدلیل</w:t>
            </w:r>
            <w:r>
              <w:rPr>
                <w:rStyle w:val="IndexLink"/>
                <w:rtl w:val="true"/>
              </w:rPr>
              <w:t>]</w:t>
              <w:tab/>
            </w:r>
            <w:r>
              <w:rPr>
                <w:rStyle w:val="IndexLink"/>
              </w:rPr>
              <w:t>363</w:t>
            </w:r>
          </w:hyperlink>
        </w:p>
        <w:p>
          <w:pPr>
            <w:pStyle w:val="Contents4"/>
            <w:tabs>
              <w:tab w:val="clear" w:pos="8176"/>
              <w:tab w:val="right" w:pos="9026" w:leader="dot"/>
            </w:tabs>
            <w:rPr/>
          </w:pPr>
          <w:hyperlink w:anchor="__RefHeading___Toc2647250_3224264995">
            <w:r>
              <w:rPr>
                <w:webHidden/>
                <w:rStyle w:val="IndexLink"/>
                <w:rtl w:val="true"/>
              </w:rPr>
              <w:t>[</w:t>
            </w:r>
            <w:r>
              <w:rPr>
                <w:rStyle w:val="IndexLink"/>
                <w:rtl w:val="true"/>
              </w:rPr>
              <w:t>إشارة إلی الفرق بین هذه المسألة و بین صورة تعارض النصّین</w:t>
            </w:r>
            <w:r>
              <w:rPr>
                <w:rStyle w:val="IndexLink"/>
                <w:rtl w:val="true"/>
              </w:rPr>
              <w:t>]</w:t>
              <w:tab/>
            </w:r>
            <w:r>
              <w:rPr>
                <w:rStyle w:val="IndexLink"/>
              </w:rPr>
              <w:t>364</w:t>
            </w:r>
          </w:hyperlink>
        </w:p>
        <w:p>
          <w:pPr>
            <w:pStyle w:val="Contents4"/>
            <w:tabs>
              <w:tab w:val="clear" w:pos="8176"/>
              <w:tab w:val="right" w:pos="9026" w:leader="dot"/>
            </w:tabs>
            <w:rPr/>
          </w:pPr>
          <w:hyperlink w:anchor="__RefHeading___Toc2647252_3224264995">
            <w:r>
              <w:rPr>
                <w:webHidden/>
                <w:rStyle w:val="IndexLink"/>
                <w:rtl w:val="true"/>
              </w:rPr>
              <w:t>[</w:t>
            </w:r>
            <w:r>
              <w:rPr>
                <w:rStyle w:val="IndexLink"/>
                <w:rtl w:val="true"/>
              </w:rPr>
              <w:t>هل انّ منعهم من الرجوع إلی قول ثالث من حیث العمل أم مطلق؟</w:t>
            </w:r>
            <w:r>
              <w:rPr>
                <w:rStyle w:val="IndexLink"/>
                <w:rtl w:val="true"/>
              </w:rPr>
              <w:t>]</w:t>
              <w:tab/>
            </w:r>
            <w:r>
              <w:rPr>
                <w:rStyle w:val="IndexLink"/>
              </w:rPr>
              <w:t>365</w:t>
            </w:r>
          </w:hyperlink>
        </w:p>
        <w:p>
          <w:pPr>
            <w:pStyle w:val="Contents4"/>
            <w:tabs>
              <w:tab w:val="clear" w:pos="8176"/>
              <w:tab w:val="right" w:pos="9026" w:leader="dot"/>
            </w:tabs>
            <w:rPr/>
          </w:pPr>
          <w:hyperlink w:anchor="__RefHeading___Toc2647254_3224264995">
            <w:r>
              <w:rPr>
                <w:webHidden/>
                <w:rStyle w:val="IndexLink"/>
                <w:rtl w:val="true"/>
              </w:rPr>
              <w:t>[</w:t>
            </w:r>
            <w:r>
              <w:rPr>
                <w:rStyle w:val="IndexLink"/>
                <w:rtl w:val="true"/>
              </w:rPr>
              <w:t>مناقشة دعوی الماتن من انصراف أدلة الاباحة إلی محتمل الحرمة و غیر الوجوب</w:t>
            </w:r>
            <w:r>
              <w:rPr>
                <w:rStyle w:val="IndexLink"/>
                <w:rtl w:val="true"/>
              </w:rPr>
              <w:t>]</w:t>
              <w:tab/>
            </w:r>
            <w:r>
              <w:rPr>
                <w:rStyle w:val="IndexLink"/>
              </w:rPr>
              <w:t>365</w:t>
            </w:r>
          </w:hyperlink>
        </w:p>
        <w:p>
          <w:pPr>
            <w:pStyle w:val="Contents4"/>
            <w:tabs>
              <w:tab w:val="clear" w:pos="8176"/>
              <w:tab w:val="right" w:pos="9026" w:leader="dot"/>
            </w:tabs>
            <w:rPr/>
          </w:pPr>
          <w:hyperlink w:anchor="__RefHeading___Toc2647256_3224264995">
            <w:r>
              <w:rPr>
                <w:webHidden/>
                <w:rStyle w:val="IndexLink"/>
                <w:rtl w:val="true"/>
              </w:rPr>
              <w:t>[</w:t>
            </w:r>
            <w:r>
              <w:rPr>
                <w:rStyle w:val="IndexLink"/>
                <w:rtl w:val="true"/>
              </w:rPr>
              <w:t>مناقشة کلام الماتن من حصر إفادة أدلة نفی التکلیف عمّا لم یعلم نوعه فی عدم المؤاخذة</w:t>
            </w:r>
            <w:r>
              <w:rPr>
                <w:rStyle w:val="IndexLink"/>
                <w:rtl w:val="true"/>
              </w:rPr>
              <w:t>]</w:t>
              <w:tab/>
            </w:r>
            <w:r>
              <w:rPr>
                <w:rStyle w:val="IndexLink"/>
              </w:rPr>
              <w:t>366</w:t>
            </w:r>
          </w:hyperlink>
        </w:p>
        <w:p>
          <w:pPr>
            <w:pStyle w:val="Contents4"/>
            <w:tabs>
              <w:tab w:val="clear" w:pos="8176"/>
              <w:tab w:val="right" w:pos="9026" w:leader="dot"/>
            </w:tabs>
            <w:rPr/>
          </w:pPr>
          <w:hyperlink w:anchor="__RefHeading___Toc2647258_3224264995">
            <w:r>
              <w:rPr>
                <w:webHidden/>
                <w:rStyle w:val="IndexLink"/>
                <w:rtl w:val="true"/>
              </w:rPr>
              <w:t>[</w:t>
            </w:r>
            <w:r>
              <w:rPr>
                <w:rStyle w:val="IndexLink"/>
                <w:rtl w:val="true"/>
              </w:rPr>
              <w:t>مناقشة فی مفاد الحدیث من انّ اجتناب السیئات أولی من اکتساب الحسنات</w:t>
            </w:r>
            <w:r>
              <w:rPr>
                <w:rStyle w:val="IndexLink"/>
                <w:rtl w:val="true"/>
              </w:rPr>
              <w:t>]</w:t>
              <w:tab/>
            </w:r>
            <w:r>
              <w:rPr>
                <w:rStyle w:val="IndexLink"/>
              </w:rPr>
              <w:t>366</w:t>
            </w:r>
          </w:hyperlink>
        </w:p>
        <w:p>
          <w:pPr>
            <w:pStyle w:val="Contents4"/>
            <w:tabs>
              <w:tab w:val="clear" w:pos="8176"/>
              <w:tab w:val="right" w:pos="9026" w:leader="dot"/>
            </w:tabs>
            <w:rPr/>
          </w:pPr>
          <w:hyperlink w:anchor="__RefHeading___Toc2647260_3224264995">
            <w:r>
              <w:rPr>
                <w:webHidden/>
                <w:rStyle w:val="IndexLink"/>
                <w:rtl w:val="true"/>
              </w:rPr>
              <w:t>[</w:t>
            </w:r>
            <w:r>
              <w:rPr>
                <w:rStyle w:val="IndexLink"/>
                <w:rtl w:val="true"/>
              </w:rPr>
              <w:t>الاستشهاد للقول بالحرمة فی دوران الأمر بین الوجوب و الحرمة لعدم الدلیل</w:t>
            </w:r>
            <w:r>
              <w:rPr>
                <w:rStyle w:val="IndexLink"/>
                <w:rtl w:val="true"/>
              </w:rPr>
              <w:t>]</w:t>
              <w:tab/>
            </w:r>
            <w:r>
              <w:rPr>
                <w:rStyle w:val="IndexLink"/>
              </w:rPr>
              <w:t>366</w:t>
            </w:r>
          </w:hyperlink>
        </w:p>
        <w:p>
          <w:pPr>
            <w:pStyle w:val="Contents4"/>
            <w:tabs>
              <w:tab w:val="clear" w:pos="8176"/>
              <w:tab w:val="right" w:pos="9026" w:leader="dot"/>
            </w:tabs>
            <w:rPr/>
          </w:pPr>
          <w:hyperlink w:anchor="__RefHeading___Toc2647262_3224264995">
            <w:r>
              <w:rPr>
                <w:webHidden/>
                <w:rStyle w:val="IndexLink"/>
                <w:rtl w:val="true"/>
              </w:rPr>
              <w:t>[</w:t>
            </w:r>
            <w:r>
              <w:rPr>
                <w:rStyle w:val="IndexLink"/>
                <w:rtl w:val="true"/>
              </w:rPr>
              <w:t>دوران الأمر بین الوجوب و الحرمة لإجمال الدلیل</w:t>
            </w:r>
            <w:r>
              <w:rPr>
                <w:rStyle w:val="IndexLink"/>
                <w:rtl w:val="true"/>
              </w:rPr>
              <w:t>]</w:t>
              <w:tab/>
            </w:r>
            <w:r>
              <w:rPr>
                <w:rStyle w:val="IndexLink"/>
              </w:rPr>
              <w:t>368</w:t>
            </w:r>
          </w:hyperlink>
        </w:p>
        <w:p>
          <w:pPr>
            <w:pStyle w:val="Contents4"/>
            <w:tabs>
              <w:tab w:val="clear" w:pos="8176"/>
              <w:tab w:val="right" w:pos="9026" w:leader="dot"/>
            </w:tabs>
            <w:rPr/>
          </w:pPr>
          <w:hyperlink w:anchor="__RefHeading___Toc2647264_3224264995">
            <w:r>
              <w:rPr>
                <w:webHidden/>
                <w:rStyle w:val="IndexLink"/>
                <w:rtl w:val="true"/>
              </w:rPr>
              <w:t>[</w:t>
            </w:r>
            <w:r>
              <w:rPr>
                <w:rStyle w:val="IndexLink"/>
                <w:rtl w:val="true"/>
              </w:rPr>
              <w:t>دوران الأمر بین الوجوب و الحرمة لتعارض الأدلّة</w:t>
            </w:r>
            <w:r>
              <w:rPr>
                <w:rStyle w:val="IndexLink"/>
                <w:rtl w:val="true"/>
              </w:rPr>
              <w:t>]</w:t>
              <w:tab/>
            </w:r>
            <w:r>
              <w:rPr>
                <w:rStyle w:val="IndexLink"/>
              </w:rPr>
              <w:t>369</w:t>
            </w:r>
          </w:hyperlink>
        </w:p>
        <w:p>
          <w:pPr>
            <w:pStyle w:val="Contents4"/>
            <w:tabs>
              <w:tab w:val="clear" w:pos="8176"/>
              <w:tab w:val="right" w:pos="9026" w:leader="dot"/>
            </w:tabs>
            <w:rPr/>
          </w:pPr>
          <w:hyperlink w:anchor="__RefHeading___Toc2647266_3224264995">
            <w:r>
              <w:rPr>
                <w:webHidden/>
                <w:rStyle w:val="IndexLink"/>
                <w:rtl w:val="true"/>
              </w:rPr>
              <w:t>[</w:t>
            </w:r>
            <w:r>
              <w:rPr>
                <w:rStyle w:val="IndexLink"/>
                <w:rtl w:val="true"/>
              </w:rPr>
              <w:t>دوران الأمر بین الوجوب و الحرمة للاشتباه فی الموضوع</w:t>
            </w:r>
            <w:r>
              <w:rPr>
                <w:rStyle w:val="IndexLink"/>
                <w:rtl w:val="true"/>
              </w:rPr>
              <w:t>]</w:t>
              <w:tab/>
            </w:r>
            <w:r>
              <w:rPr>
                <w:rStyle w:val="IndexLink"/>
              </w:rPr>
              <w:t>371</w:t>
            </w:r>
          </w:hyperlink>
        </w:p>
        <w:p>
          <w:pPr>
            <w:pStyle w:val="Contents4"/>
            <w:tabs>
              <w:tab w:val="clear" w:pos="8176"/>
              <w:tab w:val="right" w:pos="9026" w:leader="dot"/>
            </w:tabs>
            <w:rPr/>
          </w:pPr>
          <w:hyperlink w:anchor="__RefHeading___Toc2647268_3224264995">
            <w:r>
              <w:rPr>
                <w:webHidden/>
                <w:rStyle w:val="IndexLink"/>
                <w:rtl w:val="true"/>
              </w:rPr>
              <w:t>[</w:t>
            </w:r>
            <w:r>
              <w:rPr>
                <w:rStyle w:val="IndexLink"/>
                <w:rtl w:val="true"/>
              </w:rPr>
              <w:t>دراسة التمثیل المذکور للمسألة</w:t>
            </w:r>
            <w:r>
              <w:rPr>
                <w:rStyle w:val="IndexLink"/>
                <w:rtl w:val="true"/>
              </w:rPr>
              <w:t>]</w:t>
              <w:tab/>
            </w:r>
            <w:r>
              <w:rPr>
                <w:rStyle w:val="IndexLink"/>
              </w:rPr>
              <w:t>371</w:t>
            </w:r>
          </w:hyperlink>
        </w:p>
        <w:p>
          <w:pPr>
            <w:pStyle w:val="Contents4"/>
            <w:tabs>
              <w:tab w:val="clear" w:pos="8176"/>
              <w:tab w:val="right" w:pos="9026" w:leader="dot"/>
            </w:tabs>
            <w:rPr/>
          </w:pPr>
          <w:hyperlink w:anchor="__RefHeading___Toc2647270_3224264995">
            <w:r>
              <w:rPr>
                <w:webHidden/>
                <w:rStyle w:val="IndexLink"/>
                <w:rtl w:val="true"/>
              </w:rPr>
              <w:t>[</w:t>
            </w:r>
            <w:r>
              <w:rPr>
                <w:rStyle w:val="IndexLink"/>
                <w:rtl w:val="true"/>
              </w:rPr>
              <w:t>التمثیل الصحیح للمسألة</w:t>
            </w:r>
            <w:r>
              <w:rPr>
                <w:rStyle w:val="IndexLink"/>
                <w:rtl w:val="true"/>
              </w:rPr>
              <w:t>]</w:t>
              <w:tab/>
            </w:r>
            <w:r>
              <w:rPr>
                <w:rStyle w:val="IndexLink"/>
              </w:rPr>
              <w:t>373</w:t>
            </w:r>
          </w:hyperlink>
        </w:p>
        <w:p>
          <w:pPr>
            <w:pStyle w:val="Contents3"/>
            <w:tabs>
              <w:tab w:val="clear" w:pos="8459"/>
              <w:tab w:val="right" w:pos="9026" w:leader="dot"/>
            </w:tabs>
            <w:rPr/>
          </w:pPr>
          <w:hyperlink w:anchor="__RefHeading___Toc2647272_3224264995">
            <w:r>
              <w:rPr>
                <w:webHidden/>
                <w:rStyle w:val="IndexLink"/>
                <w:rtl w:val="true"/>
              </w:rPr>
              <w:t>[</w:t>
            </w:r>
            <w:r>
              <w:rPr>
                <w:rStyle w:val="IndexLink"/>
                <w:rtl w:val="true"/>
              </w:rPr>
              <w:t>الکلام فی اصل الاشتغال</w:t>
            </w:r>
            <w:r>
              <w:rPr>
                <w:rStyle w:val="IndexLink"/>
                <w:rtl w:val="true"/>
              </w:rPr>
              <w:t>]</w:t>
              <w:tab/>
            </w:r>
            <w:r>
              <w:rPr>
                <w:rStyle w:val="IndexLink"/>
              </w:rPr>
              <w:t>373</w:t>
            </w:r>
          </w:hyperlink>
        </w:p>
        <w:p>
          <w:pPr>
            <w:pStyle w:val="Contents4"/>
            <w:tabs>
              <w:tab w:val="clear" w:pos="8176"/>
              <w:tab w:val="right" w:pos="9026" w:leader="dot"/>
            </w:tabs>
            <w:rPr/>
          </w:pPr>
          <w:hyperlink w:anchor="__RefHeading___Toc2647274_3224264995">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2647276_3224264995">
            <w:r>
              <w:rPr>
                <w:webHidden/>
                <w:rStyle w:val="IndexLink"/>
                <w:rtl w:val="true"/>
              </w:rPr>
              <w:t>[</w:t>
            </w:r>
            <w:r>
              <w:rPr>
                <w:rStyle w:val="IndexLink"/>
                <w:rtl w:val="true"/>
              </w:rPr>
              <w:t>وجوه المسألة و أقوالها</w:t>
            </w:r>
            <w:r>
              <w:rPr>
                <w:rStyle w:val="IndexLink"/>
                <w:rtl w:val="true"/>
              </w:rPr>
              <w:t>]</w:t>
              <w:tab/>
            </w:r>
            <w:r>
              <w:rPr>
                <w:rStyle w:val="IndexLink"/>
              </w:rPr>
              <w:t>374</w:t>
            </w:r>
          </w:hyperlink>
        </w:p>
        <w:p>
          <w:pPr>
            <w:pStyle w:val="Contents4"/>
            <w:tabs>
              <w:tab w:val="clear" w:pos="8176"/>
              <w:tab w:val="right" w:pos="9026" w:leader="dot"/>
            </w:tabs>
            <w:rPr/>
          </w:pPr>
          <w:hyperlink w:anchor="__RefHeading___Toc2647278_3224264995">
            <w:r>
              <w:rPr>
                <w:webHidden/>
                <w:rStyle w:val="IndexLink"/>
                <w:rtl w:val="true"/>
              </w:rPr>
              <w:t>[</w:t>
            </w:r>
            <w:r>
              <w:rPr>
                <w:rStyle w:val="IndexLink"/>
                <w:rtl w:val="true"/>
              </w:rPr>
              <w:t>محلّ النزاع فی المسألة</w:t>
            </w:r>
            <w:r>
              <w:rPr>
                <w:rStyle w:val="IndexLink"/>
                <w:rtl w:val="true"/>
              </w:rPr>
              <w:t>]</w:t>
              <w:tab/>
            </w:r>
            <w:r>
              <w:rPr>
                <w:rStyle w:val="IndexLink"/>
              </w:rPr>
              <w:t>376</w:t>
            </w:r>
          </w:hyperlink>
        </w:p>
        <w:p>
          <w:pPr>
            <w:pStyle w:val="Contents4"/>
            <w:tabs>
              <w:tab w:val="clear" w:pos="8176"/>
              <w:tab w:val="right" w:pos="9026" w:leader="dot"/>
            </w:tabs>
            <w:rPr/>
          </w:pPr>
          <w:hyperlink w:anchor="__RefHeading___Toc2647280_3224264995">
            <w:r>
              <w:rPr>
                <w:webHidden/>
                <w:rStyle w:val="IndexLink"/>
                <w:rtl w:val="true"/>
              </w:rPr>
              <w:t>[</w:t>
            </w:r>
            <w:r>
              <w:rPr>
                <w:rStyle w:val="IndexLink"/>
                <w:rtl w:val="true"/>
              </w:rPr>
              <w:t>الکلام فی المخالفة القطعیة فی الشبهة المحصورة</w:t>
            </w:r>
            <w:r>
              <w:rPr>
                <w:rStyle w:val="IndexLink"/>
                <w:rtl w:val="true"/>
              </w:rPr>
              <w:t>]</w:t>
              <w:tab/>
            </w:r>
            <w:r>
              <w:rPr>
                <w:rStyle w:val="IndexLink"/>
              </w:rPr>
              <w:t>376</w:t>
            </w:r>
          </w:hyperlink>
        </w:p>
        <w:p>
          <w:pPr>
            <w:pStyle w:val="Contents4"/>
            <w:tabs>
              <w:tab w:val="clear" w:pos="8176"/>
              <w:tab w:val="right" w:pos="9026" w:leader="dot"/>
            </w:tabs>
            <w:rPr/>
          </w:pPr>
          <w:hyperlink w:anchor="__RefHeading___Toc2647282_3224264995">
            <w:r>
              <w:rPr>
                <w:webHidden/>
                <w:rStyle w:val="IndexLink"/>
                <w:rtl w:val="true"/>
              </w:rPr>
              <w:t>[</w:t>
            </w:r>
            <w:r>
              <w:rPr>
                <w:rStyle w:val="IndexLink"/>
                <w:rtl w:val="true"/>
              </w:rPr>
              <w:t>التصویب فی الموضوعات</w:t>
            </w:r>
            <w:r>
              <w:rPr>
                <w:rStyle w:val="IndexLink"/>
                <w:rtl w:val="true"/>
              </w:rPr>
              <w:t>]</w:t>
              <w:tab/>
            </w:r>
            <w:r>
              <w:rPr>
                <w:rStyle w:val="IndexLink"/>
              </w:rPr>
              <w:t>378</w:t>
            </w:r>
          </w:hyperlink>
        </w:p>
        <w:p>
          <w:pPr>
            <w:pStyle w:val="Contents4"/>
            <w:tabs>
              <w:tab w:val="clear" w:pos="8176"/>
              <w:tab w:val="right" w:pos="9026" w:leader="dot"/>
            </w:tabs>
            <w:rPr/>
          </w:pPr>
          <w:hyperlink w:anchor="__RefHeading___Toc2647284_3224264995">
            <w:r>
              <w:rPr>
                <w:webHidden/>
                <w:rStyle w:val="IndexLink"/>
                <w:rtl w:val="true"/>
              </w:rPr>
              <w:t>[</w:t>
            </w:r>
            <w:r>
              <w:rPr>
                <w:rStyle w:val="IndexLink"/>
                <w:rtl w:val="true"/>
              </w:rPr>
              <w:t>عدم بدلیة الترک المقارن لفعل الضدّ عن ذلک الفعل</w:t>
            </w:r>
            <w:r>
              <w:rPr>
                <w:rStyle w:val="IndexLink"/>
                <w:rtl w:val="true"/>
              </w:rPr>
              <w:t>]</w:t>
              <w:tab/>
            </w:r>
            <w:r>
              <w:rPr>
                <w:rStyle w:val="IndexLink"/>
              </w:rPr>
              <w:t>379</w:t>
            </w:r>
          </w:hyperlink>
        </w:p>
        <w:p>
          <w:pPr>
            <w:pStyle w:val="Contents4"/>
            <w:tabs>
              <w:tab w:val="clear" w:pos="8176"/>
              <w:tab w:val="right" w:pos="9026" w:leader="dot"/>
            </w:tabs>
            <w:rPr/>
          </w:pPr>
          <w:hyperlink w:anchor="__RefHeading___Toc2647286_3224264995">
            <w:r>
              <w:rPr>
                <w:webHidden/>
                <w:rStyle w:val="IndexLink"/>
                <w:rtl w:val="true"/>
              </w:rPr>
              <w:t>[</w:t>
            </w:r>
            <w:r>
              <w:rPr>
                <w:rStyle w:val="IndexLink"/>
                <w:rtl w:val="true"/>
              </w:rPr>
              <w:t>تعریض للوجوه فی التخییر</w:t>
            </w:r>
            <w:r>
              <w:rPr>
                <w:rStyle w:val="IndexLink"/>
                <w:rtl w:val="true"/>
              </w:rPr>
              <w:t>]</w:t>
              <w:tab/>
            </w:r>
            <w:r>
              <w:rPr>
                <w:rStyle w:val="IndexLink"/>
              </w:rPr>
              <w:t>380</w:t>
            </w:r>
          </w:hyperlink>
        </w:p>
        <w:p>
          <w:pPr>
            <w:pStyle w:val="Contents4"/>
            <w:tabs>
              <w:tab w:val="clear" w:pos="8176"/>
              <w:tab w:val="right" w:pos="9026" w:leader="dot"/>
            </w:tabs>
            <w:rPr/>
          </w:pPr>
          <w:hyperlink w:anchor="__RefHeading___Toc2647288_3224264995">
            <w:r>
              <w:rPr>
                <w:webHidden/>
                <w:rStyle w:val="IndexLink"/>
                <w:rtl w:val="true"/>
              </w:rPr>
              <w:t>[</w:t>
            </w:r>
            <w:r>
              <w:rPr>
                <w:rStyle w:val="IndexLink"/>
                <w:rtl w:val="true"/>
              </w:rPr>
              <w:t>وظیفة الحاکم العمل بالأسباب الظاهریة</w:t>
            </w:r>
            <w:r>
              <w:rPr>
                <w:rStyle w:val="IndexLink"/>
                <w:rtl w:val="true"/>
              </w:rPr>
              <w:t>]</w:t>
              <w:tab/>
            </w:r>
            <w:r>
              <w:rPr>
                <w:rStyle w:val="IndexLink"/>
              </w:rPr>
              <w:t>380</w:t>
            </w:r>
          </w:hyperlink>
        </w:p>
        <w:p>
          <w:pPr>
            <w:pStyle w:val="Contents4"/>
            <w:tabs>
              <w:tab w:val="clear" w:pos="8176"/>
              <w:tab w:val="right" w:pos="9026" w:leader="dot"/>
            </w:tabs>
            <w:rPr/>
          </w:pPr>
          <w:hyperlink w:anchor="__RefHeading___Toc2647290_3224264995">
            <w:r>
              <w:rPr>
                <w:webHidden/>
                <w:rStyle w:val="IndexLink"/>
                <w:rtl w:val="true"/>
              </w:rPr>
              <w:t>[</w:t>
            </w:r>
            <w:r>
              <w:rPr>
                <w:rStyle w:val="IndexLink"/>
                <w:rtl w:val="true"/>
              </w:rPr>
              <w:t>وجه القول بجواز المخالفة القطعیة فی الشبهة المحصورة</w:t>
            </w:r>
            <w:r>
              <w:rPr>
                <w:rStyle w:val="IndexLink"/>
                <w:rtl w:val="true"/>
              </w:rPr>
              <w:t>]</w:t>
              <w:tab/>
            </w:r>
            <w:r>
              <w:rPr>
                <w:rStyle w:val="IndexLink"/>
              </w:rPr>
              <w:t>381</w:t>
            </w:r>
          </w:hyperlink>
        </w:p>
        <w:p>
          <w:pPr>
            <w:pStyle w:val="Contents4"/>
            <w:tabs>
              <w:tab w:val="clear" w:pos="8176"/>
              <w:tab w:val="right" w:pos="9026" w:leader="dot"/>
            </w:tabs>
            <w:rPr/>
          </w:pPr>
          <w:hyperlink w:anchor="__RefHeading___Toc2647292_3224264995">
            <w:r>
              <w:rPr>
                <w:webHidden/>
                <w:rStyle w:val="IndexLink"/>
                <w:rtl w:val="true"/>
              </w:rPr>
              <w:t>[</w:t>
            </w:r>
            <w:r>
              <w:rPr>
                <w:rStyle w:val="IndexLink"/>
                <w:rtl w:val="true"/>
              </w:rPr>
              <w:t>دعوی ورود إطلاقات الکتاب فی بیان أصل التشریع</w:t>
            </w:r>
            <w:r>
              <w:rPr>
                <w:rStyle w:val="IndexLink"/>
                <w:rtl w:val="true"/>
              </w:rPr>
              <w:t>]</w:t>
              <w:tab/>
            </w:r>
            <w:r>
              <w:rPr>
                <w:rStyle w:val="IndexLink"/>
              </w:rPr>
              <w:t>383</w:t>
            </w:r>
          </w:hyperlink>
        </w:p>
        <w:p>
          <w:pPr>
            <w:pStyle w:val="Contents4"/>
            <w:tabs>
              <w:tab w:val="clear" w:pos="8176"/>
              <w:tab w:val="right" w:pos="9026" w:leader="dot"/>
            </w:tabs>
            <w:rPr/>
          </w:pPr>
          <w:hyperlink w:anchor="__RefHeading___Toc2647294_3224264995">
            <w:r>
              <w:rPr>
                <w:webHidden/>
                <w:rStyle w:val="IndexLink"/>
                <w:rtl w:val="true"/>
              </w:rPr>
              <w:t>[</w:t>
            </w:r>
            <w:r>
              <w:rPr>
                <w:rStyle w:val="IndexLink"/>
                <w:rtl w:val="true"/>
              </w:rPr>
              <w:t>ثبوت المقتضی للاجتناب عن الشبهة المحصورة و غیر المحصورة و البدویة</w:t>
            </w:r>
            <w:r>
              <w:rPr>
                <w:rStyle w:val="IndexLink"/>
                <w:rtl w:val="true"/>
              </w:rPr>
              <w:t>]</w:t>
              <w:tab/>
            </w:r>
            <w:r>
              <w:rPr>
                <w:rStyle w:val="IndexLink"/>
              </w:rPr>
              <w:t>384</w:t>
            </w:r>
          </w:hyperlink>
        </w:p>
        <w:p>
          <w:pPr>
            <w:pStyle w:val="Contents4"/>
            <w:tabs>
              <w:tab w:val="clear" w:pos="8176"/>
              <w:tab w:val="right" w:pos="9026" w:leader="dot"/>
            </w:tabs>
            <w:rPr/>
          </w:pPr>
          <w:hyperlink w:anchor="__RefHeading___Toc2647296_3224264995">
            <w:r>
              <w:rPr>
                <w:webHidden/>
                <w:rStyle w:val="IndexLink"/>
                <w:rtl w:val="true"/>
              </w:rPr>
              <w:t>[</w:t>
            </w:r>
            <w:r>
              <w:rPr>
                <w:rStyle w:val="IndexLink"/>
                <w:rtl w:val="true"/>
              </w:rPr>
              <w:t>قبح العقاب بلا بیان شرعی و لا عقلی</w:t>
            </w:r>
            <w:r>
              <w:rPr>
                <w:rStyle w:val="IndexLink"/>
                <w:rtl w:val="true"/>
              </w:rPr>
              <w:t>]</w:t>
              <w:tab/>
            </w:r>
            <w:r>
              <w:rPr>
                <w:rStyle w:val="IndexLink"/>
              </w:rPr>
              <w:t>384</w:t>
            </w:r>
          </w:hyperlink>
        </w:p>
        <w:p>
          <w:pPr>
            <w:pStyle w:val="Contents4"/>
            <w:tabs>
              <w:tab w:val="clear" w:pos="8176"/>
              <w:tab w:val="right" w:pos="9026" w:leader="dot"/>
            </w:tabs>
            <w:rPr/>
          </w:pPr>
          <w:hyperlink w:anchor="__RefHeading___Toc2647298_3224264995">
            <w:r>
              <w:rPr>
                <w:webHidden/>
                <w:rStyle w:val="IndexLink"/>
                <w:rtl w:val="true"/>
              </w:rPr>
              <w:t>[</w:t>
            </w:r>
            <w:r>
              <w:rPr>
                <w:rStyle w:val="IndexLink"/>
                <w:rtl w:val="true"/>
              </w:rPr>
              <w:t>الکلام فی المانع عن تأثیر العلم الإجمالی فی وجوب الاجتناب</w:t>
            </w:r>
            <w:r>
              <w:rPr>
                <w:rStyle w:val="IndexLink"/>
                <w:rtl w:val="true"/>
              </w:rPr>
              <w:t>]</w:t>
              <w:tab/>
            </w:r>
            <w:r>
              <w:rPr>
                <w:rStyle w:val="IndexLink"/>
              </w:rPr>
              <w:t>385</w:t>
            </w:r>
          </w:hyperlink>
        </w:p>
        <w:p>
          <w:pPr>
            <w:pStyle w:val="Contents4"/>
            <w:tabs>
              <w:tab w:val="clear" w:pos="8176"/>
              <w:tab w:val="right" w:pos="9026" w:leader="dot"/>
            </w:tabs>
            <w:rPr/>
          </w:pPr>
          <w:hyperlink w:anchor="__RefHeading___Toc2647300_3224264995">
            <w:r>
              <w:rPr>
                <w:webHidden/>
                <w:rStyle w:val="IndexLink"/>
                <w:rtl w:val="true"/>
              </w:rPr>
              <w:t>[</w:t>
            </w:r>
            <w:r>
              <w:rPr>
                <w:rStyle w:val="IndexLink"/>
                <w:rtl w:val="true"/>
              </w:rPr>
              <w:t>عدم صحة رفع الید عن ظهور النصّ بدعوی لزوم التصویب</w:t>
            </w:r>
            <w:r>
              <w:rPr>
                <w:rStyle w:val="IndexLink"/>
                <w:rtl w:val="true"/>
              </w:rPr>
              <w:t>]</w:t>
              <w:tab/>
            </w:r>
            <w:r>
              <w:rPr>
                <w:rStyle w:val="IndexLink"/>
              </w:rPr>
              <w:t>387</w:t>
            </w:r>
          </w:hyperlink>
        </w:p>
        <w:p>
          <w:pPr>
            <w:pStyle w:val="Contents4"/>
            <w:tabs>
              <w:tab w:val="clear" w:pos="8176"/>
              <w:tab w:val="right" w:pos="9026" w:leader="dot"/>
            </w:tabs>
            <w:rPr/>
          </w:pPr>
          <w:hyperlink w:anchor="__RefHeading___Toc2647302_3224264995">
            <w:r>
              <w:rPr>
                <w:webHidden/>
                <w:rStyle w:val="IndexLink"/>
                <w:rtl w:val="true"/>
              </w:rPr>
              <w:t>[</w:t>
            </w:r>
            <w:r>
              <w:rPr>
                <w:rStyle w:val="IndexLink"/>
                <w:rtl w:val="true"/>
              </w:rPr>
              <w:t>مقصود الشارع من اخبار الاصل فی نظر الماتن و الجواب عنه</w:t>
            </w:r>
            <w:r>
              <w:rPr>
                <w:rStyle w:val="IndexLink"/>
                <w:rtl w:val="true"/>
              </w:rPr>
              <w:t>]</w:t>
              <w:tab/>
            </w:r>
            <w:r>
              <w:rPr>
                <w:rStyle w:val="IndexLink"/>
              </w:rPr>
              <w:t>387</w:t>
            </w:r>
          </w:hyperlink>
        </w:p>
        <w:p>
          <w:pPr>
            <w:pStyle w:val="Contents4"/>
            <w:tabs>
              <w:tab w:val="clear" w:pos="8176"/>
              <w:tab w:val="right" w:pos="9026" w:leader="dot"/>
            </w:tabs>
            <w:rPr/>
          </w:pPr>
          <w:hyperlink w:anchor="__RefHeading___Toc2647304_3224264995">
            <w:r>
              <w:rPr>
                <w:webHidden/>
                <w:rStyle w:val="IndexLink"/>
                <w:rtl w:val="true"/>
              </w:rPr>
              <w:t>[</w:t>
            </w:r>
            <w:r>
              <w:rPr>
                <w:rStyle w:val="IndexLink"/>
                <w:rtl w:val="true"/>
              </w:rPr>
              <w:t>محامل الحرام فی الروایة</w:t>
            </w:r>
            <w:r>
              <w:rPr>
                <w:rStyle w:val="IndexLink"/>
                <w:rtl w:val="true"/>
              </w:rPr>
              <w:t>]</w:t>
              <w:tab/>
            </w:r>
            <w:r>
              <w:rPr>
                <w:rStyle w:val="IndexLink"/>
              </w:rPr>
              <w:t>388</w:t>
            </w:r>
          </w:hyperlink>
        </w:p>
        <w:p>
          <w:pPr>
            <w:pStyle w:val="Contents4"/>
            <w:tabs>
              <w:tab w:val="clear" w:pos="8176"/>
              <w:tab w:val="right" w:pos="9026" w:leader="dot"/>
            </w:tabs>
            <w:rPr/>
          </w:pPr>
          <w:hyperlink w:anchor="__RefHeading___Toc2647306_3224264995">
            <w:r>
              <w:rPr>
                <w:webHidden/>
                <w:rStyle w:val="IndexLink"/>
                <w:rtl w:val="true"/>
              </w:rPr>
              <w:t>[</w:t>
            </w:r>
            <w:r>
              <w:rPr>
                <w:rStyle w:val="IndexLink"/>
                <w:rtl w:val="true"/>
              </w:rPr>
              <w:t>فی انّ الاجتناب عن أطراف الشبهة واجب نفسی أو إرشادی</w:t>
            </w:r>
            <w:r>
              <w:rPr>
                <w:rStyle w:val="IndexLink"/>
                <w:rtl w:val="true"/>
              </w:rPr>
              <w:t>]</w:t>
              <w:tab/>
            </w:r>
            <w:r>
              <w:rPr>
                <w:rStyle w:val="IndexLink"/>
              </w:rPr>
              <w:t>391</w:t>
            </w:r>
          </w:hyperlink>
        </w:p>
        <w:p>
          <w:pPr>
            <w:pStyle w:val="Contents4"/>
            <w:tabs>
              <w:tab w:val="clear" w:pos="8176"/>
              <w:tab w:val="right" w:pos="9026" w:leader="dot"/>
            </w:tabs>
            <w:rPr/>
          </w:pPr>
          <w:hyperlink w:anchor="__RefHeading___Toc2647308_3224264995">
            <w:r>
              <w:rPr>
                <w:webHidden/>
                <w:rStyle w:val="IndexLink"/>
                <w:rtl w:val="true"/>
              </w:rPr>
              <w:t>[</w:t>
            </w:r>
            <w:r>
              <w:rPr>
                <w:rStyle w:val="IndexLink"/>
                <w:rtl w:val="true"/>
              </w:rPr>
              <w:t>فی مقرّبات الحرمة الذاتیة فی ارتکاب أطراف الشبهة</w:t>
            </w:r>
            <w:r>
              <w:rPr>
                <w:rStyle w:val="IndexLink"/>
                <w:rtl w:val="true"/>
              </w:rPr>
              <w:t>]</w:t>
              <w:tab/>
            </w:r>
            <w:r>
              <w:rPr>
                <w:rStyle w:val="IndexLink"/>
              </w:rPr>
              <w:t>393</w:t>
            </w:r>
          </w:hyperlink>
        </w:p>
        <w:p>
          <w:pPr>
            <w:pStyle w:val="Contents4"/>
            <w:tabs>
              <w:tab w:val="clear" w:pos="8176"/>
              <w:tab w:val="right" w:pos="9026" w:leader="dot"/>
            </w:tabs>
            <w:rPr/>
          </w:pPr>
          <w:hyperlink w:anchor="__RefHeading___Toc2647310_3224264995">
            <w:r>
              <w:rPr>
                <w:webHidden/>
                <w:rStyle w:val="IndexLink"/>
                <w:rtl w:val="true"/>
              </w:rPr>
              <w:t>[</w:t>
            </w:r>
            <w:r>
              <w:rPr>
                <w:rStyle w:val="IndexLink"/>
                <w:rtl w:val="true"/>
              </w:rPr>
              <w:t>التنظر فی مقرّباتها</w:t>
            </w:r>
            <w:r>
              <w:rPr>
                <w:rStyle w:val="IndexLink"/>
                <w:rtl w:val="true"/>
              </w:rPr>
              <w:t>]</w:t>
              <w:tab/>
            </w:r>
            <w:r>
              <w:rPr>
                <w:rStyle w:val="IndexLink"/>
              </w:rPr>
              <w:t>394</w:t>
            </w:r>
          </w:hyperlink>
        </w:p>
        <w:p>
          <w:pPr>
            <w:pStyle w:val="Contents4"/>
            <w:tabs>
              <w:tab w:val="clear" w:pos="8176"/>
              <w:tab w:val="right" w:pos="9026" w:leader="dot"/>
            </w:tabs>
            <w:rPr/>
          </w:pPr>
          <w:hyperlink w:anchor="__RefHeading___Toc2647312_3224264995">
            <w:r>
              <w:rPr>
                <w:webHidden/>
                <w:rStyle w:val="IndexLink"/>
                <w:rtl w:val="true"/>
              </w:rPr>
              <w:t>[</w:t>
            </w:r>
            <w:r>
              <w:rPr>
                <w:rStyle w:val="IndexLink"/>
                <w:rtl w:val="true"/>
              </w:rPr>
              <w:t>مناقشات فی کلمات المصنف فی هذا الباب</w:t>
            </w:r>
            <w:r>
              <w:rPr>
                <w:rStyle w:val="IndexLink"/>
                <w:rtl w:val="true"/>
              </w:rPr>
              <w:t>]</w:t>
              <w:tab/>
            </w:r>
            <w:r>
              <w:rPr>
                <w:rStyle w:val="IndexLink"/>
              </w:rPr>
              <w:t>395</w:t>
            </w:r>
          </w:hyperlink>
        </w:p>
        <w:p>
          <w:pPr>
            <w:pStyle w:val="Contents4"/>
            <w:tabs>
              <w:tab w:val="clear" w:pos="8176"/>
              <w:tab w:val="right" w:pos="9026" w:leader="dot"/>
            </w:tabs>
            <w:rPr/>
          </w:pPr>
          <w:hyperlink w:anchor="__RefHeading___Toc2647314_3224264995">
            <w:r>
              <w:rPr>
                <w:webHidden/>
                <w:rStyle w:val="IndexLink"/>
                <w:rtl w:val="true"/>
              </w:rPr>
              <w:t>[</w:t>
            </w:r>
            <w:r>
              <w:rPr>
                <w:rStyle w:val="IndexLink"/>
                <w:rtl w:val="true"/>
              </w:rPr>
              <w:t>اعتبار الابتلاء بالأطراف فی وجوب الاجتناب عنها</w:t>
            </w:r>
            <w:r>
              <w:rPr>
                <w:rStyle w:val="IndexLink"/>
                <w:rtl w:val="true"/>
              </w:rPr>
              <w:t>]</w:t>
              <w:tab/>
            </w:r>
            <w:r>
              <w:rPr>
                <w:rStyle w:val="IndexLink"/>
              </w:rPr>
              <w:t>395</w:t>
            </w:r>
          </w:hyperlink>
        </w:p>
        <w:p>
          <w:pPr>
            <w:pStyle w:val="Contents4"/>
            <w:tabs>
              <w:tab w:val="clear" w:pos="8176"/>
              <w:tab w:val="right" w:pos="9026" w:leader="dot"/>
            </w:tabs>
            <w:rPr/>
          </w:pPr>
          <w:hyperlink w:anchor="__RefHeading___Toc2647316_3224264995">
            <w:r>
              <w:rPr>
                <w:webHidden/>
                <w:rStyle w:val="IndexLink"/>
                <w:rtl w:val="true"/>
              </w:rPr>
              <w:t>[</w:t>
            </w:r>
            <w:r>
              <w:rPr>
                <w:rStyle w:val="IndexLink"/>
                <w:rtl w:val="true"/>
              </w:rPr>
              <w:t>الأصل الجاری فی مورد الشک فی الابتلاء</w:t>
            </w:r>
            <w:r>
              <w:rPr>
                <w:rStyle w:val="IndexLink"/>
                <w:rtl w:val="true"/>
              </w:rPr>
              <w:t>]</w:t>
              <w:tab/>
            </w:r>
            <w:r>
              <w:rPr>
                <w:rStyle w:val="IndexLink"/>
              </w:rPr>
              <w:t>396</w:t>
            </w:r>
          </w:hyperlink>
        </w:p>
        <w:p>
          <w:pPr>
            <w:pStyle w:val="Contents4"/>
            <w:tabs>
              <w:tab w:val="clear" w:pos="8176"/>
              <w:tab w:val="right" w:pos="9026" w:leader="dot"/>
            </w:tabs>
            <w:rPr/>
          </w:pPr>
          <w:hyperlink w:anchor="__RefHeading___Toc2647318_3224264995">
            <w:r>
              <w:rPr>
                <w:webHidden/>
                <w:rStyle w:val="IndexLink"/>
                <w:rtl w:val="true"/>
              </w:rPr>
              <w:t>[</w:t>
            </w:r>
            <w:r>
              <w:rPr>
                <w:rStyle w:val="IndexLink"/>
                <w:rtl w:val="true"/>
              </w:rPr>
              <w:t>الخدشة فی اعتبار الابتلاء فی المسألة</w:t>
            </w:r>
            <w:r>
              <w:rPr>
                <w:rStyle w:val="IndexLink"/>
                <w:rtl w:val="true"/>
              </w:rPr>
              <w:t>]</w:t>
              <w:tab/>
            </w:r>
            <w:r>
              <w:rPr>
                <w:rStyle w:val="IndexLink"/>
              </w:rPr>
              <w:t>397</w:t>
            </w:r>
          </w:hyperlink>
        </w:p>
        <w:p>
          <w:pPr>
            <w:pStyle w:val="Contents4"/>
            <w:tabs>
              <w:tab w:val="clear" w:pos="8176"/>
              <w:tab w:val="right" w:pos="9026" w:leader="dot"/>
            </w:tabs>
            <w:rPr/>
          </w:pPr>
          <w:hyperlink w:anchor="__RefHeading___Toc2647320_3224264995">
            <w:r>
              <w:rPr>
                <w:webHidden/>
                <w:rStyle w:val="IndexLink"/>
                <w:rtl w:val="true"/>
              </w:rPr>
              <w:t>[</w:t>
            </w:r>
            <w:r>
              <w:rPr>
                <w:rStyle w:val="IndexLink"/>
                <w:rtl w:val="true"/>
              </w:rPr>
              <w:t>حکم ملاقاة أحد أطراف الشبهة المحصورة</w:t>
            </w:r>
            <w:r>
              <w:rPr>
                <w:rStyle w:val="IndexLink"/>
                <w:rtl w:val="true"/>
              </w:rPr>
              <w:t>]</w:t>
              <w:tab/>
            </w:r>
            <w:r>
              <w:rPr>
                <w:rStyle w:val="IndexLink"/>
              </w:rPr>
              <w:t>400</w:t>
            </w:r>
          </w:hyperlink>
        </w:p>
        <w:p>
          <w:pPr>
            <w:pStyle w:val="Contents4"/>
            <w:tabs>
              <w:tab w:val="clear" w:pos="8176"/>
              <w:tab w:val="right" w:pos="9026" w:leader="dot"/>
            </w:tabs>
            <w:rPr/>
          </w:pPr>
          <w:hyperlink w:anchor="__RefHeading___Toc2647322_3224264995">
            <w:r>
              <w:rPr>
                <w:webHidden/>
                <w:rStyle w:val="IndexLink"/>
                <w:rtl w:val="true"/>
              </w:rPr>
              <w:t>[</w:t>
            </w:r>
            <w:r>
              <w:rPr>
                <w:rStyle w:val="IndexLink"/>
                <w:rtl w:val="true"/>
              </w:rPr>
              <w:t>محصّل الکلام و المبانی فی المسألة</w:t>
            </w:r>
            <w:r>
              <w:rPr>
                <w:rStyle w:val="IndexLink"/>
                <w:rtl w:val="true"/>
              </w:rPr>
              <w:t>]</w:t>
              <w:tab/>
            </w:r>
            <w:r>
              <w:rPr>
                <w:rStyle w:val="IndexLink"/>
              </w:rPr>
              <w:t>403</w:t>
            </w:r>
          </w:hyperlink>
        </w:p>
        <w:p>
          <w:pPr>
            <w:pStyle w:val="Contents4"/>
            <w:tabs>
              <w:tab w:val="clear" w:pos="8176"/>
              <w:tab w:val="right" w:pos="9026" w:leader="dot"/>
            </w:tabs>
            <w:rPr/>
          </w:pPr>
          <w:hyperlink w:anchor="__RefHeading___Toc2647324_3224264995">
            <w:r>
              <w:rPr>
                <w:webHidden/>
                <w:rStyle w:val="IndexLink"/>
                <w:rtl w:val="true"/>
              </w:rPr>
              <w:t>[</w:t>
            </w:r>
            <w:r>
              <w:rPr>
                <w:rStyle w:val="IndexLink"/>
                <w:rtl w:val="true"/>
              </w:rPr>
              <w:t>المرجع فی حکم الملاقی إلی الاصول و هی</w:t>
            </w:r>
            <w:r>
              <w:rPr>
                <w:rStyle w:val="IndexLink"/>
                <w:rtl w:val="true"/>
              </w:rPr>
              <w:t xml:space="preserve">: </w:t>
            </w:r>
            <w:r>
              <w:rPr>
                <w:rStyle w:val="IndexLink"/>
                <w:rtl w:val="true"/>
              </w:rPr>
              <w:t>أصالة البراءة و الإباحة، و الطهارة، و الاستصحاب</w:t>
            </w:r>
            <w:r>
              <w:rPr>
                <w:rStyle w:val="IndexLink"/>
                <w:rtl w:val="true"/>
              </w:rPr>
              <w:t>]</w:t>
              <w:tab/>
            </w:r>
            <w:r>
              <w:rPr>
                <w:rStyle w:val="IndexLink"/>
              </w:rPr>
              <w:t>405</w:t>
            </w:r>
          </w:hyperlink>
        </w:p>
        <w:p>
          <w:pPr>
            <w:pStyle w:val="Contents4"/>
            <w:tabs>
              <w:tab w:val="clear" w:pos="8176"/>
              <w:tab w:val="right" w:pos="9026" w:leader="dot"/>
            </w:tabs>
            <w:rPr/>
          </w:pPr>
          <w:hyperlink w:anchor="__RefHeading___Toc2647326_3224264995">
            <w:r>
              <w:rPr>
                <w:webHidden/>
                <w:rStyle w:val="IndexLink"/>
                <w:rtl w:val="true"/>
              </w:rPr>
              <w:t>[</w:t>
            </w:r>
            <w:r>
              <w:rPr>
                <w:rStyle w:val="IndexLink"/>
                <w:rtl w:val="true"/>
              </w:rPr>
              <w:t>حکم الاضطرار إلی بعض أطراف الشبهة المحصورة أو تلف بعضها</w:t>
            </w:r>
            <w:r>
              <w:rPr>
                <w:rStyle w:val="IndexLink"/>
                <w:rtl w:val="true"/>
              </w:rPr>
              <w:t>]</w:t>
              <w:tab/>
            </w:r>
            <w:r>
              <w:rPr>
                <w:rStyle w:val="IndexLink"/>
              </w:rPr>
              <w:t>408</w:t>
            </w:r>
          </w:hyperlink>
        </w:p>
        <w:p>
          <w:pPr>
            <w:pStyle w:val="Contents4"/>
            <w:tabs>
              <w:tab w:val="clear" w:pos="8176"/>
              <w:tab w:val="right" w:pos="9026" w:leader="dot"/>
            </w:tabs>
            <w:rPr/>
          </w:pPr>
          <w:hyperlink w:anchor="__RefHeading___Toc2647328_3224264995">
            <w:r>
              <w:rPr>
                <w:webHidden/>
                <w:rStyle w:val="IndexLink"/>
                <w:rtl w:val="true"/>
              </w:rPr>
              <w:t>[</w:t>
            </w:r>
            <w:r>
              <w:rPr>
                <w:rStyle w:val="IndexLink"/>
                <w:rtl w:val="true"/>
              </w:rPr>
              <w:t>تدریجیة المشتبهات</w:t>
            </w:r>
            <w:r>
              <w:rPr>
                <w:rStyle w:val="IndexLink"/>
                <w:rtl w:val="true"/>
              </w:rPr>
              <w:t>]</w:t>
              <w:tab/>
            </w:r>
            <w:r>
              <w:rPr>
                <w:rStyle w:val="IndexLink"/>
              </w:rPr>
              <w:t>411</w:t>
            </w:r>
          </w:hyperlink>
        </w:p>
        <w:p>
          <w:pPr>
            <w:pStyle w:val="Contents4"/>
            <w:tabs>
              <w:tab w:val="clear" w:pos="8176"/>
              <w:tab w:val="right" w:pos="9026" w:leader="dot"/>
            </w:tabs>
            <w:rPr/>
          </w:pPr>
          <w:hyperlink w:anchor="__RefHeading___Toc2647330_3224264995">
            <w:r>
              <w:rPr>
                <w:webHidden/>
                <w:rStyle w:val="IndexLink"/>
                <w:rtl w:val="true"/>
              </w:rPr>
              <w:t>[</w:t>
            </w:r>
            <w:r>
              <w:rPr>
                <w:rStyle w:val="IndexLink"/>
                <w:rtl w:val="true"/>
              </w:rPr>
              <w:t>الواجب المعلّق و الواجب المشروط</w:t>
            </w:r>
            <w:r>
              <w:rPr>
                <w:rStyle w:val="IndexLink"/>
                <w:rtl w:val="true"/>
              </w:rPr>
              <w:t>]</w:t>
              <w:tab/>
            </w:r>
            <w:r>
              <w:rPr>
                <w:rStyle w:val="IndexLink"/>
              </w:rPr>
              <w:t>411</w:t>
            </w:r>
          </w:hyperlink>
        </w:p>
        <w:p>
          <w:pPr>
            <w:pStyle w:val="Contents4"/>
            <w:tabs>
              <w:tab w:val="clear" w:pos="8176"/>
              <w:tab w:val="right" w:pos="9026" w:leader="dot"/>
            </w:tabs>
            <w:rPr/>
          </w:pPr>
          <w:hyperlink w:anchor="__RefHeading___Toc2647332_3224264995">
            <w:r>
              <w:rPr>
                <w:webHidden/>
                <w:rStyle w:val="IndexLink"/>
                <w:rtl w:val="true"/>
              </w:rPr>
              <w:t>[</w:t>
            </w:r>
            <w:r>
              <w:rPr>
                <w:rStyle w:val="IndexLink"/>
                <w:rtl w:val="true"/>
              </w:rPr>
              <w:t>تسویة الأصحاب فی الشبهة المحصورة بین کون الأصل الجاری فی کل واحد من المشتبهین هو الحلّ أو الحرمة</w:t>
            </w:r>
            <w:r>
              <w:rPr>
                <w:rStyle w:val="IndexLink"/>
                <w:rtl w:val="true"/>
              </w:rPr>
              <w:t>]</w:t>
              <w:tab/>
            </w:r>
            <w:r>
              <w:rPr>
                <w:rStyle w:val="IndexLink"/>
              </w:rPr>
              <w:t>415</w:t>
            </w:r>
          </w:hyperlink>
        </w:p>
        <w:p>
          <w:pPr>
            <w:pStyle w:val="Contents4"/>
            <w:tabs>
              <w:tab w:val="clear" w:pos="8176"/>
              <w:tab w:val="right" w:pos="9026" w:leader="dot"/>
            </w:tabs>
            <w:rPr/>
          </w:pPr>
          <w:hyperlink w:anchor="__RefHeading___Toc2647334_3224264995">
            <w:r>
              <w:rPr>
                <w:webHidden/>
                <w:rStyle w:val="IndexLink"/>
                <w:rtl w:val="true"/>
              </w:rPr>
              <w:t>[</w:t>
            </w:r>
            <w:r>
              <w:rPr>
                <w:rStyle w:val="IndexLink"/>
                <w:rtl w:val="true"/>
              </w:rPr>
              <w:t>هل المدار فی نفی الحکم العسر و الحرجی علی العسر الشخصی أو العسر النوعی</w:t>
            </w:r>
            <w:r>
              <w:rPr>
                <w:rStyle w:val="IndexLink"/>
                <w:rtl w:val="true"/>
              </w:rPr>
              <w:t>]</w:t>
              <w:tab/>
            </w:r>
            <w:r>
              <w:rPr>
                <w:rStyle w:val="IndexLink"/>
              </w:rPr>
              <w:t>415</w:t>
            </w:r>
          </w:hyperlink>
        </w:p>
        <w:p>
          <w:pPr>
            <w:pStyle w:val="Contents4"/>
            <w:tabs>
              <w:tab w:val="clear" w:pos="8176"/>
              <w:tab w:val="right" w:pos="9026" w:leader="dot"/>
            </w:tabs>
            <w:rPr/>
          </w:pPr>
          <w:hyperlink w:anchor="__RefHeading___Toc2647336_3224264995">
            <w:r>
              <w:rPr>
                <w:webHidden/>
                <w:rStyle w:val="IndexLink"/>
                <w:rtl w:val="true"/>
              </w:rPr>
              <w:t>[</w:t>
            </w:r>
            <w:r>
              <w:rPr>
                <w:rStyle w:val="IndexLink"/>
                <w:rtl w:val="true"/>
              </w:rPr>
              <w:t>مناقشة کلام الماتن فی ما ورد من دوران الأحکام مدار السهولة علی الغالب</w:t>
            </w:r>
            <w:r>
              <w:rPr>
                <w:rStyle w:val="IndexLink"/>
                <w:rtl w:val="true"/>
              </w:rPr>
              <w:t>]</w:t>
              <w:tab/>
            </w:r>
            <w:r>
              <w:rPr>
                <w:rStyle w:val="IndexLink"/>
              </w:rPr>
              <w:t>418</w:t>
            </w:r>
          </w:hyperlink>
        </w:p>
        <w:p>
          <w:pPr>
            <w:pStyle w:val="Contents4"/>
            <w:tabs>
              <w:tab w:val="clear" w:pos="8176"/>
              <w:tab w:val="right" w:pos="9026" w:leader="dot"/>
            </w:tabs>
            <w:rPr/>
          </w:pPr>
          <w:hyperlink w:anchor="__RefHeading___Toc2647338_3224264995">
            <w:r>
              <w:rPr>
                <w:webHidden/>
                <w:rStyle w:val="IndexLink"/>
                <w:rtl w:val="true"/>
              </w:rPr>
              <w:t>[</w:t>
            </w:r>
            <w:r>
              <w:rPr>
                <w:rStyle w:val="IndexLink"/>
                <w:rtl w:val="true"/>
              </w:rPr>
              <w:t>مناقشة کلام الماتن من عدم شمول أدلّة العسر للشبهة الغیر المحصورة</w:t>
            </w:r>
            <w:r>
              <w:rPr>
                <w:rStyle w:val="IndexLink"/>
                <w:rtl w:val="true"/>
              </w:rPr>
              <w:t>]</w:t>
              <w:tab/>
            </w:r>
            <w:r>
              <w:rPr>
                <w:rStyle w:val="IndexLink"/>
              </w:rPr>
              <w:t>418</w:t>
            </w:r>
          </w:hyperlink>
        </w:p>
        <w:p>
          <w:pPr>
            <w:pStyle w:val="Contents4"/>
            <w:tabs>
              <w:tab w:val="clear" w:pos="8176"/>
              <w:tab w:val="right" w:pos="9026" w:leader="dot"/>
            </w:tabs>
            <w:rPr/>
          </w:pPr>
          <w:hyperlink w:anchor="__RefHeading___Toc2647340_3224264995">
            <w:r>
              <w:rPr>
                <w:webHidden/>
                <w:rStyle w:val="IndexLink"/>
                <w:rtl w:val="true"/>
              </w:rPr>
              <w:t>[</w:t>
            </w:r>
            <w:r>
              <w:rPr>
                <w:rStyle w:val="IndexLink"/>
                <w:rtl w:val="true"/>
              </w:rPr>
              <w:t>مناقشة کلام المصنف فی اخبار الحلّ</w:t>
            </w:r>
            <w:r>
              <w:rPr>
                <w:rStyle w:val="IndexLink"/>
                <w:rtl w:val="true"/>
              </w:rPr>
              <w:t>]</w:t>
              <w:tab/>
            </w:r>
            <w:r>
              <w:rPr>
                <w:rStyle w:val="IndexLink"/>
              </w:rPr>
              <w:t>420</w:t>
            </w:r>
          </w:hyperlink>
        </w:p>
        <w:p>
          <w:pPr>
            <w:pStyle w:val="Contents4"/>
            <w:tabs>
              <w:tab w:val="clear" w:pos="8176"/>
              <w:tab w:val="right" w:pos="9026" w:leader="dot"/>
            </w:tabs>
            <w:rPr/>
          </w:pPr>
          <w:hyperlink w:anchor="__RefHeading___Toc2647342_3224264995">
            <w:r>
              <w:rPr>
                <w:webHidden/>
                <w:rStyle w:val="IndexLink"/>
                <w:rtl w:val="true"/>
              </w:rPr>
              <w:t>[</w:t>
            </w:r>
            <w:r>
              <w:rPr>
                <w:rStyle w:val="IndexLink"/>
                <w:rtl w:val="true"/>
              </w:rPr>
              <w:t>الأخبار الدالّة علی أنّ العلم بوجود الحرام بین المشتبهات لا یوجب الاجتناب عن جمیع المحتملات</w:t>
            </w:r>
            <w:r>
              <w:rPr>
                <w:rStyle w:val="IndexLink"/>
                <w:rtl w:val="true"/>
              </w:rPr>
              <w:t>]</w:t>
              <w:tab/>
            </w:r>
            <w:r>
              <w:rPr>
                <w:rStyle w:val="IndexLink"/>
              </w:rPr>
              <w:t>420</w:t>
            </w:r>
          </w:hyperlink>
        </w:p>
        <w:p>
          <w:pPr>
            <w:pStyle w:val="Contents4"/>
            <w:tabs>
              <w:tab w:val="clear" w:pos="8176"/>
              <w:tab w:val="right" w:pos="9026" w:leader="dot"/>
            </w:tabs>
            <w:rPr/>
          </w:pPr>
          <w:hyperlink w:anchor="__RefHeading___Toc2647344_3224264995">
            <w:r>
              <w:rPr>
                <w:webHidden/>
                <w:rStyle w:val="IndexLink"/>
                <w:rtl w:val="true"/>
              </w:rPr>
              <w:t>[</w:t>
            </w:r>
            <w:r>
              <w:rPr>
                <w:rStyle w:val="IndexLink"/>
                <w:rtl w:val="true"/>
              </w:rPr>
              <w:t>احتمال عدم الفرق بین المحصور و غیره فی حکم العقل بدفع الضرر المحتمل</w:t>
            </w:r>
            <w:r>
              <w:rPr>
                <w:rStyle w:val="IndexLink"/>
                <w:rtl w:val="true"/>
              </w:rPr>
              <w:t>]</w:t>
              <w:tab/>
            </w:r>
            <w:r>
              <w:rPr>
                <w:rStyle w:val="IndexLink"/>
              </w:rPr>
              <w:t>421</w:t>
            </w:r>
          </w:hyperlink>
        </w:p>
        <w:p>
          <w:pPr>
            <w:pStyle w:val="Contents4"/>
            <w:tabs>
              <w:tab w:val="clear" w:pos="8176"/>
              <w:tab w:val="right" w:pos="9026" w:leader="dot"/>
            </w:tabs>
            <w:rPr/>
          </w:pPr>
          <w:hyperlink w:anchor="__RefHeading___Toc2647346_3224264995">
            <w:r>
              <w:rPr>
                <w:webHidden/>
                <w:rStyle w:val="IndexLink"/>
                <w:rtl w:val="true"/>
              </w:rPr>
              <w:t>[</w:t>
            </w:r>
            <w:r>
              <w:rPr>
                <w:rStyle w:val="IndexLink"/>
                <w:rtl w:val="true"/>
              </w:rPr>
              <w:t>جواز ارتکاب جمیع أطراف الشبهة غیر المحصورة مع عدم العزم علی ذلک</w:t>
            </w:r>
            <w:r>
              <w:rPr>
                <w:rStyle w:val="IndexLink"/>
                <w:rtl w:val="true"/>
              </w:rPr>
              <w:t>]</w:t>
              <w:tab/>
            </w:r>
            <w:r>
              <w:rPr>
                <w:rStyle w:val="IndexLink"/>
              </w:rPr>
              <w:t>421</w:t>
            </w:r>
          </w:hyperlink>
        </w:p>
        <w:p>
          <w:pPr>
            <w:pStyle w:val="Contents4"/>
            <w:tabs>
              <w:tab w:val="clear" w:pos="8176"/>
              <w:tab w:val="right" w:pos="9026" w:leader="dot"/>
            </w:tabs>
            <w:rPr/>
          </w:pPr>
          <w:hyperlink w:anchor="__RefHeading___Toc2647348_3224264995">
            <w:r>
              <w:rPr>
                <w:webHidden/>
                <w:rStyle w:val="IndexLink"/>
                <w:rtl w:val="true"/>
              </w:rPr>
              <w:t>[</w:t>
            </w:r>
            <w:r>
              <w:rPr>
                <w:rStyle w:val="IndexLink"/>
                <w:rtl w:val="true"/>
              </w:rPr>
              <w:t>ضابط المحصور و غیر المحصور</w:t>
            </w:r>
            <w:r>
              <w:rPr>
                <w:rStyle w:val="IndexLink"/>
                <w:rtl w:val="true"/>
              </w:rPr>
              <w:t>]</w:t>
              <w:tab/>
            </w:r>
            <w:r>
              <w:rPr>
                <w:rStyle w:val="IndexLink"/>
              </w:rPr>
              <w:t>422</w:t>
            </w:r>
          </w:hyperlink>
        </w:p>
        <w:p>
          <w:pPr>
            <w:pStyle w:val="Contents4"/>
            <w:tabs>
              <w:tab w:val="clear" w:pos="8176"/>
              <w:tab w:val="right" w:pos="9026" w:leader="dot"/>
            </w:tabs>
            <w:rPr/>
          </w:pPr>
          <w:hyperlink w:anchor="__RefHeading___Toc2647350_3224264995">
            <w:r>
              <w:rPr>
                <w:webHidden/>
                <w:rStyle w:val="IndexLink"/>
                <w:rtl w:val="true"/>
              </w:rPr>
              <w:t>[</w:t>
            </w:r>
            <w:r>
              <w:rPr>
                <w:rStyle w:val="IndexLink"/>
                <w:rtl w:val="true"/>
              </w:rPr>
              <w:t>صورة کون المشتبه فی غیر المحصور افرادا کثیرة إلّا انّ نسبتها إلی الکل نسبة الشی‌ء إلی الامور المحصورة</w:t>
            </w:r>
            <w:r>
              <w:rPr>
                <w:rStyle w:val="IndexLink"/>
                <w:rtl w:val="true"/>
              </w:rPr>
              <w:t>]</w:t>
              <w:tab/>
            </w:r>
            <w:r>
              <w:rPr>
                <w:rStyle w:val="IndexLink"/>
              </w:rPr>
              <w:t>425</w:t>
            </w:r>
          </w:hyperlink>
        </w:p>
        <w:p>
          <w:pPr>
            <w:pStyle w:val="Contents4"/>
            <w:tabs>
              <w:tab w:val="clear" w:pos="8176"/>
              <w:tab w:val="right" w:pos="9026" w:leader="dot"/>
            </w:tabs>
            <w:rPr/>
          </w:pPr>
          <w:hyperlink w:anchor="__RefHeading___Toc2647352_3224264995">
            <w:r>
              <w:rPr>
                <w:webHidden/>
                <w:rStyle w:val="IndexLink"/>
                <w:rtl w:val="true"/>
              </w:rPr>
              <w:t>[</w:t>
            </w:r>
            <w:r>
              <w:rPr>
                <w:rStyle w:val="IndexLink"/>
                <w:rtl w:val="true"/>
              </w:rPr>
              <w:t>التمثیل بالغناء للشبهة التحریمیة لاشتباه الحکم من جهة إجمال النصّ</w:t>
            </w:r>
            <w:r>
              <w:rPr>
                <w:rStyle w:val="IndexLink"/>
                <w:rtl w:val="true"/>
              </w:rPr>
              <w:t>]</w:t>
              <w:tab/>
            </w:r>
            <w:r>
              <w:rPr>
                <w:rStyle w:val="IndexLink"/>
              </w:rPr>
              <w:t>426</w:t>
            </w:r>
          </w:hyperlink>
        </w:p>
        <w:p>
          <w:pPr>
            <w:pStyle w:val="Contents4"/>
            <w:tabs>
              <w:tab w:val="clear" w:pos="8176"/>
              <w:tab w:val="right" w:pos="9026" w:leader="dot"/>
            </w:tabs>
            <w:rPr/>
          </w:pPr>
          <w:hyperlink w:anchor="__RefHeading___Toc2647354_3224264995">
            <w:r>
              <w:rPr>
                <w:webHidden/>
                <w:rStyle w:val="IndexLink"/>
                <w:rtl w:val="true"/>
              </w:rPr>
              <w:t>[</w:t>
            </w:r>
            <w:r>
              <w:rPr>
                <w:rStyle w:val="IndexLink"/>
                <w:rtl w:val="true"/>
              </w:rPr>
              <w:t>فی الواجب المردّد بین متنافیین من جهة عدم النصّ</w:t>
            </w:r>
            <w:r>
              <w:rPr>
                <w:rStyle w:val="IndexLink"/>
                <w:rtl w:val="true"/>
              </w:rPr>
              <w:t>]</w:t>
              <w:tab/>
            </w:r>
            <w:r>
              <w:rPr>
                <w:rStyle w:val="IndexLink"/>
              </w:rPr>
              <w:t>427</w:t>
            </w:r>
          </w:hyperlink>
        </w:p>
        <w:p>
          <w:pPr>
            <w:pStyle w:val="Contents4"/>
            <w:tabs>
              <w:tab w:val="clear" w:pos="8176"/>
              <w:tab w:val="right" w:pos="9026" w:leader="dot"/>
            </w:tabs>
            <w:rPr/>
          </w:pPr>
          <w:hyperlink w:anchor="__RefHeading___Toc2647356_3224264995">
            <w:r>
              <w:rPr>
                <w:webHidden/>
                <w:rStyle w:val="IndexLink"/>
                <w:rtl w:val="true"/>
              </w:rPr>
              <w:t>[</w:t>
            </w:r>
            <w:r>
              <w:rPr>
                <w:rStyle w:val="IndexLink"/>
                <w:rtl w:val="true"/>
              </w:rPr>
              <w:t>کیفیة نیة الوجوب و القربة عند الاحتیاط بالجمع بین المحتملین</w:t>
            </w:r>
            <w:r>
              <w:rPr>
                <w:rStyle w:val="IndexLink"/>
                <w:rtl w:val="true"/>
              </w:rPr>
              <w:t>]</w:t>
              <w:tab/>
            </w:r>
            <w:r>
              <w:rPr>
                <w:rStyle w:val="IndexLink"/>
              </w:rPr>
              <w:t>428</w:t>
            </w:r>
          </w:hyperlink>
        </w:p>
        <w:p>
          <w:pPr>
            <w:pStyle w:val="Contents4"/>
            <w:tabs>
              <w:tab w:val="clear" w:pos="8176"/>
              <w:tab w:val="right" w:pos="9026" w:leader="dot"/>
            </w:tabs>
            <w:rPr/>
          </w:pPr>
          <w:hyperlink w:anchor="__RefHeading___Toc2647358_3224264995">
            <w:r>
              <w:rPr>
                <w:webHidden/>
                <w:rStyle w:val="IndexLink"/>
                <w:rtl w:val="true"/>
              </w:rPr>
              <w:t>[</w:t>
            </w:r>
            <w:r>
              <w:rPr>
                <w:rStyle w:val="IndexLink"/>
                <w:rtl w:val="true"/>
              </w:rPr>
              <w:t>فی الواجب المردّد بین متنافیین من جهة إجمال النصّ</w:t>
            </w:r>
            <w:r>
              <w:rPr>
                <w:rStyle w:val="IndexLink"/>
                <w:rtl w:val="true"/>
              </w:rPr>
              <w:t>]</w:t>
              <w:tab/>
            </w:r>
            <w:r>
              <w:rPr>
                <w:rStyle w:val="IndexLink"/>
              </w:rPr>
              <w:t>430</w:t>
            </w:r>
          </w:hyperlink>
        </w:p>
        <w:p>
          <w:pPr>
            <w:pStyle w:val="Contents4"/>
            <w:tabs>
              <w:tab w:val="clear" w:pos="8176"/>
              <w:tab w:val="right" w:pos="9026" w:leader="dot"/>
            </w:tabs>
            <w:rPr/>
          </w:pPr>
          <w:hyperlink w:anchor="__RefHeading___Toc2647360_3224264995">
            <w:r>
              <w:rPr>
                <w:webHidden/>
                <w:rStyle w:val="IndexLink"/>
                <w:rtl w:val="true"/>
              </w:rPr>
              <w:t>[</w:t>
            </w:r>
            <w:r>
              <w:rPr>
                <w:rStyle w:val="IndexLink"/>
                <w:rtl w:val="true"/>
              </w:rPr>
              <w:t>تعریض بنیة الوجه فی العبادة</w:t>
            </w:r>
            <w:r>
              <w:rPr>
                <w:rStyle w:val="IndexLink"/>
                <w:rtl w:val="true"/>
              </w:rPr>
              <w:t>]</w:t>
              <w:tab/>
            </w:r>
            <w:r>
              <w:rPr>
                <w:rStyle w:val="IndexLink"/>
              </w:rPr>
              <w:t>431</w:t>
            </w:r>
          </w:hyperlink>
        </w:p>
        <w:p>
          <w:pPr>
            <w:pStyle w:val="Contents4"/>
            <w:tabs>
              <w:tab w:val="clear" w:pos="8176"/>
              <w:tab w:val="right" w:pos="9026" w:leader="dot"/>
            </w:tabs>
            <w:rPr/>
          </w:pPr>
          <w:hyperlink w:anchor="__RefHeading___Toc2647362_3224264995">
            <w:r>
              <w:rPr>
                <w:webHidden/>
                <w:rStyle w:val="IndexLink"/>
                <w:rtl w:val="true"/>
              </w:rPr>
              <w:t>[</w:t>
            </w:r>
            <w:r>
              <w:rPr>
                <w:rStyle w:val="IndexLink"/>
                <w:rtl w:val="true"/>
              </w:rPr>
              <w:t>المیسور لا یسقط بالمعسور</w:t>
            </w:r>
            <w:r>
              <w:rPr>
                <w:rStyle w:val="IndexLink"/>
                <w:rtl w:val="true"/>
              </w:rPr>
              <w:t>]</w:t>
              <w:tab/>
            </w:r>
            <w:r>
              <w:rPr>
                <w:rStyle w:val="IndexLink"/>
              </w:rPr>
              <w:t>431</w:t>
            </w:r>
          </w:hyperlink>
        </w:p>
        <w:p>
          <w:pPr>
            <w:pStyle w:val="Contents4"/>
            <w:tabs>
              <w:tab w:val="clear" w:pos="8176"/>
              <w:tab w:val="right" w:pos="9026" w:leader="dot"/>
            </w:tabs>
            <w:rPr/>
          </w:pPr>
          <w:hyperlink w:anchor="__RefHeading___Toc2647364_3224264995">
            <w:r>
              <w:rPr>
                <w:webHidden/>
                <w:rStyle w:val="IndexLink"/>
                <w:rtl w:val="true"/>
              </w:rPr>
              <w:t>[</w:t>
            </w:r>
            <w:r>
              <w:rPr>
                <w:rStyle w:val="IndexLink"/>
                <w:rtl w:val="true"/>
              </w:rPr>
              <w:t>صورة النیّة فی کلّ من العبادات المتعدّدة عند الاحتیاط بإتیانها</w:t>
            </w:r>
            <w:r>
              <w:rPr>
                <w:rStyle w:val="IndexLink"/>
                <w:rtl w:val="true"/>
              </w:rPr>
              <w:t>]</w:t>
              <w:tab/>
            </w:r>
            <w:r>
              <w:rPr>
                <w:rStyle w:val="IndexLink"/>
              </w:rPr>
              <w:t>431</w:t>
            </w:r>
          </w:hyperlink>
        </w:p>
        <w:p>
          <w:pPr>
            <w:pStyle w:val="Contents4"/>
            <w:tabs>
              <w:tab w:val="clear" w:pos="8176"/>
              <w:tab w:val="right" w:pos="9026" w:leader="dot"/>
            </w:tabs>
            <w:rPr/>
          </w:pPr>
          <w:hyperlink w:anchor="__RefHeading___Toc2647366_3224264995">
            <w:r>
              <w:rPr>
                <w:webHidden/>
                <w:rStyle w:val="IndexLink"/>
                <w:rtl w:val="true"/>
              </w:rPr>
              <w:t>[</w:t>
            </w:r>
            <w:r>
              <w:rPr>
                <w:rStyle w:val="IndexLink"/>
                <w:rtl w:val="true"/>
              </w:rPr>
              <w:t>تعریض بالأصل المثبت</w:t>
            </w:r>
            <w:r>
              <w:rPr>
                <w:rStyle w:val="IndexLink"/>
                <w:rtl w:val="true"/>
              </w:rPr>
              <w:t>]</w:t>
              <w:tab/>
            </w:r>
            <w:r>
              <w:rPr>
                <w:rStyle w:val="IndexLink"/>
              </w:rPr>
              <w:t>432</w:t>
            </w:r>
          </w:hyperlink>
        </w:p>
        <w:p>
          <w:pPr>
            <w:pStyle w:val="Contents4"/>
            <w:tabs>
              <w:tab w:val="clear" w:pos="8176"/>
              <w:tab w:val="right" w:pos="9026" w:leader="dot"/>
            </w:tabs>
            <w:rPr/>
          </w:pPr>
          <w:hyperlink w:anchor="__RefHeading___Toc2647368_3224264995">
            <w:r>
              <w:rPr>
                <w:webHidden/>
                <w:rStyle w:val="IndexLink"/>
                <w:rtl w:val="true"/>
              </w:rPr>
              <w:t>[</w:t>
            </w:r>
            <w:r>
              <w:rPr>
                <w:rStyle w:val="IndexLink"/>
                <w:rtl w:val="true"/>
              </w:rPr>
              <w:t>مناقشة کلام الماتن فی ترتیبه وحدة عقاب تارک جمیع محتملات الواجب علی عدم مطلوبیّته شرعا</w:t>
            </w:r>
            <w:r>
              <w:rPr>
                <w:rStyle w:val="IndexLink"/>
                <w:rtl w:val="true"/>
              </w:rPr>
              <w:t>]</w:t>
              <w:tab/>
            </w:r>
            <w:r>
              <w:rPr>
                <w:rStyle w:val="IndexLink"/>
              </w:rPr>
              <w:t>433</w:t>
            </w:r>
          </w:hyperlink>
        </w:p>
        <w:p>
          <w:pPr>
            <w:pStyle w:val="Contents4"/>
            <w:tabs>
              <w:tab w:val="clear" w:pos="8176"/>
              <w:tab w:val="right" w:pos="9026" w:leader="dot"/>
            </w:tabs>
            <w:rPr/>
          </w:pPr>
          <w:hyperlink w:anchor="__RefHeading___Toc2647370_3224264995">
            <w:r>
              <w:rPr>
                <w:webHidden/>
                <w:rStyle w:val="IndexLink"/>
                <w:rtl w:val="true"/>
              </w:rPr>
              <w:t>[</w:t>
            </w:r>
            <w:r>
              <w:rPr>
                <w:rStyle w:val="IndexLink"/>
                <w:rtl w:val="true"/>
              </w:rPr>
              <w:t>عدم سقوط الواجب المردّد شرطه بین غیر المحصور</w:t>
            </w:r>
            <w:r>
              <w:rPr>
                <w:rStyle w:val="IndexLink"/>
                <w:rtl w:val="true"/>
              </w:rPr>
              <w:t>]</w:t>
              <w:tab/>
            </w:r>
            <w:r>
              <w:rPr>
                <w:rStyle w:val="IndexLink"/>
              </w:rPr>
              <w:t>433</w:t>
            </w:r>
          </w:hyperlink>
        </w:p>
        <w:p>
          <w:pPr>
            <w:pStyle w:val="Contents4"/>
            <w:tabs>
              <w:tab w:val="clear" w:pos="8176"/>
              <w:tab w:val="right" w:pos="9026" w:leader="dot"/>
            </w:tabs>
            <w:rPr/>
          </w:pPr>
          <w:hyperlink w:anchor="__RefHeading___Toc2647372_3224264995">
            <w:r>
              <w:rPr>
                <w:webHidden/>
                <w:rStyle w:val="IndexLink"/>
                <w:rtl w:val="true"/>
              </w:rPr>
              <w:t>[</w:t>
            </w:r>
            <w:r>
              <w:rPr>
                <w:rStyle w:val="IndexLink"/>
                <w:rtl w:val="true"/>
              </w:rPr>
              <w:t>هل یعتبر إتیان جمیع محتملات التکلیف الأول قبل الاتیان بمحتملات التکلیف الثانی المترتّب علیه</w:t>
            </w:r>
            <w:r>
              <w:rPr>
                <w:rStyle w:val="IndexLink"/>
                <w:rtl w:val="true"/>
              </w:rPr>
              <w:t>]</w:t>
              <w:tab/>
            </w:r>
            <w:r>
              <w:rPr>
                <w:rStyle w:val="IndexLink"/>
              </w:rPr>
              <w:t>434</w:t>
            </w:r>
          </w:hyperlink>
        </w:p>
        <w:p>
          <w:pPr>
            <w:pStyle w:val="Contents4"/>
            <w:tabs>
              <w:tab w:val="clear" w:pos="8176"/>
              <w:tab w:val="right" w:pos="9026" w:leader="dot"/>
            </w:tabs>
            <w:rPr/>
          </w:pPr>
          <w:hyperlink w:anchor="__RefHeading___Toc2647374_3224264995">
            <w:r>
              <w:rPr>
                <w:webHidden/>
                <w:rStyle w:val="IndexLink"/>
                <w:rtl w:val="true"/>
              </w:rPr>
              <w:t>[</w:t>
            </w:r>
            <w:r>
              <w:rPr>
                <w:rStyle w:val="IndexLink"/>
                <w:rtl w:val="true"/>
              </w:rPr>
              <w:t xml:space="preserve">دوران الواجب بین الأقلّ و الأکثر الارتباطی </w:t>
            </w:r>
            <w:r>
              <w:rPr>
                <w:rStyle w:val="IndexLink"/>
                <w:rtl w:val="true"/>
              </w:rPr>
              <w:t>«</w:t>
            </w:r>
            <w:r>
              <w:rPr>
                <w:rStyle w:val="IndexLink"/>
                <w:rtl w:val="true"/>
              </w:rPr>
              <w:t>الشکّ فی الجزئیة</w:t>
            </w:r>
            <w:r>
              <w:rPr>
                <w:rStyle w:val="IndexLink"/>
                <w:rtl w:val="true"/>
              </w:rPr>
              <w:t>»]</w:t>
              <w:tab/>
            </w:r>
            <w:r>
              <w:rPr>
                <w:rStyle w:val="IndexLink"/>
              </w:rPr>
              <w:t>435</w:t>
            </w:r>
          </w:hyperlink>
        </w:p>
        <w:p>
          <w:pPr>
            <w:pStyle w:val="Contents4"/>
            <w:tabs>
              <w:tab w:val="clear" w:pos="8176"/>
              <w:tab w:val="right" w:pos="9026" w:leader="dot"/>
            </w:tabs>
            <w:rPr/>
          </w:pPr>
          <w:hyperlink w:anchor="__RefHeading___Toc2647376_3224264995">
            <w:r>
              <w:rPr>
                <w:webHidden/>
                <w:rStyle w:val="IndexLink"/>
                <w:rtl w:val="true"/>
              </w:rPr>
              <w:t>[</w:t>
            </w:r>
            <w:r>
              <w:rPr>
                <w:rStyle w:val="IndexLink"/>
                <w:rtl w:val="true"/>
              </w:rPr>
              <w:t>إشارة إلی الحیثیتین فی أوامر الموالی</w:t>
            </w:r>
            <w:r>
              <w:rPr>
                <w:rStyle w:val="IndexLink"/>
                <w:rtl w:val="true"/>
              </w:rPr>
              <w:t>]</w:t>
              <w:tab/>
            </w:r>
            <w:r>
              <w:rPr>
                <w:rStyle w:val="IndexLink"/>
              </w:rPr>
              <w:t>437</w:t>
            </w:r>
          </w:hyperlink>
        </w:p>
        <w:p>
          <w:pPr>
            <w:pStyle w:val="Contents4"/>
            <w:tabs>
              <w:tab w:val="clear" w:pos="8176"/>
              <w:tab w:val="right" w:pos="9026" w:leader="dot"/>
            </w:tabs>
            <w:rPr/>
          </w:pPr>
          <w:hyperlink w:anchor="__RefHeading___Toc2647378_3224264995">
            <w:r>
              <w:rPr>
                <w:webHidden/>
                <w:rStyle w:val="IndexLink"/>
                <w:rtl w:val="true"/>
              </w:rPr>
              <w:t>[</w:t>
            </w:r>
            <w:r>
              <w:rPr>
                <w:rStyle w:val="IndexLink"/>
                <w:rtl w:val="true"/>
              </w:rPr>
              <w:t>مناقشة جواب الماتن علی إشکال لزوم إتیان کل ما شکّ فی مدخلیّته هنا</w:t>
            </w:r>
            <w:r>
              <w:rPr>
                <w:rStyle w:val="IndexLink"/>
                <w:rtl w:val="true"/>
              </w:rPr>
              <w:t>]</w:t>
              <w:tab/>
            </w:r>
            <w:r>
              <w:rPr>
                <w:rStyle w:val="IndexLink"/>
              </w:rPr>
              <w:t>437</w:t>
            </w:r>
          </w:hyperlink>
        </w:p>
        <w:p>
          <w:pPr>
            <w:pStyle w:val="Contents4"/>
            <w:tabs>
              <w:tab w:val="clear" w:pos="8176"/>
              <w:tab w:val="right" w:pos="9026" w:leader="dot"/>
            </w:tabs>
            <w:rPr/>
          </w:pPr>
          <w:hyperlink w:anchor="__RefHeading___Toc2647380_3224264995">
            <w:r>
              <w:rPr>
                <w:webHidden/>
                <w:rStyle w:val="IndexLink"/>
                <w:rtl w:val="true"/>
              </w:rPr>
              <w:t>[</w:t>
            </w:r>
            <w:r>
              <w:rPr>
                <w:rStyle w:val="IndexLink"/>
                <w:rtl w:val="true"/>
              </w:rPr>
              <w:t>عدم معذوریة الجاهل المقصّر</w:t>
            </w:r>
            <w:r>
              <w:rPr>
                <w:rStyle w:val="IndexLink"/>
                <w:rtl w:val="true"/>
              </w:rPr>
              <w:t>]</w:t>
              <w:tab/>
            </w:r>
            <w:r>
              <w:rPr>
                <w:rStyle w:val="IndexLink"/>
              </w:rPr>
              <w:t>439</w:t>
            </w:r>
          </w:hyperlink>
        </w:p>
        <w:p>
          <w:pPr>
            <w:pStyle w:val="Contents4"/>
            <w:tabs>
              <w:tab w:val="clear" w:pos="8176"/>
              <w:tab w:val="right" w:pos="9026" w:leader="dot"/>
            </w:tabs>
            <w:rPr/>
          </w:pPr>
          <w:hyperlink w:anchor="__RefHeading___Toc2647382_3224264995">
            <w:r>
              <w:rPr>
                <w:webHidden/>
                <w:rStyle w:val="IndexLink"/>
                <w:rtl w:val="true"/>
              </w:rPr>
              <w:t>[</w:t>
            </w:r>
            <w:r>
              <w:rPr>
                <w:rStyle w:val="IndexLink"/>
                <w:rtl w:val="true"/>
              </w:rPr>
              <w:t>مناقشة کلام الماتن فی وجه عدم جریان أصل العدم فی الأقل</w:t>
            </w:r>
            <w:r>
              <w:rPr>
                <w:rStyle w:val="IndexLink"/>
                <w:rtl w:val="true"/>
              </w:rPr>
              <w:t>]</w:t>
              <w:tab/>
            </w:r>
            <w:r>
              <w:rPr>
                <w:rStyle w:val="IndexLink"/>
              </w:rPr>
              <w:t>441</w:t>
            </w:r>
          </w:hyperlink>
        </w:p>
        <w:p>
          <w:pPr>
            <w:pStyle w:val="Contents4"/>
            <w:tabs>
              <w:tab w:val="clear" w:pos="8176"/>
              <w:tab w:val="right" w:pos="9026" w:leader="dot"/>
            </w:tabs>
            <w:rPr/>
          </w:pPr>
          <w:hyperlink w:anchor="__RefHeading___Toc2647384_3224264995">
            <w:r>
              <w:rPr>
                <w:webHidden/>
                <w:rStyle w:val="IndexLink"/>
                <w:rtl w:val="true"/>
              </w:rPr>
              <w:t>[</w:t>
            </w:r>
            <w:r>
              <w:rPr>
                <w:rStyle w:val="IndexLink"/>
                <w:rtl w:val="true"/>
              </w:rPr>
              <w:t>ما یحقّق قصد القربة</w:t>
            </w:r>
            <w:r>
              <w:rPr>
                <w:rStyle w:val="IndexLink"/>
                <w:rtl w:val="true"/>
              </w:rPr>
              <w:t>]</w:t>
              <w:tab/>
            </w:r>
            <w:r>
              <w:rPr>
                <w:rStyle w:val="IndexLink"/>
              </w:rPr>
              <w:t>443</w:t>
            </w:r>
          </w:hyperlink>
        </w:p>
        <w:p>
          <w:pPr>
            <w:pStyle w:val="Contents4"/>
            <w:tabs>
              <w:tab w:val="clear" w:pos="8176"/>
              <w:tab w:val="right" w:pos="9026" w:leader="dot"/>
            </w:tabs>
            <w:rPr/>
          </w:pPr>
          <w:hyperlink w:anchor="__RefHeading___Toc2647386_3224264995">
            <w:r>
              <w:rPr>
                <w:webHidden/>
                <w:rStyle w:val="IndexLink"/>
                <w:rtl w:val="true"/>
              </w:rPr>
              <w:t>[</w:t>
            </w:r>
            <w:r>
              <w:rPr>
                <w:rStyle w:val="IndexLink"/>
                <w:rtl w:val="true"/>
              </w:rPr>
              <w:t>الاستدلال بالأخبار علی البراءة من الأقلّ</w:t>
            </w:r>
            <w:r>
              <w:rPr>
                <w:rStyle w:val="IndexLink"/>
                <w:rtl w:val="true"/>
              </w:rPr>
              <w:t>]</w:t>
              <w:tab/>
            </w:r>
            <w:r>
              <w:rPr>
                <w:rStyle w:val="IndexLink"/>
              </w:rPr>
              <w:t>443</w:t>
            </w:r>
          </w:hyperlink>
        </w:p>
        <w:p>
          <w:pPr>
            <w:pStyle w:val="Contents4"/>
            <w:tabs>
              <w:tab w:val="clear" w:pos="8176"/>
              <w:tab w:val="right" w:pos="9026" w:leader="dot"/>
            </w:tabs>
            <w:rPr/>
          </w:pPr>
          <w:hyperlink w:anchor="__RefHeading___Toc2647388_3224264995">
            <w:r>
              <w:rPr>
                <w:webHidden/>
                <w:rStyle w:val="IndexLink"/>
                <w:rtl w:val="true"/>
              </w:rPr>
              <w:t>[</w:t>
            </w:r>
            <w:r>
              <w:rPr>
                <w:rStyle w:val="IndexLink"/>
                <w:rtl w:val="true"/>
              </w:rPr>
              <w:t>مناقشة کلام الماتن فی حکومة اخبار البراءة علی استصحاب الاشتغال فی ما نحن فیه</w:t>
            </w:r>
            <w:r>
              <w:rPr>
                <w:rStyle w:val="IndexLink"/>
                <w:rtl w:val="true"/>
              </w:rPr>
              <w:t>]</w:t>
              <w:tab/>
            </w:r>
            <w:r>
              <w:rPr>
                <w:rStyle w:val="IndexLink"/>
              </w:rPr>
              <w:t>445</w:t>
            </w:r>
          </w:hyperlink>
        </w:p>
        <w:p>
          <w:pPr>
            <w:pStyle w:val="Contents4"/>
            <w:tabs>
              <w:tab w:val="clear" w:pos="8176"/>
              <w:tab w:val="right" w:pos="9026" w:leader="dot"/>
            </w:tabs>
            <w:rPr/>
          </w:pPr>
          <w:hyperlink w:anchor="__RefHeading___Toc2647390_3224264995">
            <w:r>
              <w:rPr>
                <w:webHidden/>
                <w:rStyle w:val="IndexLink"/>
                <w:rtl w:val="true"/>
              </w:rPr>
              <w:t>[</w:t>
            </w:r>
            <w:r>
              <w:rPr>
                <w:rStyle w:val="IndexLink"/>
                <w:rtl w:val="true"/>
              </w:rPr>
              <w:t>تعرض بمسألة کون الجزئیّة مجعولة شرعا أم لا؟</w:t>
            </w:r>
            <w:r>
              <w:rPr>
                <w:rStyle w:val="IndexLink"/>
                <w:rtl w:val="true"/>
              </w:rPr>
              <w:t>]</w:t>
              <w:tab/>
            </w:r>
            <w:r>
              <w:rPr>
                <w:rStyle w:val="IndexLink"/>
              </w:rPr>
              <w:t>446</w:t>
            </w:r>
          </w:hyperlink>
        </w:p>
        <w:p>
          <w:pPr>
            <w:pStyle w:val="Contents4"/>
            <w:tabs>
              <w:tab w:val="clear" w:pos="8176"/>
              <w:tab w:val="right" w:pos="9026" w:leader="dot"/>
            </w:tabs>
            <w:rPr/>
          </w:pPr>
          <w:hyperlink w:anchor="__RefHeading___Toc2647392_3224264995">
            <w:r>
              <w:rPr>
                <w:webHidden/>
                <w:rStyle w:val="IndexLink"/>
                <w:rtl w:val="true"/>
              </w:rPr>
              <w:t>[</w:t>
            </w:r>
            <w:r>
              <w:rPr>
                <w:rStyle w:val="IndexLink"/>
                <w:rtl w:val="true"/>
              </w:rPr>
              <w:t xml:space="preserve">فی دوران الواجب بین الأقلّ و الأکثر الارتباطی </w:t>
            </w:r>
            <w:r>
              <w:rPr>
                <w:rStyle w:val="IndexLink"/>
                <w:rtl w:val="true"/>
              </w:rPr>
              <w:t>«</w:t>
            </w:r>
            <w:r>
              <w:rPr>
                <w:rStyle w:val="IndexLink"/>
                <w:rtl w:val="true"/>
              </w:rPr>
              <w:t>الشک فی الجزئیة</w:t>
            </w:r>
            <w:r>
              <w:rPr>
                <w:rStyle w:val="IndexLink"/>
                <w:rtl w:val="true"/>
              </w:rPr>
              <w:t xml:space="preserve">» </w:t>
            </w:r>
            <w:r>
              <w:rPr>
                <w:rStyle w:val="IndexLink"/>
                <w:rtl w:val="true"/>
              </w:rPr>
              <w:t>لإجمال النصّ</w:t>
            </w:r>
            <w:r>
              <w:rPr>
                <w:rStyle w:val="IndexLink"/>
                <w:rtl w:val="true"/>
              </w:rPr>
              <w:t>]</w:t>
              <w:tab/>
            </w:r>
            <w:r>
              <w:rPr>
                <w:rStyle w:val="IndexLink"/>
              </w:rPr>
              <w:t>448</w:t>
            </w:r>
          </w:hyperlink>
        </w:p>
        <w:p>
          <w:pPr>
            <w:pStyle w:val="Contents4"/>
            <w:tabs>
              <w:tab w:val="clear" w:pos="8176"/>
              <w:tab w:val="right" w:pos="9026" w:leader="dot"/>
            </w:tabs>
            <w:rPr/>
          </w:pPr>
          <w:hyperlink w:anchor="__RefHeading___Toc2647394_3224264995">
            <w:r>
              <w:rPr>
                <w:webHidden/>
                <w:rStyle w:val="IndexLink"/>
                <w:rtl w:val="true"/>
              </w:rPr>
              <w:t>[</w:t>
            </w:r>
            <w:r>
              <w:rPr>
                <w:rStyle w:val="IndexLink"/>
                <w:rtl w:val="true"/>
              </w:rPr>
              <w:t>دراسة وجوه المنع عن الأخذ بإطلاقات العبادات فی هذا الباب</w:t>
            </w:r>
            <w:r>
              <w:rPr>
                <w:rStyle w:val="IndexLink"/>
                <w:rtl w:val="true"/>
              </w:rPr>
              <w:t>]</w:t>
              <w:tab/>
            </w:r>
            <w:r>
              <w:rPr>
                <w:rStyle w:val="IndexLink"/>
              </w:rPr>
              <w:t>450</w:t>
            </w:r>
          </w:hyperlink>
        </w:p>
        <w:p>
          <w:pPr>
            <w:pStyle w:val="Contents4"/>
            <w:tabs>
              <w:tab w:val="clear" w:pos="8176"/>
              <w:tab w:val="right" w:pos="9026" w:leader="dot"/>
            </w:tabs>
            <w:rPr/>
          </w:pPr>
          <w:hyperlink w:anchor="__RefHeading___Toc2647396_3224264995">
            <w:r>
              <w:rPr>
                <w:webHidden/>
                <w:rStyle w:val="IndexLink"/>
                <w:rtl w:val="true"/>
              </w:rPr>
              <w:t>[</w:t>
            </w:r>
            <w:r>
              <w:rPr>
                <w:rStyle w:val="IndexLink"/>
                <w:rtl w:val="true"/>
              </w:rPr>
              <w:t>هل یشترط عدم مطلق فی البین للتخییر بین المتعارضین</w:t>
            </w:r>
            <w:r>
              <w:rPr>
                <w:rStyle w:val="IndexLink"/>
                <w:rtl w:val="true"/>
              </w:rPr>
              <w:t>]</w:t>
              <w:tab/>
            </w:r>
            <w:r>
              <w:rPr>
                <w:rStyle w:val="IndexLink"/>
              </w:rPr>
              <w:t>452</w:t>
            </w:r>
          </w:hyperlink>
        </w:p>
        <w:p>
          <w:pPr>
            <w:pStyle w:val="Contents4"/>
            <w:tabs>
              <w:tab w:val="clear" w:pos="8176"/>
              <w:tab w:val="right" w:pos="9026" w:leader="dot"/>
            </w:tabs>
            <w:rPr/>
          </w:pPr>
          <w:hyperlink w:anchor="__RefHeading___Toc2647398_3224264995">
            <w:r>
              <w:rPr>
                <w:webHidden/>
                <w:rStyle w:val="IndexLink"/>
                <w:rtl w:val="true"/>
              </w:rPr>
              <w:t>[</w:t>
            </w:r>
            <w:r>
              <w:rPr>
                <w:rStyle w:val="IndexLink"/>
                <w:rtl w:val="true"/>
              </w:rPr>
              <w:t>الفرق بین المرجّح و المرجع</w:t>
            </w:r>
            <w:r>
              <w:rPr>
                <w:rStyle w:val="IndexLink"/>
                <w:rtl w:val="true"/>
              </w:rPr>
              <w:t>]</w:t>
              <w:tab/>
            </w:r>
            <w:r>
              <w:rPr>
                <w:rStyle w:val="IndexLink"/>
              </w:rPr>
              <w:t>452</w:t>
            </w:r>
          </w:hyperlink>
        </w:p>
        <w:p>
          <w:pPr>
            <w:pStyle w:val="Contents4"/>
            <w:tabs>
              <w:tab w:val="clear" w:pos="8176"/>
              <w:tab w:val="right" w:pos="9026" w:leader="dot"/>
            </w:tabs>
            <w:rPr/>
          </w:pPr>
          <w:hyperlink w:anchor="__RefHeading___Toc2647400_3224264995">
            <w:r>
              <w:rPr>
                <w:webHidden/>
                <w:rStyle w:val="IndexLink"/>
                <w:rtl w:val="true"/>
              </w:rPr>
              <w:t>[</w:t>
            </w:r>
            <w:r>
              <w:rPr>
                <w:rStyle w:val="IndexLink"/>
                <w:rtl w:val="true"/>
              </w:rPr>
              <w:t>الشک فی القیدیة</w:t>
            </w:r>
            <w:r>
              <w:rPr>
                <w:rStyle w:val="IndexLink"/>
                <w:rtl w:val="true"/>
              </w:rPr>
              <w:t>]</w:t>
              <w:tab/>
            </w:r>
            <w:r>
              <w:rPr>
                <w:rStyle w:val="IndexLink"/>
              </w:rPr>
              <w:t>454</w:t>
            </w:r>
          </w:hyperlink>
        </w:p>
        <w:p>
          <w:pPr>
            <w:pStyle w:val="Contents4"/>
            <w:tabs>
              <w:tab w:val="clear" w:pos="8176"/>
              <w:tab w:val="right" w:pos="9026" w:leader="dot"/>
            </w:tabs>
            <w:rPr/>
          </w:pPr>
          <w:hyperlink w:anchor="__RefHeading___Toc2647402_3224264995">
            <w:r>
              <w:rPr>
                <w:webHidden/>
                <w:rStyle w:val="IndexLink"/>
                <w:rtl w:val="true"/>
              </w:rPr>
              <w:t>[</w:t>
            </w:r>
            <w:r>
              <w:rPr>
                <w:rStyle w:val="IndexLink"/>
                <w:rtl w:val="true"/>
              </w:rPr>
              <w:t>النسبة بین المطلق و المقید</w:t>
            </w:r>
            <w:r>
              <w:rPr>
                <w:rStyle w:val="IndexLink"/>
                <w:rtl w:val="true"/>
              </w:rPr>
              <w:t>]</w:t>
              <w:tab/>
            </w:r>
            <w:r>
              <w:rPr>
                <w:rStyle w:val="IndexLink"/>
              </w:rPr>
              <w:t>454</w:t>
            </w:r>
          </w:hyperlink>
        </w:p>
        <w:p>
          <w:pPr>
            <w:pStyle w:val="Contents4"/>
            <w:tabs>
              <w:tab w:val="clear" w:pos="8176"/>
              <w:tab w:val="right" w:pos="9026" w:leader="dot"/>
            </w:tabs>
            <w:rPr/>
          </w:pPr>
          <w:hyperlink w:anchor="__RefHeading___Toc2647404_3224264995">
            <w:r>
              <w:rPr>
                <w:webHidden/>
                <w:rStyle w:val="IndexLink"/>
                <w:rtl w:val="true"/>
              </w:rPr>
              <w:t>[</w:t>
            </w:r>
            <w:r>
              <w:rPr>
                <w:rStyle w:val="IndexLink"/>
                <w:rtl w:val="true"/>
              </w:rPr>
              <w:t>افتراق المطلق و المقیّد عن المتباینین</w:t>
            </w:r>
            <w:r>
              <w:rPr>
                <w:rStyle w:val="IndexLink"/>
                <w:rtl w:val="true"/>
              </w:rPr>
              <w:t>]</w:t>
              <w:tab/>
            </w:r>
            <w:r>
              <w:rPr>
                <w:rStyle w:val="IndexLink"/>
              </w:rPr>
              <w:t>455</w:t>
            </w:r>
          </w:hyperlink>
        </w:p>
        <w:p>
          <w:pPr>
            <w:pStyle w:val="Contents4"/>
            <w:tabs>
              <w:tab w:val="clear" w:pos="8176"/>
              <w:tab w:val="right" w:pos="9026" w:leader="dot"/>
            </w:tabs>
            <w:rPr/>
          </w:pPr>
          <w:hyperlink w:anchor="__RefHeading___Toc2647406_3224264995">
            <w:r>
              <w:rPr>
                <w:webHidden/>
                <w:rStyle w:val="IndexLink"/>
                <w:rtl w:val="true"/>
              </w:rPr>
              <w:t>[</w:t>
            </w:r>
            <w:r>
              <w:rPr>
                <w:rStyle w:val="IndexLink"/>
                <w:rtl w:val="true"/>
              </w:rPr>
              <w:t>الشک فی القاطعیة</w:t>
            </w:r>
            <w:r>
              <w:rPr>
                <w:rStyle w:val="IndexLink"/>
                <w:rtl w:val="true"/>
              </w:rPr>
              <w:t>]</w:t>
              <w:tab/>
            </w:r>
            <w:r>
              <w:rPr>
                <w:rStyle w:val="IndexLink"/>
              </w:rPr>
              <w:t>455</w:t>
            </w:r>
          </w:hyperlink>
        </w:p>
        <w:p>
          <w:pPr>
            <w:pStyle w:val="Contents4"/>
            <w:tabs>
              <w:tab w:val="clear" w:pos="8176"/>
              <w:tab w:val="right" w:pos="9026" w:leader="dot"/>
            </w:tabs>
            <w:rPr/>
          </w:pPr>
          <w:hyperlink w:anchor="__RefHeading___Toc2647408_3224264995">
            <w:r>
              <w:rPr>
                <w:webHidden/>
                <w:rStyle w:val="IndexLink"/>
                <w:rtl w:val="true"/>
              </w:rPr>
              <w:t>[</w:t>
            </w:r>
            <w:r>
              <w:rPr>
                <w:rStyle w:val="IndexLink"/>
                <w:rtl w:val="true"/>
              </w:rPr>
              <w:t>تصویر الشک فی الجزئیة لمنشا الشک فی الحکم التکلیفی النفسی للمشکوک جزئیته</w:t>
            </w:r>
            <w:r>
              <w:rPr>
                <w:rStyle w:val="IndexLink"/>
                <w:rtl w:val="true"/>
              </w:rPr>
              <w:t>]</w:t>
              <w:tab/>
            </w:r>
            <w:r>
              <w:rPr>
                <w:rStyle w:val="IndexLink"/>
              </w:rPr>
              <w:t>455</w:t>
            </w:r>
          </w:hyperlink>
        </w:p>
        <w:p>
          <w:pPr>
            <w:pStyle w:val="Contents4"/>
            <w:tabs>
              <w:tab w:val="clear" w:pos="8176"/>
              <w:tab w:val="right" w:pos="9026" w:leader="dot"/>
            </w:tabs>
            <w:rPr/>
          </w:pPr>
          <w:hyperlink w:anchor="__RefHeading___Toc2647410_3224264995">
            <w:r>
              <w:rPr>
                <w:webHidden/>
                <w:rStyle w:val="IndexLink"/>
                <w:rtl w:val="true"/>
              </w:rPr>
              <w:t>[</w:t>
            </w:r>
            <w:r>
              <w:rPr>
                <w:rStyle w:val="IndexLink"/>
                <w:rtl w:val="true"/>
              </w:rPr>
              <w:t>فی الشک فی رکنیة الجزء</w:t>
            </w:r>
            <w:r>
              <w:rPr>
                <w:rStyle w:val="IndexLink"/>
                <w:rtl w:val="true"/>
              </w:rPr>
              <w:t>]</w:t>
              <w:tab/>
            </w:r>
            <w:r>
              <w:rPr>
                <w:rStyle w:val="IndexLink"/>
              </w:rPr>
              <w:t>456</w:t>
            </w:r>
          </w:hyperlink>
        </w:p>
        <w:p>
          <w:pPr>
            <w:pStyle w:val="Contents4"/>
            <w:tabs>
              <w:tab w:val="clear" w:pos="8176"/>
              <w:tab w:val="right" w:pos="9026" w:leader="dot"/>
            </w:tabs>
            <w:rPr/>
          </w:pPr>
          <w:hyperlink w:anchor="__RefHeading___Toc2647412_3224264995">
            <w:r>
              <w:rPr>
                <w:webHidden/>
                <w:rStyle w:val="IndexLink"/>
                <w:rtl w:val="true"/>
              </w:rPr>
              <w:t>[</w:t>
            </w:r>
            <w:r>
              <w:rPr>
                <w:rStyle w:val="IndexLink"/>
                <w:rtl w:val="true"/>
              </w:rPr>
              <w:t>مناقشة تنظیر الماتن للغفلة عن الجزء</w:t>
            </w:r>
            <w:r>
              <w:rPr>
                <w:rStyle w:val="IndexLink"/>
                <w:rtl w:val="true"/>
              </w:rPr>
              <w:t>]</w:t>
              <w:tab/>
            </w:r>
            <w:r>
              <w:rPr>
                <w:rStyle w:val="IndexLink"/>
              </w:rPr>
              <w:t>457</w:t>
            </w:r>
          </w:hyperlink>
        </w:p>
        <w:p>
          <w:pPr>
            <w:pStyle w:val="Contents4"/>
            <w:tabs>
              <w:tab w:val="clear" w:pos="8176"/>
              <w:tab w:val="right" w:pos="9026" w:leader="dot"/>
            </w:tabs>
            <w:rPr/>
          </w:pPr>
          <w:hyperlink w:anchor="__RefHeading___Toc2647414_3224264995">
            <w:r>
              <w:rPr>
                <w:webHidden/>
                <w:rStyle w:val="IndexLink"/>
                <w:rtl w:val="true"/>
              </w:rPr>
              <w:t>[</w:t>
            </w:r>
            <w:r>
              <w:rPr>
                <w:rStyle w:val="IndexLink"/>
                <w:rtl w:val="true"/>
              </w:rPr>
              <w:t>فی توجیه الخطاب إلی الناسی و عدمه</w:t>
            </w:r>
            <w:r>
              <w:rPr>
                <w:rStyle w:val="IndexLink"/>
                <w:rtl w:val="true"/>
              </w:rPr>
              <w:t>]</w:t>
              <w:tab/>
            </w:r>
            <w:r>
              <w:rPr>
                <w:rStyle w:val="IndexLink"/>
              </w:rPr>
              <w:t>457</w:t>
            </w:r>
          </w:hyperlink>
        </w:p>
        <w:p>
          <w:pPr>
            <w:pStyle w:val="Contents4"/>
            <w:tabs>
              <w:tab w:val="clear" w:pos="8176"/>
              <w:tab w:val="right" w:pos="9026" w:leader="dot"/>
            </w:tabs>
            <w:rPr/>
          </w:pPr>
          <w:hyperlink w:anchor="__RefHeading___Toc2647416_3224264995">
            <w:r>
              <w:rPr>
                <w:webHidden/>
                <w:rStyle w:val="IndexLink"/>
                <w:rtl w:val="true"/>
              </w:rPr>
              <w:t>[</w:t>
            </w:r>
            <w:r>
              <w:rPr>
                <w:rStyle w:val="IndexLink"/>
                <w:rtl w:val="true"/>
              </w:rPr>
              <w:t>معنی حجیة الاستصحاب أو البراءة</w:t>
            </w:r>
            <w:r>
              <w:rPr>
                <w:rStyle w:val="IndexLink"/>
                <w:rtl w:val="true"/>
              </w:rPr>
              <w:t>]</w:t>
              <w:tab/>
            </w:r>
            <w:r>
              <w:rPr>
                <w:rStyle w:val="IndexLink"/>
              </w:rPr>
              <w:t>459</w:t>
            </w:r>
          </w:hyperlink>
        </w:p>
        <w:p>
          <w:pPr>
            <w:pStyle w:val="Contents4"/>
            <w:tabs>
              <w:tab w:val="clear" w:pos="8176"/>
              <w:tab w:val="right" w:pos="9026" w:leader="dot"/>
            </w:tabs>
            <w:rPr/>
          </w:pPr>
          <w:hyperlink w:anchor="__RefHeading___Toc2647418_3224264995">
            <w:r>
              <w:rPr>
                <w:webHidden/>
                <w:rStyle w:val="IndexLink"/>
                <w:rtl w:val="true"/>
              </w:rPr>
              <w:t>[</w:t>
            </w:r>
            <w:r>
              <w:rPr>
                <w:rStyle w:val="IndexLink"/>
                <w:rtl w:val="true"/>
              </w:rPr>
              <w:t>مناقشة فی فرق الماتن بین رفع الشارع السهو و النسیان و بین تصریح الشارع برفع حکم نسیان الجزء و السهو عنه</w:t>
            </w:r>
            <w:r>
              <w:rPr>
                <w:rStyle w:val="IndexLink"/>
                <w:rtl w:val="true"/>
              </w:rPr>
              <w:t>]</w:t>
              <w:tab/>
            </w:r>
            <w:r>
              <w:rPr>
                <w:rStyle w:val="IndexLink"/>
              </w:rPr>
              <w:t>459</w:t>
            </w:r>
          </w:hyperlink>
        </w:p>
        <w:p>
          <w:pPr>
            <w:pStyle w:val="Contents4"/>
            <w:tabs>
              <w:tab w:val="clear" w:pos="8176"/>
              <w:tab w:val="right" w:pos="9026" w:leader="dot"/>
            </w:tabs>
            <w:rPr/>
          </w:pPr>
          <w:hyperlink w:anchor="__RefHeading___Toc2647420_3224264995">
            <w:r>
              <w:rPr>
                <w:webHidden/>
                <w:rStyle w:val="IndexLink"/>
                <w:rtl w:val="true"/>
              </w:rPr>
              <w:t>[</w:t>
            </w:r>
            <w:r>
              <w:rPr>
                <w:rStyle w:val="IndexLink"/>
                <w:rtl w:val="true"/>
              </w:rPr>
              <w:t>فی زیادة الجزء عمدا</w:t>
            </w:r>
            <w:r>
              <w:rPr>
                <w:rStyle w:val="IndexLink"/>
                <w:rtl w:val="true"/>
              </w:rPr>
              <w:t>]</w:t>
              <w:tab/>
            </w:r>
            <w:r>
              <w:rPr>
                <w:rStyle w:val="IndexLink"/>
              </w:rPr>
              <w:t>460</w:t>
            </w:r>
          </w:hyperlink>
        </w:p>
        <w:p>
          <w:pPr>
            <w:pStyle w:val="Contents4"/>
            <w:tabs>
              <w:tab w:val="clear" w:pos="8176"/>
              <w:tab w:val="right" w:pos="9026" w:leader="dot"/>
            </w:tabs>
            <w:rPr/>
          </w:pPr>
          <w:hyperlink w:anchor="__RefHeading___Toc2647422_3224264995">
            <w:r>
              <w:rPr>
                <w:webHidden/>
                <w:rStyle w:val="IndexLink"/>
                <w:rtl w:val="true"/>
              </w:rPr>
              <w:t>[</w:t>
            </w:r>
            <w:r>
              <w:rPr>
                <w:rStyle w:val="IndexLink"/>
                <w:rtl w:val="true"/>
              </w:rPr>
              <w:t>ما یتحقق به زیادة الجزء</w:t>
            </w:r>
            <w:r>
              <w:rPr>
                <w:rStyle w:val="IndexLink"/>
                <w:rtl w:val="true"/>
              </w:rPr>
              <w:t>]</w:t>
              <w:tab/>
            </w:r>
            <w:r>
              <w:rPr>
                <w:rStyle w:val="IndexLink"/>
              </w:rPr>
              <w:t>460</w:t>
            </w:r>
          </w:hyperlink>
        </w:p>
        <w:p>
          <w:pPr>
            <w:pStyle w:val="Contents4"/>
            <w:tabs>
              <w:tab w:val="clear" w:pos="8176"/>
              <w:tab w:val="right" w:pos="9026" w:leader="dot"/>
            </w:tabs>
            <w:rPr/>
          </w:pPr>
          <w:hyperlink w:anchor="__RefHeading___Toc2647424_3224264995">
            <w:r>
              <w:rPr>
                <w:webHidden/>
                <w:rStyle w:val="IndexLink"/>
                <w:rtl w:val="true"/>
              </w:rPr>
              <w:t>[</w:t>
            </w:r>
            <w:r>
              <w:rPr>
                <w:rStyle w:val="IndexLink"/>
                <w:rtl w:val="true"/>
              </w:rPr>
              <w:t>الاحباط و التکفیر و الموازنة</w:t>
            </w:r>
            <w:r>
              <w:rPr>
                <w:rStyle w:val="IndexLink"/>
                <w:rtl w:val="true"/>
              </w:rPr>
              <w:t>]</w:t>
              <w:tab/>
            </w:r>
            <w:r>
              <w:rPr>
                <w:rStyle w:val="IndexLink"/>
              </w:rPr>
              <w:t>462</w:t>
            </w:r>
          </w:hyperlink>
        </w:p>
        <w:p>
          <w:pPr>
            <w:pStyle w:val="Contents4"/>
            <w:tabs>
              <w:tab w:val="clear" w:pos="8176"/>
              <w:tab w:val="right" w:pos="9026" w:leader="dot"/>
            </w:tabs>
            <w:rPr/>
          </w:pPr>
          <w:hyperlink w:anchor="__RefHeading___Toc2647426_3224264995">
            <w:r>
              <w:rPr>
                <w:webHidden/>
                <w:rStyle w:val="IndexLink"/>
                <w:rtl w:val="true"/>
              </w:rPr>
              <w:t>[</w:t>
            </w:r>
            <w:r>
              <w:rPr>
                <w:rStyle w:val="IndexLink"/>
                <w:rtl w:val="true"/>
              </w:rPr>
              <w:t>نظرة فی قوله تعالی</w:t>
            </w:r>
            <w:r>
              <w:rPr>
                <w:rStyle w:val="IndexLink"/>
                <w:rtl w:val="true"/>
              </w:rPr>
              <w:t xml:space="preserve">: </w:t>
            </w:r>
            <w:r>
              <w:rPr>
                <w:rStyle w:val="IndexLink"/>
                <w:rtl w:val="true"/>
              </w:rPr>
              <w:t>وَ لا تُبْطِلُوا أَعْمالَکُمْ</w:t>
            </w:r>
            <w:r>
              <w:rPr>
                <w:rStyle w:val="IndexLink"/>
                <w:rtl w:val="true"/>
              </w:rPr>
              <w:t>]</w:t>
              <w:tab/>
            </w:r>
            <w:r>
              <w:rPr>
                <w:rStyle w:val="IndexLink"/>
              </w:rPr>
              <w:t>463</w:t>
            </w:r>
          </w:hyperlink>
        </w:p>
        <w:p>
          <w:pPr>
            <w:pStyle w:val="Contents4"/>
            <w:tabs>
              <w:tab w:val="clear" w:pos="8176"/>
              <w:tab w:val="right" w:pos="9026" w:leader="dot"/>
            </w:tabs>
            <w:rPr/>
          </w:pPr>
          <w:hyperlink w:anchor="__RefHeading___Toc2647428_3224264995">
            <w:r>
              <w:rPr>
                <w:webHidden/>
                <w:rStyle w:val="IndexLink"/>
                <w:rtl w:val="true"/>
              </w:rPr>
              <w:t>[</w:t>
            </w:r>
            <w:r>
              <w:rPr>
                <w:rStyle w:val="IndexLink"/>
                <w:rtl w:val="true"/>
              </w:rPr>
              <w:t>مناقشة کلام الماتن فی ضعف استصحاب وجوب إتمام العمل</w:t>
            </w:r>
            <w:r>
              <w:rPr>
                <w:rStyle w:val="IndexLink"/>
                <w:rtl w:val="true"/>
              </w:rPr>
              <w:t>]</w:t>
              <w:tab/>
            </w:r>
            <w:r>
              <w:rPr>
                <w:rStyle w:val="IndexLink"/>
              </w:rPr>
              <w:t>463</w:t>
            </w:r>
          </w:hyperlink>
        </w:p>
        <w:p>
          <w:pPr>
            <w:pStyle w:val="Contents4"/>
            <w:tabs>
              <w:tab w:val="clear" w:pos="8176"/>
              <w:tab w:val="right" w:pos="9026" w:leader="dot"/>
            </w:tabs>
            <w:rPr/>
          </w:pPr>
          <w:hyperlink w:anchor="__RefHeading___Toc2647430_3224264995">
            <w:r>
              <w:rPr>
                <w:webHidden/>
                <w:rStyle w:val="IndexLink"/>
                <w:rtl w:val="true"/>
              </w:rPr>
              <w:t>[</w:t>
            </w:r>
            <w:r>
              <w:rPr>
                <w:rStyle w:val="IndexLink"/>
                <w:rtl w:val="true"/>
              </w:rPr>
              <w:t>فی الزیادة سهوا</w:t>
            </w:r>
            <w:r>
              <w:rPr>
                <w:rStyle w:val="IndexLink"/>
                <w:rtl w:val="true"/>
              </w:rPr>
              <w:t>]</w:t>
              <w:tab/>
            </w:r>
            <w:r>
              <w:rPr>
                <w:rStyle w:val="IndexLink"/>
              </w:rPr>
              <w:t>464</w:t>
            </w:r>
          </w:hyperlink>
        </w:p>
        <w:p>
          <w:pPr>
            <w:pStyle w:val="Contents4"/>
            <w:tabs>
              <w:tab w:val="clear" w:pos="8176"/>
              <w:tab w:val="right" w:pos="9026" w:leader="dot"/>
            </w:tabs>
            <w:rPr/>
          </w:pPr>
          <w:hyperlink w:anchor="__RefHeading___Toc2647432_3224264995">
            <w:r>
              <w:rPr>
                <w:webHidden/>
                <w:rStyle w:val="IndexLink"/>
                <w:rtl w:val="true"/>
              </w:rPr>
              <w:t>[</w:t>
            </w:r>
            <w:r>
              <w:rPr>
                <w:rStyle w:val="IndexLink"/>
                <w:rtl w:val="true"/>
              </w:rPr>
              <w:t>هل الأصل الاطلاق فی الجزئیة و الشرطیة</w:t>
            </w:r>
            <w:r>
              <w:rPr>
                <w:rStyle w:val="IndexLink"/>
                <w:rtl w:val="true"/>
              </w:rPr>
              <w:t>]</w:t>
              <w:tab/>
            </w:r>
            <w:r>
              <w:rPr>
                <w:rStyle w:val="IndexLink"/>
              </w:rPr>
              <w:t>465</w:t>
            </w:r>
          </w:hyperlink>
        </w:p>
        <w:p>
          <w:pPr>
            <w:pStyle w:val="Contents4"/>
            <w:tabs>
              <w:tab w:val="clear" w:pos="8176"/>
              <w:tab w:val="right" w:pos="9026" w:leader="dot"/>
            </w:tabs>
            <w:rPr/>
          </w:pPr>
          <w:hyperlink w:anchor="__RefHeading___Toc2647434_3224264995">
            <w:r>
              <w:rPr>
                <w:webHidden/>
                <w:rStyle w:val="IndexLink"/>
                <w:rtl w:val="true"/>
              </w:rPr>
              <w:t>[</w:t>
            </w:r>
            <w:r>
              <w:rPr>
                <w:rStyle w:val="IndexLink"/>
                <w:rtl w:val="true"/>
              </w:rPr>
              <w:t>حقیقة المطلق</w:t>
            </w:r>
            <w:r>
              <w:rPr>
                <w:rStyle w:val="IndexLink"/>
                <w:rtl w:val="true"/>
              </w:rPr>
              <w:t>]</w:t>
              <w:tab/>
            </w:r>
            <w:r>
              <w:rPr>
                <w:rStyle w:val="IndexLink"/>
              </w:rPr>
              <w:t>466</w:t>
            </w:r>
          </w:hyperlink>
        </w:p>
        <w:p>
          <w:pPr>
            <w:pStyle w:val="Contents4"/>
            <w:tabs>
              <w:tab w:val="clear" w:pos="8176"/>
              <w:tab w:val="right" w:pos="9026" w:leader="dot"/>
            </w:tabs>
            <w:rPr/>
          </w:pPr>
          <w:hyperlink w:anchor="__RefHeading___Toc2647436_3224264995">
            <w:r>
              <w:rPr>
                <w:webHidden/>
                <w:rStyle w:val="IndexLink"/>
                <w:rtl w:val="true"/>
              </w:rPr>
              <w:t>[</w:t>
            </w:r>
            <w:r>
              <w:rPr>
                <w:rStyle w:val="IndexLink"/>
                <w:rtl w:val="true"/>
              </w:rPr>
              <w:t xml:space="preserve">دراسة النبوی </w:t>
            </w:r>
            <w:r>
              <w:rPr>
                <w:rStyle w:val="IndexLink"/>
                <w:rtl w:val="true"/>
              </w:rPr>
              <w:t>«</w:t>
            </w:r>
            <w:r>
              <w:rPr>
                <w:rStyle w:val="IndexLink"/>
                <w:rtl w:val="true"/>
              </w:rPr>
              <w:t>إذا أمرتکم بشی‌ء فأتوا منه ما استطعتم</w:t>
            </w:r>
            <w:r>
              <w:rPr>
                <w:rStyle w:val="IndexLink"/>
                <w:rtl w:val="true"/>
              </w:rPr>
              <w:t>»]</w:t>
              <w:tab/>
            </w:r>
            <w:r>
              <w:rPr>
                <w:rStyle w:val="IndexLink"/>
              </w:rPr>
              <w:t>467</w:t>
            </w:r>
          </w:hyperlink>
        </w:p>
        <w:p>
          <w:pPr>
            <w:pStyle w:val="Contents4"/>
            <w:tabs>
              <w:tab w:val="clear" w:pos="8176"/>
              <w:tab w:val="right" w:pos="9026" w:leader="dot"/>
            </w:tabs>
            <w:rPr/>
          </w:pPr>
          <w:hyperlink w:anchor="__RefHeading___Toc2647438_3224264995">
            <w:r>
              <w:rPr>
                <w:webHidden/>
                <w:rStyle w:val="IndexLink"/>
                <w:rtl w:val="true"/>
              </w:rPr>
              <w:t>[</w:t>
            </w:r>
            <w:r>
              <w:rPr>
                <w:rStyle w:val="IndexLink"/>
                <w:rtl w:val="true"/>
              </w:rPr>
              <w:t>فی أیّ اعتبار الخلیط فی ماء غسل المیت من قبیل التقیید أم من قبیل تعدّد المطلوب؟</w:t>
            </w:r>
            <w:r>
              <w:rPr>
                <w:rStyle w:val="IndexLink"/>
                <w:rtl w:val="true"/>
              </w:rPr>
              <w:t>]</w:t>
              <w:tab/>
            </w:r>
            <w:r>
              <w:rPr>
                <w:rStyle w:val="IndexLink"/>
              </w:rPr>
              <w:t>469</w:t>
            </w:r>
          </w:hyperlink>
        </w:p>
        <w:p>
          <w:pPr>
            <w:pStyle w:val="Contents4"/>
            <w:tabs>
              <w:tab w:val="clear" w:pos="8176"/>
              <w:tab w:val="right" w:pos="9026" w:leader="dot"/>
            </w:tabs>
            <w:rPr/>
          </w:pPr>
          <w:hyperlink w:anchor="__RefHeading___Toc2647440_3224264995">
            <w:r>
              <w:rPr>
                <w:webHidden/>
                <w:rStyle w:val="IndexLink"/>
                <w:rtl w:val="true"/>
              </w:rPr>
              <w:t>[</w:t>
            </w:r>
            <w:r>
              <w:rPr>
                <w:rStyle w:val="IndexLink"/>
                <w:rtl w:val="true"/>
              </w:rPr>
              <w:t>دوران الأمر بین ترک الجزء و ترک الشرط</w:t>
            </w:r>
            <w:r>
              <w:rPr>
                <w:rStyle w:val="IndexLink"/>
                <w:rtl w:val="true"/>
              </w:rPr>
              <w:t>]</w:t>
              <w:tab/>
            </w:r>
            <w:r>
              <w:rPr>
                <w:rStyle w:val="IndexLink"/>
              </w:rPr>
              <w:t>470</w:t>
            </w:r>
          </w:hyperlink>
        </w:p>
        <w:p>
          <w:pPr>
            <w:pStyle w:val="Contents4"/>
            <w:tabs>
              <w:tab w:val="clear" w:pos="8176"/>
              <w:tab w:val="right" w:pos="9026" w:leader="dot"/>
            </w:tabs>
            <w:rPr/>
          </w:pPr>
          <w:hyperlink w:anchor="__RefHeading___Toc2647442_3224264995">
            <w:r>
              <w:rPr>
                <w:webHidden/>
                <w:rStyle w:val="IndexLink"/>
                <w:rtl w:val="true"/>
              </w:rPr>
              <w:t>[</w:t>
            </w:r>
            <w:r>
              <w:rPr>
                <w:rStyle w:val="IndexLink"/>
                <w:rtl w:val="true"/>
              </w:rPr>
              <w:t>مناقشة کلام الماتن فی الفرق بین الاحتیاط فی ما نحن فیه، و الاحتیاط فی مسألة الشک فی الشرطیة و الجزئیة</w:t>
            </w:r>
            <w:r>
              <w:rPr>
                <w:rStyle w:val="IndexLink"/>
                <w:rtl w:val="true"/>
              </w:rPr>
              <w:t>]</w:t>
              <w:tab/>
            </w:r>
            <w:r>
              <w:rPr>
                <w:rStyle w:val="IndexLink"/>
              </w:rPr>
              <w:t>472</w:t>
            </w:r>
          </w:hyperlink>
        </w:p>
        <w:p>
          <w:pPr>
            <w:pStyle w:val="Contents4"/>
            <w:tabs>
              <w:tab w:val="clear" w:pos="8176"/>
              <w:tab w:val="right" w:pos="9026" w:leader="dot"/>
            </w:tabs>
            <w:rPr/>
          </w:pPr>
          <w:hyperlink w:anchor="__RefHeading___Toc2647444_3224264995">
            <w:r>
              <w:rPr>
                <w:webHidden/>
                <w:rStyle w:val="IndexLink"/>
                <w:rtl w:val="true"/>
              </w:rPr>
              <w:t>[</w:t>
            </w:r>
            <w:r>
              <w:rPr>
                <w:rStyle w:val="IndexLink"/>
                <w:rtl w:val="true"/>
              </w:rPr>
              <w:t>عمل تارک الاجتهاد و التقلید</w:t>
            </w:r>
            <w:r>
              <w:rPr>
                <w:rStyle w:val="IndexLink"/>
                <w:rtl w:val="true"/>
              </w:rPr>
              <w:t>]</w:t>
              <w:tab/>
            </w:r>
            <w:r>
              <w:rPr>
                <w:rStyle w:val="IndexLink"/>
              </w:rPr>
              <w:t>473</w:t>
            </w:r>
          </w:hyperlink>
        </w:p>
        <w:p>
          <w:pPr>
            <w:pStyle w:val="Contents4"/>
            <w:tabs>
              <w:tab w:val="clear" w:pos="8176"/>
              <w:tab w:val="right" w:pos="9026" w:leader="dot"/>
            </w:tabs>
            <w:rPr/>
          </w:pPr>
          <w:hyperlink w:anchor="__RefHeading___Toc2647446_3224264995">
            <w:r>
              <w:rPr>
                <w:webHidden/>
                <w:rStyle w:val="IndexLink"/>
                <w:rtl w:val="true"/>
              </w:rPr>
              <w:t>[</w:t>
            </w:r>
            <w:r>
              <w:rPr>
                <w:rStyle w:val="IndexLink"/>
                <w:rtl w:val="true"/>
              </w:rPr>
              <w:t>مناقشة کلام الماتن فی دعواه بأن تکرار العبادة لإحراز الواقع مع التمکّن من العلم التفصیلی به اجنبی عن سیرة المتشرعة</w:t>
            </w:r>
            <w:r>
              <w:rPr>
                <w:rStyle w:val="IndexLink"/>
                <w:rtl w:val="true"/>
              </w:rPr>
              <w:t>]</w:t>
              <w:tab/>
            </w:r>
            <w:r>
              <w:rPr>
                <w:rStyle w:val="IndexLink"/>
              </w:rPr>
              <w:t>473</w:t>
            </w:r>
          </w:hyperlink>
        </w:p>
        <w:p>
          <w:pPr>
            <w:pStyle w:val="Contents3"/>
            <w:tabs>
              <w:tab w:val="clear" w:pos="8459"/>
              <w:tab w:val="right" w:pos="9026" w:leader="dot"/>
            </w:tabs>
            <w:rPr/>
          </w:pPr>
          <w:hyperlink w:anchor="__RefHeading___Toc2647448_3224264995">
            <w:r>
              <w:rPr>
                <w:webHidden/>
                <w:rStyle w:val="IndexLink"/>
                <w:rtl w:val="true"/>
              </w:rPr>
              <w:t>[</w:t>
            </w:r>
            <w:r>
              <w:rPr>
                <w:rStyle w:val="IndexLink"/>
                <w:rtl w:val="true"/>
              </w:rPr>
              <w:t>خاتمة</w:t>
            </w:r>
            <w:r>
              <w:rPr>
                <w:rStyle w:val="IndexLink"/>
                <w:rtl w:val="true"/>
              </w:rPr>
              <w:t xml:space="preserve">: </w:t>
            </w:r>
            <w:r>
              <w:rPr>
                <w:rStyle w:val="IndexLink"/>
                <w:rtl w:val="true"/>
              </w:rPr>
              <w:t>ما یعتبر فی العمل بالاصل</w:t>
            </w:r>
            <w:r>
              <w:rPr>
                <w:rStyle w:val="IndexLink"/>
                <w:rtl w:val="true"/>
              </w:rPr>
              <w:t>]</w:t>
              <w:tab/>
            </w:r>
            <w:r>
              <w:rPr>
                <w:rStyle w:val="IndexLink"/>
              </w:rPr>
              <w:t>473</w:t>
            </w:r>
          </w:hyperlink>
        </w:p>
        <w:p>
          <w:pPr>
            <w:pStyle w:val="Contents4"/>
            <w:tabs>
              <w:tab w:val="clear" w:pos="8176"/>
              <w:tab w:val="right" w:pos="9026" w:leader="dot"/>
            </w:tabs>
            <w:rPr/>
          </w:pPr>
          <w:hyperlink w:anchor="__RefHeading___Toc2647450_3224264995">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2647452_3224264995">
            <w:r>
              <w:rPr>
                <w:webHidden/>
                <w:rStyle w:val="IndexLink"/>
                <w:rtl w:val="true"/>
              </w:rPr>
              <w:t>[</w:t>
            </w:r>
            <w:r>
              <w:rPr>
                <w:rStyle w:val="IndexLink"/>
                <w:rtl w:val="true"/>
              </w:rPr>
              <w:t>بطلان قبح العقاب علی غیر المقدور و لو بسوء الاختیار</w:t>
            </w:r>
            <w:r>
              <w:rPr>
                <w:rStyle w:val="IndexLink"/>
                <w:rtl w:val="true"/>
              </w:rPr>
              <w:t>]</w:t>
              <w:tab/>
            </w:r>
            <w:r>
              <w:rPr>
                <w:rStyle w:val="IndexLink"/>
              </w:rPr>
              <w:t>475</w:t>
            </w:r>
          </w:hyperlink>
        </w:p>
        <w:p>
          <w:pPr>
            <w:pStyle w:val="Contents4"/>
            <w:tabs>
              <w:tab w:val="clear" w:pos="8176"/>
              <w:tab w:val="right" w:pos="9026" w:leader="dot"/>
            </w:tabs>
            <w:rPr/>
          </w:pPr>
          <w:hyperlink w:anchor="__RefHeading___Toc2647454_3224264995">
            <w:r>
              <w:rPr>
                <w:webHidden/>
                <w:rStyle w:val="IndexLink"/>
                <w:rtl w:val="true"/>
              </w:rPr>
              <w:t>[</w:t>
            </w:r>
            <w:r>
              <w:rPr>
                <w:rStyle w:val="IndexLink"/>
                <w:rtl w:val="true"/>
              </w:rPr>
              <w:t>فی صحة المعاملة الصادرة من الجاهل التارک للفحص العامل بما یطابق البراءة و فسادها</w:t>
            </w:r>
            <w:r>
              <w:rPr>
                <w:rStyle w:val="IndexLink"/>
                <w:rtl w:val="true"/>
              </w:rPr>
              <w:t>]</w:t>
              <w:tab/>
            </w:r>
            <w:r>
              <w:rPr>
                <w:rStyle w:val="IndexLink"/>
              </w:rPr>
              <w:t>476</w:t>
            </w:r>
          </w:hyperlink>
        </w:p>
        <w:p>
          <w:pPr>
            <w:pStyle w:val="Contents4"/>
            <w:tabs>
              <w:tab w:val="clear" w:pos="8176"/>
              <w:tab w:val="right" w:pos="9026" w:leader="dot"/>
            </w:tabs>
            <w:rPr/>
          </w:pPr>
          <w:hyperlink w:anchor="__RefHeading___Toc2647456_3224264995">
            <w:r>
              <w:rPr>
                <w:webHidden/>
                <w:rStyle w:val="IndexLink"/>
                <w:rtl w:val="true"/>
              </w:rPr>
              <w:t>[</w:t>
            </w:r>
            <w:r>
              <w:rPr>
                <w:rStyle w:val="IndexLink"/>
                <w:rtl w:val="true"/>
              </w:rPr>
              <w:t>مناقشة ما ادّعاه الماتن من عدم تحقّق قصد القربة للجاهل المفروض مخالفة الطریق الشرعیّ</w:t>
            </w:r>
            <w:r>
              <w:rPr>
                <w:rStyle w:val="IndexLink"/>
                <w:rtl w:val="true"/>
              </w:rPr>
              <w:t>]</w:t>
              <w:tab/>
            </w:r>
            <w:r>
              <w:rPr>
                <w:rStyle w:val="IndexLink"/>
              </w:rPr>
              <w:t>476</w:t>
            </w:r>
          </w:hyperlink>
        </w:p>
        <w:p>
          <w:pPr>
            <w:pStyle w:val="Contents4"/>
            <w:tabs>
              <w:tab w:val="clear" w:pos="8176"/>
              <w:tab w:val="right" w:pos="9026" w:leader="dot"/>
            </w:tabs>
            <w:rPr/>
          </w:pPr>
          <w:hyperlink w:anchor="__RefHeading___Toc2647458_3224264995">
            <w:r>
              <w:rPr>
                <w:webHidden/>
                <w:rStyle w:val="IndexLink"/>
                <w:rtl w:val="true"/>
              </w:rPr>
              <w:t>[</w:t>
            </w:r>
            <w:r>
              <w:rPr>
                <w:rStyle w:val="IndexLink"/>
                <w:rtl w:val="true"/>
              </w:rPr>
              <w:t>إشارة إلی فرق الطریق الجعلی عن الطریق المنجعل</w:t>
            </w:r>
            <w:r>
              <w:rPr>
                <w:rStyle w:val="IndexLink"/>
                <w:rtl w:val="true"/>
              </w:rPr>
              <w:t>]</w:t>
              <w:tab/>
            </w:r>
            <w:r>
              <w:rPr>
                <w:rStyle w:val="IndexLink"/>
              </w:rPr>
              <w:t>477</w:t>
            </w:r>
          </w:hyperlink>
        </w:p>
        <w:p>
          <w:pPr>
            <w:pStyle w:val="Contents4"/>
            <w:tabs>
              <w:tab w:val="clear" w:pos="8176"/>
              <w:tab w:val="right" w:pos="9026" w:leader="dot"/>
            </w:tabs>
            <w:rPr/>
          </w:pPr>
          <w:hyperlink w:anchor="__RefHeading___Toc2647460_3224264995">
            <w:r>
              <w:rPr>
                <w:webHidden/>
                <w:rStyle w:val="IndexLink"/>
                <w:rtl w:val="true"/>
              </w:rPr>
              <w:t>[</w:t>
            </w:r>
            <w:r>
              <w:rPr>
                <w:rStyle w:val="IndexLink"/>
                <w:rtl w:val="true"/>
              </w:rPr>
              <w:t>فی مستثنیات قاعدة عدم معذوریة الجاهل المقصّر فی الفحص</w:t>
            </w:r>
            <w:r>
              <w:rPr>
                <w:rStyle w:val="IndexLink"/>
                <w:rtl w:val="true"/>
              </w:rPr>
              <w:t>]</w:t>
              <w:tab/>
            </w:r>
            <w:r>
              <w:rPr>
                <w:rStyle w:val="IndexLink"/>
              </w:rPr>
              <w:t>478</w:t>
            </w:r>
          </w:hyperlink>
        </w:p>
        <w:p>
          <w:pPr>
            <w:pStyle w:val="Contents4"/>
            <w:tabs>
              <w:tab w:val="clear" w:pos="8176"/>
              <w:tab w:val="right" w:pos="9026" w:leader="dot"/>
            </w:tabs>
            <w:rPr/>
          </w:pPr>
          <w:hyperlink w:anchor="__RefHeading___Toc2647462_3224264995">
            <w:r>
              <w:rPr>
                <w:webHidden/>
                <w:rStyle w:val="IndexLink"/>
                <w:rtl w:val="true"/>
              </w:rPr>
              <w:t>[</w:t>
            </w:r>
            <w:r>
              <w:rPr>
                <w:rStyle w:val="IndexLink"/>
                <w:rtl w:val="true"/>
              </w:rPr>
              <w:t>إشارة إلی مسألة الترتّب</w:t>
            </w:r>
            <w:r>
              <w:rPr>
                <w:rStyle w:val="IndexLink"/>
                <w:rtl w:val="true"/>
              </w:rPr>
              <w:t>]</w:t>
              <w:tab/>
            </w:r>
            <w:r>
              <w:rPr>
                <w:rStyle w:val="IndexLink"/>
              </w:rPr>
              <w:t>479</w:t>
            </w:r>
          </w:hyperlink>
        </w:p>
        <w:p>
          <w:pPr>
            <w:pStyle w:val="Contents4"/>
            <w:tabs>
              <w:tab w:val="clear" w:pos="8176"/>
              <w:tab w:val="right" w:pos="9026" w:leader="dot"/>
            </w:tabs>
            <w:rPr/>
          </w:pPr>
          <w:hyperlink w:anchor="__RefHeading___Toc2647464_3224264995">
            <w:r>
              <w:rPr>
                <w:webHidden/>
                <w:rStyle w:val="IndexLink"/>
                <w:rtl w:val="true"/>
              </w:rPr>
              <w:t>[</w:t>
            </w:r>
            <w:r>
              <w:rPr>
                <w:rStyle w:val="IndexLink"/>
                <w:rtl w:val="true"/>
              </w:rPr>
              <w:t>هل یعتبر عدم تضرّر مسلم فی إعمال الأصل أم لا؟</w:t>
            </w:r>
            <w:r>
              <w:rPr>
                <w:rStyle w:val="IndexLink"/>
                <w:rtl w:val="true"/>
              </w:rPr>
              <w:t>]</w:t>
              <w:tab/>
            </w:r>
            <w:r>
              <w:rPr>
                <w:rStyle w:val="IndexLink"/>
              </w:rPr>
              <w:t>482</w:t>
            </w:r>
          </w:hyperlink>
        </w:p>
        <w:p>
          <w:pPr>
            <w:pStyle w:val="Contents4"/>
            <w:tabs>
              <w:tab w:val="clear" w:pos="8176"/>
              <w:tab w:val="right" w:pos="9026" w:leader="dot"/>
            </w:tabs>
            <w:rPr/>
          </w:pPr>
          <w:hyperlink w:anchor="__RefHeading___Toc2647466_3224264995">
            <w:r>
              <w:rPr>
                <w:webHidden/>
                <w:rStyle w:val="IndexLink"/>
                <w:rtl w:val="true"/>
              </w:rPr>
              <w:t>[</w:t>
            </w:r>
            <w:r>
              <w:rPr>
                <w:rStyle w:val="IndexLink"/>
                <w:rtl w:val="true"/>
              </w:rPr>
              <w:t>قاعدة لا ضرر</w:t>
            </w:r>
            <w:r>
              <w:rPr>
                <w:rStyle w:val="IndexLink"/>
                <w:rtl w:val="true"/>
              </w:rPr>
              <w:t>]</w:t>
              <w:tab/>
            </w:r>
            <w:r>
              <w:rPr>
                <w:rStyle w:val="IndexLink"/>
              </w:rPr>
              <w:t>482</w:t>
            </w:r>
          </w:hyperlink>
        </w:p>
        <w:p>
          <w:pPr>
            <w:pStyle w:val="Contents4"/>
            <w:tabs>
              <w:tab w:val="clear" w:pos="8176"/>
              <w:tab w:val="right" w:pos="9026" w:leader="dot"/>
            </w:tabs>
            <w:rPr/>
          </w:pPr>
          <w:hyperlink w:anchor="__RefHeading___Toc2647468_3224264995">
            <w:r>
              <w:rPr>
                <w:webHidden/>
                <w:rStyle w:val="IndexLink"/>
                <w:rtl w:val="true"/>
              </w:rPr>
              <w:t>[</w:t>
            </w:r>
            <w:r>
              <w:rPr>
                <w:rStyle w:val="IndexLink"/>
                <w:rtl w:val="true"/>
              </w:rPr>
              <w:t>دفع الایراد عن القاعدة</w:t>
            </w:r>
            <w:r>
              <w:rPr>
                <w:rStyle w:val="IndexLink"/>
                <w:rtl w:val="true"/>
              </w:rPr>
              <w:t>]</w:t>
              <w:tab/>
            </w:r>
            <w:r>
              <w:rPr>
                <w:rStyle w:val="IndexLink"/>
              </w:rPr>
              <w:t>482</w:t>
            </w:r>
          </w:hyperlink>
        </w:p>
        <w:p>
          <w:pPr>
            <w:pStyle w:val="Contents4"/>
            <w:tabs>
              <w:tab w:val="clear" w:pos="8176"/>
              <w:tab w:val="right" w:pos="9026" w:leader="dot"/>
            </w:tabs>
            <w:rPr/>
          </w:pPr>
          <w:hyperlink w:anchor="__RefHeading___Toc2647470_3224264995">
            <w:r>
              <w:rPr>
                <w:webHidden/>
                <w:rStyle w:val="IndexLink"/>
                <w:rtl w:val="true"/>
              </w:rPr>
              <w:t>[</w:t>
            </w:r>
            <w:r>
              <w:rPr>
                <w:rStyle w:val="IndexLink"/>
                <w:rtl w:val="true"/>
              </w:rPr>
              <w:t>الحکومة و الورود</w:t>
            </w:r>
            <w:r>
              <w:rPr>
                <w:rStyle w:val="IndexLink"/>
                <w:rtl w:val="true"/>
              </w:rPr>
              <w:t>]</w:t>
              <w:tab/>
            </w:r>
            <w:r>
              <w:rPr>
                <w:rStyle w:val="IndexLink"/>
              </w:rPr>
              <w:t>483</w:t>
            </w:r>
          </w:hyperlink>
        </w:p>
        <w:p>
          <w:pPr>
            <w:pStyle w:val="Contents4"/>
            <w:tabs>
              <w:tab w:val="clear" w:pos="8176"/>
              <w:tab w:val="right" w:pos="9026" w:leader="dot"/>
            </w:tabs>
            <w:rPr/>
          </w:pPr>
          <w:hyperlink w:anchor="__RefHeading___Toc2647472_3224264995">
            <w:r>
              <w:rPr>
                <w:webHidden/>
                <w:rStyle w:val="IndexLink"/>
                <w:rtl w:val="true"/>
              </w:rPr>
              <w:t>[</w:t>
            </w:r>
            <w:r>
              <w:rPr>
                <w:rStyle w:val="IndexLink"/>
                <w:rtl w:val="true"/>
              </w:rPr>
              <w:t>استلزام حصول فقه جدید بل دین بدیع بالعمل بعموم هذه القاعدة</w:t>
            </w:r>
            <w:r>
              <w:rPr>
                <w:rStyle w:val="IndexLink"/>
                <w:rtl w:val="true"/>
              </w:rPr>
              <w:t>]</w:t>
              <w:tab/>
            </w:r>
            <w:r>
              <w:rPr>
                <w:rStyle w:val="IndexLink"/>
              </w:rPr>
              <w:t>484</w:t>
            </w:r>
          </w:hyperlink>
        </w:p>
        <w:p>
          <w:pPr>
            <w:pStyle w:val="Contents4"/>
            <w:tabs>
              <w:tab w:val="clear" w:pos="8176"/>
              <w:tab w:val="right" w:pos="9026" w:leader="dot"/>
            </w:tabs>
            <w:rPr/>
          </w:pPr>
          <w:hyperlink w:anchor="__RefHeading___Toc2647474_3224264995">
            <w:r>
              <w:rPr>
                <w:webHidden/>
                <w:rStyle w:val="IndexLink"/>
                <w:rtl w:val="true"/>
              </w:rPr>
              <w:t>[</w:t>
            </w:r>
            <w:r>
              <w:rPr>
                <w:rStyle w:val="IndexLink"/>
                <w:rtl w:val="true"/>
              </w:rPr>
              <w:t>تحمّل الضرر لدفع الضرر عن الغیر</w:t>
            </w:r>
            <w:r>
              <w:rPr>
                <w:rStyle w:val="IndexLink"/>
                <w:rtl w:val="true"/>
              </w:rPr>
              <w:t>]</w:t>
              <w:tab/>
            </w:r>
            <w:r>
              <w:rPr>
                <w:rStyle w:val="IndexLink"/>
              </w:rPr>
              <w:t>486</w:t>
            </w:r>
          </w:hyperlink>
        </w:p>
        <w:p>
          <w:pPr>
            <w:pStyle w:val="Contents2"/>
            <w:tabs>
              <w:tab w:val="clear" w:pos="8743"/>
              <w:tab w:val="right" w:pos="9026" w:leader="dot"/>
            </w:tabs>
            <w:rPr/>
          </w:pPr>
          <w:hyperlink w:anchor="__RefHeading___Toc2647476_3224264995">
            <w:r>
              <w:rPr>
                <w:webHidden/>
                <w:rStyle w:val="IndexLink"/>
                <w:rtl w:val="true"/>
              </w:rPr>
              <w:t>فهرس الموضوعات</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56_162504"/>
      <w:bookmarkStart w:id="1" w:name="pg12856_162504"/>
      <w:bookmarkEnd w:id="1"/>
    </w:p>
    <w:p>
      <w:pPr>
        <w:pStyle w:val="Heading2"/>
        <w:numPr>
          <w:ilvl w:val="1"/>
          <w:numId w:val="1"/>
        </w:numPr>
        <w:rPr/>
      </w:pPr>
      <w:bookmarkStart w:id="2" w:name="pg12856_162504"/>
      <w:bookmarkStart w:id="3" w:name="__RefHeading___Toc264626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؟ق، شارح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التعلیقه علی 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اللاری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موتمر احیاآ ذکری آیه‌الله المجاهد السید عبدالحسین اللاری، اللجنه العلمیه للموتمر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موتمر احیاآ ذکری آیه‌الله المجاهد السید عبدالحسین اللاری</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انصاری به‌مناسبت کنگره بزرگداشت آیت‌الله سید عبدالحسین لاری،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مرتضی‌بن محمدامین،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مرتضی‌بن محمدامین،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آیت‌الله سید عبدالحسین اللاری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علمی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آیت‌الله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لار و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‌۴۰۲۱۷۵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6262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56_162507"/>
      <w:bookmarkStart w:id="8" w:name="pg12856_162507"/>
      <w:bookmarkEnd w:id="8"/>
    </w:p>
    <w:p>
      <w:pPr>
        <w:pStyle w:val="Heading2"/>
        <w:numPr>
          <w:ilvl w:val="1"/>
          <w:numId w:val="1"/>
        </w:numPr>
        <w:rPr/>
      </w:pPr>
      <w:bookmarkStart w:id="9" w:name="pg12856_162507"/>
      <w:bookmarkStart w:id="10" w:name="__RefHeading___Toc2646264_3224264995"/>
      <w:bookmarkStart w:id="11" w:name="_Toc3"/>
      <w:bookmarkEnd w:id="9"/>
      <w:bookmarkEnd w:id="10"/>
      <w:r>
        <w:rPr>
          <w:rtl w:val="true"/>
        </w:rPr>
        <w:t>[</w:t>
      </w:r>
      <w:r>
        <w:rPr>
          <w:rtl w:val="true"/>
        </w:rPr>
        <w:t>تتمة مباحث الظن</w:t>
      </w:r>
      <w:r>
        <w:rPr>
          <w:rtl w:val="true"/>
        </w:rPr>
        <w:t>]</w:t>
      </w:r>
      <w:bookmarkEnd w:id="11"/>
    </w:p>
    <w:p>
      <w:pPr>
        <w:pStyle w:val="Heading3"/>
        <w:numPr>
          <w:ilvl w:val="2"/>
          <w:numId w:val="1"/>
        </w:numPr>
        <w:rPr/>
      </w:pPr>
      <w:bookmarkStart w:id="12" w:name="__RefHeading___Toc2646266_3224264995"/>
      <w:bookmarkStart w:id="13" w:name="_Toc4"/>
      <w:bookmarkEnd w:id="12"/>
      <w:r>
        <w:rPr>
          <w:rtl w:val="true"/>
        </w:rPr>
        <w:t>[</w:t>
      </w:r>
      <w:r>
        <w:rPr>
          <w:rtl w:val="true"/>
        </w:rPr>
        <w:t xml:space="preserve">الثانی حجیة مطلق الظن </w:t>
      </w:r>
      <w:r>
        <w:rPr>
          <w:rtl w:val="true"/>
        </w:rPr>
        <w:t>(</w:t>
      </w:r>
      <w:r>
        <w:rPr>
          <w:rtl w:val="true"/>
        </w:rPr>
        <w:t>فی مقابل ظنون المعتبرة</w:t>
      </w:r>
      <w:r>
        <w:rPr>
          <w:rtl w:val="true"/>
        </w:rPr>
        <w:t>)]</w:t>
      </w:r>
      <w:bookmarkEnd w:id="13"/>
    </w:p>
    <w:p>
      <w:pPr>
        <w:pStyle w:val="Heading4"/>
        <w:numPr>
          <w:ilvl w:val="3"/>
          <w:numId w:val="1"/>
        </w:numPr>
        <w:rPr/>
      </w:pPr>
      <w:bookmarkStart w:id="14" w:name="__RefHeading___Toc2646268_3224264995"/>
      <w:bookmarkStart w:id="15" w:name="_Toc5"/>
      <w:bookmarkEnd w:id="14"/>
      <w:r>
        <w:rPr>
          <w:rtl w:val="true"/>
        </w:rPr>
        <w:t>[</w:t>
      </w:r>
      <w:r>
        <w:rPr>
          <w:rtl w:val="true"/>
        </w:rPr>
        <w:t>الاول دفع الضرر المحتمل</w:t>
      </w:r>
      <w:r>
        <w:rPr>
          <w:rtl w:val="true"/>
        </w:rPr>
        <w:t>]</w:t>
      </w:r>
      <w:bookmarkEnd w:id="15"/>
    </w:p>
    <w:p>
      <w:pPr>
        <w:pStyle w:val="Heading5"/>
        <w:numPr>
          <w:ilvl w:val="4"/>
          <w:numId w:val="1"/>
        </w:numPr>
        <w:rPr/>
      </w:pPr>
      <w:bookmarkStart w:id="16" w:name="__RefHeading___Toc2646270_3224264995"/>
      <w:bookmarkStart w:id="17" w:name="_Toc6"/>
      <w:bookmarkEnd w:id="16"/>
      <w:r>
        <w:rPr>
          <w:rtl w:val="true"/>
        </w:rPr>
        <w:t>اشارة</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18" w:name="pg12856_162508"/>
    </w:p>
    <w:p>
      <w:pPr>
        <w:pStyle w:val="Heading5"/>
        <w:numPr>
          <w:ilvl w:val="4"/>
          <w:numId w:val="1"/>
        </w:numPr>
        <w:rPr/>
      </w:pPr>
      <w:bookmarkStart w:id="19" w:name="__RefHeading___Toc2646272_3224264995"/>
      <w:bookmarkStart w:id="20" w:name="_Toc7"/>
      <w:bookmarkEnd w:id="18"/>
      <w:bookmarkEnd w:id="19"/>
      <w:r>
        <w:rPr>
          <w:rtl w:val="true"/>
        </w:rPr>
        <w:t>تذنیب</w:t>
      </w:r>
      <w:bookmarkEnd w:id="20"/>
    </w:p>
    <w:p>
      <w:pPr>
        <w:pStyle w:val="Heading5"/>
        <w:numPr>
          <w:ilvl w:val="4"/>
          <w:numId w:val="1"/>
        </w:numPr>
        <w:rPr/>
      </w:pPr>
      <w:bookmarkStart w:id="21" w:name="__RefHeading___Toc2646274_3224264995"/>
      <w:bookmarkStart w:id="22" w:name="_Toc8"/>
      <w:bookmarkEnd w:id="21"/>
      <w:r>
        <w:rPr>
          <w:rtl w:val="true"/>
        </w:rPr>
        <w:t>[</w:t>
      </w:r>
      <w:r>
        <w:rPr>
          <w:rtl w:val="true"/>
        </w:rPr>
        <w:t>النظر فی ما نقله عن الضوابط فی قاعدة دفع الضرر</w:t>
      </w:r>
      <w:r>
        <w:rPr>
          <w:rtl w:val="true"/>
        </w:rPr>
        <w:t>]</w:t>
      </w:r>
      <w:bookmarkEnd w:id="22"/>
    </w:p>
    <w:p>
      <w:pPr>
        <w:pStyle w:val="BookText"/>
        <w:rPr/>
      </w:pPr>
      <w:r>
        <w:rPr>
          <w:rFonts w:ascii="IRNazanin" w:hAnsi="IRNazanin" w:eastAsia="IRNazanin"/>
          <w:color w:val="111111"/>
          <w:sz w:val="28"/>
          <w:sz w:val="28"/>
          <w:szCs w:val="28"/>
          <w:rtl w:val="true"/>
          <w:lang w:bidi="fa-IR"/>
        </w:rPr>
        <w:t xml:space="preserve">فی ما عثرنا علیه من عثرات بعض الفضلاء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قاله سیّد مشایخ شیخنا العلّامة فی ضوابطه بعد استدلاله علی لزوم دفع الضرر بجمیع أقسامه التسعة من الدنیوی و الاخروی المضروبین فی المظنون و المشکوک و الموهوم ببناء العقلاء و القوّة العاقلة و أخبار الاحتیاط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عدم احترازهم عن القعود فی البنیان المحتمل للخراب و نحوه فلعدم إمکانه لهم، و لزوم وقوعهم فی محذور أشدّ منه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التزامهم بدفع الضرر الموهوم لیس لأجل ما ذکره من وجود المانع منه و هو عدم تمکّنهم من دفعه و معارضته بما هو أشدّ محذورا منه، بل إنّما هو لأجل عدم المقتضی لدفعه و نزوله منزلة العدم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إیراده طاب ثراه علی القائلین بأولویة دفع المضرّة من جلب المنفعة عقلا عند تعارض الضرر و النفع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هذا علی الإطلاق غیر جیّد؛ إذ ربما یکون جلب المنفعة أولی من دفع المفسدة، کما لو کان الشخص محتاجا و دار أمره بین أن یضرب علیه عشرون ضربة و إعطاء ألف دینار، و بین عدم الضرب و عدم الإعطاء و کونه باقیا علی احتیاجه، مع کون الشخص ممن لا یبالی بضرب عشرین مبالاة کثیرة، فإنّ القوة العاقلة حاکمة بأولویة جلب المنفعة علیه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حکمهم بأولویة دفع المضرّة من جلب المنفعة إنّما هو ناظر إلی حیث المضرّة و المنفعة مع الإغماض عن سائر الجهات العارضة الخارجیة، الموجبة تارة لترجیح دفع المضرّة علی جلب المنفعة، و تارة بترجیح العکس، و تارة بالتخییر و التساوی بینهما، کما هو الدأب فی البحث عن کلّ مسألة </w:t>
      </w:r>
      <w:bookmarkStart w:id="23" w:name="pg12856_162509"/>
    </w:p>
    <w:p>
      <w:pPr>
        <w:pStyle w:val="BookText"/>
        <w:rPr/>
      </w:pPr>
      <w:bookmarkEnd w:id="23"/>
      <w:r>
        <w:rPr>
          <w:rFonts w:ascii="IRNazanin" w:hAnsi="IRNazanin" w:eastAsia="IRNazanin"/>
          <w:color w:val="111111"/>
          <w:sz w:val="28"/>
          <w:sz w:val="28"/>
          <w:szCs w:val="28"/>
          <w:rtl w:val="true"/>
          <w:lang w:bidi="fa-IR"/>
        </w:rPr>
        <w:t>من حیث هی هی مع الإغماض عن عوارضها الخارجیة و المرجّحات البرّانیة، و إلّا فمن البدیهی تقدیم جلب المنفعة الکثیرة الکلّیة علی دفع المضرّة الیسیرة الجزئیة بحکم القوّة العاقلة بحیث لا یخفی علی جاهل فکیف یخفی علی جلّ العلماء؟</w:t>
      </w:r>
    </w:p>
    <w:p>
      <w:pPr>
        <w:pStyle w:val="Heading5"/>
        <w:numPr>
          <w:ilvl w:val="4"/>
          <w:numId w:val="1"/>
        </w:numPr>
        <w:rPr/>
      </w:pPr>
      <w:bookmarkStart w:id="24" w:name="__RefHeading___Toc2646276_3224264995"/>
      <w:bookmarkStart w:id="25" w:name="_Toc9"/>
      <w:bookmarkEnd w:id="24"/>
      <w:r>
        <w:rPr>
          <w:rtl w:val="true"/>
        </w:rPr>
        <w:t>[</w:t>
      </w:r>
      <w:r>
        <w:rPr>
          <w:rtl w:val="true"/>
        </w:rPr>
        <w:t>النظر فی ما نقله عن نتائج الأفکار فی قاعدة الضرر</w:t>
      </w:r>
      <w:r>
        <w:rPr>
          <w:rtl w:val="true"/>
        </w:rPr>
        <w:t>]</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النتائج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الضرر المحتمل إمّا خال عن المعارض، أو معارض باحتمال ضرر آخر مساو معه رتبة و اعتقادا أو رتبة لا اعتقادا، أو عکسه، أو أقوی منه رتبة و اعتقادا، أو أحدهما أقوی رتبة و الآخر اعتقادا، ثمّ إمّا کلاهما دنیویان أو اخرویان، أو مختلفان، فصارت الصور ستّ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خلا عن المعارض فقد مرّ، و أمّا ما کان مع المعارض المساوی من الجهتین فالتخییر، أو الأقوی من الجهتین، أو من أحدهما فتقدیم الأقوی أو الأقوی من جهة الأضعف من اخری فموارده عند العقلاء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کونهما دنیویین أو اخرویین، و أمّا فی المختلفین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قبح الاضرار بالنفس و لزوم دفعه عقلا و شرعا ما لم یرد دلیل علیه، کما ورد فی إضرار النفس لحفظ بیضة الإسلام، و حینئذ لو تعارض ضرر دنیوی کإضرار نفسه بالقتل مثلا و اخروی، فالاخروی إمّا مقطوع کالقطع بأنّه فی ترک الجهاد یستحق العقاب، أو مظنون، أو مشکوک، أو موهوم، و الضرر الدنیوی إمّا مقطوع کالقطع بأنه لو جاهد لقتل أو مظنون أو مشکوک أو موهوم، فإن کان الضرر الاخروی مقطوعا أو مظنونا بظنّ شرعی معتبر قدّم مطلقا، لقوة الاخروی رتبة مطلقا و اعتقادا أیضا فی بعض الصور، أو مشکوکا حکما و اعتبارا أو اعتبارا فقط أو موهوما قدّم دفع الضرر الدنیوی مطلقا؛ لأنّه إذا شکّ فی وجوب الجهاد مثلا شکّ فی استحقاق العقاب علی ترکه فی الآخرة، لاحتمال وجوبه و فی استحقاق العقاب علی فعله لاحتمال عدم وجوبه، فاحتمال العقاب فی الآخرة موجود فعلا و ترکا فیتعارضان، و یبقی القطع بأنّه لو جاهد لقتل، أو الظنّ أو الشکّ أو الوهم به سلیما عن المعارض، </w:t>
      </w:r>
    </w:p>
    <w:p>
      <w:pPr>
        <w:pStyle w:val="BookText"/>
        <w:rPr/>
      </w:pPr>
      <w:r>
        <w:rPr>
          <w:rFonts w:ascii="IRNazanin" w:hAnsi="IRNazanin" w:eastAsia="IRNazanin"/>
          <w:color w:val="111111"/>
          <w:sz w:val="28"/>
          <w:sz w:val="28"/>
          <w:szCs w:val="28"/>
          <w:rtl w:val="true"/>
          <w:lang w:bidi="fa-IR"/>
        </w:rPr>
        <w:t>فیجب التحرّز عنه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انتهی کلامه رفع مقامه، و لقد أجاد فی ما أفاد و أتی بما فوق المراد، إلّا أنّ فی کلامه مواقع للنظر و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 علی تقدیم دفع الضرر الاخروی المقطوع أو المظنون بظنّ معتبر علی الضرر الدنیوی مطلقا بقوة الاخروی رتبة مطلقا و اعتقادا فی بعض الصور، و مراده من قوة الاخروی رتبة ما أشار إلیه فی ضوابطه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الضرر الاخروی أقوی بحیث یکون الضرر الدنیوی بالنسبة إلیه کإدخال إبرة فی إصبع بالنسبة إلی القتل و قد مرّ أنّ القوة العاقلة و العقلاء حاکمان بلزوم التحرّز عمّا هو أقوی ضررا بعد تساوی الاعتقاد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بأقوائیة الضرر الاخروی و أکثریته من الضرر الدنیوی بالمقدار المذکور، و هو إدخال إبرة فی إصبع بالنسبة إلی القتل کالمصادرة و الرجم بالغیب؛ لأنّ برهانه إن کان أدلّة کونه تعالی شدید العقاب و کون عذابه عذاب ألیم فمن الواضح معارضته بأدلّة کونه غفورا رحیما، و سبقت رحمته غضبه، و إن کان برهانه غیر ذلک فلم نتعقّله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الأولی و الأحقّ فی الاستدلال علی تقدیم دفع الضرر الاخروی المقطوع أو المظنون بظنّ شرعی معتبر علی الضرر الدنیوی مطلقا هو الاستدلال بحکومة دلیل دفع الضرر الاخروی علی دلیل دفع الضرر الدنیوی مطلقا، إذ بعد فرض أنّ الشارع الحکیم لا یأمر بارتکاب ضرر إلّا عن مصلحة یتدارک بها ضرره یکون دلیل دفع الضرر الاخروی متعرضا بمدلوله اللفظی لحال دلیل دفع الضرر الدنیوی، و مخصّصا إیّاه علی وجه التفسیر بأنّ الضرر الدنیوی المعارض للاخروی لیس ضررا بل ضرر متدارک البتّة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 علی تقدیم دفع الضرر الدنیوی مطلقا علی الضرر الاخروی المشکوک أو الموهوم مطلقا بقوله فی النتائج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إذا شکّ فی وجوب </w:t>
      </w:r>
    </w:p>
    <w:p>
      <w:pPr>
        <w:pStyle w:val="BookText"/>
        <w:rPr/>
      </w:pPr>
      <w:r>
        <w:rPr>
          <w:rFonts w:ascii="IRNazanin" w:hAnsi="IRNazanin" w:eastAsia="IRNazanin"/>
          <w:color w:val="111111"/>
          <w:sz w:val="28"/>
          <w:sz w:val="28"/>
          <w:szCs w:val="28"/>
          <w:rtl w:val="true"/>
          <w:lang w:bidi="fa-IR"/>
        </w:rPr>
        <w:t>الجهاد مثلا شکّ فی استحقاق العقاب علی ترکه فی الآخرة، لاحتمال وجوبه، و فی استحقاق العقاب علی فعله، لاحتمال عدم وجوبه، فاحتمال العقاب فی الآخرة موجود فعلا و ترکا فیتعارضان، و یبقی القطع بأنّه لو جاهد لقتل أو الظنّ أو الشکّ أو الوهم به سلیما عن المعارض، فیجب التحرّز عنه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بقوله فی الضوابط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مقتضی القاعدة التحرّز عن الضرر الاخروی و إن کان موهوما لکن بملاحظة المقدّمة الخارجیة من استلزام التحرّز عن مشکوک الضرر الاخروی أو موهومه الاحتیاط، بل هو عینه، و أنّ الاحتیاط موجب لاختلال نظام العالم المنافی لغرض الحکیم علی الإطلاق لزم الاجتناب عن الضرر الدنیوی، نظرا إلی أصالة البراءة عن الضرر الاخروی فیصیر الضرر الدنیوی سلیما عن المعارض</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الأقرب تبدیل الاستدلال المذکور بالاستدلال بفقد المقتضی لدفع الضرر الاخروی المشکوک أو الموهوم، لا بما ذکره من إبراز المانع و المعارض؛ نظرا إلی أنّ قبح العقاب بلا بیان عقلا و أخبار البراءة عن العقاب المشکوک شرعا، مضافا إلی أدلّة نفی العسر و الحرج</w:t>
      </w:r>
      <w:r>
        <w:rPr>
          <w:rStyle w:val="FootnoteAnchor"/>
          <w:rtl w:val="true"/>
        </w:rPr>
        <w:footnoteReference w:id="8"/>
      </w:r>
      <w:r>
        <w:rPr>
          <w:rFonts w:ascii="IRNazanin" w:hAnsi="IRNazanin" w:eastAsia="IRNazanin"/>
          <w:color w:val="111111"/>
          <w:sz w:val="28"/>
          <w:sz w:val="28"/>
          <w:szCs w:val="28"/>
          <w:rtl w:val="true"/>
          <w:lang w:bidi="fa-IR"/>
        </w:rPr>
        <w:t>، و أخبار بعثت علی الشریعة السمحة السهلة</w:t>
      </w:r>
      <w:r>
        <w:rPr>
          <w:rStyle w:val="FootnoteAnchor"/>
          <w:rtl w:val="true"/>
        </w:rPr>
        <w:footnoteReference w:id="9"/>
      </w:r>
      <w:r>
        <w:rPr>
          <w:rFonts w:ascii="IRNazanin" w:hAnsi="IRNazanin" w:eastAsia="IRNazanin"/>
          <w:color w:val="111111"/>
          <w:sz w:val="28"/>
          <w:sz w:val="28"/>
          <w:szCs w:val="28"/>
          <w:rtl w:val="true"/>
          <w:lang w:bidi="fa-IR"/>
        </w:rPr>
        <w:t>، و أخبار لا ضرر و لا ضرار</w:t>
      </w:r>
      <w:r>
        <w:rPr>
          <w:rStyle w:val="FootnoteAnchor"/>
          <w:rtl w:val="true"/>
        </w:rPr>
        <w:footnoteReference w:id="10"/>
      </w:r>
      <w:r>
        <w:rPr>
          <w:rFonts w:ascii="IRNazanin" w:hAnsi="IRNazanin" w:eastAsia="IRNazanin"/>
          <w:color w:val="111111"/>
          <w:sz w:val="28"/>
          <w:sz w:val="28"/>
          <w:szCs w:val="28"/>
          <w:rtl w:val="true"/>
          <w:lang w:bidi="fa-IR"/>
        </w:rPr>
        <w:t>رافعة لموضوع ضرر العقاب الاخروی، بحیث لم یبق لموضوع الضرریة الاخرویة مسرح یتعقل أصلا، و بعد فرض عدم المقتضی لدفع الضرر الاخروی المشکوک یکون الاستدلال علی عدم لزوم دفعه بوجود المانع منه من قبیل الأکل من القفا، و لو سلّم وجود ذلک المانع أیضا</w:t>
      </w:r>
      <w:r>
        <w:rPr>
          <w:rFonts w:eastAsia="IRNazanin" w:cs="IRNazanin"/>
          <w:color w:val="111111"/>
          <w:sz w:val="28"/>
          <w:szCs w:val="28"/>
          <w:rtl w:val="true"/>
          <w:lang w:bidi="fa-IR"/>
        </w:rPr>
        <w:t xml:space="preserve">. </w:t>
      </w:r>
      <w:bookmarkStart w:id="26" w:name="pg12856_162512"/>
    </w:p>
    <w:p>
      <w:pPr>
        <w:pStyle w:val="BookText"/>
        <w:rPr/>
      </w:pPr>
      <w:bookmarkEnd w:id="26"/>
      <w:r>
        <w:rPr>
          <w:rFonts w:ascii="IRNazanin" w:hAnsi="IRNazanin" w:eastAsia="IRNazanin"/>
          <w:color w:val="111111"/>
          <w:sz w:val="28"/>
          <w:sz w:val="28"/>
          <w:szCs w:val="28"/>
          <w:rtl w:val="true"/>
          <w:lang w:bidi="fa-IR"/>
        </w:rPr>
        <w:t>الموقع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قدّس سرّه استثنی ممّا تقدّم من لزوم تقدیم دفع الضرر الدنیوی المقطوع علی الاخروی المشکوک ما یتعلّق بوطء الأنساب و المحارم، فجزم بلزوم ترک وطئها و إن أفضی إلی الهلاک، فاستثنی وطء المحارم المتوقف علیه هلاک النفس علی فرض تحقّقه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العسر و الحرج المجوّزة لتقدیم دفع الضرر الدنیوی علی الاخروی المشکوک بمجرّد الاستبعاد،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 فی ترک وطء المحارم و إن أفضی إلی الهلاک، للمنافرة فی الغایة بحیث یستبعد العقل غایة الاستبعاد تجویز وطء الأمّ للولد، بل هو مستهجن عند العقل غایة الاستهجان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2646278_3224264995"/>
      <w:bookmarkStart w:id="28" w:name="_Toc10"/>
      <w:bookmarkEnd w:id="27"/>
      <w:r>
        <w:rPr>
          <w:rtl w:val="true"/>
        </w:rPr>
        <w:t>[</w:t>
      </w:r>
      <w:r>
        <w:rPr>
          <w:rtl w:val="true"/>
        </w:rPr>
        <w:t>اشارة إلی سبب الانصراف</w:t>
      </w:r>
      <w:r>
        <w:rPr>
          <w:rtl w:val="true"/>
        </w:rPr>
        <w:t>]</w:t>
      </w:r>
      <w:bookmarkEnd w:id="28"/>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الاستبعاد کیف یوجب انصراف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اعترافک فی باب المطلق و المقید بانحصار سبب الانصراف فی إحدی غلبتی الوجود أو الاستعمال</w:t>
      </w:r>
      <w:r>
        <w:rPr>
          <w:rStyle w:val="FootnoteAnchor"/>
          <w:rtl w:val="true"/>
        </w:rPr>
        <w:footnoteReference w:id="13"/>
      </w:r>
      <w:r>
        <w:rPr>
          <w:rFonts w:ascii="Amiri" w:hAnsi="Amiri" w:eastAsia="Amiri" w:cs="Amiri"/>
          <w:color w:val="111111"/>
          <w:sz w:val="28"/>
          <w:sz w:val="28"/>
          <w:szCs w:val="28"/>
          <w:rtl w:val="true"/>
          <w:lang w:bidi="ar-SA"/>
        </w:rPr>
        <w:t xml:space="preserve">؟ مع أنّ الأدلّة الدالّة علی تقدیم دفع الضرر الدنیوی علی دفع الضرر الاخروی المشکوک عمومات صریحة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w:t>
      </w:r>
      <w:r>
        <w:rPr>
          <w:rStyle w:val="FootnoteAnchor"/>
          <w:rtl w:val="true"/>
        </w:rPr>
        <w:footnoteReference w:id="14"/>
      </w:r>
      <w:r>
        <w:rPr>
          <w:rFonts w:ascii="IRNazanin" w:hAnsi="IRNazanin" w:eastAsia="IRNazanin"/>
          <w:color w:val="111111"/>
          <w:sz w:val="28"/>
          <w:sz w:val="28"/>
          <w:szCs w:val="28"/>
          <w:rtl w:val="true"/>
          <w:lang w:bidi="fa-IR"/>
        </w:rPr>
        <w:t xml:space="preserve">لا إطلاقات حتی تقبل الانصراف علی تقدیر وجود سببه، و یا لیته أبدل استثناء وطء المحارم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الضرر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باستثناء قتل النفوس المحترمة من عمومه بالأخبار الخاصّة الدالّة علی أنه لا تقیة فی الدماء و قتل النفس</w:t>
      </w:r>
      <w:r>
        <w:rPr>
          <w:rStyle w:val="FootnoteAnchor"/>
          <w:rtl w:val="true"/>
        </w:rPr>
        <w:footnoteReference w:id="15"/>
      </w:r>
      <w:r>
        <w:rPr>
          <w:rFonts w:ascii="IRNazanin" w:hAnsi="IRNazanin" w:eastAsia="IRNazanin"/>
          <w:color w:val="111111"/>
          <w:sz w:val="28"/>
          <w:sz w:val="28"/>
          <w:szCs w:val="28"/>
          <w:rtl w:val="true"/>
          <w:lang w:bidi="fa-IR"/>
        </w:rPr>
        <w:t xml:space="preserve">، أو باستثناء الاستشفاء بالخمر و التداوی به بالنصوص المخصّصة لعمومه و الحاکمة علی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شفاء فی الخمر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29" w:name="pg12856_162513"/>
    </w:p>
    <w:p>
      <w:pPr>
        <w:pStyle w:val="BookText"/>
        <w:rPr/>
      </w:pPr>
      <w:bookmarkEnd w:id="29"/>
      <w:r>
        <w:rPr>
          <w:rFonts w:ascii="IRNazanin" w:hAnsi="IRNazanin" w:eastAsia="IRNazanin"/>
          <w:color w:val="111111"/>
          <w:sz w:val="28"/>
          <w:sz w:val="28"/>
          <w:szCs w:val="28"/>
          <w:rtl w:val="true"/>
          <w:lang w:bidi="fa-IR"/>
        </w:rPr>
        <w:t>شفاء فی الحرام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من استثنائه وطء المحارم مع عدم مساعدة دلیل علیه سوی مجرّد الاستبعاد، و عدم استثنائه التقیة فی الدماء و الاستشفاء و التداوی بالخمر مع مساعدة الأدلّة علیه، و کأنّ بناءه الإغماض عن مقتضی الأدلّة الخارجیة و الاقتصار علی حاقّ ما یقتضیه العقل، و إلّا فلا وجه لاستثناء ما لم یساعده الدلیل و عدم استثناء ما یساعده الدلیل</w:t>
      </w:r>
      <w:r>
        <w:rPr>
          <w:rFonts w:eastAsia="IRNazanin" w:cs="IRNazanin"/>
          <w:color w:val="111111"/>
          <w:sz w:val="28"/>
          <w:szCs w:val="28"/>
          <w:rtl w:val="true"/>
          <w:lang w:bidi="fa-IR"/>
        </w:rPr>
        <w:t>.</w:t>
      </w:r>
    </w:p>
    <w:p>
      <w:pPr>
        <w:pStyle w:val="Heading4"/>
        <w:numPr>
          <w:ilvl w:val="3"/>
          <w:numId w:val="1"/>
        </w:numPr>
        <w:rPr/>
      </w:pPr>
      <w:bookmarkStart w:id="30" w:name="__RefHeading___Toc2646280_3224264995"/>
      <w:bookmarkStart w:id="31" w:name="_Toc11"/>
      <w:bookmarkEnd w:id="30"/>
      <w:r>
        <w:rPr>
          <w:rtl w:val="true"/>
        </w:rPr>
        <w:t>[</w:t>
      </w:r>
      <w:r>
        <w:rPr>
          <w:rtl w:val="true"/>
        </w:rPr>
        <w:t>الثانی انه لو لم یؤخذ بالظن لزم ترجیح المرجوح علی الراجح و هو قبیح</w:t>
      </w:r>
      <w:r>
        <w:rPr>
          <w:rtl w:val="true"/>
        </w:rPr>
        <w:t>]</w:t>
      </w:r>
      <w:bookmarkEnd w:id="3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ذلک فرع وجوب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جواز التسویة بین العادل و الأعدل فی الاقتداء، و العالم و الأعلم فی التقلید، و الرشید و الأرشد، و الصالح و الأصلح فی التوکیل و التوصیة و الإنفاق و البذل و الضیافة و الولیمة، و الکافر و المؤمن فی المعاملة و المعاشرة، و الکافرة و المؤمنة فی القسم حتی أنّ من حسن سیرته و عدالته صلی اللّه علیه و آله أنّه کان یقسّم نظره بین أصحابه المؤمن و المنافق، و زوجاته المؤمنة و المنافقة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یؤیّده جواز ترجیح المباحات، بل المکروهات المرجوحة علی المستحبات الراجحة، إلی غیر ذلک من موارد نقض قبح ترجیح المرجوح بجوازه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خروج أمثال هذه الأمثلة من قبح ترجیح المرجوح إنّما هو من باب التخصّص، لا التخصیص المتوهّم حتی ینتقض بها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ترجیح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 الآبی عن التخصیص، نظرا إلی أنّ مجرّد فعل المرجوح و ترک الراجح فی الأمثلة المذکورة غیر ترجیح المرجوح علی الراجح؛ و ذلک لأنّ فعل المرجوح ممّا له جهتان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جهة ترجیح فیقبح عقلا کفعل الغیر المشروع تشریعا أو تدیّنا به، أو </w:t>
      </w:r>
      <w:bookmarkStart w:id="32" w:name="pg12856_162514"/>
    </w:p>
    <w:p>
      <w:pPr>
        <w:pStyle w:val="BookText"/>
        <w:rPr/>
      </w:pPr>
      <w:bookmarkEnd w:id="32"/>
      <w:r>
        <w:rPr>
          <w:rFonts w:ascii="IRNazanin" w:hAnsi="IRNazanin" w:eastAsia="IRNazanin"/>
          <w:color w:val="111111"/>
          <w:sz w:val="28"/>
          <w:sz w:val="28"/>
          <w:szCs w:val="28"/>
          <w:rtl w:val="true"/>
          <w:lang w:bidi="fa-IR"/>
        </w:rPr>
        <w:t>و الخشب لیعمل صنما ممّا یقبح عقلا أو یحرم شرعا، و من هذا القبیل تعظیم الحکّام، و تقدیم المأموم علی الإمام، و المطیع علی المطاع، و المرءوس علی الرئیس، و التابع علی المتبوع، و المأمور علی الأمیر، و الآمر فی الإمارة و الإطاعة و الإمامة و الرئاسة و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استدلّ المتکلّمون بقبحه العقلی علی ردّ المخالفین فی تقدیم المفضول علی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مجرّد فعل المرجوح من حیث هو هو لا علی وجه الترجیح و کونه راجحا علی الراجح، کالأمثلة المتقدّمة الموهمة لنقض القاعدة، فإنّه الذی یتوقف قبحه علی وجوب الترجیح، و یتفرّع علیه لا مطلقا، و من هذا القبیل فعل المرجوح من باب الاحتیاط و قصد رجاء المصادفة للواقع، أو لمقاصد أخر غیر جهة ترجیحه علی الراجح، و منه فعل الظلم و المعصیة، و أکل الحرام لا علی وجه الاستحلال و التدیّن، و لا علی وجه التشریع و الافتراء علی الشرع الموجب للبدعة و الکفر و الارتداد، و منه بیع العنب لا لیعمل خمرا و التصدّق علی الکافر لفقره لا لکفره، و إعانة المسلم الظالم لسلمه لا لظلمه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فعل المرجوح لا علی وجه الترجیح من ذی وجهین من الأفعال التی لا قبح فیها</w:t>
      </w:r>
      <w:r>
        <w:rPr>
          <w:rFonts w:eastAsia="IRNazanin" w:cs="IRNazanin"/>
          <w:color w:val="111111"/>
          <w:sz w:val="28"/>
          <w:szCs w:val="28"/>
          <w:rtl w:val="true"/>
          <w:lang w:bidi="fa-IR"/>
        </w:rPr>
        <w:t>.</w:t>
      </w:r>
    </w:p>
    <w:p>
      <w:pPr>
        <w:pStyle w:val="Heading4"/>
        <w:numPr>
          <w:ilvl w:val="3"/>
          <w:numId w:val="1"/>
        </w:numPr>
        <w:rPr/>
      </w:pPr>
      <w:bookmarkStart w:id="33" w:name="__RefHeading___Toc2646282_3224264995"/>
      <w:bookmarkStart w:id="34" w:name="_Toc12"/>
      <w:bookmarkEnd w:id="33"/>
      <w:r>
        <w:rPr>
          <w:rtl w:val="true"/>
        </w:rPr>
        <w:t>[</w:t>
      </w:r>
      <w:r>
        <w:rPr>
          <w:rtl w:val="true"/>
        </w:rPr>
        <w:t>الثالث ما حکاه الاستاذ عن استاذه السید طباطبائی قدس سرهما</w:t>
      </w:r>
      <w:r>
        <w:rPr>
          <w:rtl w:val="true"/>
        </w:rPr>
        <w:t>]</w:t>
      </w:r>
      <w:bookmarkEnd w:id="3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الجمع علی غیر الوجه باخراج بعض المظنونات و إدخال بعض المشکوکات و الموهومات باطل إجماعا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الجمع علی غیر الوجه بإعمال القرعة أو بالتبعیض بین أصناف المکلّفین بإیجاب الاحتیاط علی بعض دون بعض، أو بین الأمکنة بایجاب الاحتیاط فی بعضها دون بعض، أو بین الأزمنة بایجاب الاحتیاط فی بعضهما دون بعض، أو بین الأحوال من حیث الضعف و القوّة، أو من حیث الشرف و الوضع، کلّ ذلک باطل إجماعا، فتعیّن بواسطة الإجماع انحصار وجه الجمع بین </w:t>
      </w:r>
      <w:bookmarkStart w:id="35" w:name="pg12856_162515"/>
    </w:p>
    <w:p>
      <w:pPr>
        <w:pStyle w:val="BookText"/>
        <w:rPr/>
      </w:pPr>
      <w:bookmarkEnd w:id="35"/>
      <w:r>
        <w:rPr>
          <w:rFonts w:ascii="IRNazanin" w:hAnsi="IRNazanin" w:eastAsia="IRNazanin"/>
          <w:color w:val="111111"/>
          <w:sz w:val="28"/>
          <w:sz w:val="28"/>
          <w:szCs w:val="28"/>
          <w:rtl w:val="true"/>
          <w:lang w:bidi="fa-IR"/>
        </w:rPr>
        <w:t xml:space="preserve">قاعدتی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 بالاحتیاط فی المظنونات دون المشکوکات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افتراق هذا التقریر عن تقریر دلیل الانسداد، و دفع ما أورده الماتن من أنّه راجع إلی دلیل الانسداد</w:t>
      </w:r>
      <w:r>
        <w:rPr>
          <w:rStyle w:val="FootnoteAnchor"/>
          <w:rtl w:val="true"/>
        </w:rPr>
        <w:footnoteReference w:id="18"/>
      </w:r>
      <w:r>
        <w:rPr>
          <w:rFonts w:ascii="IRNazanin" w:hAnsi="IRNazanin" w:eastAsia="IRNazanin"/>
          <w:color w:val="111111"/>
          <w:sz w:val="28"/>
          <w:sz w:val="28"/>
          <w:szCs w:val="28"/>
          <w:rtl w:val="true"/>
          <w:lang w:bidi="fa-IR"/>
        </w:rPr>
        <w:t>، و ذلک لرجوع حجّیة الظنّ بهذا التقریر إلی الإجماع، و بالتقریر الآتی للانسداد إلی العقل المستقلّ، و شتّان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العمل بالاحتیاط فی المشکوکات أیضا کالمظنونات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هذا الإیراد علی دلیل الانسداد و غیره من سائر الأدلّة العقلیة مبنیّ علی مسلک المصنّف من أنّ العمل بالظنّ عند الانسداد إنّما یکون من باب الاحتیاط</w:t>
      </w:r>
      <w:r>
        <w:rPr>
          <w:rStyle w:val="FootnoteAnchor"/>
          <w:rtl w:val="true"/>
        </w:rPr>
        <w:footnoteReference w:id="19"/>
      </w:r>
      <w:r>
        <w:rPr>
          <w:rFonts w:ascii="IRNazanin" w:hAnsi="IRNazanin" w:eastAsia="IRNazanin"/>
          <w:color w:val="111111"/>
          <w:sz w:val="28"/>
          <w:sz w:val="28"/>
          <w:szCs w:val="28"/>
          <w:rtl w:val="true"/>
          <w:lang w:bidi="fa-IR"/>
        </w:rPr>
        <w:t>لا من باب حجّیة الظنّ، و أمّا علی مسلک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أسلفنا تحقیقه بأبلغ وجه من حجّیة الظنّ عند الانسداد لا وجوب العمل به من باب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مسرح لورود ذلک الإیراد البتة، فتذکّر و راجع ما قدّمناه من التفصیل</w:t>
      </w:r>
      <w:r>
        <w:rPr>
          <w:rFonts w:eastAsia="IRNazanin" w:cs="IRNazanin"/>
          <w:color w:val="111111"/>
          <w:sz w:val="28"/>
          <w:szCs w:val="28"/>
          <w:rtl w:val="true"/>
          <w:lang w:bidi="fa-IR"/>
        </w:rPr>
        <w:t>.</w:t>
      </w:r>
    </w:p>
    <w:p>
      <w:pPr>
        <w:pStyle w:val="Heading4"/>
        <w:numPr>
          <w:ilvl w:val="3"/>
          <w:numId w:val="1"/>
        </w:numPr>
        <w:rPr/>
      </w:pPr>
      <w:bookmarkStart w:id="36" w:name="__RefHeading___Toc2646284_3224264995"/>
      <w:bookmarkStart w:id="37" w:name="_Toc13"/>
      <w:bookmarkEnd w:id="36"/>
      <w:r>
        <w:rPr>
          <w:rtl w:val="true"/>
        </w:rPr>
        <w:t>[</w:t>
      </w:r>
      <w:r>
        <w:rPr>
          <w:rtl w:val="true"/>
        </w:rPr>
        <w:t>الدلیل الرابع هو الدلیل المعروف بدلیل الانسداد</w:t>
      </w:r>
      <w:r>
        <w:rPr>
          <w:rtl w:val="true"/>
        </w:rPr>
        <w:t>]</w:t>
      </w:r>
      <w:bookmarkEnd w:id="37"/>
    </w:p>
    <w:p>
      <w:pPr>
        <w:pStyle w:val="Heading5"/>
        <w:numPr>
          <w:ilvl w:val="4"/>
          <w:numId w:val="1"/>
        </w:numPr>
        <w:rPr/>
      </w:pPr>
      <w:bookmarkStart w:id="38" w:name="__RefHeading___Toc2646286_3224264995"/>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لنا إهمال الأحکام المشتبهة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هذه المقدّمة بیان بقاء التکلیف بعد فرض الانسداد و عدم ارتفاعه عنّا بعروض الانسداد، کارتفاعه عن الحیوانات أصالة، و وجه عدّه مقدّمة بقاء التکلیف بعد ذکر مقدّمة الانسداد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الاحتراز عن توهّم کون المراد من الانسداد إذا ذکر بعد مقدّمة بقاء التکلیف، أمّا انسداد باب العلم بذلک التکلیف المفروض بقاؤه فهو تناقض صرف، و أمّا انسداد باب العلم عن غیر التکلیف المفروض فلا تنتج المقدّمات المطلوبة من حجّیة الظنّ بذلک </w:t>
      </w:r>
    </w:p>
    <w:p>
      <w:pPr>
        <w:pStyle w:val="BookText"/>
        <w:rPr/>
      </w:pPr>
      <w:r>
        <w:rPr>
          <w:rFonts w:ascii="IRNazanin" w:hAnsi="IRNazanin" w:eastAsia="IRNazanin"/>
          <w:color w:val="111111"/>
          <w:sz w:val="28"/>
          <w:sz w:val="28"/>
          <w:szCs w:val="28"/>
          <w:rtl w:val="true"/>
          <w:lang w:bidi="fa-IR"/>
        </w:rPr>
        <w:t>التکلیف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الوهم مدفوع، لکن لا من جهة أنّ التشقیق المذکور مشترک الورود بین تأخّر الانسداد عن بقاء التکلیف و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یمنع بأنّ المراد من الانسداد فی صورة تقدّمه هو انسداد باب العلم بالأحکام لا بالتکلیف، کما فی صورة تأخّره و النسبة بین الأحکام و التکلیف بها عموم مطلق، إذ ربّ حکم ثابت فی لوح المحفوظ لم یکلّف به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یندفع ذلک الوهم عن تقدیم مقدّمة بقاء التکلیف علی مقدّمة الانسداد بإمکان أن یکون المراد من الانسداد إذا ذکر بعد بقاء التکلیف انسداد باب العلم بتعیین المکلّف به لا بنفس التکلیف، حتی یرد علیه التناقض أو التباعد عن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تأخیر المقدّمة الثالثة عن مقدّمة بقاء التکلیف واضح الوجه لتضمّنها بیان الحکم و المرجع لبقاء التکلیف بعد الانسداد، و معلوم أنّ بیان الحکم متأخّر وضعا عن بیان موضوعه، و کذا تأخّر المقدّمة الرابعة عن الثالثة واضح الوجه، لتضمنها حکم الظنّ المتعیّن فیه تشخیص التکلیف بالمقدّمات السابقة، و الحکم متأخّر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بقاء التکلیف فی المقدّمة الثانیة أعمّ من التکلیف الواقعی و الظاهری المجعول للشاکّ فی مقام العمل، و لهذا لم یفرّق الانسدادیون فی حجّیة مطلق الظنّ بین الظنّ بالأحکام الواقعیة 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ترکیب دلیل الانسداد من تلک المقدّمات الأربع یقتضی کونه بهیئة دلیل استثنائی بکون المقدّم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المقدّمات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بمنزلة الصغری فی القیاس، و التالی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الکبری فی القیاس</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عقلیة دلیل الانسداد بهذه المقدّمات الأربع إنّما هو باعتبار عقلیة مقدمته الرابعة، و هی تعیین مرجعیة الظنّ بعد فساد مرجعیة البراءة و الاحتیاط عند </w:t>
      </w:r>
      <w:bookmarkStart w:id="40" w:name="pg12856_162517"/>
    </w:p>
    <w:p>
      <w:pPr>
        <w:pStyle w:val="BookText"/>
        <w:rPr/>
      </w:pPr>
      <w:bookmarkEnd w:id="40"/>
      <w:r>
        <w:rPr>
          <w:rFonts w:ascii="IRNazanin" w:hAnsi="IRNazanin" w:eastAsia="IRNazanin"/>
          <w:color w:val="111111"/>
          <w:sz w:val="28"/>
          <w:sz w:val="28"/>
          <w:szCs w:val="28"/>
          <w:rtl w:val="true"/>
          <w:lang w:bidi="fa-IR"/>
        </w:rPr>
        <w:t>الانسداد و بقاء التکلیف، لا باعتبار مقدّمته الاولی، لوجدانیّته، و لا باعتبار مقدمته الثانیة و لا الثالثة، لإجماعیتهما، فانحصر العقلی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تعیین مرجعیة الظنّ بعد فساد سائر الطرق الشرعیة إنّما هو بالسبر و التقسیم و ضرورة الانحصار، لا بدلیل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الطریق فی الظنّ بعد فساد سائر الطرق حتی لا یحتاج مرجعیة الظنّ حینئذ إلی العقل، بل لو لا دلیل العقل لکان مرجعیة الظنّ و الوهم و الشکّ فی عرض واحد، و إنّما المرجّح لمرجعیة الظنّ دون ما عداه من الوهم و الشک هو العقل، و بهذا الاعتبار یعدّ الانسداد من الأدلّة العقلیة مع عدم عقلیة أکثر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بالنسبة إلی انسداد باب الظنّ الخاصّ فهی مبنیّة علی أن لا یثبت من الأدلّة المتقدّمة لحجّیة الخبر الواحد حجّیة مقدار منه یفی بضمیمة الأدلّة العلمیة و باقی الظنون الخاصّة بإثبات معظم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یجزم الماتن فی المتن بصحّة هذا المبنی و لا بفساده کذا نقل استاذنا العلّامة أنّه لم نفهم الجزم منه بشی‌ء من الطرفین فی شی‌ء ممّا حضرنا عنده، من مدّة دورتین من الاصول أو ثلاث دورات، بل کان لا یزال یوکل الأمر علی التعلیق و یأخذ بالاحتیاط و القدر المتیقّن مهما أمکن، و من هذا الباب بناؤه فی حجّیة الأخبار علی الظنّ الاطمئنانی</w:t>
      </w:r>
      <w:r>
        <w:rPr>
          <w:rFonts w:eastAsia="IRNazanin" w:cs="IRNazanin"/>
          <w:color w:val="111111"/>
          <w:sz w:val="28"/>
          <w:szCs w:val="28"/>
          <w:rtl w:val="true"/>
          <w:lang w:bidi="fa-IR"/>
        </w:rPr>
        <w:t>.</w:t>
      </w:r>
    </w:p>
    <w:p>
      <w:pPr>
        <w:pStyle w:val="Heading5"/>
        <w:numPr>
          <w:ilvl w:val="4"/>
          <w:numId w:val="1"/>
        </w:numPr>
        <w:rPr/>
      </w:pPr>
      <w:bookmarkStart w:id="41" w:name="__RefHeading___Toc2646288_3224264995"/>
      <w:bookmarkStart w:id="42" w:name="_Toc15"/>
      <w:bookmarkEnd w:id="41"/>
      <w:r>
        <w:rPr>
          <w:rtl w:val="true"/>
        </w:rPr>
        <w:t>[</w:t>
      </w:r>
      <w:r>
        <w:rPr>
          <w:rtl w:val="true"/>
        </w:rPr>
        <w:t>تسدید دلیل الانسداد</w:t>
      </w:r>
      <w:r>
        <w:rPr>
          <w:rtl w:val="true"/>
        </w:rPr>
        <w:t>]</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الانصاف و ترک الإجحاف و الاحتراف وفاقا لأعلم أساتیذنا الأشراف و صاحبی القوانین</w:t>
      </w:r>
      <w:r>
        <w:rPr>
          <w:rStyle w:val="FootnoteAnchor"/>
          <w:rtl w:val="true"/>
        </w:rPr>
        <w:footnoteReference w:id="20"/>
      </w:r>
      <w:r>
        <w:rPr>
          <w:rFonts w:ascii="IRNazanin" w:hAnsi="IRNazanin" w:eastAsia="IRNazanin"/>
          <w:color w:val="111111"/>
          <w:sz w:val="28"/>
          <w:sz w:val="28"/>
          <w:szCs w:val="28"/>
          <w:rtl w:val="true"/>
          <w:lang w:bidi="fa-IR"/>
        </w:rPr>
        <w:t>و الریاض</w:t>
      </w:r>
      <w:r>
        <w:rPr>
          <w:rStyle w:val="FootnoteAnchor"/>
          <w:rtl w:val="true"/>
        </w:rPr>
        <w:footnoteReference w:id="21"/>
      </w:r>
      <w:r>
        <w:rPr>
          <w:rFonts w:ascii="IRNazanin" w:hAnsi="IRNazanin" w:eastAsia="IRNazanin"/>
          <w:color w:val="111111"/>
          <w:sz w:val="28"/>
          <w:sz w:val="28"/>
          <w:szCs w:val="28"/>
          <w:rtl w:val="true"/>
          <w:lang w:bidi="fa-IR"/>
        </w:rPr>
        <w:t>، و المناهل</w:t>
      </w:r>
      <w:r>
        <w:rPr>
          <w:rStyle w:val="FootnoteAnchor"/>
          <w:rtl w:val="true"/>
        </w:rPr>
        <w:footnoteReference w:id="22"/>
      </w:r>
      <w:r>
        <w:rPr>
          <w:rFonts w:ascii="IRNazanin" w:hAnsi="IRNazanin" w:eastAsia="IRNazanin"/>
          <w:color w:val="111111"/>
          <w:sz w:val="28"/>
          <w:sz w:val="28"/>
          <w:szCs w:val="28"/>
          <w:rtl w:val="true"/>
          <w:lang w:bidi="fa-IR"/>
        </w:rPr>
        <w:t>و الضوابط</w:t>
      </w:r>
      <w:r>
        <w:rPr>
          <w:rStyle w:val="FootnoteAnchor"/>
          <w:rtl w:val="true"/>
        </w:rPr>
        <w:footnoteReference w:id="23"/>
      </w:r>
      <w:r>
        <w:rPr>
          <w:rFonts w:ascii="Amiri" w:hAnsi="Amiri" w:eastAsia="Amiri" w:cs="Amiri"/>
          <w:color w:val="111111"/>
          <w:sz w:val="28"/>
          <w:sz w:val="28"/>
          <w:szCs w:val="28"/>
          <w:rtl w:val="true"/>
          <w:lang w:bidi="ar-SA"/>
        </w:rPr>
        <w:t xml:space="preserve">و المحقّق </w:t>
      </w:r>
      <w:bookmarkStart w:id="43" w:name="pg12856_162518"/>
    </w:p>
    <w:p>
      <w:pPr>
        <w:pStyle w:val="BookText"/>
        <w:rPr/>
      </w:pPr>
      <w:bookmarkEnd w:id="43"/>
      <w:r>
        <w:rPr>
          <w:rFonts w:ascii="IRNazanin" w:hAnsi="IRNazanin" w:eastAsia="IRNazanin"/>
          <w:color w:val="111111"/>
          <w:sz w:val="28"/>
          <w:sz w:val="28"/>
          <w:szCs w:val="28"/>
          <w:rtl w:val="true"/>
          <w:lang w:bidi="fa-IR"/>
        </w:rPr>
        <w:t>البهبهانی</w:t>
      </w:r>
      <w:r>
        <w:rPr>
          <w:rStyle w:val="FootnoteAnchor"/>
          <w:rtl w:val="true"/>
        </w:rPr>
        <w:footnoteReference w:id="24"/>
      </w:r>
      <w:r>
        <w:rPr>
          <w:rFonts w:ascii="IRNazanin" w:hAnsi="IRNazanin" w:eastAsia="IRNazanin"/>
          <w:color w:val="111111"/>
          <w:sz w:val="28"/>
          <w:sz w:val="28"/>
          <w:szCs w:val="28"/>
          <w:rtl w:val="true"/>
          <w:lang w:bidi="fa-IR"/>
        </w:rPr>
        <w:t>و غیرهم من ذوی الشئون و الأوصاف و إن کنت مخالفا لهم فی الأسلاف أنّ السداد صحّة مبنی الانسداد، لکن لا لما علیه الماتن من الأخذ بالقدر المتیقّن من مدلول حجّیة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الخبر الموثوق بصدوره</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لما علیه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تخصیص حجّیتها بما یرویه العدلان أو عدل واحد</w:t>
      </w:r>
      <w:r>
        <w:rPr>
          <w:rStyle w:val="FootnoteAnchor"/>
          <w:rtl w:val="true"/>
        </w:rPr>
        <w:footnoteReference w:id="26"/>
      </w:r>
      <w:r>
        <w:rPr>
          <w:rFonts w:ascii="IRNazanin" w:hAnsi="IRNazanin" w:eastAsia="IRNazanin"/>
          <w:color w:val="111111"/>
          <w:sz w:val="28"/>
          <w:sz w:val="28"/>
          <w:szCs w:val="28"/>
          <w:rtl w:val="true"/>
          <w:lang w:bidi="fa-IR"/>
        </w:rPr>
        <w:t>، کما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لأنّا و إن استظهرنا من الآیات و الأخبار و معاقد الإجماعات حجّیة مطلق مظنون الصدور من الأخبار إلّا أنّه مع ذلک لا مناص عن الانسداد من جهة تشخیص الظواهر و الدلالات و الإرادات، و دفع الموانع و المعارضات، إذ قلّ ما یتّفق من الأخبار ما یکون حجّة من باب الظنّ الخاصّ من جهة الصدور و الدلالة، و دفع الموانع و المعارضات جمیعا، فضلا عن القدر الوافی و الکافی فی معظم الأحکام، بل کثیر من الأخبار إن لم تکن حجّة من باب الانسداد و اللابدّیة من جمیع الجهات الثلاث فلا أقلّ من حجّیته من باب الانسداد و اللابدّیة من جهتین أو من جهة واحدة من الجهات، و من المعلوم أنّ النتیجة تابعة لأخسّ المقدّمات</w:t>
      </w:r>
      <w:r>
        <w:rPr>
          <w:rFonts w:eastAsia="IRNazanin" w:cs="IRNazanin"/>
          <w:color w:val="111111"/>
          <w:sz w:val="28"/>
          <w:szCs w:val="28"/>
          <w:rtl w:val="true"/>
          <w:lang w:bidi="fa-IR"/>
        </w:rPr>
        <w:t>.</w:t>
      </w:r>
    </w:p>
    <w:p>
      <w:pPr>
        <w:pStyle w:val="Heading5"/>
        <w:numPr>
          <w:ilvl w:val="4"/>
          <w:numId w:val="1"/>
        </w:numPr>
        <w:rPr/>
      </w:pPr>
      <w:bookmarkStart w:id="44" w:name="__RefHeading___Toc2646290_3224264995"/>
      <w:bookmarkStart w:id="45" w:name="_Toc16"/>
      <w:bookmarkEnd w:id="44"/>
      <w:r>
        <w:rPr>
          <w:rtl w:val="true"/>
        </w:rPr>
        <w:t>[</w:t>
      </w:r>
      <w:r>
        <w:rPr>
          <w:rtl w:val="true"/>
        </w:rPr>
        <w:t>مورد الحاجة إلی دلیل الانسداد علی حجّیة مطلق الظن</w:t>
      </w:r>
      <w:r>
        <w:rPr>
          <w:rtl w:val="true"/>
        </w:rPr>
        <w:t>]</w:t>
      </w:r>
      <w:bookmarkEnd w:id="45"/>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علی المنصف الخبیر أنّ الخبر الثابت حجّیته من بین الأخبار من باب الظنّ الخاصّ من جمیع جهاته الثلاثة قلیل بالغایة إن لم یکن معدوما بالنهایة، فلیس منه بمعظم الأحکام وفاء و لا کفایة و إن قلنا بحجّیة مظنون الصدور منها، بل لا أقلّ فی غالب الأخبار من الرجوع إلی مطلق الظنّ و لو فی جهة واحدة من جهاته الثلاثة؛</w:t>
      </w:r>
    </w:p>
    <w:p>
      <w:pPr>
        <w:pStyle w:val="Heading5"/>
        <w:numPr>
          <w:ilvl w:val="4"/>
          <w:numId w:val="1"/>
        </w:numPr>
        <w:rPr/>
      </w:pPr>
      <w:bookmarkStart w:id="46" w:name="__RefHeading___Toc2646292_3224264995"/>
      <w:bookmarkStart w:id="47" w:name="_Toc17"/>
      <w:bookmarkEnd w:id="46"/>
      <w:r>
        <w:rPr>
          <w:rtl w:val="true"/>
        </w:rPr>
        <w:t>[</w:t>
      </w:r>
      <w:r>
        <w:rPr>
          <w:rtl w:val="true"/>
        </w:rPr>
        <w:t>رجوع جلّ مقدّمات الاجتهاد إلی مطلق الظن غالبا</w:t>
      </w:r>
      <w:r>
        <w:rPr>
          <w:rtl w:val="true"/>
        </w:rPr>
        <w:t>]</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أنّ جلّ مقدّمات الاجتهاد فی الفقه إن لم یکن کلّها من الاصول و النحو و الصرف و البیان و الحدیث و الدرایة و لغة العرب و شرائط الأدلّة مرجعها إلی مطلق الظنّ غالبا؛ بالوفاق و الضرورة إن لم یکن </w:t>
      </w:r>
      <w:bookmarkStart w:id="48" w:name="pg12856_162519"/>
    </w:p>
    <w:p>
      <w:pPr>
        <w:pStyle w:val="BookText"/>
        <w:rPr/>
      </w:pPr>
      <w:bookmarkEnd w:id="48"/>
      <w:r>
        <w:rPr>
          <w:rFonts w:ascii="IRNazanin" w:hAnsi="IRNazanin" w:eastAsia="IRNazanin"/>
          <w:color w:val="111111"/>
          <w:sz w:val="28"/>
          <w:sz w:val="28"/>
          <w:szCs w:val="28"/>
          <w:rtl w:val="true"/>
          <w:lang w:bidi="fa-IR"/>
        </w:rPr>
        <w:t>المرجع فی نفس الفقه أیضا إلیه، و مع ذلک کیف یمکن أن یتوهّم حجّیة آراء المجتهدین من باب الظنّ الخاصّ؟ مع أنّ النتیجة تابعة بعد لأخسّ المقدمات</w:t>
      </w:r>
      <w:r>
        <w:rPr>
          <w:rFonts w:eastAsia="IRNazanin" w:cs="IRNazanin"/>
          <w:color w:val="111111"/>
          <w:sz w:val="28"/>
          <w:szCs w:val="28"/>
          <w:rtl w:val="true"/>
          <w:lang w:bidi="fa-IR"/>
        </w:rPr>
        <w:t>.</w:t>
      </w:r>
    </w:p>
    <w:p>
      <w:pPr>
        <w:pStyle w:val="Heading5"/>
        <w:numPr>
          <w:ilvl w:val="4"/>
          <w:numId w:val="1"/>
        </w:numPr>
        <w:rPr/>
      </w:pPr>
      <w:bookmarkStart w:id="49" w:name="__RefHeading___Toc2646294_3224264995"/>
      <w:bookmarkStart w:id="50" w:name="_Toc18"/>
      <w:bookmarkEnd w:id="49"/>
      <w:r>
        <w:rPr>
          <w:rtl w:val="true"/>
        </w:rPr>
        <w:t>[</w:t>
      </w:r>
      <w:r>
        <w:rPr>
          <w:rtl w:val="true"/>
        </w:rPr>
        <w:t>المتیقن من حجّیة الظن فی تشخیص الظواهر و دفع الموانع</w:t>
      </w:r>
      <w:r>
        <w:rPr>
          <w:rtl w:val="true"/>
        </w:rPr>
        <w:t>]</w:t>
      </w:r>
      <w:bookmarkEnd w:id="50"/>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المرجع فی دلالة الأخبار و دفع موانعها و تشخیص مراداتها إلی مطلق الظنّ کما ذکرت، إلّا أنّ حجّیة مطلق الظنّ فی تشخیص الظواهر و المرادات و دفع الموانع و المعارضات بدیهی ببناء العقلاء و العقل و الاجماع و غیرها، ممّا یجعله ظنّا خاصّا فلا یتعدّی إلی غیرها ممّا لم یدل دلیل خاصّ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الذی هو بدیهی الحجّیة بالإجماع و بناء العقلاء هی الظواهر التی لا یشکّ أحد فی ظهورها، کالخطابات الشفاهیة الملحق ظهورها بالنصوص فی الصراحة و الوضوح، و هو مفقود بالنسبة إلینا معاشر غیر المشافهین، و علی تقدیر وجوده لم یبلغ معشار سائر الظواهر الخفیّة المختلف فی ظهورها بألف کلام، فضلا عن کونه وافیا بمعظم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فی ظهور الأمر فی الوجود و عدمه، و فی الإجزاء و عدمه، و فی وجوب المقدّمة و عدمه، و النهی عن الضد و عدمه، و فی الفور و عدمه، و التکرار و عدمه ألف کلام، و کذا فی ظهور النهی فی الحرمة و عدمها، و الفساد و عدمه، و فی ظهور الشرط و الوصف فی المفهوم و عدمه و فی ظهور المحلّی باللام فی العموم و عدمه، و العام المخصّص و المتعقّب لجمل متعدّدة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المباحث التی لا تعدّ و لا تحصی التی فی کلّ منها ألف کلام، و لا مناصّ للترجیح و الاجتهاد فی شی‌ء منها عن مرجعیة مطلق الظنّ، و کذا القدر الثابت حجّیته من باب الظنّ الخاصّ فی علاج المتعارضین بالأخبار العلاجیة، هو ترجیح ما لا خلاف فی ترجیحه علی معارضه ممّا یکون معارضه فی غایة الضعف و الندور و السقوط عن درجة الاعتبار، دون ترجیح غیر ذلک من </w:t>
      </w:r>
    </w:p>
    <w:p>
      <w:pPr>
        <w:pStyle w:val="BookText"/>
        <w:rPr/>
      </w:pPr>
      <w:r>
        <w:rPr>
          <w:rFonts w:ascii="IRNazanin" w:hAnsi="IRNazanin" w:eastAsia="IRNazanin"/>
          <w:color w:val="111111"/>
          <w:sz w:val="28"/>
          <w:sz w:val="28"/>
          <w:szCs w:val="28"/>
          <w:rtl w:val="true"/>
          <w:lang w:bidi="fa-IR"/>
        </w:rPr>
        <w:t>المعارضات المختلف فی ترجیحها، لوضوح اختلاف نفس أخبار العلاجیة فی المؤدّی بحیث لا یکاد یمکن الجمع بینهما إلّا بالرجوع فی نفسها إلی إعمال مطلق الظنّ فضلا عن الرجوع فی مواردها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یمکن أن یدعی حجّیته من باب الظنّ الخاصّ من النحو مثل ما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المسلّمیة، دون مثل الفصل بالأجنبی بین المضاف و المضاف إلیه و العطف علی الضمیر المرفوع من دون فصل ما، و من الصرف مثل ما کان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مسلّمیة الإعلال دون الخلافیات، و من البیان ما کان مثل تقدیم المسند لإفادة الحصر دون خلافیاته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المنطق مثل ما کان بدیهی الإنتاج دون نظریاته، و کذا من سائر العلوم کالاصول و الدرایة و الروایة، حیث إنّ الممکن دعوی حجّیته من باب الظنّ الخاصّ إنّما هو مسلّمیاتها لا خلافیاتها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الظنّ المطلق المعمول لتشخیص الظواهر و دفع الموانع و علاج المعارضات إجماعی، فلا یتعدّی إلی إعماله فی غیرها و هو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المذکور علی حجّیة الظنّ المطلق المعمول لتشخیص غیر المسلّمیات من الظواهر و علاج المعارضات کالظنّ المعمول فی غیر مسلّمیات سائر العلوم و الفنون إنّما هو مستند إلی الانسداد و اللابدّیة، لا إلی دلیل قطعی خاصّ من الکتاب و السنّة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فإنّما هو إجماع تقییدی لاختلاف جهة عمل المجمعین، فلا یثبت به حجّیته من باب الظنّ الخاصّ الذی هو المدّعی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المذکور و إن کان تقییدیا لا یثبت حجّیة الظنّ فی تشخیص الظواهر و علاج المعارضات من باب الظنّ الخاصّ إلّا أنه یثبت حکم الظنّ الخاصّ فیه و ان لم یکن ظنّا خاصّا،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علی حجّیة الظنّ </w:t>
      </w:r>
    </w:p>
    <w:p>
      <w:pPr>
        <w:pStyle w:val="BookText"/>
        <w:rPr/>
      </w:pPr>
      <w:r>
        <w:rPr>
          <w:rFonts w:ascii="IRNazanin" w:hAnsi="IRNazanin" w:eastAsia="IRNazanin"/>
          <w:color w:val="111111"/>
          <w:sz w:val="28"/>
          <w:sz w:val="28"/>
          <w:szCs w:val="28"/>
          <w:rtl w:val="true"/>
          <w:lang w:bidi="fa-IR"/>
        </w:rPr>
        <w:t>المعمول لتشخیص الظواهر و علاج المعارضات و إن کان تقییدیا إلّا أنّ المتیقّن من معقده لمّا کان هو تشخیص الظواهر و علاج المعارضات فلا محالة لا یجوز للشاکّ التعدّی فی إعماله إلی ما عدا تشخیص الظواهر و علاج المعارضات، و هو حکم حجّیة الظنّ فیها من باب الظنّ الخاصّ فی عدم جواز التسرّی إلی الفقه و إن لم یکن نفس الظنّ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حجّیته من ظواهر الکتاب و السنّة إنّما هو المفید للظنّ منها أو ما لم یکن ظنّ من الظنون المطلقة علی خلافه و هو قلیل فی ظواهر الکتاب و السنّة، و علی تقدیر کثرته أیضا لا یفی بمعظم الأحکام قطعا، و أمّا الغیر المفید للظنّ من الظواهر کالمجمل ذاتا أو عرضا، أو المفید الغیر السالم من قیام الظنون المطلقة علی خلافه، کما هو الغالب فی أکثر ظواهر الکتاب و السنّة المعارضة بشهرة أو أولویة أو استقراء أو غیرها من الظنون المطلقة فلیس العمل بظهور ذلک الظاهر من المتیقّن قطعا، حتی لا یجوز التسرّی إلی ما عداه من الظنون المطلقة فی الفقه، ضرورة رجوع المطلقیین فی تلک الظواهر إلی مطلق الظنّ، و الخاصین إلی الاصول اللفظیة أو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حجّیته من ظواهر الکتاب و السنّة إنّما هو المتخلّف مورده عن موارد الظنون المطلقة، و أمّا المتّحد مورده لمورد شی‌ء من الظنون المطلقة فلیس حجّیته من المتیقّن، حتی لا یجوز التسرّی، ضرورة أن الخاصین یعملون بذلک الظاهر، و أمّا المطلقیین فلا یعملون بذلک الظاهر، بل یرجعون إلی الظنون المطلقة الموجودة فی مورد ظهور ذلک الظاهر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اعتبرنا ظواهر الألفاظ من باب الظنّ النوعی و السببیة المطلقة صار حجّیتها من المتیقّن فی موارد الظنّ بالخلاف، و لکن قد عرفت فی محلّه أنّ ذلک خلاف المتیقّن، بل المتیقّن من أدلّة اعتبار الظواهر هو اعتبارها من باب الظنّ </w:t>
      </w:r>
    </w:p>
    <w:p>
      <w:pPr>
        <w:pStyle w:val="BookText"/>
        <w:rPr/>
      </w:pPr>
      <w:r>
        <w:rPr>
          <w:rFonts w:ascii="IRNazanin" w:hAnsi="IRNazanin" w:eastAsia="IRNazanin"/>
          <w:color w:val="111111"/>
          <w:sz w:val="28"/>
          <w:sz w:val="28"/>
          <w:szCs w:val="28"/>
          <w:rtl w:val="true"/>
          <w:lang w:bidi="fa-IR"/>
        </w:rPr>
        <w:t>الفعلی لا الشأنی، فضلا عن اعتبارها من باب السببیة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مجرّد الشکّ فی حجّیة مطلق الظنّ فی ما عدا تشخیص ظواهر الکتاب و السنّة کاف فی عدم حجّیته و عدم التسرّی، ضرورة أنّ الأحکام الاصولیة و الوضعیة کالفروعیة و التکلیفیة توظیفیة لا بدّ فی ثبوتها من الدلیل، و مع عدمه و الشکّ فالأصل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حجّیة الظنّ المشکوک الحجّیة إنّما هو فی ما لو کان الشکّ فی حجّیته و عدم حجّیته و هذا إنّما یتمّ لو کان النزاع فی حجّیة مطلق الظنّ خاصّ بحجّیته فی الموارد المتخلّفة عما عدا مطلق الظنّ، أعنی الموارد الخالیة عما عدا مطلق الظنّ و هو توهّم، إذ ما من مورد من موارد وجود مطلق الظنّ إلّا و فی مقابله ظاهر من ظواهر الکتاب و السنّة، و لا أقلّ من أصل عملی یتعیّن الرجوع إلیه لو لا ذلک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فالأمر للشاکّ فی حجّیة مطلق الظنّ دائر بین وجوب التعبّد بمؤدّی مطلق الظنّ و حرمة التعبّد بالدلیل أو الأصل الموجود فی مقابله، و بین العکس أعنی وجوب التعبّد بالأصل أو الدلیل الموجود فی مقابل مطلق الظنّ و حرمة التعبّد بمطلق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الأصل عند دوران المکلّف به بین الوجوب و الحرمة هو الاحتیاط بالجمع إن أمکن و الّا فالتخییر عقلا، و علی کلّ من التقدیرین ثبت أن الأصل للشاکّ فی حجّیة مطلق الظنّ هو الحجّیة و وجوب التعبد به إمّا من باب الاحتیاط و الجمع إن أمکن، و إلّا فمن باب التخییر العقلی، لا عدم الحجّیة و عدم جواز التسرّی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الظنون المعمولة فی الکتاب و السنّة لتشخیص ظواهرها أو سندها إنّما هی ظنون آلیّة صرفة لیس العمل بنفسها و إنّما العمل بمتعلّقها و هو </w:t>
      </w:r>
      <w:bookmarkStart w:id="51" w:name="pg12856_162523"/>
    </w:p>
    <w:p>
      <w:pPr>
        <w:pStyle w:val="BookText"/>
        <w:rPr/>
      </w:pPr>
      <w:bookmarkEnd w:id="51"/>
      <w:r>
        <w:rPr>
          <w:rFonts w:ascii="IRNazanin" w:hAnsi="IRNazanin" w:eastAsia="IRNazanin"/>
          <w:color w:val="111111"/>
          <w:sz w:val="28"/>
          <w:sz w:val="28"/>
          <w:szCs w:val="28"/>
          <w:rtl w:val="true"/>
          <w:lang w:bidi="fa-IR"/>
        </w:rPr>
        <w:t>الکتاب و السنّة، نظیر المعاملة مع الصبیّ أو غیره علی وجه الآلیة و التوصّل به إلی الکبیر، حیث إنّ المعاملة فی الحقیقة إنّما هو مع الکبیر و الصبی آلة محضة، فالظنون المعمولة لتشخیص ظواهر الکتاب و السنّة أو سندها کذلک راجعة فی الحقیقة إلی العمل بنفس الکتاب و السنّة لا بالظنون المتعلقة به و المتوصّل بها إلیه، فیکون الظنّ موضوعا یتحقّق به شرط العمل بالکتاب و السنّة، لا طریقا متوصّلا به الی الواقع من الکتاب و السنّة، نظیر موضوعیة الظنّ بتضرّر الصیام فی جواز الإفطار، و موضوعیة الخوف بتضرّر الماء فی وجوب التیمّم، و موضوعیة الشکّ فی الصلاة للاحتیاط تارة و المضیّ أخری، حیث إن العمل لیس بنفس الظنّ بل الظنّ موضوع یتحقق به شرط العمل بمتعلّقه و هو المظنون، لا طریق متوصّل به إلی الواقع من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سلّمنا موضوعیة الظنّ المتعلق بالکتاب و السنّة فإنّما نسلّمه فی الظنون المعمولة لتشخیص السند و ترجیح الراجح من المتعارضین، و أمّا الظنون المعمولة فی تشخیص الظواهر فإنّما هی من باب الطریقیة و التوصّلیة إلی الواقع لا الموضوعیة قطعا، ضرورة أنّ الإجماع المدّعی علی تقدیر تسلیمه إنّما هو علی حجّیة الظواهر لا مظنون الظهور، بخلاف الإجماع و سائر الأدلّة الدالّة علی حجّیة الأخبار فإنّه یمکن الاستدلال بها علی حجّیة مظنون الصدور منها لا معلوم الصدور خاصّة</w:t>
      </w:r>
      <w:r>
        <w:rPr>
          <w:rFonts w:eastAsia="IRNazanin" w:cs="IRNazanin"/>
          <w:color w:val="111111"/>
          <w:sz w:val="28"/>
          <w:szCs w:val="28"/>
          <w:rtl w:val="true"/>
          <w:lang w:bidi="fa-IR"/>
        </w:rPr>
        <w:t>.</w:t>
      </w:r>
    </w:p>
    <w:p>
      <w:pPr>
        <w:pStyle w:val="Heading5"/>
        <w:numPr>
          <w:ilvl w:val="4"/>
          <w:numId w:val="1"/>
        </w:numPr>
        <w:rPr/>
      </w:pPr>
      <w:bookmarkStart w:id="52" w:name="__RefHeading___Toc2646296_3224264995"/>
      <w:bookmarkStart w:id="53" w:name="_Toc19"/>
      <w:bookmarkEnd w:id="52"/>
      <w:r>
        <w:rPr>
          <w:rtl w:val="true"/>
        </w:rPr>
        <w:t>[</w:t>
      </w:r>
      <w:r>
        <w:rPr>
          <w:rtl w:val="true"/>
        </w:rPr>
        <w:t>اشارة إلی حجّیة ظن الخبیر من باب الظن الخاص</w:t>
      </w:r>
      <w:r>
        <w:rPr>
          <w:rtl w:val="true"/>
        </w:rPr>
        <w:t>]</w:t>
      </w:r>
      <w:bookmarkEnd w:id="53"/>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إعمال مطلق الظنون فی تشخیص الظواهر و الدلالة و الترجیح، إلّا أنّ هذه الظنون من ظنون أهل الخبرة، و ظنون أهل الخبرة حجّة من باب الظنّ الخاصّ</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حصحص الحقّ، فإذا کان ظنون أهل الخبرة حجّة فی تشخیص الظواهر و ترجیح المعارضات و غیرها فظنون المجتهد فی تشخیص الأحکام من </w:t>
      </w:r>
      <w:bookmarkStart w:id="54" w:name="pg12856_162524"/>
    </w:p>
    <w:p>
      <w:pPr>
        <w:pStyle w:val="BookText"/>
        <w:rPr/>
      </w:pPr>
      <w:bookmarkEnd w:id="54"/>
      <w:r>
        <w:rPr>
          <w:rFonts w:ascii="IRNazanin" w:hAnsi="IRNazanin" w:eastAsia="IRNazanin"/>
          <w:color w:val="111111"/>
          <w:sz w:val="28"/>
          <w:sz w:val="28"/>
          <w:szCs w:val="28"/>
          <w:rtl w:val="true"/>
          <w:lang w:bidi="fa-IR"/>
        </w:rPr>
        <w:t>أخبر أهل الخبرة فهی أولی بالحجّیة من باب الظنّ الخاصّ</w:t>
      </w:r>
      <w:r>
        <w:rPr>
          <w:rFonts w:eastAsia="IRNazanin" w:cs="IRNazanin"/>
          <w:color w:val="111111"/>
          <w:sz w:val="28"/>
          <w:szCs w:val="28"/>
          <w:rtl w:val="true"/>
          <w:lang w:bidi="fa-IR"/>
        </w:rPr>
        <w:t>.</w:t>
      </w:r>
    </w:p>
    <w:p>
      <w:pPr>
        <w:pStyle w:val="Heading5"/>
        <w:numPr>
          <w:ilvl w:val="4"/>
          <w:numId w:val="1"/>
        </w:numPr>
        <w:rPr/>
      </w:pPr>
      <w:bookmarkStart w:id="55" w:name="__RefHeading___Toc2646298_3224264995"/>
      <w:bookmarkStart w:id="56" w:name="_Toc20"/>
      <w:bookmarkEnd w:id="55"/>
      <w:r>
        <w:rPr>
          <w:rtl w:val="true"/>
        </w:rPr>
        <w:t>[</w:t>
      </w:r>
      <w:r>
        <w:rPr>
          <w:rtl w:val="true"/>
        </w:rPr>
        <w:t>عدم اعتبار اجتهاد أهل الخبرة لمثله ممّن یخالفه فی الرأی فی محلّ الخلاف</w:t>
      </w:r>
      <w:r>
        <w:rPr>
          <w:rtl w:val="true"/>
        </w:rPr>
        <w:t>]</w:t>
      </w:r>
      <w:bookmarkEnd w:id="56"/>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ظنون المجتهد لو اعتبرت من باب اعتبار ظنون أهل الخبرة لاعتبر اجتهاد المجتهد فی حقّ مجتهد آخر، و لجاز تقلید المیّت علی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اعتبار اجتهاد أهل الخبرة فی حقّ أهل خبرة أخر فلا یختصّ بأهل خبرة الاجتهاد فی الأحکام، بل و کذا أهل خبرة سائر الفنون طرّا لا یعتبر قول بعضهم فی حقّ من یخالفه فی الرأی فی محلّ الخلاف، أ لا تری عدم مراجعة الطبیب إلی الطبیب المخالف له فی محلّ الخلاف، و کذا المنجّم و المقوّم و غیرهم من أرباب الفنون لا یرجع بعضهم إلی من یخالفه فی محلّ الخلاف، و أمّا فی غیر محلّ الخلاف فیرجع بعضهم إلی بعض سواء کان من أهل خبرة الاجتهاد و غیره</w:t>
      </w:r>
      <w:r>
        <w:rPr>
          <w:rFonts w:eastAsia="IRNazanin" w:cs="IRNazanin"/>
          <w:color w:val="111111"/>
          <w:sz w:val="28"/>
          <w:szCs w:val="28"/>
          <w:rtl w:val="true"/>
          <w:lang w:bidi="fa-IR"/>
        </w:rPr>
        <w:t>.</w:t>
      </w:r>
    </w:p>
    <w:p>
      <w:pPr>
        <w:pStyle w:val="Heading5"/>
        <w:numPr>
          <w:ilvl w:val="4"/>
          <w:numId w:val="1"/>
        </w:numPr>
        <w:rPr/>
      </w:pPr>
      <w:bookmarkStart w:id="57" w:name="__RefHeading___Toc2646300_3224264995"/>
      <w:bookmarkStart w:id="58" w:name="_Toc21"/>
      <w:bookmarkEnd w:id="57"/>
      <w:r>
        <w:rPr>
          <w:rtl w:val="true"/>
        </w:rPr>
        <w:t>[</w:t>
      </w:r>
      <w:r>
        <w:rPr>
          <w:rtl w:val="true"/>
        </w:rPr>
        <w:t>تقلید المیت</w:t>
      </w:r>
      <w:r>
        <w:rPr>
          <w:rtl w:val="true"/>
        </w:rPr>
        <w:t>]</w:t>
      </w:r>
      <w:bookmarkEnd w:id="58"/>
    </w:p>
    <w:p>
      <w:pPr>
        <w:pStyle w:val="BookText"/>
        <w:rPr/>
      </w:pPr>
      <w:r>
        <w:rPr>
          <w:rFonts w:ascii="IRNazanin" w:hAnsi="IRNazanin" w:eastAsia="IRNazanin"/>
          <w:color w:val="111111"/>
          <w:sz w:val="28"/>
          <w:sz w:val="28"/>
          <w:szCs w:val="28"/>
          <w:rtl w:val="true"/>
          <w:lang w:bidi="fa-IR"/>
        </w:rPr>
        <w:t>و أمّا عدم جواز تقلید المیّت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اختصاص عدم جواز تقلید المیّت بالمجتهدین دون سائر أهل الخلاف فإنّما هو کاختصاص عدم جواز تقلید الفاسق و الصبیّ و المرأة بالمجتهد، دون سائر أرباب أهل الخبرة من مقتضی الدلیل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نستظهر الفرق بین مطلق ظنون المجتهد، و بین مطلق ظنون سائر أهل الخبرة بوجود الخلاف فی حجّیة مطلق ظنّ المجتهد و عدم وجود الخلاف فی ظنون سائر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الفرق لوجود الخلاف أیضا فی حجّیة کلّ من الظنون المعمولة لتشخیص الظواهر و ترجیح السند، فإن ضرّ وجود الخلاف فی الحجّیة و الحقّیة فلیضرّ فی الجمیع، و إن لم یضر فینبغی أن لا یضرّ فی الجمیع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هذا الفرق لکنه غیر فارق، لأنّ مطلق الخلاف لو کان قادحا فی حقّیة شی‌ء لقدح الخلاف فی حقیقة وجود الصانع و غیره من الحقّیات </w:t>
      </w:r>
      <w:bookmarkStart w:id="59" w:name="pg12856_162525"/>
    </w:p>
    <w:p>
      <w:pPr>
        <w:pStyle w:val="BookText"/>
        <w:rPr/>
      </w:pPr>
      <w:bookmarkEnd w:id="59"/>
      <w:r>
        <w:rPr>
          <w:rFonts w:ascii="IRNazanin" w:hAnsi="IRNazanin" w:eastAsia="IRNazanin"/>
          <w:color w:val="111111"/>
          <w:sz w:val="28"/>
          <w:sz w:val="28"/>
          <w:szCs w:val="28"/>
          <w:rtl w:val="true"/>
          <w:lang w:bidi="fa-IR"/>
        </w:rPr>
        <w:t>المختلف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نستظهر الفرق بین مطلق ظنّ المجتهد فی الفقه و ظنّ المجتهد فی غیره بأنّ للمجتهد فی الفقه سبیل من الکتاب و السنّة و الإجماع و العقل لیس للمجتهد فی غیره ذلک السبیل، حتی یستغنی عن ظنونه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فرضت أنّ سبیل الکتاب و السنّة و الإجماع و العقل واف بمعظم أحکام الفقه فقد خرجت عن محلّ الفرض، و إن سلّمت أنّه غیر واف من دون ضمیمة الظنون المطلقة فافتراق طریق الفقه عن غیره بالکتاب و السنّة غیر فارق بینه و غیره من سائر الفنون و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بالنقض و الإبرام علی منکری حجّیة الظنون المطلقة قد تصدّی له القوانین فی أول باب الاجتهاد و التقلید</w:t>
      </w:r>
      <w:r>
        <w:rPr>
          <w:rStyle w:val="FootnoteAnchor"/>
          <w:rtl w:val="true"/>
        </w:rPr>
        <w:footnoteReference w:id="27"/>
      </w:r>
      <w:r>
        <w:rPr>
          <w:rFonts w:ascii="IRNazanin" w:hAnsi="IRNazanin" w:eastAsia="IRNazanin"/>
          <w:color w:val="111111"/>
          <w:sz w:val="28"/>
          <w:sz w:val="28"/>
          <w:szCs w:val="28"/>
          <w:rtl w:val="true"/>
          <w:lang w:bidi="fa-IR"/>
        </w:rPr>
        <w:t>بأبلغ وجه، و أتم و أبسط، شکر اللّه سعیه، و من شاء فلیراجع</w:t>
      </w:r>
      <w:r>
        <w:rPr>
          <w:rFonts w:eastAsia="IRNazanin" w:cs="IRNazanin"/>
          <w:color w:val="111111"/>
          <w:sz w:val="28"/>
          <w:szCs w:val="28"/>
          <w:rtl w:val="true"/>
          <w:lang w:bidi="fa-IR"/>
        </w:rPr>
        <w:t>.</w:t>
      </w:r>
    </w:p>
    <w:p>
      <w:pPr>
        <w:pStyle w:val="Heading5"/>
        <w:numPr>
          <w:ilvl w:val="4"/>
          <w:numId w:val="1"/>
        </w:numPr>
        <w:rPr/>
      </w:pPr>
      <w:bookmarkStart w:id="60" w:name="__RefHeading___Toc2646302_3224264995"/>
      <w:bookmarkStart w:id="61" w:name="_Toc22"/>
      <w:bookmarkEnd w:id="60"/>
      <w:r>
        <w:rPr>
          <w:rtl w:val="true"/>
        </w:rPr>
        <w:t>[</w:t>
      </w:r>
      <w:r>
        <w:rPr>
          <w:rtl w:val="true"/>
        </w:rPr>
        <w:t>المراد من استلزام اجراء البراءة للخروج من الدین</w:t>
      </w:r>
      <w:r>
        <w:rPr>
          <w:rtl w:val="true"/>
        </w:rPr>
        <w:t>]</w:t>
      </w:r>
      <w:bookmarkEnd w:id="6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بالخروج عن الدین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من الدین کلّه أو بعضه، و علی کلّ من التقدیرین یحتمل أن یراد من الدین اصول الدین أو فروعه، إلّا أنّه علی تقدیر إرادة اصول الدین مطلقا أو فروعه کلّا یتوقّف صدق ملازمة الرجوع إلی البراءة للخروج عن الدین علی تقدیر المعنی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خارجا عن الدین، کما فسرّه الماتن بذلک</w:t>
      </w:r>
      <w:r>
        <w:rPr>
          <w:rStyle w:val="FootnoteAnchor"/>
          <w:rtl w:val="true"/>
        </w:rPr>
        <w:footnoteReference w:id="28"/>
      </w:r>
      <w:r>
        <w:rPr>
          <w:rFonts w:ascii="IRNazanin" w:hAnsi="IRNazanin" w:eastAsia="IRNazanin"/>
          <w:color w:val="111111"/>
          <w:sz w:val="28"/>
          <w:sz w:val="28"/>
          <w:szCs w:val="28"/>
          <w:rtl w:val="true"/>
          <w:lang w:bidi="fa-IR"/>
        </w:rPr>
        <w:t>، بخلاف ما لو ارید من الدین بعض فروعه، فإنّ صدق الملازمة لا یتوقّف علی تقدیر و تجوّز، لأنّ بعض فروع الدین من الصلاة و الصوم و الحجّ و الزکاة و غیرها مرکّبة من أجزاء و شرائط لا تحصل من الرجوع إلی البراءة، و المرکّب ینتفی بانتفاء کلّ من أجزائه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الدلیل علی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الخروج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الضرورة، و بها </w:t>
      </w:r>
      <w:bookmarkStart w:id="62" w:name="pg12856_162526"/>
    </w:p>
    <w:p>
      <w:pPr>
        <w:pStyle w:val="BookText"/>
        <w:rPr/>
      </w:pPr>
      <w:bookmarkEnd w:id="62"/>
      <w:r>
        <w:rPr>
          <w:rFonts w:ascii="IRNazanin" w:hAnsi="IRNazanin" w:eastAsia="IRNazanin"/>
          <w:color w:val="111111"/>
          <w:sz w:val="28"/>
          <w:sz w:val="28"/>
          <w:szCs w:val="28"/>
          <w:rtl w:val="true"/>
          <w:lang w:bidi="fa-IR"/>
        </w:rPr>
        <w:t>یفترق الوجه الثانی عن الوجه الأول من وجوه الاستدلال علی بقاء التکلیف بعد فرض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السیّد قد اصطلح بهذا الکلام مع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صالح مع المتأخّرین بهذا الکلام، و هو دعوی انفتاح باب العلم، فإنّه فی قوّة التسالم و التصالح معهم لو فرض الحاجة إلی أخبار الآحاد علی لزوم العمل بها، و تصالحه معهم بذلک الکلام إمّا من جهة رجوع نزاعه فی الکبری إلی النزاع الصغروی، و هو ثبوت الانفتاح و عدم ثبوته، و إمّا من جهة رجوعه إلی النزاع اللفظی و الاختلاف فی الموضوع، أعنی انفتاح باب العلم فی حقّ السیّد لقرب عهده و انسداد بابه فی حقّنا، لبعد عهدنا، و من المعلوم أنّ الاختلاف فی الحکم الناشئ عن اختلاف الموضوعین راجع إلی عدم الخلاف فی الکبری، و لا إلی الخلاف فی الصغری، کاختلاف الحکم الناشئ عن اختلاف موضوعیه بالحضور 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العلّامة</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646304_3224264995"/>
      <w:bookmarkStart w:id="64" w:name="_Toc23"/>
      <w:bookmarkEnd w:id="63"/>
      <w:r>
        <w:rPr>
          <w:rtl w:val="true"/>
        </w:rPr>
        <w:t>[</w:t>
      </w:r>
      <w:r>
        <w:rPr>
          <w:rtl w:val="true"/>
        </w:rPr>
        <w:t>النظر فی کلام الماتن حیث استشهد بکلام العلّامة و الفاضل المقداد</w:t>
      </w:r>
      <w:r>
        <w:rPr>
          <w:rtl w:val="true"/>
        </w:rPr>
        <w:t>]</w:t>
      </w:r>
      <w:bookmarkEnd w:id="6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الاستشهاد بکلام العلّامة</w:t>
      </w:r>
      <w:r>
        <w:rPr>
          <w:rStyle w:val="FootnoteAnchor"/>
          <w:rtl w:val="true"/>
        </w:rPr>
        <w:footnoteReference w:id="29"/>
      </w:r>
      <w:r>
        <w:rPr>
          <w:rFonts w:ascii="IRNazanin" w:hAnsi="IRNazanin" w:eastAsia="IRNazanin"/>
          <w:color w:val="111111"/>
          <w:sz w:val="28"/>
          <w:sz w:val="28"/>
          <w:szCs w:val="28"/>
          <w:rtl w:val="true"/>
          <w:lang w:bidi="fa-IR"/>
        </w:rPr>
        <w:t>و الفاضل المقداد</w:t>
      </w:r>
      <w:r>
        <w:rPr>
          <w:rStyle w:val="FootnoteAnchor"/>
          <w:rtl w:val="true"/>
        </w:rPr>
        <w:footnoteReference w:id="30"/>
      </w:r>
      <w:r>
        <w:rPr>
          <w:rFonts w:ascii="IRNazanin" w:hAnsi="IRNazanin" w:eastAsia="IRNazanin"/>
          <w:color w:val="111111"/>
          <w:sz w:val="28"/>
          <w:sz w:val="28"/>
          <w:szCs w:val="28"/>
          <w:rtl w:val="true"/>
          <w:lang w:bidi="fa-IR"/>
        </w:rPr>
        <w:t>و من بینهما نظر، بخلاف الاستشهاد بکلام من قبلهم و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کون هؤلاء فی صدد بیان بطلان مرجعیة البراءة فی ما قبل تبلیغ جمیع الأحکام لا فی ما بعد حصول تمام التبلیغ بواسطة طروّ الانسداد؛ و ذلک لأنّ تبلیغ جمیع الأحکام واجب مطلق علی الحکیم من باب اللطف، کوجوب أصل وجود الإمام و هو لا ینافی ارتفاع الأحکام بعد التبلیغ التامّ بواسطة طروّ الانسداد و الرجوع إلی البراءة بعده لیکون عقوبته علی الظلّام المتسببین لخفاء قادة الأنام، کما أنّ وجوب أصل </w:t>
      </w:r>
      <w:bookmarkStart w:id="65" w:name="pg12856_162527"/>
    </w:p>
    <w:p>
      <w:pPr>
        <w:pStyle w:val="BookText"/>
        <w:rPr/>
      </w:pPr>
      <w:bookmarkEnd w:id="65"/>
      <w:r>
        <w:rPr>
          <w:rFonts w:ascii="IRNazanin" w:hAnsi="IRNazanin" w:eastAsia="IRNazanin"/>
          <w:color w:val="111111"/>
          <w:sz w:val="28"/>
          <w:sz w:val="28"/>
          <w:szCs w:val="28"/>
          <w:rtl w:val="true"/>
          <w:lang w:bidi="fa-IR"/>
        </w:rPr>
        <w:t>وجود الإمام من باب اللطف لا ینافی عدم وجدانه و عدم تصرّفه بواسطة طروّ الموانع المانعة من ظهوره و المصالح العارضة لإخفائه من قبل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فبطلان رفع الأحکام اللازم من مرجعیة البراءة قبل التبلیغ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منافاته للطف الواجب علی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یستشهد به علی بطلان ذلک اللازم فی ما بعد التبلیغ التامّ، بواسطة طروّ الانسداد و خفاء قادة الهداة، لعدم منافاة ذلک اللازم للّطف الواجب الذی کان ینافیه لزومه فی ما قبل التبلیغ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66" w:name="__RefHeading___Toc2646306_3224264995"/>
      <w:bookmarkStart w:id="67" w:name="_Toc24"/>
      <w:bookmarkEnd w:id="66"/>
      <w:r>
        <w:rPr>
          <w:rtl w:val="true"/>
        </w:rPr>
        <w:t>[</w:t>
      </w:r>
      <w:r>
        <w:rPr>
          <w:rtl w:val="true"/>
        </w:rPr>
        <w:t>لا یستحیل اجتماع الظن بالبراءة مع العلم الإجمالی علی مذهب صاحب القوانین</w:t>
      </w:r>
      <w:r>
        <w:rPr>
          <w:rtl w:val="true"/>
        </w:rPr>
        <w:t>]</w:t>
      </w:r>
      <w:bookmarkEnd w:id="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اجتماع الظنّ بالبراءة فی جمیع الوقائع مع العلم الإجمالی بوجود الواجب و الحرام فی جملة تلک الوقائع إنّما هو مبنیّ علی مذهب الماتن قدّس سرّه فی ما سیأتی من القول بتنجّز العلم الإجمالی التکلیف بالمعلوم الإجمالی</w:t>
      </w:r>
      <w:r>
        <w:rPr>
          <w:rStyle w:val="FootnoteAnchor"/>
          <w:rtl w:val="true"/>
        </w:rPr>
        <w:footnoteReference w:id="31"/>
      </w:r>
      <w:r>
        <w:rPr>
          <w:rFonts w:ascii="IRNazanin" w:hAnsi="IRNazanin" w:eastAsia="IRNazanin"/>
          <w:color w:val="111111"/>
          <w:sz w:val="28"/>
          <w:sz w:val="28"/>
          <w:szCs w:val="28"/>
          <w:rtl w:val="true"/>
          <w:lang w:bidi="fa-IR"/>
        </w:rPr>
        <w:t>، و أمّا علی القول بعدم تنجّز العلم الإجمالی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صاحب القوانین</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استحالة فی اجتماع الظنّ بالبراءة فی جمیع الوقائع مع العلم الإجمالی بوجود ذات الواجب و الحرام فیها، کتجویز المجوّز ارتکاب کلّ واحد من اطراف الشبهة المحصورة أخذا بظنّه بالبراءة مع علمه الإجمالی بوجود الحرام فیها، و إنّما المستحیل هو اجتماع الظنّ بالبراءة فی جمیع الوقائع مع العلم الإجمالی بوجوب الواجب و حرمة الحرام الموجود فیها، لا بمجرّد وجود الواجب و الحرام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سلّمنا وقوع ذلک الفرض فالکلام تارة </w:t>
      </w:r>
      <w:bookmarkStart w:id="68" w:name="pg12856_162528"/>
    </w:p>
    <w:p>
      <w:pPr>
        <w:pStyle w:val="BookText"/>
        <w:rPr/>
      </w:pPr>
      <w:bookmarkEnd w:id="68"/>
      <w:r>
        <w:rPr>
          <w:rFonts w:ascii="IRNazanin" w:hAnsi="IRNazanin" w:eastAsia="IRNazanin"/>
          <w:color w:val="111111"/>
          <w:sz w:val="28"/>
          <w:sz w:val="28"/>
          <w:szCs w:val="28"/>
          <w:rtl w:val="true"/>
          <w:lang w:bidi="fa-IR"/>
        </w:rPr>
        <w:t>فی حکم نفس ذلک المجتهد بخلاف العادة، و تارة فی حکم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غیره فهو عدم جواز تقلیده، لانصراف أدلّة التقلید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نفسه فعلی ما فی المتن هو تعیّن الاحتیاط علیه فی الوقائع إن تیسّر، و إلّا ففی المقدار المیسور منها، و حینئذ فإن تفاوت الظنّ فی الوقائع بالقوّة و الضعف کان مقتضی الاحتیاط التبعیض بین مراتب الظنّ بالقوة و الضعف، فیعمل فی موارد الظنّ الضعیف بنفی التکلیف بمقتضی الاحتیاط، و فی موارد الظنّ القوی بنفی التکلیف بمقتضی البراءة، و مع فرض التسویة التخییر، هکذا قال الماتن قدّس سرّه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الذی یقتضیه الآثار و الاعتبار هو وجوب رجوع هذا المجتهد فی حکم نفسه إلی متعارف الناس من المجتهدین و أواسطهم، کوجوب رجوع مطلق القطّاع و الظنّان و الشکّاک من الأسباب الغیر العادیة إلی ما یحصل لمتعارف الناس و أواسطهم من تلک الأسباب، و کرجوع الخارج عن المتعارف فی عرض الوجه أو طوله أو قصر الید أو طوله فی الوضوء إلی غسل القدر المتعارف من الطول و العرض لأواسط الناس و متعارفهم، و کرجوع سیر الیوم المحدود به القصر فی الأخبار من جهة الأمکنة و الأزمنة و السیر إلی الاعتدال من الوقت و السیر و المکان بمعنی اعتبار الوسط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الموضوعات الخارجة عن المتعارف حیث یجب الرجوع فیها إلی المتعارف و الأواسط فی الحکم لا إلی الاحتیاط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العقل بقبح العقاب بلا بیان حکم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69" w:name="__RefHeading___Toc2646308_3224264995"/>
      <w:bookmarkStart w:id="70" w:name="_Toc25"/>
      <w:bookmarkEnd w:id="69"/>
      <w:r>
        <w:rPr>
          <w:rtl w:val="true"/>
        </w:rPr>
        <w:t>[</w:t>
      </w:r>
      <w:r>
        <w:rPr>
          <w:rtl w:val="true"/>
        </w:rPr>
        <w:t>قبح العقاب بلا بیان حکم شرعی</w:t>
      </w:r>
      <w:r>
        <w:rPr>
          <w:rtl w:val="true"/>
        </w:rPr>
        <w:t>]</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العقلی القطعی إنّما هو العقاب بلا احتمال و لا قدرة، و أمّا بلا بیان فهو حکم ظنّی شرعی تفضّلی لا عقلی و قطعی، کما یدلّ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أدلّتها الشرعیة تصریحا أو تلویحا من الکتاب و السنّة،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وُسْعَها</w:t>
      </w:r>
      <w:r>
        <w:rPr>
          <w:rStyle w:val="FootnoteAnchor"/>
          <w:rtl w:val="true"/>
        </w:rPr>
        <w:footnoteReference w:id="34"/>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ممّا لا یعلمون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فإنّ الوسع دون الطاقة،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فإن تخصیص الرفع بأمّته صلی اللّه علیه و آله یشعر ثبوت مقتضاه خصوصا علی غیر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أدلّتها المذکورة بأسرها مورد الامتنان بنفی التکلیف مع احتماله، فلو کان التکلیف عند احتماله و القدرة علی امتثاله قبیحا عقلیّا قطعیّا کقبح الظلم و الجور و تکلیف ما لا یطاق لم یکن فی نفیه امتنان علی أحد أصلا و رأسا، کما لم یکن فی نفی الظلم و الجور و تکلیف ما لا یطاق امتنان علی أحد أصلا و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قبحه لو کان عقلیا قطعیا لوقع التعبیر عنه فی لسان الشارع الحکیم فی شی‌ء من نصوصه علی کثرتها بما یناسب قبحه العقلی تصریحا أو تلویحا، کما هو مقتضی بلاغته فی التعبیر عن کلّ ما یقبح عقلا بمثل قوله تعالی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وَ تَعالی عَمَّا یَقُولُونَ عُلُوًّا کَبِیراً</w:t>
      </w:r>
      <w:r>
        <w:rPr>
          <w:rStyle w:val="FootnoteAnchor"/>
          <w:rtl w:val="true"/>
        </w:rPr>
        <w:footnoteReference w:id="37"/>
      </w:r>
      <w:r>
        <w:rPr>
          <w:rFonts w:ascii="Amiri" w:hAnsi="Amiri" w:eastAsia="Amiri" w:cs="Amiri"/>
          <w:color w:val="111111"/>
          <w:sz w:val="28"/>
          <w:sz w:val="28"/>
          <w:szCs w:val="28"/>
          <w:rtl w:val="true"/>
          <w:lang w:bidi="ar-SA"/>
        </w:rPr>
        <w:t>و سُبْحانَهُ وَ تَعالی عَمَّا یَصِفُونَ</w:t>
      </w:r>
      <w:r>
        <w:rPr>
          <w:rStyle w:val="FootnoteAnchor"/>
          <w:rtl w:val="true"/>
        </w:rPr>
        <w:footnoteReference w:id="38"/>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أعزّ و أجلّ من أن یجعل حجّة فی خلقه </w:t>
      </w:r>
    </w:p>
    <w:p>
      <w:pPr>
        <w:pStyle w:val="BookText"/>
        <w:rPr/>
      </w:pPr>
      <w:r>
        <w:rPr>
          <w:rFonts w:ascii="IRNazanin" w:hAnsi="IRNazanin" w:eastAsia="IRNazanin"/>
          <w:color w:val="111111"/>
          <w:sz w:val="28"/>
          <w:sz w:val="28"/>
          <w:szCs w:val="28"/>
          <w:rtl w:val="true"/>
          <w:lang w:bidi="fa-IR"/>
        </w:rPr>
        <w:t>و یسأل عن شی‌ء فیقول لا أعلم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قبحه لو کان عقلیا قطعیا لم یحسن الاحتیاط العقلی القطعی عند احتمال العقاب و العتاب أصلا و رأسا، فإنّ القطع الفعلی بنفی العقاب لا یجامع القطع باحتماله فضلا عن القطع بحسن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قبحه لو کان عقلیا قطعیا لم یقع الخلاف فیه؛ بل المنع منه من جلّ الأخباریة و کثیر الاصولیة خصوصا قبل ورود الشریعة باختیار کون الأصل فی الأشیاء و خصوصا فی ما قبل ورود الشریعة الحظر لا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المصنف عنه بأنّه إنّما ذهب من ذهب إلی وجوب الاحتیاط لزعم نصب الشارع البیان علی وجوب الاحتیاط من الآیات و الأخبار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فرض عموم أدلّة الاحتیاط فی جمیع 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بمنزلة المخصّص و المستثنی بیان لکلّیة قبح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البیان، لاستلزامه استیعاب حکم المخصّص و المستثنی لجمیع موارد المخصّص و المستثنی منه و انتفاء مورد لقبح العقاب بلا بیان، إلّا و هو داخل فی عموم البیان العامّ و هو عموم الاحتیاط فی کلّ ما یحتمل العقاب، و رجوع قبحه العقلی القطعی الفعلی إلی قبحه الشأنی لو لا البیان الفعلی العامّ المستوعب لجمیع موارد قبحه، و هو خارج عن دیدن العقل و العقلاء فضلا عن قواعده الکلّیة القطعیة الفعلیة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فرض نصوص الاحتیاط بیانا شرعیا إنّما یمکن فی ما بعد ورود الشریعة لا فی ما قبله، و المفروض عدم انحصار القول بالاحتیاط و الحظر فی الأشیاء بما بعد ورود الشریعة بل القول به فی ما قبله إن لم یکن أولی منه فی </w:t>
      </w:r>
      <w:bookmarkStart w:id="71" w:name="pg12856_162531"/>
    </w:p>
    <w:p>
      <w:pPr>
        <w:pStyle w:val="BookText"/>
        <w:rPr/>
      </w:pPr>
      <w:bookmarkEnd w:id="71"/>
      <w:r>
        <w:rPr>
          <w:rFonts w:ascii="IRNazanin" w:hAnsi="IRNazanin" w:eastAsia="IRNazanin"/>
          <w:color w:val="111111"/>
          <w:sz w:val="28"/>
          <w:sz w:val="28"/>
          <w:szCs w:val="28"/>
          <w:rtl w:val="true"/>
          <w:lang w:bidi="fa-IR"/>
        </w:rPr>
        <w:t>ما بعده فلا أقلّ من التسویة و وجود القول به</w:t>
      </w:r>
      <w:r>
        <w:rPr>
          <w:rFonts w:eastAsia="IRNazanin" w:cs="IRNazanin"/>
          <w:color w:val="111111"/>
          <w:sz w:val="28"/>
          <w:szCs w:val="28"/>
          <w:rtl w:val="true"/>
          <w:lang w:bidi="fa-IR"/>
        </w:rPr>
        <w:t>.</w:t>
      </w:r>
    </w:p>
    <w:p>
      <w:pPr>
        <w:pStyle w:val="Heading5"/>
        <w:numPr>
          <w:ilvl w:val="4"/>
          <w:numId w:val="1"/>
        </w:numPr>
        <w:rPr/>
      </w:pPr>
      <w:bookmarkStart w:id="72" w:name="__RefHeading___Toc2646310_3224264995"/>
      <w:bookmarkStart w:id="73" w:name="_Toc26"/>
      <w:bookmarkEnd w:id="72"/>
      <w:r>
        <w:rPr>
          <w:rtl w:val="true"/>
        </w:rPr>
        <w:t>[</w:t>
      </w:r>
      <w:r>
        <w:rPr>
          <w:rtl w:val="true"/>
        </w:rPr>
        <w:t>النظر إلی المعجزة</w:t>
      </w:r>
      <w:r>
        <w:rPr>
          <w:rtl w:val="true"/>
        </w:rPr>
        <w:t>]</w:t>
      </w:r>
      <w:bookmarkEnd w:id="73"/>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قبحه عقلیا قطعیا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دفع الضرر المحتمل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وجب علی المحتمل حقّیة دین أو شریعة من مدّعی النبوّة أو الإمامة النظر إلی المعجزة، بل جاز له خصوصا فی بدو الاحتمال قبل الظنّ و الإجمال غضّ البصر عن النظر و السمع عن الخبر و القلب عن الأثر، و التحذّر عن الظفر، و نفی المدّعی عن المحضر إلی البر قبل الظنّ بالضرر و الحذر، و أیضا لما وجب شکر المنعم و الاجتهاد فی صفات الباری و ما یصحّ علیه و ما یمتنع منه، و أیضا لما صحّ الاکتفاء من الشارع فی إتمام الحجّة البالغة و المحجّة القاطعة، و حسم مادّة العذر و الاعتذار و تسجیل العقاب علی الکفّار و الأشرار من جمیع الأقطار و الأمصار و الصحاری و البحار، حتی مخدّرات الحجور و الأستار بمجرّد إبداء الاحتمال و بلوغ الأخبار و شهور الآثار بصیت الإسلام، و إلزام العقل القطعی الفطری فی مثل المقام بالقیام و الإقدام برفع ألم الخوف و الأوهام، و أمن النفس عن معرض الآلام و الانتقام علی کلّ ما یفوتهم من الأحکام و شرائع الإسلام، فإنّ الخوف الناشئ من احتمال المؤاخذة و العقاب علی ما یفوت المقصّر ألم نفسانی یجب دفعه عقلا بقاعدة وجوب دفع الضرر، من غیر فرق بین المظنون و المحتمل، و لولاه لانسدّ باب الإلزام و الإفحام علی أشرار العوام و کفّار الأقوام من جانب الملک العلّام کما استدلّ به علی ذلک علماء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ثبوت وجوب الجهر و الإخفات، فلا حرج لنا فی شی‌ء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التخییر به کالصریح فی أنّ مراده من التخییر العملی لا الالتزام بأحد الحکمین، حتی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غیر مندرج فی البراءة، کما أورده بعضهم بل المصنف أیضا حیث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مجری للبراءة و لا معنی للتخییر </w:t>
      </w:r>
      <w:bookmarkStart w:id="74" w:name="pg12856_162532"/>
    </w:p>
    <w:p>
      <w:pPr>
        <w:pStyle w:val="BookText"/>
        <w:rPr/>
      </w:pPr>
      <w:bookmarkEnd w:id="74"/>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فإنّ ذلک شاهد علی جعله التخییر قسیما للبراءة، لا قسما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یتمسّک فی أمثاله بأصالة عدم ترتّب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75" w:name="__RefHeading___Toc2646312_3224264995"/>
      <w:bookmarkStart w:id="76" w:name="_Toc27"/>
      <w:bookmarkEnd w:id="75"/>
      <w:r>
        <w:rPr>
          <w:rtl w:val="true"/>
        </w:rPr>
        <w:t>[</w:t>
      </w:r>
      <w:r>
        <w:rPr>
          <w:rtl w:val="true"/>
        </w:rPr>
        <w:t>عدم کفایة أصل عدم ترتّب الأثر فی جمیع الفقه</w:t>
      </w:r>
      <w:r>
        <w:rPr>
          <w:rtl w:val="true"/>
        </w:rPr>
        <w:t>]</w:t>
      </w:r>
      <w:bookmarkEnd w:id="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 یکفی فی جمیع الفقه أصالة العدم، فإنّه إنّما یجری فی ما کان حاله السابق معلوم العدم، کما فی المعاملات و المعاوضات و الضمانات المسبوقة بالفساد و عدم النقل و الانتقال، و أمّا فی ما لم یکن مسبوقا بالعدم بأن علم انتقالها من العدم و لکن لم یعلم المنقول إلیه کما فی أکثر مسائل المیراث المختلف فیه الإرث کمّا أو کیفا، و تعیین الحقّ لأیّ الوارثین کتعیین المحبوّ و مقدار الحبوة و میراث الخنثی و الغرقی و الردّ علی الزوجین، و غیر ذلک من خلافیاتها التی لا تحصی ممّا لا یجری فیه شی‌ء من الأصلین المذکورین و لا غیرهما من سائر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الإجماع القطعی علی عدم وجوبه فی المقام</w:t>
      </w:r>
      <w:r>
        <w:rPr>
          <w:rFonts w:eastAsia="IRNazanin" w:cs="IRNazanin"/>
          <w:color w:val="111111"/>
          <w:sz w:val="28"/>
          <w:szCs w:val="28"/>
          <w:rtl w:val="true"/>
          <w:lang w:bidi="fa-IR"/>
        </w:rPr>
        <w:t>».</w:t>
      </w:r>
    </w:p>
    <w:p>
      <w:pPr>
        <w:pStyle w:val="Heading5"/>
        <w:numPr>
          <w:ilvl w:val="4"/>
          <w:numId w:val="1"/>
        </w:numPr>
        <w:rPr/>
      </w:pPr>
      <w:bookmarkStart w:id="77" w:name="__RefHeading___Toc2646314_3224264995"/>
      <w:bookmarkStart w:id="78" w:name="_Toc28"/>
      <w:bookmarkEnd w:id="77"/>
      <w:r>
        <w:rPr>
          <w:rtl w:val="true"/>
        </w:rPr>
        <w:t>[</w:t>
      </w:r>
      <w:r>
        <w:rPr>
          <w:rtl w:val="true"/>
        </w:rPr>
        <w:t>دفع وهم عن الاجماع علی عدم وجوب الاحتیاط فی جمیع الشبهات</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علی عدم الالزام بالاحتیاط إجماع تقییدی إنّما هو لانفتاح باب العلم علیهم علی وجه لم یبق لهم فی غیر معلوماتهم علم إجمالی بوجود التکالیف حتی یلتزموا بالاحتیاط فیه فلا یقاس علیهم من انسدّ علیه باب العلم و علم إجمالا بوجود التکالیف له فی الوقائع الغیر المعلومة، فیرجع الإجماع المدّعی إلی الإجماع التقییدی و لا أقلّ من احتمال التقیید فلا یکون حجّة علی الإطلاق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هذا الإجماع ممنوع بما أشار إلیه الماتن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یرد علی 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یکن تقییدیا إلّا أنّه انتزاعی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من الإجماع المدّعی علی عدم مرجعیة الاحتیاط </w:t>
      </w:r>
      <w:bookmarkStart w:id="79" w:name="pg12856_162533"/>
    </w:p>
    <w:p>
      <w:pPr>
        <w:pStyle w:val="BookText"/>
        <w:rPr/>
      </w:pPr>
      <w:bookmarkEnd w:id="79"/>
      <w:r>
        <w:rPr>
          <w:rFonts w:ascii="IRNazanin" w:hAnsi="IRNazanin" w:eastAsia="IRNazanin"/>
          <w:color w:val="111111"/>
          <w:sz w:val="28"/>
          <w:sz w:val="28"/>
          <w:szCs w:val="28"/>
          <w:rtl w:val="true"/>
          <w:lang w:bidi="fa-IR"/>
        </w:rPr>
        <w:t>بعد فرض الانسداد إجماع مستقل غیر الإجماع المدّعی سابقا علی مرجعیة الظنّ بعد فرض الانسداد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الإجماع المنتزع عن نفس ذلک الإجماع السابق 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بذلک الإجماع علی ما نحن بصدده دوریّ صریح؛ لأنّ محطّ النظر فی المقام التوصل ببطلان مرجعیة الاحتیاط بعد فرض الانسداد إلی مرجعیة الظنّ دون العکس، و هو التوصل بمرجعیة الظنّ بعد فرض الانسداد إلی بطلان مرجعیة الاحتیاط بعد الانسداد، فالاستدلال علی بطلان مرجعیة الاحتیاط بعد الانسداد بالإجماع علی مرجعیة الظنّ بعد الانسداد دوریّ</w:t>
      </w:r>
      <w:r>
        <w:rPr>
          <w:rFonts w:eastAsia="IRNazanin" w:cs="IRNazanin"/>
          <w:color w:val="111111"/>
          <w:sz w:val="28"/>
          <w:szCs w:val="28"/>
          <w:rtl w:val="true"/>
          <w:lang w:bidi="fa-IR"/>
        </w:rPr>
        <w:t>.</w:t>
      </w:r>
    </w:p>
    <w:p>
      <w:pPr>
        <w:pStyle w:val="Heading5"/>
        <w:numPr>
          <w:ilvl w:val="4"/>
          <w:numId w:val="1"/>
        </w:numPr>
        <w:rPr/>
      </w:pPr>
      <w:bookmarkStart w:id="80" w:name="__RefHeading___Toc2646316_3224264995"/>
      <w:bookmarkStart w:id="81" w:name="_Toc29"/>
      <w:bookmarkEnd w:id="80"/>
      <w:r>
        <w:rPr>
          <w:rtl w:val="true"/>
        </w:rPr>
        <w:t>[</w:t>
      </w:r>
      <w:r>
        <w:rPr>
          <w:rtl w:val="true"/>
        </w:rPr>
        <w:t>عدم الحاجة إلی تقدیم الاجماع علی عدم وجوب الاحتیاط مقدمة لدلیل الانسداد</w:t>
      </w:r>
      <w:r>
        <w:rPr>
          <w:rtl w:val="true"/>
        </w:rPr>
        <w:t>]</w:t>
      </w:r>
      <w:bookmarkEnd w:id="81"/>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الإجماع المتقدّم علی مرجعیة الظنّ بعد فرض الانسداد لم یحتجّ التوصل إلیه إلی هذه المقدّمات و التطویلات، بل کان التوصل بها إلیه اشبه شی‌ء بالأکل من القفا کما لا یخفی علی العقلاء، و لهذا لم یطوّل السالفون من العلماء الأساطین فی تقریر دلیل الانسداد علی حجّیة مطلق الظنّ بل أثبتوا الحجّیة بمجرّد مقدمة الانسداد، و هو الأقرب إلی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لزوم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العسر بالتقریب المذکور فی المتن إنّما یتأتّی من جهة التعلیم، و من جهة التعلّم، و من جهة فهم علاج تعارض الاحتیاطیات و الترجیح فضلا عن لزومه من جهة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لکثرة ما یحتمل موهوما وجوبه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لم یذکر ما یحتمل موهوما حرمته لأنّ فی مراعاتها و هو الترک من حیث هو ترک لیس حرجا و إن کان فی ترک ما هو من لوازم الوجود کترک المأکولات و المشروبات حرج، لکنه من حیث إنّ هذا القسم من الترک لا یجامع الوجود العادی کما أنّ حرج الأفعال من حیث إنّها لا تجامع بعضها مع </w:t>
      </w:r>
      <w:bookmarkStart w:id="82" w:name="pg12856_162534"/>
    </w:p>
    <w:p>
      <w:pPr>
        <w:pStyle w:val="BookText"/>
        <w:rPr/>
      </w:pPr>
      <w:bookmarkEnd w:id="82"/>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Heading5"/>
        <w:numPr>
          <w:ilvl w:val="4"/>
          <w:numId w:val="1"/>
        </w:numPr>
        <w:rPr/>
      </w:pPr>
      <w:bookmarkStart w:id="83" w:name="__RefHeading___Toc2646318_3224264995"/>
      <w:bookmarkStart w:id="84" w:name="_Toc30"/>
      <w:bookmarkEnd w:id="83"/>
      <w:r>
        <w:rPr>
          <w:rtl w:val="true"/>
        </w:rPr>
        <w:t>[</w:t>
      </w:r>
      <w:r>
        <w:rPr>
          <w:rtl w:val="true"/>
        </w:rPr>
        <w:t>نفی العسر و الحرج بالأدلّة الأربعة و دفع الایراد عنه</w:t>
      </w:r>
      <w:r>
        <w:rPr>
          <w:rtl w:val="true"/>
        </w:rPr>
        <w:t>]</w:t>
      </w:r>
      <w:bookmarkEnd w:id="84"/>
    </w:p>
    <w:p>
      <w:pPr>
        <w:pStyle w:val="BookText"/>
        <w:rPr/>
      </w:pPr>
      <w:r>
        <w:rPr>
          <w:rFonts w:ascii="IRNazanin" w:hAnsi="IRNazanin" w:eastAsia="IRNazanin"/>
          <w:color w:val="111111"/>
          <w:sz w:val="28"/>
          <w:sz w:val="28"/>
          <w:szCs w:val="28"/>
          <w:rtl w:val="true"/>
          <w:lang w:bidi="fa-IR"/>
        </w:rPr>
        <w:t>ثمّ الإشکال فی الاستدلال بلزوم العسر و الحرج لا یخلو إمّا من جهة الإشکال فی عموم أدلّة نفی العسر، أو فی عموم معنی العسر المنفیّ، أو فی ثبوت المخصّص لعمومه، و لا مجال للإشکال فی شی‌ء من هذه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عموم أدلّة نفیه فلدلالة الأدلة الأربعة علی نفیه من الکتاب آیات عدیدة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من السنّة ما یبلغ حدّ الاستفاضة، بل التواتر اللفظی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من الإجماع ما یقرب إلی الضرورة فی الدین بین جمیع فرق المسلمین، و من العقل وضوح ما صرّح به الماتن من أنّ من مستقلات العقل قبح التکلیف بما یوجب العسر المخلّ بنظام أمر المکلّف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2646320_3224264995"/>
      <w:bookmarkStart w:id="86" w:name="_Toc31"/>
      <w:bookmarkEnd w:id="85"/>
      <w:r>
        <w:rPr>
          <w:rtl w:val="true"/>
        </w:rPr>
        <w:t>[</w:t>
      </w:r>
      <w:r>
        <w:rPr>
          <w:rtl w:val="true"/>
        </w:rPr>
        <w:t>معنی العسر المنفی عن الدین</w:t>
      </w:r>
      <w:r>
        <w:rPr>
          <w:rtl w:val="true"/>
        </w:rPr>
        <w:t>]</w:t>
      </w:r>
      <w:bookmarkEnd w:id="86"/>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العسر و المشقّة مناف للطف الواجب علی الحکیم لاستلزامه تفویت إدراک المکلّف مصالح التکالیف الشاقّة، فکیف یستقلّ العقل برفعه؟ سیّما علی وجه الامتنان الذی هو مدلول سیاق الأخبار، و الحال أنّ فی رفعه ارتفاع مصالح فعله عن المکلّف، أ لا تری أنّ رفع السلطان کلفة الحضور فی خدمته عن بعض أهل وظائفه وقت تقسیم الوظائف لیس فیه امتنان، لاستلزامه الحرمان عن الوظائف المعدّة للحاضرین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منافاة رفعه للطف؛ لأنّ اللطف الواجب علی الحکیم فی أفعاله هو مراعاة مصالح نوع المکلّفین، لا مصلحة خصوص کلّ شخص شخص، کما فی إنزال المطر و إرسال الهواء و إشراق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فإنّ مصالحها مصالح عامّة لنوع الخلق لا لخصوص کلّ شخص شخص، إذ کثیرا ما تکون النعمة العامّة من تلک النعم نقمة علی بعض الأشخاص کخراب بعض الدور بالمطر </w:t>
      </w:r>
    </w:p>
    <w:p>
      <w:pPr>
        <w:pStyle w:val="BookText"/>
        <w:rPr/>
      </w:pPr>
      <w:r>
        <w:rPr>
          <w:rFonts w:ascii="IRNazanin" w:hAnsi="IRNazanin" w:eastAsia="IRNazanin"/>
          <w:color w:val="111111"/>
          <w:sz w:val="28"/>
          <w:sz w:val="28"/>
          <w:szCs w:val="28"/>
          <w:rtl w:val="true"/>
          <w:lang w:bidi="fa-IR"/>
        </w:rPr>
        <w:t>و الهواء و هلاک بعض النفوس بالحرّ و البرد الشدید، إلی غیر ذلک من المصالح النوعیة التی لا یزاحم لطفها العقلی الثابت لنوع الخلق بعض المضارّ الجزئیة المتّفقة لخصوص بعض، کما أنّ سائر الأحکام العامّة العقلائیة و سیاساتهم الکلّیة المرعیة أیضا مبنیة علی مراعاة المصالح النوعیة و إن انضرّ بها بعض الأشخاص، و لا ریب أنّ رفع العسر عن الشریعة أیضا من جملة المصالح العامة النوعیة لترغیب المکلّفین إلی هذا الدین القویم و تشویقهم إلیه، فلا یزاحم لطفه انضرار بعض الأشخاص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منافاة رفعه للّطف الواجب بالنسبة إلی آحاد المکلّفین فلا نأبی من الالتزام بأنّ فی امتنان رفعه عن آحاد المکلّفین دلالة علی أنّه تعالی یتدارک من عنده مجّانا للمفوّت عنه من آحاد المکلّفین مصالح ما فاته برفع ذلک العسر عنه، کما أنّ امتنان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أهل وظائفه برفع کلفة الحضور فی خدمته وقت تفریق الوظائف دلیل ضمانه الوظیفة المعدّة له لحضوره فی ذلک الوقت، حذرا من تسبیب الحرمان عن الامتنان، و کما یقدر الملک فی التصرفات المالکیة المباحة لغیر المالک المتوقّفة علی الملک شرعا کالوطء و العتق حذرا من لزوم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وطء إلّا فی ملک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هذا کلّه فی بیان أدلّة نفی العسر و الحرج</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معنی العسر المنفیّ عن الدین فمحتمل لإرادة نفی نفس التکلیف </w:t>
      </w:r>
    </w:p>
    <w:p>
      <w:pPr>
        <w:pStyle w:val="BookText"/>
        <w:rPr/>
      </w:pPr>
      <w:r>
        <w:rPr>
          <w:rFonts w:ascii="IRNazanin" w:hAnsi="IRNazanin" w:eastAsia="IRNazanin"/>
          <w:color w:val="111111"/>
          <w:sz w:val="28"/>
          <w:sz w:val="28"/>
          <w:szCs w:val="28"/>
          <w:rtl w:val="true"/>
          <w:lang w:bidi="fa-IR"/>
        </w:rPr>
        <w:t>العسیر عن الشریعة، کنجاسة الحدید، و البناء علی المضایقة، و الحظر فی الأشیاء الّا ما أخرجه الدلیل، و لإرادة نفی التکالیف العسیرة الثابت نوعها فی الشریعة، کرخصة القعود فی الصلاة و الإفطار فی الصوم للمریض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المعنی الأول یکون دلیل نفی العسر و الحرج عن الدین دافعا لنفس التکلیف العسیر و واردا علی أصالة الحظر فی الأشیاء المستندة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مورود الجمیع الأدلّة المثبتة للتکالیف فیکون مفاد دلیل نفی العسر نظیر أدلّة البراءة و أصالة الإباحة فی کونها واردة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مورودة لجمیع القواعد و الأدلّة المثبتة للتکالیف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یفترق عنها فی خصوص المؤدّی و عمومه، فإنّ دلیل نفی العسر ینفی التکلیف العسیر عن الشریعة ما لم یثبت بالدلیل الخاصّ، کالجهاد و الحجّ و نحوهما، و أدلّة البراءة تنفی مطلق ما لم یثبت بدلیل خاصّ سواء کان عسرا أم غیر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المعنی الثانی فدلیل نفی العسر یکون رافعا للتکالیف العسیرة الثابت نوعها فی الشریعة، کالقعود فی الصلاة و الإفطار فی الصوم، لا دافعا لنفس التکلیف العسیر فقط کنجاسة الحدید، و أیضا یکون واردا علی جمیع الأدلّة المثبتة للتکالیف لا مورودا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 المعنی الأول أصل کأصل البراءة و العدم، فلا یعارض بها القواعد و العمومات المثبتة للتکلیف، و علی الثانی دلیل من الأدلّة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دلیلیته فهل یکون تقدیمه علی سائر ما یتقدّم علیه من الأدلّة و العمومات من باب التخصیص و الحکومة، أم من باب المعارضة بینهما بالعموم من وجه، لیکون تقدیمه علیهما من جهة الرجوع إلی أصل البراءة کما قیل، أو إلی </w:t>
      </w:r>
      <w:bookmarkStart w:id="87" w:name="pg12856_162537"/>
    </w:p>
    <w:p>
      <w:pPr>
        <w:pStyle w:val="BookText"/>
        <w:rPr/>
      </w:pPr>
      <w:bookmarkEnd w:id="87"/>
      <w:r>
        <w:rPr>
          <w:rFonts w:ascii="IRNazanin" w:hAnsi="IRNazanin" w:eastAsia="IRNazanin"/>
          <w:color w:val="111111"/>
          <w:sz w:val="28"/>
          <w:sz w:val="28"/>
          <w:szCs w:val="28"/>
          <w:rtl w:val="true"/>
          <w:lang w:bidi="fa-IR"/>
        </w:rPr>
        <w:t>المرجّحات الخارجیة من عمل العلماء و نحوه کما زعمه صاحب القوانین</w:t>
      </w:r>
      <w:r>
        <w:rPr>
          <w:rStyle w:val="FootnoteAnchor"/>
          <w:rtl w:val="true"/>
        </w:rPr>
        <w:footnoteReference w:id="46"/>
      </w:r>
      <w:r>
        <w:rPr>
          <w:rFonts w:ascii="IRNazanin" w:hAnsi="IRNazanin" w:eastAsia="IRNazanin"/>
          <w:color w:val="111111"/>
          <w:sz w:val="28"/>
          <w:sz w:val="28"/>
          <w:szCs w:val="28"/>
          <w:rtl w:val="true"/>
          <w:lang w:bidi="fa-IR"/>
        </w:rPr>
        <w:t>وجوه، أوسطها الوسط، أعنی کونه دلیلا من الأدلّة لا أصلا من الاصول، و حاکما علی الأدلّة لا معارضا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إذن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الاولی منهما مضافا إلی عدم الخلاف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أدلّة نفی العسر لنفی العسر الثابت نوعه من التکلیفات و الغیر الثابت نوعه رأسا، فلا یختصّ بنفی العسر عن خصوص ما لم یثبت حتی یکون من الاصول</w:t>
      </w:r>
      <w:r>
        <w:rPr>
          <w:rFonts w:eastAsia="IRNazanin" w:cs="IRNazanin"/>
          <w:color w:val="111111"/>
          <w:sz w:val="28"/>
          <w:szCs w:val="28"/>
          <w:rtl w:val="true"/>
          <w:lang w:bidi="fa-IR"/>
        </w:rPr>
        <w:t>.</w:t>
      </w:r>
    </w:p>
    <w:p>
      <w:pPr>
        <w:pStyle w:val="Heading5"/>
        <w:numPr>
          <w:ilvl w:val="4"/>
          <w:numId w:val="1"/>
        </w:numPr>
        <w:rPr/>
      </w:pPr>
      <w:bookmarkStart w:id="88" w:name="__RefHeading___Toc2646322_3224264995"/>
      <w:bookmarkStart w:id="89" w:name="_Toc32"/>
      <w:bookmarkEnd w:id="88"/>
      <w:r>
        <w:rPr>
          <w:rtl w:val="true"/>
        </w:rPr>
        <w:t>[</w:t>
      </w:r>
      <w:r>
        <w:rPr>
          <w:rtl w:val="true"/>
        </w:rPr>
        <w:t>أدلّة نفی العسر و الحرج تتعرّض لحال سائر القواعد و العمومات</w:t>
      </w:r>
      <w:r>
        <w:rPr>
          <w:rtl w:val="true"/>
        </w:rPr>
        <w:t>]</w:t>
      </w:r>
      <w:bookmarkEnd w:id="89"/>
    </w:p>
    <w:p>
      <w:pPr>
        <w:pStyle w:val="BookText"/>
        <w:rPr/>
      </w:pPr>
      <w:r>
        <w:rPr>
          <w:rFonts w:ascii="IRNazanin" w:hAnsi="IRNazanin" w:eastAsia="IRNazanin"/>
          <w:color w:val="111111"/>
          <w:sz w:val="28"/>
          <w:sz w:val="28"/>
          <w:szCs w:val="28"/>
          <w:rtl w:val="true"/>
          <w:lang w:bidi="fa-IR"/>
        </w:rPr>
        <w:t>و لنا علی الثانیة منهما 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لإنکار حکومة عموم دلیل العسر علی عموم سائر القواعد و الأدلّة المثبتة للتکالیف، لأنّه إن کان فی الأدلّة الشرعیة حاکم علی غیره فدلیل نفی العسر من أوضح أفراده، فإنکاره یستلزم جواز إنکار کلّ ما یفرض حاکما علی غیره من سائر الأدلّة بطریق أولی، و لمّا لم یکن مجال لإنکار الجمیع فلا مجال لإنکار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یفرض من الأمثلة العرفیة مثالا للحکومة أوضح ممّا نحن فیه و هو مثل ما لو قال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التی أمرتک بها اریدها منک بوصف کذا، أو فی حال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کون أدلّة نفی العسر و الحرج بمدلولها اللفظی متعرّض لحال سائر القواعد و العمومات المثبتة للتکالیف، لا بمعونة القرائن الخارجیة، و هذا أمر لا یرتاب فیه المنصف الخبیر، و هو معنی الحکومة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مشهور الفقهاء من أدلّة نفی العسر تقدیم عمومها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بمعونة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عموم سائر القواعد و الأدلّة المثبتة للتکالیف، کما یظهر ذلک من تمسّکهم فی جمیع موارد العسر بنفس أدلّة نفیه لا بمرجّح خارجی، و من </w:t>
      </w:r>
    </w:p>
    <w:p>
      <w:pPr>
        <w:pStyle w:val="BookText"/>
        <w:rPr/>
      </w:pPr>
      <w:r>
        <w:rPr>
          <w:rFonts w:ascii="IRNazanin" w:hAnsi="IRNazanin" w:eastAsia="IRNazanin"/>
          <w:color w:val="111111"/>
          <w:sz w:val="28"/>
          <w:sz w:val="28"/>
          <w:szCs w:val="28"/>
          <w:rtl w:val="true"/>
          <w:lang w:bidi="fa-IR"/>
        </w:rPr>
        <w:t>عدم اعتراض أحد منهم علی الآخر فی هذا الاستمساک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زعمه بعض متأخّر المتأخرین من أنّ عملهم لمرجّح توقیفی اطّلعوا علیه و اختفی علینا فمضافا إلی أصالة عدم ذلک المرجّح التوقیفی مخالف لما یقتضیه عادتهم من التنبیه علی ما یطّلعون علیه ممّا یتوقف علیه تمامیة دلالة الأدلّة علی ما یستدلّون علیه، فعدم تنبیههم بقضاء هذه العادة منهم دلیل علی عدم اطّلاعهم بمرجّح توقیفی، و أنّ الاستدلال إنّما هو منحصر بذات أدلّة نفی العسر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الإمام علیه السّلام عن کیفیة وضوء من قطع ظفره فجعل علیه مرارة بقوله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هذا و أشباهه من کتاب اللّه ما جَعَلَ عَلَیْکُمْ فِی الدِّینِ مِنْ حَرَجٍ</w:t>
      </w:r>
      <w:r>
        <w:rPr>
          <w:rStyle w:val="FootnoteAnchor"/>
          <w:rtl w:val="true"/>
        </w:rPr>
        <w:footnoteReference w:id="47"/>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فإنّ إحالته علیه السّلام لحکم هذه الواقعة إلی عموم نفی العسر بیان لحکومة دلیله علی عمومات سائر القواعد و الأدلّة حسبما فی المتن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زعمه بعض الأفاضل من رفقاء درسنا من أنّ النسبة بین أدلّة نفی العسر و سائر الأدلّة المثبتة للتکالیف لیس عموما من وجه حتی یختلف فی تقدیم أیّهما علی الآخر بل إنّما هو عموم و خصوص مطلق، و الخصوص من جانب أدلّة نفی العسر فتقدّم علی عموم سائر الأدلّة بالنصوصیة لا الظهور حتی یمکن المنع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 المطلق إنّما یتحقّق بین أدلّة نفی العسر و بین المفهوم الجامع المنتزع من مجموع سائر الأدلّة المثبتة للتکلیف، أعنی ثبوت التکلیف فی الشریعة مع الإغماض عن کون متعلّقه خصوص الصلاة أو الصوم أو غیرهما، و هو مفهوم جامع منتزع من مجموع أدلّة التکلیف لا عبرة به فی ملاحظة </w:t>
      </w:r>
    </w:p>
    <w:p>
      <w:pPr>
        <w:pStyle w:val="BookText"/>
        <w:rPr/>
      </w:pPr>
      <w:r>
        <w:rPr>
          <w:rFonts w:ascii="IRNazanin" w:hAnsi="IRNazanin" w:eastAsia="IRNazanin"/>
          <w:color w:val="111111"/>
          <w:sz w:val="28"/>
          <w:sz w:val="28"/>
          <w:szCs w:val="28"/>
          <w:rtl w:val="true"/>
          <w:lang w:bidi="fa-IR"/>
        </w:rPr>
        <w:t>النسب، بل العبرة فی ملاحظة النسب إنّما هو علی النسبة المقررة بین أدلّة نفی العسر و نفس کلّ واحد من سائر العمومات لا المفهوم الجامع المنتزع من مجموعها، و لا ریب أنّ النسبة بین أدلّة نفی العسر و کلّ واحد واحد من سائر الأدلّة المثبتة للتکالیف عموم من وجه لا عموم مطلق؛ لأنّ مفاد أدلّة نفی العسر نفی التکلیف المعسور سواء کان صوما أو صلاة أو غیرهما، و مفاد أدلّة ثبوت التکلیف هو ثبوت التکلیف بالصلاة مثلا سواء کان معسورا أم غیر 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الشارع العسر عن الدین بعنوان العموم و الامتنان کیف یجتمع ما نشاهد من التکلیف بالجهاد و الحجّ و الصوم فی الصیف الحارّ، و الجهاد الأکبر الذی هو مجاهدة النفس و تخلیتها عن الرذائل و تحلیتها بالفضائل، و دفع الشکوک و الشبهات و التولّی عن أدیان الآباء و الامّهات؟</w:t>
      </w:r>
    </w:p>
    <w:p>
      <w:pPr>
        <w:pStyle w:val="BookText"/>
        <w:rPr/>
      </w:pPr>
      <w:r>
        <w:rPr>
          <w:rFonts w:ascii="IRNazanin" w:hAnsi="IRNazanin" w:eastAsia="IRNazanin"/>
          <w:color w:val="111111"/>
          <w:sz w:val="28"/>
          <w:sz w:val="28"/>
          <w:szCs w:val="28"/>
          <w:rtl w:val="true"/>
          <w:lang w:bidi="fa-IR"/>
        </w:rPr>
        <w:t>و کذا الإشکال فی نفی الضرر و الضرار بعنوان العموم و الامتنان کیف یجتمع مع ما نشاهد من التکلیف بالخمس و الزکاة و صرف الأموال فی الحجّ و فی إنفاق الوالدین و الدیة و القصاص و الحدود و غیرها؟ و لو سلّمنا اجتماع تلک التکالیف الشاقّة مع نفی العسر و الحرج و الضرر فکیف لا یوجب خروجها عن عموم نفی العسر الوهن فی عمومه؟ و استهجان عمومه بالتخصیص بالأکثر، مضافا إلی منافاته لعموم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الثابت فی الدین من التکالیف الشاقّة المذکورة عن عموم نفی العسر و الحرج و الضرر إنّما هو من باب التخصّص لا التخصیص فلا ینافی الامتنان العقلی و لا الاستهجان العرفی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العسر و الحرج و الضرر یختلف فی الحکم بل فی الصدق باختلاف الموارد و المقامات، فکم من عسر عسیر و ضرر کثیر لا یعدّ فی بعض الموارد عسرا و لا ضررا بواسطة أنّ بإزاء فعله من المنافع و المصالح ما یدارک </w:t>
      </w:r>
    </w:p>
    <w:p>
      <w:pPr>
        <w:pStyle w:val="BookText"/>
        <w:rPr/>
      </w:pPr>
      <w:r>
        <w:rPr>
          <w:rFonts w:ascii="IRNazanin" w:hAnsi="IRNazanin" w:eastAsia="IRNazanin"/>
          <w:color w:val="111111"/>
          <w:sz w:val="28"/>
          <w:sz w:val="28"/>
          <w:szCs w:val="28"/>
          <w:rtl w:val="true"/>
          <w:lang w:bidi="fa-IR"/>
        </w:rPr>
        <w:t>عسر الفعل و ضرره أو بإزاء ترکه من المضارّ و المشاقّ ما یهیّن و یسهّل عسر الفعل و ضرره، أ لا تری أنّ کثیرا ما یکون العسر الشدید و الحرج الأکید ارتکابه عند العقلاء أحلی من العسل المصفّی بواسطة أنّ بإزائه من المنافع و المصالح ما یدارک عسر الفعل و ضرره بأضعاف مضاعفة أو بإزاء ترکه من المضارّ و المشاق أضعافا مضاعفة، کما یشهد به قولهم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أولی من رکوب العارو العار أولی من دخول النار</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النار أهون من رکوب العارو العار فی رجل یحید عن العدی</w:t>
      </w:r>
    </w:p>
    <w:p>
      <w:pPr>
        <w:pStyle w:val="BookText"/>
        <w:rPr/>
      </w:pPr>
      <w:r>
        <w:rPr>
          <w:rFonts w:ascii="IRNazanin" w:hAnsi="IRNazanin" w:eastAsia="IRNazanin"/>
          <w:color w:val="111111"/>
          <w:sz w:val="28"/>
          <w:sz w:val="28"/>
          <w:szCs w:val="28"/>
          <w:rtl w:val="true"/>
          <w:lang w:bidi="fa-IR"/>
        </w:rPr>
        <w:t>و علی القرابة کالهزبر الضاری‌و العار إن تک فی الأنام مقدّما</w:t>
      </w:r>
    </w:p>
    <w:p>
      <w:pPr>
        <w:pStyle w:val="BookText"/>
        <w:rPr/>
      </w:pPr>
      <w:r>
        <w:rPr>
          <w:rFonts w:ascii="IRNazanin" w:hAnsi="IRNazanin" w:eastAsia="IRNazanin"/>
          <w:color w:val="111111"/>
          <w:sz w:val="28"/>
          <w:sz w:val="28"/>
          <w:szCs w:val="28"/>
          <w:rtl w:val="true"/>
          <w:lang w:bidi="fa-IR"/>
        </w:rPr>
        <w:t>و تکون فی الهیجاء من الفرّار</w:t>
      </w:r>
    </w:p>
    <w:p>
      <w:pPr>
        <w:pStyle w:val="BookText"/>
        <w:rPr/>
      </w:pPr>
      <w:r>
        <w:rPr>
          <w:rFonts w:ascii="IRNazanin" w:hAnsi="IRNazanin" w:eastAsia="IRNazanin"/>
          <w:color w:val="111111"/>
          <w:sz w:val="28"/>
          <w:sz w:val="28"/>
          <w:szCs w:val="28"/>
          <w:rtl w:val="true"/>
          <w:lang w:bidi="fa-IR"/>
        </w:rPr>
        <w:t>و قال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الصفو فی الدنیا بلا کدرطلبت معدومة فأیس من الظفر</w:t>
      </w:r>
    </w:p>
    <w:p>
      <w:pPr>
        <w:pStyle w:val="BookText"/>
        <w:rPr/>
      </w:pPr>
      <w:r>
        <w:rPr>
          <w:rFonts w:ascii="IRNazanin" w:hAnsi="IRNazanin" w:eastAsia="IRNazanin"/>
          <w:color w:val="111111"/>
          <w:sz w:val="28"/>
          <w:sz w:val="28"/>
          <w:szCs w:val="28"/>
          <w:rtl w:val="true"/>
          <w:lang w:bidi="fa-IR"/>
        </w:rPr>
        <w:t>و اعلم بأنّک ما عمّرت ممتحن‌بالخیر و الشرّ و المیسور و العسر</w:t>
      </w:r>
    </w:p>
    <w:p>
      <w:pPr>
        <w:pStyle w:val="BookText"/>
        <w:rPr/>
      </w:pPr>
      <w:r>
        <w:rPr>
          <w:rFonts w:ascii="IRNazanin" w:hAnsi="IRNazanin" w:eastAsia="IRNazanin"/>
          <w:color w:val="111111"/>
          <w:sz w:val="28"/>
          <w:sz w:val="28"/>
          <w:szCs w:val="28"/>
          <w:rtl w:val="true"/>
          <w:lang w:bidi="fa-IR"/>
        </w:rPr>
        <w:t>أنّی تنال بها نفعا بلا ضررو أنّها خلقت للنفع و الضرر</w:t>
      </w:r>
    </w:p>
    <w:p>
      <w:pPr>
        <w:pStyle w:val="BookText"/>
        <w:rPr/>
      </w:pPr>
      <w:r>
        <w:rPr>
          <w:rFonts w:ascii="IRNazanin" w:hAnsi="IRNazanin" w:eastAsia="IRNazanin"/>
          <w:color w:val="111111"/>
          <w:sz w:val="28"/>
          <w:sz w:val="28"/>
          <w:szCs w:val="28"/>
          <w:rtl w:val="true"/>
          <w:lang w:bidi="fa-IR"/>
        </w:rPr>
        <w:t>فی الجبن عار و فی الإقدام مکرمةو من یفرّ فلن ینجو من القدر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فی الأسفار ذلّ و محنةو قطع الفیافی و ارتکاب الشدائد</w:t>
      </w:r>
    </w:p>
    <w:p>
      <w:pPr>
        <w:pStyle w:val="BookText"/>
        <w:rPr/>
      </w:pPr>
      <w:r>
        <w:rPr>
          <w:rFonts w:ascii="IRNazanin" w:hAnsi="IRNazanin" w:eastAsia="IRNazanin"/>
          <w:color w:val="111111"/>
          <w:sz w:val="28"/>
          <w:sz w:val="28"/>
          <w:szCs w:val="28"/>
          <w:rtl w:val="true"/>
          <w:lang w:bidi="fa-IR"/>
        </w:rPr>
        <w:t>فموت الفتی خیر له من قیامه‌بدار هوان بین واش و حاسد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لنقل الصخر من قلل الجبال‌أحبّ إلیّ من منن الرجال </w:t>
      </w:r>
    </w:p>
    <w:p>
      <w:pPr>
        <w:pStyle w:val="BookText"/>
        <w:rPr/>
      </w:pPr>
      <w:r>
        <w:rPr>
          <w:rFonts w:ascii="IRNazanin" w:hAnsi="IRNazanin" w:eastAsia="IRNazanin"/>
          <w:color w:val="111111"/>
          <w:sz w:val="28"/>
          <w:sz w:val="28"/>
          <w:szCs w:val="28"/>
          <w:rtl w:val="true"/>
          <w:lang w:bidi="fa-IR"/>
        </w:rPr>
        <w:t>یقول الناس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الکسب عارفقلت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 فی ذلّ السؤال</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أیضا إلی غیر ذلک من الامور الشاقّة التی هی کالموت أو الموت لا تشقّ علی النفوس، بل ربما یشقّ ترکها علی النفوس بواسطة ما فی ترکها ممّا یبلغ أضعاف ما فی فعلها من المشقّة و الکلفة، و ما نحن فیه من التکلیفات الشاقّة الثابتة فی الشریعة إنّما هی من هذا القبیل الذی لا یعدّ شاقّا بواسطة ما بإزائها من المنافع و المصالح الدنیویة و الدینیة أو دفع المضارّ الکلیّة المسهّلة و المهوّنة إیّاها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فی إزاء مشقّة الجهاد منافع من السداد و الرفعة و العزّة و الهیبة و الغنیمة و تذلیل الأعداء و تعزیز الأولیاء، و فی إزاء ترکه مضارّ من الضعف و الوضع و الانحطاط و الذلّ و العار و غیرها ممّا لا یتحمّل عادة عند ذوی الغیرة و الحمیة و الأحرار و العقلاء، مضافا إلی أنّ المقاتلة و المحاربة من العادات المتداولة المستمرّة القدیمة بین جمیع الطوائف من لدن خلقة آدم إلی یومنا هذا بحیث یستسهله عامّة النفوس، أ لم تسمع بحروب أیام الجاهلیة و کثرته یتعزّزون و یتفوّقون و یفتخرون الناس بین طوائفهم بانقتال آبائهم و إخوانهم و أبنائهم فی الحروب، کما هو المتداول أیضا علی هذا المنوال فی هذه الأزمنة، بل قد سمعنا أنّ بعض الطوائف یعدّون الموت فی الفراش من المعاییر و المعایب و المناقص التی هی زیّ النساء، بل قد شاهدنا من طوائف أهل الکوفة إفراطهم فی الحرص و الشوق إلی المقاتلة و المحاربة فی ما بینهم و إلی تحمل مشاقّها التی لا یتحمّل مع ما یترتب علیها من المضارّ الدنیویة و الاخرویة، فکیف بما یترتب علیه من الفوائد و المنافع الدنیویة و الاخرویة التی لا تعدّ و لا تحصی؟ و کذلک فی إزاء ضرر إنفاق المال فی الزکاة و الخمس و غیرهما منافع من النموّ و کسب الشرف و تکمیل النفس و دفع لآمة الطبع و رذائلها</w:t>
      </w:r>
      <w:r>
        <w:rPr>
          <w:rFonts w:eastAsia="IRNazanin" w:cs="IRNazanin"/>
          <w:color w:val="111111"/>
          <w:sz w:val="28"/>
          <w:szCs w:val="28"/>
          <w:rtl w:val="true"/>
          <w:lang w:bidi="fa-IR"/>
        </w:rPr>
        <w:t xml:space="preserve">. </w:t>
      </w:r>
      <w:bookmarkStart w:id="90" w:name="pg12856_162542"/>
    </w:p>
    <w:p>
      <w:pPr>
        <w:pStyle w:val="BookText"/>
        <w:rPr/>
      </w:pPr>
      <w:bookmarkEnd w:id="90"/>
      <w:r>
        <w:rPr>
          <w:rFonts w:ascii="IRNazanin" w:hAnsi="IRNazanin" w:eastAsia="IRNazanin"/>
          <w:color w:val="111111"/>
          <w:sz w:val="28"/>
          <w:sz w:val="28"/>
          <w:szCs w:val="28"/>
          <w:rtl w:val="true"/>
          <w:lang w:bidi="fa-IR"/>
        </w:rPr>
        <w:t>أ لا تری ارتفاع العرف و العرب و استعلاء شأنهم علی الأقران و الأکفاء بنصب المضایف التی یصرف فیها من الأموال و الأطعمة ما یبلغ أضعاف مقدار الخمس و الزکاة و مع ذلک لا یعدّ عندهم من الکلفة و المشقّة، بل من الحسب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المشقّات التی یکون بإزاء فعلها من المنافع و دفع المضارّ التی یکون ترکها منافیا للامتنان لا مناسبا له حتی یندرج فی عمومات نفی العسر</w:t>
      </w:r>
      <w:r>
        <w:rPr>
          <w:rFonts w:eastAsia="IRNazanin" w:cs="IRNazanin"/>
          <w:color w:val="111111"/>
          <w:sz w:val="28"/>
          <w:szCs w:val="28"/>
          <w:rtl w:val="true"/>
          <w:lang w:bidi="fa-IR"/>
        </w:rPr>
        <w:t>.</w:t>
      </w:r>
    </w:p>
    <w:p>
      <w:pPr>
        <w:pStyle w:val="Heading5"/>
        <w:numPr>
          <w:ilvl w:val="4"/>
          <w:numId w:val="1"/>
        </w:numPr>
        <w:rPr/>
      </w:pPr>
      <w:bookmarkStart w:id="91" w:name="__RefHeading___Toc2646324_3224264995"/>
      <w:bookmarkStart w:id="92" w:name="_Toc33"/>
      <w:bookmarkEnd w:id="91"/>
      <w:r>
        <w:rPr>
          <w:rtl w:val="true"/>
        </w:rPr>
        <w:t>[</w:t>
      </w:r>
      <w:r>
        <w:rPr>
          <w:rtl w:val="true"/>
        </w:rPr>
        <w:t>المرفوع بحدیث رفع العسر و الحرج</w:t>
      </w:r>
      <w:r>
        <w:rPr>
          <w:rtl w:val="true"/>
        </w:rPr>
        <w:t>]</w:t>
      </w:r>
      <w:bookmarkEnd w:id="92"/>
    </w:p>
    <w:p>
      <w:pPr>
        <w:pStyle w:val="BookText"/>
        <w:rPr/>
      </w:pPr>
      <w:r>
        <w:rPr>
          <w:rFonts w:ascii="IRNazanin" w:hAnsi="IRNazanin" w:eastAsia="IRNazanin"/>
          <w:color w:val="111111"/>
          <w:sz w:val="28"/>
          <w:sz w:val="28"/>
          <w:szCs w:val="28"/>
          <w:rtl w:val="true"/>
          <w:lang w:bidi="fa-IR"/>
        </w:rPr>
        <w:t>و علی ذلک یکون المرفوع بحدیث رفع العسر و الحرج هو العسر المعسور الشاقّ علی العرف و العقلاء دون المیسور الغیر الشاقّ علیهم بواسطة تداوله أو اشتماله عندهم علی المنافع المیسّرة له و المهوّنة له، فإنّه خارج عن العسر العسیر من باب التخصّص لا التخصیص</w:t>
      </w:r>
      <w:r>
        <w:rPr>
          <w:rFonts w:eastAsia="IRNazanin" w:cs="IRNazanin"/>
          <w:color w:val="111111"/>
          <w:sz w:val="28"/>
          <w:szCs w:val="28"/>
          <w:rtl w:val="true"/>
          <w:lang w:bidi="fa-IR"/>
        </w:rPr>
        <w:t>.</w:t>
      </w:r>
    </w:p>
    <w:p>
      <w:pPr>
        <w:pStyle w:val="Heading5"/>
        <w:numPr>
          <w:ilvl w:val="4"/>
          <w:numId w:val="1"/>
        </w:numPr>
        <w:rPr/>
      </w:pPr>
      <w:bookmarkStart w:id="93" w:name="__RefHeading___Toc2646326_3224264995"/>
      <w:bookmarkStart w:id="94" w:name="_Toc34"/>
      <w:bookmarkEnd w:id="93"/>
      <w:r>
        <w:rPr>
          <w:rtl w:val="true"/>
        </w:rPr>
        <w:t>[</w:t>
      </w:r>
      <w:r>
        <w:rPr>
          <w:rtl w:val="true"/>
        </w:rPr>
        <w:t>جمیع مراتب التکلیف لا یخلو عن نوع من العسر</w:t>
      </w:r>
      <w:r>
        <w:rPr>
          <w:rtl w:val="true"/>
        </w:rPr>
        <w:t>]</w:t>
      </w:r>
      <w:bookmarkEnd w:id="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جمیع مراتب صحّة التکلیف و إن لم تخرج عن دائرة الطاقة لا تخلو عن نوع من العسر و الکلفة من مبدأ دائرة الطاقة إلی أن یصل إلی منتهی دائرتها الذی لا یتجاوزه التکلیف، حتی ردّ السلام مع سهولته جدّا لا یخلو التکلیف به أیضا عن نوع عسر و کلفة لیست فی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کلّ واحد من مراتب التکلیف مشتمل علی نوع عسر و کلفة لیست فی عدم التکلیف بها إلی أن یصل إلی منتهی دائرة الطاقة، فکلّ تکلیف سواء کان من أول مراتب الطاقة أو آخر مراتبها أو مرتبة ممّا بین مرتبتی الأول و الآخر لا بدّ و أن یکون فیه نوع کلفة لازمة من أصل طبائع التکالیف الدائرة مدار طاقة متعارف أوساط المکلفین، السالمین عن طروّ عوارض مرض أو عجز أو عذر و کلفة زائدة عن هذا المقدار ناشئة عن طروّ العوارض من مرض و عجز و عذر، لا عن أصل طبیعة التکلیف و العسر المرفوع بعنوان العموم و الامتنان هو المقدار الزائد عن القدر اللازم من </w:t>
      </w:r>
      <w:bookmarkStart w:id="95" w:name="pg12856_162543"/>
    </w:p>
    <w:p>
      <w:pPr>
        <w:pStyle w:val="BookText"/>
        <w:rPr/>
      </w:pPr>
      <w:bookmarkEnd w:id="95"/>
      <w:r>
        <w:rPr>
          <w:rFonts w:ascii="IRNazanin" w:hAnsi="IRNazanin" w:eastAsia="IRNazanin"/>
          <w:color w:val="111111"/>
          <w:sz w:val="28"/>
          <w:sz w:val="28"/>
          <w:szCs w:val="28"/>
          <w:rtl w:val="true"/>
          <w:lang w:bidi="fa-IR"/>
        </w:rPr>
        <w:t xml:space="preserve">أصل طبیعة التکلیف الدائر مدار طاقة عامّة أوساط المکلّفین و أغلبهم، أعنی المقدار العارض بعروض مرض أو عجز أو عذر علی المقدار اللازم من أصل طبائع التکالیف الثابتة لمتعارف أوساط المکلّفین، مثلا التکلیف بالصلاة إذا عرضت علی کلفته اللازمة من أصل التکلیف به علی أوساط المکلّفین کلفة زائدة من عرض أو مرض رفعت تلک الکلفة الزائدة العارضة، فیتبدّل قیام الصلاة العارض علیه العسر بالقعود، و قعودها العارض علیه ذلک العسر بالاضطجاع، و الاضطجاع بالإیماء و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سائر التکالیف من الصوم و الحجّ و الجهاد و الزکاة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هذه المعنی یشیر ظاهر کلام القوانین حیث قال فی رفع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یقتضیه النظر فی مجامع الکلام و أطرافه بعد حصول القطع بأنّ التکالیف الشاقّة واردة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العسر و الحرج و الضرر المنفیّات هی التی تزید علی ما هی لازمة لطبائع التکالیف الثابتة من حیث هی، التی معیارها طاقة متعارف الأوساط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2646328_3224264995"/>
      <w:bookmarkStart w:id="97" w:name="_Toc35"/>
      <w:bookmarkEnd w:id="96"/>
      <w:r>
        <w:rPr>
          <w:rtl w:val="true"/>
        </w:rPr>
        <w:t>[</w:t>
      </w:r>
      <w:r>
        <w:rPr>
          <w:rtl w:val="true"/>
        </w:rPr>
        <w:t>تعریض باستظهار النراقی کلام صاحب القوانین</w:t>
      </w:r>
      <w:r>
        <w:rPr>
          <w:rtl w:val="true"/>
        </w:rPr>
        <w:t>]</w:t>
      </w:r>
      <w:bookmarkEnd w:id="97"/>
    </w:p>
    <w:p>
      <w:pPr>
        <w:pStyle w:val="BookText"/>
        <w:rPr/>
      </w:pPr>
      <w:r>
        <w:rPr>
          <w:rFonts w:ascii="IRNazanin" w:hAnsi="IRNazanin" w:eastAsia="IRNazanin"/>
          <w:color w:val="111111"/>
          <w:sz w:val="28"/>
          <w:sz w:val="28"/>
          <w:szCs w:val="28"/>
          <w:rtl w:val="true"/>
          <w:lang w:bidi="fa-IR"/>
        </w:rPr>
        <w:t>لا إلی ما فهم منه النراقی طاب ثراه فی عوائده من حمل کلامه علی إرادة کون الأصل نفی العسر و الحرج إلّا فی ما ثبت بالدلیل، و کون التکلیفات الشاقّة خارجة عن تحت الأصل بالدلیل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2646330_3224264995"/>
      <w:bookmarkStart w:id="99" w:name="_Toc36"/>
      <w:bookmarkEnd w:id="98"/>
      <w:r>
        <w:rPr>
          <w:rtl w:val="true"/>
        </w:rPr>
        <w:t>[</w:t>
      </w:r>
      <w:r>
        <w:rPr>
          <w:rtl w:val="true"/>
        </w:rPr>
        <w:t>هل المدار علی العسر الشخصی أو النوعی منه</w:t>
      </w:r>
      <w:r>
        <w:rPr>
          <w:rtl w:val="true"/>
        </w:rPr>
        <w:t>]</w:t>
      </w:r>
      <w:bookmarkEnd w:id="99"/>
    </w:p>
    <w:p>
      <w:pPr>
        <w:pStyle w:val="BookText"/>
        <w:rPr/>
      </w:pPr>
      <w:r>
        <w:rPr>
          <w:rFonts w:ascii="IRNazanin" w:hAnsi="IRNazanin" w:eastAsia="IRNazanin"/>
          <w:color w:val="111111"/>
          <w:sz w:val="28"/>
          <w:sz w:val="28"/>
          <w:szCs w:val="28"/>
          <w:rtl w:val="true"/>
          <w:lang w:bidi="fa-IR"/>
        </w:rPr>
        <w:t>ثمّ المدار فی معنی العسر علی العسر العرفی کما هو المدار فی سائر الموضوعات المستنبطة التی لیس للشارع فیها عرف خاصّ</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 هل المدار بعد ذلک علی العسر الشخصی المنوط بخصوص کلّ شخص شخص، من آحاد المکلّفین لئلا یلزم من نفیه عمّن تحقّق فی حقّه العسر </w:t>
      </w:r>
      <w:bookmarkStart w:id="100" w:name="pg12856_162544"/>
    </w:p>
    <w:p>
      <w:pPr>
        <w:pStyle w:val="BookText"/>
        <w:rPr/>
      </w:pPr>
      <w:bookmarkEnd w:id="100"/>
      <w:r>
        <w:rPr>
          <w:rFonts w:ascii="IRNazanin" w:hAnsi="IRNazanin" w:eastAsia="IRNazanin"/>
          <w:color w:val="111111"/>
          <w:sz w:val="28"/>
          <w:sz w:val="28"/>
          <w:szCs w:val="28"/>
          <w:rtl w:val="true"/>
          <w:lang w:bidi="fa-IR"/>
        </w:rPr>
        <w:t>من الأشخاص نفیه عمن لم یتحقّق فی حقّه العسر منهم، أم علی العسر النوعی المنوط بتحقّقه فی نوع المکلّفین و أغلبهم و إن لم یتحقّق فی نادر الأشخاص لیلزم من نفیه عن النوع نفیه عن کلّ شخص شخص و إن لم یتحقّق فی حقّه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العسر علّة للحکم لیلزم اطّراده فی جمیع موارد حکمه، أم حکمة له لیکتفی بوجوده فی غالب موارد حکمه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التفصیل بین العسر الرافع للتکالیف الثابت نوعها فی الشریعة فیدور رفع العسر مدار تحقّقه فی الشخص، فلا یستلزم نفیه عمّن تحقّق فی حقّه نفیه عمن لم یتحقّق فی حقّه، و بین الدافع لأصل تشریع التکلیف و تنجّزه فی الشریعة فیدور مدار تحقّق العسر فی نوع المکلفین و غالبهم، فینفی عن کلّ شخص و إن لم یتحقّق علیه العسر بذلک التکلیف کما فی تشریع القصر علی المسافر، و الطهارة فی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ارتفاعه عن النوع و الغالب لو لم یستلزم ارتفاعه عن الشخص و النادر الباقی أیضا لاستلزم إیقاع المکلّف فی حیص و بیص، من جهة تشخیص اندراج نفسه فی کلّ آن من الآنات الطارئة علیه، و کلّ حال من الأحوال العارضة له تحت النوع الغالب لیلحقه حکم الرفع أو النادر لئلا یلحقه الحکم، فیلزم من وجود نفی العسر عدمه و من عدمه وجوده و اللازم باطل فالملزوم مثله</w:t>
      </w:r>
      <w:r>
        <w:rPr>
          <w:rFonts w:eastAsia="IRNazanin" w:cs="IRNazanin"/>
          <w:color w:val="111111"/>
          <w:sz w:val="28"/>
          <w:szCs w:val="28"/>
          <w:rtl w:val="true"/>
          <w:lang w:bidi="fa-IR"/>
        </w:rPr>
        <w:t>.</w:t>
      </w:r>
    </w:p>
    <w:p>
      <w:pPr>
        <w:pStyle w:val="Heading5"/>
        <w:numPr>
          <w:ilvl w:val="4"/>
          <w:numId w:val="1"/>
        </w:numPr>
        <w:rPr/>
      </w:pPr>
      <w:bookmarkStart w:id="101" w:name="__RefHeading___Toc2646332_3224264995"/>
      <w:bookmarkStart w:id="102" w:name="_Toc37"/>
      <w:bookmarkEnd w:id="101"/>
      <w:r>
        <w:rPr>
          <w:rtl w:val="true"/>
        </w:rPr>
        <w:t>[</w:t>
      </w:r>
      <w:r>
        <w:rPr>
          <w:rtl w:val="true"/>
        </w:rPr>
        <w:t>أحکام الشرع و سیاساته مبنیّة علی طبق أحکام العقلاء و سیاساتهم</w:t>
      </w:r>
      <w:r>
        <w:rPr>
          <w:rtl w:val="true"/>
        </w:rPr>
        <w:t>]</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المستفاد من الاستقراء و التّتبع کون أحکام الشارع و سیاساته مبنیة علی طبق سائر أحکام العقلاء و سیاساتهم فی إلحاق الشخص فی الحکم بالنوع و النادر بالغالب لا العکس، أعنی إلحاق النوع بالشخص و الغالب بالنادر، فلهذا لم یرتفع العسر فی الشقّ الأول عن النوع و الغالب بواسطة ارتفاعه عن الشخص و النادر، و ارتفع فی الشقّ الثانی عن الشخص و النادر بواسطة ارتفاعه عن النوع و الغالب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التفصیل المذکور من العسر المنفی یستلزم استعماله فی أکثر من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العسر المنفی أمر بسیط و اختلافه بالرفع و الدفع ناشئ عن اختلاف محلّ العسر المنفی فلا یلزم استعماله فی أکثر من معنی إذا أرید من نفیه الرفع و الدفع، کما لا یلزم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أرضی أن یکون فی داری مثلا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منه إخراج الموجود فیه من الفاسقین و عدم إدخال الخارج عنه من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اختلاف العسر المدفوع و المرفوع بالذات لا بالخارج إلّا أنّ بینهما جامع یجمعهما فی الإرادة و هو نفی العسر، فإنّه لا یقصر عن العالم الجامع لأفراده المتباینة بالتشخّص جدّا، و حلّ ذلک کلّه أنّ الظاهر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بِکُمُ الْیُسْرَ وَ لا یُرِیدُ بِکُمُ الْعُسْرَ</w:t>
      </w:r>
      <w:r>
        <w:rPr>
          <w:rStyle w:val="FootnoteAnchor"/>
          <w:rtl w:val="true"/>
        </w:rPr>
        <w:footnoteReference w:id="56"/>
      </w:r>
      <w:r>
        <w:rPr>
          <w:rFonts w:ascii="Amiri" w:hAnsi="Amiri" w:eastAsia="Amiri" w:cs="Amiri"/>
          <w:color w:val="111111"/>
          <w:sz w:val="28"/>
          <w:sz w:val="28"/>
          <w:szCs w:val="28"/>
          <w:rtl w:val="true"/>
          <w:lang w:bidi="ar-SA"/>
        </w:rPr>
        <w:t>و ما جَعَلَ عَلَیْکُمْ فِی الدِّینِ مِنْ حَرَجٍ</w:t>
      </w:r>
      <w:r>
        <w:rPr>
          <w:rStyle w:val="FootnoteAnchor"/>
          <w:rtl w:val="true"/>
        </w:rPr>
        <w:footnoteReference w:id="57"/>
      </w:r>
      <w:r>
        <w:rPr>
          <w:rFonts w:ascii="IRNazanin" w:hAnsi="IRNazanin" w:eastAsia="IRNazanin"/>
          <w:color w:val="111111"/>
          <w:sz w:val="28"/>
          <w:sz w:val="28"/>
          <w:szCs w:val="28"/>
          <w:rtl w:val="true"/>
          <w:lang w:bidi="fa-IR"/>
        </w:rPr>
        <w:t>هو علّیّة العسر لکلّ من الرفع و الدفع و دورانه وجودا و عدما مدار الأشخاص و عدم لحوق الفاقد للعسر بالواجد له فی الحکم کما فی مقام الرفع، و أمّا مقام الدفع فاستتباعه للغالب و إلحاق النادر به فإنّما هو من جهة ضمیمة إحراز اتّحاد التکلیف و عدم تبعّضه من الخارج</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العسر اللازم لأغلب المکلّفین من توجّه بعض الأحکام و تنجّزها علیهم و إن استلزم الدفع و المنع من تنجز ذلک الحکم العسری علی خصوص المتعسّر علیهم فقط کما فی مقام الرفع، إلّا أنّه بضمیمة علمنا من الخارج بالإجماع المرکّب و عدم القول بالفصل و عدم تبعّض الحکم فی المکلّفین </w:t>
      </w:r>
      <w:bookmarkStart w:id="103" w:name="pg12856_162546"/>
    </w:p>
    <w:p>
      <w:pPr>
        <w:pStyle w:val="BookText"/>
        <w:rPr/>
      </w:pPr>
      <w:bookmarkEnd w:id="103"/>
      <w:r>
        <w:rPr>
          <w:rFonts w:ascii="IRNazanin" w:hAnsi="IRNazanin" w:eastAsia="IRNazanin"/>
          <w:color w:val="111111"/>
          <w:sz w:val="28"/>
          <w:sz w:val="28"/>
          <w:szCs w:val="28"/>
          <w:rtl w:val="true"/>
          <w:lang w:bidi="fa-IR"/>
        </w:rPr>
        <w:t>یعلم إلحاق سائر المکلّفین الغیر المتعسّر علیهم ذلک الحکم بالمتعسّر علیهم، فدورانه مدار النوع و تخلّفه عن العلّیة فی مقام الدفع إنّما نشأ من ضمیمة الدلیل الخارجی إلی أدلّة العسر، لا من مجرّد دلیل العسر حتی یلزم استعماله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لکون الظنون الحاصلة فی المسائل الفرعیة</w:t>
      </w:r>
      <w:r>
        <w:rPr>
          <w:rFonts w:eastAsia="IRNazanin" w:cs="IRNazanin"/>
          <w:color w:val="111111"/>
          <w:sz w:val="28"/>
          <w:szCs w:val="28"/>
          <w:rtl w:val="true"/>
          <w:lang w:bidi="fa-IR"/>
        </w:rPr>
        <w:t>».</w:t>
      </w:r>
    </w:p>
    <w:p>
      <w:pPr>
        <w:pStyle w:val="Heading5"/>
        <w:numPr>
          <w:ilvl w:val="4"/>
          <w:numId w:val="1"/>
        </w:numPr>
        <w:rPr/>
      </w:pPr>
      <w:bookmarkStart w:id="104" w:name="__RefHeading___Toc2646334_3224264995"/>
      <w:bookmarkStart w:id="105" w:name="_Toc38"/>
      <w:bookmarkEnd w:id="104"/>
      <w:r>
        <w:rPr>
          <w:rtl w:val="true"/>
        </w:rPr>
        <w:t>[</w:t>
      </w:r>
      <w:r>
        <w:rPr>
          <w:rtl w:val="true"/>
        </w:rPr>
        <w:t>توجیه امکان اجتماع الظن التفصیلی علی خلاف العلم الإجمالی</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التفصیل توجیه لإمکان اجتماع الظنّ التفصیلی مع العلم الإجمالی فی طرفی النقیض بعد امتناعه و استلزامه اجتماع الضدّین بأحد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الظنّ التفصیلی نوعیا کالظنّ الحاصل من الاستصحاب بحیاة کلّ واحد واحد من أهل بلد مع العلم الإجمالی بموت بعضهم فی کلّ یوم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ذلک العلم الإجمالی ظنّا نوعیا کالمستفاد ممّا من شأنه الظنّ ببقاء حیاة کلّ منهم مع الظنّ الفعلی الحاصل من الخبر بموت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عدم التنافی بین الظنون التفصیلیة الشخصیة، و بین العلم الإجمالی بخلافها، کالظنّ الحاصل من الغلبة بسواد کلّ زنجیّ مع العلم الإجمالی بوجود فرد أبیض نادر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فإنّ العلم الإجمالی کالعلم التفصیلی فی منافاة الاجتماع مع الظنّ التفصیلی بخلافه، غایة الفرق أن المنافاة فی التفصیلی تفصیلی و فی الإجمالی إجمالیّ و هو غیر 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عرفت عدم معارضة عمومات نفی العسر بشی‌ء من العمومات المثبتة للتکلیف العسر</w:t>
      </w:r>
      <w:r>
        <w:rPr>
          <w:rFonts w:eastAsia="IRNazanin" w:cs="IRNazanin"/>
          <w:color w:val="111111"/>
          <w:sz w:val="28"/>
          <w:szCs w:val="28"/>
          <w:rtl w:val="true"/>
          <w:lang w:bidi="fa-IR"/>
        </w:rPr>
        <w:t>».</w:t>
      </w:r>
    </w:p>
    <w:p>
      <w:pPr>
        <w:pStyle w:val="Heading5"/>
        <w:numPr>
          <w:ilvl w:val="4"/>
          <w:numId w:val="1"/>
        </w:numPr>
        <w:rPr/>
      </w:pPr>
      <w:bookmarkStart w:id="106" w:name="__RefHeading___Toc2646336_3224264995"/>
      <w:bookmarkStart w:id="107" w:name="_Toc39"/>
      <w:bookmarkEnd w:id="106"/>
      <w:r>
        <w:rPr>
          <w:rtl w:val="true"/>
        </w:rPr>
        <w:t>[</w:t>
      </w:r>
      <w:r>
        <w:rPr>
          <w:rtl w:val="true"/>
        </w:rPr>
        <w:t>ایراد علی کلام الماتن فی ردّ الاشکال بالمعارضة بین أدلّة نفی العسر و الحرج و أدلّة حرمة العمل بالظن</w:t>
      </w:r>
      <w:r>
        <w:rPr>
          <w:rtl w:val="true"/>
        </w:rPr>
        <w:t>]</w:t>
      </w:r>
      <w:bookmarkEnd w:id="10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من الجواب المستدرک المعهود من المصنف </w:t>
      </w:r>
    </w:p>
    <w:p>
      <w:pPr>
        <w:pStyle w:val="BookText"/>
        <w:rPr/>
      </w:pPr>
      <w:r>
        <w:rPr>
          <w:rFonts w:ascii="IRNazanin" w:hAnsi="IRNazanin" w:eastAsia="IRNazanin"/>
          <w:color w:val="111111"/>
          <w:sz w:val="28"/>
          <w:sz w:val="28"/>
          <w:szCs w:val="28"/>
          <w:rtl w:val="true"/>
          <w:lang w:bidi="fa-IR"/>
        </w:rPr>
        <w:t>معرفته و بیانه سابقا</w:t>
      </w:r>
      <w:r>
        <w:rPr>
          <w:rStyle w:val="FootnoteAnchor"/>
          <w:rtl w:val="true"/>
        </w:rPr>
        <w:footnoteReference w:id="58"/>
      </w:r>
      <w:r>
        <w:rPr>
          <w:rFonts w:ascii="IRNazanin" w:hAnsi="IRNazanin" w:eastAsia="IRNazanin"/>
          <w:color w:val="111111"/>
          <w:sz w:val="28"/>
          <w:sz w:val="28"/>
          <w:szCs w:val="28"/>
          <w:rtl w:val="true"/>
          <w:lang w:bidi="fa-IR"/>
        </w:rPr>
        <w:t>هو حکومة عموم نفی العسر علی عموم حرمة العمل بالظنّ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مفروض الإشکال و توجیه الجواب هو ذلک إلّا أنّه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المعهود المسبوق معرفته و بیانه سابقا من المصنف إنّما هو حکومة أدلّة نفی العسر علی العمومات المثبتة للتکلیف العسر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أقیموا الصلاة و آتوا الزکاة و الحجّ و الصوم و نحوها، لا حکومتها علی عموم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حرمة العمل بالظنّ أعمّ من العمومات المثبتة للتکلیف العسر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النفی و الإثبات، و من جهة العسر و الیسر فکیف یرید المصنف به ذلک، مع عدم القرینة و بعده فی نفسه؟</w:t>
      </w:r>
    </w:p>
    <w:p>
      <w:pPr>
        <w:pStyle w:val="BookText"/>
        <w:rPr/>
      </w:pPr>
      <w:r>
        <w:rPr>
          <w:rFonts w:ascii="IRNazanin" w:hAnsi="IRNazanin" w:eastAsia="IRNazanin"/>
          <w:color w:val="111111"/>
          <w:sz w:val="28"/>
          <w:sz w:val="28"/>
          <w:szCs w:val="28"/>
          <w:rtl w:val="true"/>
          <w:lang w:bidi="fa-IR"/>
        </w:rPr>
        <w:t>و إن ارید من الجواب المستدرک المعهود سابقا هو حکومة عموم نفی العسر علی العموم المثبت للتکلیف العسر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أقیموا الصلاة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هو ظاهر الجواب المعهود المسبوق من المصنف معرفته و بیانه إلّا أنّ حکومة عموم نفی العسر علی العمومات المثبتة للتکلیف العسر مبنیّ علی عدم ابتلاء الحاکم بالمعارض المفروض التقدّم علیه فی کلامه، و هو نصوص حرمة العمل بالظنّ فمع ابتلاء هذا الحاکم بالمعارض المفروض التقدّم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الحرمة الذاتیة للعمل بالظنّ مطلقا و لو لم یکن علی جهة التشریع</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کیف یصحّ منه الطفرة عن جواب المعارضة المفروضة إلی الجواب بحکومة الحاکم علی محکومه؟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کان الصواب الجواب أولا عن معارضة نصوص حرمة العمل بالظن تارة بأنّها أیضا عمومات ظنّیة کعمومات نفی العسر، فیلزم من حرمتها حرمة نفسها، </w:t>
      </w:r>
      <w:bookmarkStart w:id="108" w:name="pg12856_162548"/>
    </w:p>
    <w:p>
      <w:pPr>
        <w:pStyle w:val="BookText"/>
        <w:rPr/>
      </w:pPr>
      <w:bookmarkEnd w:id="108"/>
      <w:r>
        <w:rPr>
          <w:rFonts w:ascii="IRNazanin" w:hAnsi="IRNazanin" w:eastAsia="IRNazanin"/>
          <w:color w:val="111111"/>
          <w:sz w:val="28"/>
          <w:sz w:val="28"/>
          <w:szCs w:val="28"/>
          <w:rtl w:val="true"/>
          <w:lang w:bidi="fa-IR"/>
        </w:rPr>
        <w:t>و ما یلزم من وجوده عدمه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بأنّه لو سلّم عدم شمول عمومها لنفسها و لکنها بأنّها عمومات لفظیة قابلة للتخصیص بعموم نفی العسر، کما خصّصت بقبول البیّنة الظنّیة و سائر الأدلّة الظنّیة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 بأنّ المنهی عنه بأسرها لیست ظنونا حقیقیة بل هی بقرینة موادّها و شأن نزولها ظنون زعمیة و مغالطات وهمیة و مناظرات جهلیة فی مقابلة اللّه و إلزامات أنبیائه صلوات اللّه علیهم بالتوحید و ترک الشرک، و عبادة الأصنام، کقیاس إبلیس فی مجادلة الحقّ و قیاس العامّة فی مقابلة النصّ ممّا لم یفد ظنّا بل و لا وهما، سوی محض المکابرة فی مقابلة الحجّة و اللجاج فی مقابلة الاحتجاج و الشبهة فی مقابل البدیهة، 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وَجَدْنا عَلَیْهِ آباءَنا</w:t>
      </w:r>
      <w:r>
        <w:rPr>
          <w:rStyle w:val="FootnoteAnchor"/>
          <w:rtl w:val="true"/>
        </w:rPr>
        <w:footnoteReference w:id="60"/>
      </w:r>
      <w:r>
        <w:rPr>
          <w:rFonts w:ascii="Amiri" w:hAnsi="Amiri" w:eastAsia="Amiri" w:cs="Amiri"/>
          <w:color w:val="111111"/>
          <w:sz w:val="28"/>
          <w:sz w:val="28"/>
          <w:szCs w:val="28"/>
          <w:rtl w:val="true"/>
          <w:lang w:bidi="ar-SA"/>
        </w:rPr>
        <w:t>أَ إِنَّا لَتارِکُوا آلِهَتِنا</w:t>
      </w:r>
      <w:r>
        <w:rPr>
          <w:rStyle w:val="FootnoteAnchor"/>
          <w:rtl w:val="true"/>
        </w:rPr>
        <w:footnoteReference w:id="61"/>
      </w:r>
      <w:r>
        <w:rPr>
          <w:rFonts w:ascii="Amiri" w:hAnsi="Amiri" w:eastAsia="Amiri" w:cs="Amiri"/>
          <w:color w:val="111111"/>
          <w:sz w:val="28"/>
          <w:sz w:val="28"/>
          <w:szCs w:val="28"/>
          <w:rtl w:val="true"/>
          <w:lang w:bidi="ar-SA"/>
        </w:rPr>
        <w:t>عن قولک وَ ما نَحْنُ لَکَ بِمُؤْمِنِینَ</w:t>
      </w:r>
      <w:r>
        <w:rPr>
          <w:rStyle w:val="FootnoteAnchor"/>
          <w:rtl w:val="true"/>
        </w:rPr>
        <w:footnoteReference w:id="62"/>
      </w:r>
      <w:r>
        <w:rPr>
          <w:rFonts w:ascii="IRNazanin" w:hAnsi="IRNazanin" w:eastAsia="IRNazanin"/>
          <w:color w:val="111111"/>
          <w:sz w:val="28"/>
          <w:sz w:val="28"/>
          <w:szCs w:val="28"/>
          <w:rtl w:val="true"/>
          <w:lang w:bidi="fa-IR"/>
        </w:rPr>
        <w:t>و لکن لما کان تسمیة هذه الأوهام بالظنون الزعمیة فی المقام کان مقتضی البلاغة الکلام فی مقام الطعن و الإلزام تکلّم کلّ بلسان قومه کما عبّر عن الأصنام بالآلهة، و الربّ و الأرباب من دون اللّه، و عن الخمر و المیسر بأنّ فیهما منافع للناس مع الطعن فیهم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هِیَ إِلَّا أَسْماءٌ سَمَّیْتُمُوها أَنْتُمْ وَ آباؤُکُمْ ما أَنْزَلَ اللَّهُ بِها مِنْ سُلْطانٍ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2646338_3224264995"/>
      <w:bookmarkStart w:id="110" w:name="_Toc40"/>
      <w:bookmarkEnd w:id="109"/>
      <w:r>
        <w:rPr>
          <w:rtl w:val="true"/>
        </w:rPr>
        <w:t>[</w:t>
      </w:r>
      <w:r>
        <w:rPr>
          <w:rtl w:val="true"/>
        </w:rPr>
        <w:t>تعمیم المنفی للدفع و الرفع و لما جاء من قبل المکلّف</w:t>
      </w:r>
      <w:r>
        <w:rPr>
          <w:rtl w:val="true"/>
        </w:rPr>
        <w:t>]</w:t>
      </w:r>
      <w:bookmarkEnd w:id="11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عموم أدلّة نفی العسر تعمیم المنفیّ للدفع و الرفع، بل و لما یلزم منه اختلال النظام و لما لا یلزم منه الاختلال بل و لما جاء من قبل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 من قبل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کتعمّده الجنابة عند </w:t>
      </w:r>
    </w:p>
    <w:p>
      <w:pPr>
        <w:pStyle w:val="BookText"/>
        <w:rPr/>
      </w:pPr>
      <w:r>
        <w:rPr>
          <w:rFonts w:ascii="IRNazanin" w:hAnsi="IRNazanin" w:eastAsia="IRNazanin"/>
          <w:color w:val="111111"/>
          <w:sz w:val="28"/>
          <w:sz w:val="28"/>
          <w:szCs w:val="28"/>
          <w:rtl w:val="true"/>
          <w:lang w:bidi="fa-IR"/>
        </w:rPr>
        <w:t>تضرّره بالماء و تعسّره علیه، بل و لما تسبّب المکلّف لتشریع الشارع علیه من الأحکام التکلیفیة الشاقّة کتعمّد الجنابة عند تضرّر الماء و مشقّته و لما تسبّب المکلّف لإمضاء الشارع علیه من الأحکام الوضعیة الشاقّة کاستیجار نفسه علی الأعمال الشاقّة، أو نذر شی‌ء من الأعمال الشاقّة نظرا إلی أنّ الإمضاء أیضا نوع من الجعل و إن لم یکن من التأسیس، فیشمله عموم ما جَعَلَ عَلَیْکُمْ فِی الدِّینِ مِنْ حَرَجٍ</w:t>
      </w:r>
      <w:r>
        <w:rPr>
          <w:rStyle w:val="FootnoteAnchor"/>
          <w:rtl w:val="true"/>
        </w:rPr>
        <w:footnoteReference w:id="64"/>
      </w:r>
      <w:r>
        <w:rPr>
          <w:rFonts w:ascii="Amiri" w:hAnsi="Amiri" w:eastAsia="Amiri" w:cs="Amiri"/>
          <w:color w:val="111111"/>
          <w:sz w:val="28"/>
          <w:sz w:val="28"/>
          <w:szCs w:val="28"/>
          <w:rtl w:val="true"/>
          <w:lang w:bidi="ar-SA"/>
        </w:rPr>
        <w:t>کیف لا یکون الإمضاء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65"/>
      </w:r>
      <w:r>
        <w:rPr>
          <w:rFonts w:ascii="IRNazanin" w:hAnsi="IRNazanin" w:eastAsia="IRNazanin"/>
          <w:color w:val="111111"/>
          <w:sz w:val="28"/>
          <w:sz w:val="28"/>
          <w:szCs w:val="28"/>
          <w:rtl w:val="true"/>
          <w:lang w:bidi="fa-IR"/>
        </w:rPr>
        <w:t>نوعا من الجعل و الحال أنّه تعالی یثیب علی الالتزام بلوازمه و یعاقب علی عدم الالتزام بلوازمه، کما یثیب و یعاقب علی الالتزام بالأحکام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أعنی تعمیم المنفی فی الشریعة من الجهات الأربع المذکورة هو الظاهر من عموم أدلّة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الأخبار الدالّة علی أنّ من نذر صوما أو غیره فعجز کفّر عن کلّ یوم بمدّ من طعام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أمر المصنف بالتأمّل فی التفصیل و التفرقة بین التأسیس و الإمضاء إشارة إلی منع التفرقة و التفصیل بما ذکرنا، خلافا لمن فصّل فی المنفی بین الدفع و الرفع، أو بین الموجب لاختلال النظام و عدمه، أو بین ما یجی‌ء من قبل المکلّف کتعمّده الجنابة و غیره، أو بین ما یتسبّب المکلّف لتشریع حکمه التکلیفی أو لإمضاء حکمه الوضعی حسبما یظهر من المتن</w:t>
      </w:r>
      <w:r>
        <w:rPr>
          <w:rStyle w:val="FootnoteAnchor"/>
          <w:rtl w:val="true"/>
        </w:rPr>
        <w:footnoteReference w:id="67"/>
      </w:r>
      <w:r>
        <w:rPr>
          <w:rFonts w:ascii="IRNazanin" w:hAnsi="IRNazanin" w:eastAsia="IRNazanin"/>
          <w:color w:val="111111"/>
          <w:sz w:val="28"/>
          <w:sz w:val="28"/>
          <w:szCs w:val="28"/>
          <w:rtl w:val="true"/>
          <w:lang w:bidi="fa-IR"/>
        </w:rPr>
        <w:t>وجه کلّ منها تفصیلا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یردّ الاحتیاط بوجوه أخر غیر ما ذکر من الإجماع و الحرج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وجوب الاحتیاط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1" w:name="pg12856_162550"/>
    </w:p>
    <w:p>
      <w:pPr>
        <w:pStyle w:val="Heading5"/>
        <w:numPr>
          <w:ilvl w:val="4"/>
          <w:numId w:val="1"/>
        </w:numPr>
        <w:rPr/>
      </w:pPr>
      <w:bookmarkStart w:id="112" w:name="__RefHeading___Toc2646340_3224264995"/>
      <w:bookmarkStart w:id="113" w:name="_Toc41"/>
      <w:bookmarkEnd w:id="111"/>
      <w:bookmarkEnd w:id="112"/>
      <w:r>
        <w:rPr>
          <w:rtl w:val="true"/>
        </w:rPr>
        <w:t>[</w:t>
      </w:r>
      <w:r>
        <w:rPr>
          <w:rtl w:val="true"/>
        </w:rPr>
        <w:t>الأقوال فی وجوب الاحتیاط</w:t>
      </w:r>
      <w:r>
        <w:rPr>
          <w:rtl w:val="true"/>
        </w:rPr>
        <w:t>]</w:t>
      </w:r>
      <w:bookmarkEnd w:id="1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الاصولیون فی وجود الدلیل علی وجوب الاحتیاط فی الأحکام ما لم یمنع منه مانع خارجی من عسر و غیره، و عدم وجود الدلیل علیه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بوجود الدلیل علی وجوبه بمجرّد وجود الاحتمال فضلا عن وجود العلم و إن خصّه أکثر القائلین به بالتروک، لاجتماعها دون الأفعال، لعدم اجتماعها کما هو مذهب الحظریین القائلین بأصالة الحظر فی الأشیاء، استنادا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المحتمل</w:t>
      </w:r>
      <w:r>
        <w:rPr>
          <w:rFonts w:eastAsia="IRNazanin" w:cs="IRNazanin"/>
          <w:color w:val="111111"/>
          <w:sz w:val="28"/>
          <w:szCs w:val="28"/>
          <w:rtl w:val="true"/>
          <w:lang w:bidi="fa-IR"/>
        </w:rPr>
        <w:t>».</w:t>
      </w:r>
    </w:p>
    <w:p>
      <w:pPr>
        <w:pStyle w:val="Heading5"/>
        <w:numPr>
          <w:ilvl w:val="4"/>
          <w:numId w:val="1"/>
        </w:numPr>
        <w:rPr/>
      </w:pPr>
      <w:bookmarkStart w:id="114" w:name="__RefHeading___Toc2646342_3224264995"/>
      <w:bookmarkStart w:id="115" w:name="_Toc42"/>
      <w:bookmarkEnd w:id="114"/>
      <w:r>
        <w:rPr>
          <w:rtl w:val="true"/>
        </w:rPr>
        <w:t>[</w:t>
      </w:r>
      <w:r>
        <w:rPr>
          <w:rtl w:val="true"/>
        </w:rPr>
        <w:t>دراسة النظر فی الأقوال فی المسألة</w:t>
      </w:r>
      <w:r>
        <w:rPr>
          <w:rtl w:val="true"/>
        </w:rPr>
        <w:t>]</w:t>
      </w:r>
      <w:bookmarkEnd w:id="115"/>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أصل البراءة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تلک القاعدة بما قبل ورود أصل الشریعة دون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بوجوب الاحتیاط لکن لا بمجرّد الاحتمال بل بمجرّد العلم بالواقع و لو إجمالا کما نسب إلی المشهور و علیه الماتن، استنادا إلی أنّ التکلیف بالواقع و مجرّد العلم و لو إجمالا به کاف بوجوبه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ثالث بعدم وجوب الواقع إلّا مع العلم التفصیلی به، کما علیه القوانین</w:t>
      </w:r>
      <w:r>
        <w:rPr>
          <w:rStyle w:val="FootnoteAnchor"/>
          <w:rtl w:val="true"/>
        </w:rPr>
        <w:footnoteReference w:id="69"/>
      </w:r>
      <w:r>
        <w:rPr>
          <w:rFonts w:ascii="IRNazanin" w:hAnsi="IRNazanin" w:eastAsia="IRNazanin"/>
          <w:color w:val="111111"/>
          <w:sz w:val="28"/>
          <w:sz w:val="28"/>
          <w:szCs w:val="28"/>
          <w:rtl w:val="true"/>
          <w:lang w:bidi="fa-IR"/>
        </w:rPr>
        <w:t>و جماعة من المحقّقین کالسبزواری و الخوانساری و الأردبیلی</w:t>
      </w:r>
      <w:r>
        <w:rPr>
          <w:rStyle w:val="FootnoteAnchor"/>
          <w:rtl w:val="true"/>
        </w:rPr>
        <w:footnoteReference w:id="70"/>
      </w:r>
      <w:r>
        <w:rPr>
          <w:rFonts w:ascii="IRNazanin" w:hAnsi="IRNazanin" w:eastAsia="IRNazanin"/>
          <w:color w:val="111111"/>
          <w:sz w:val="28"/>
          <w:sz w:val="28"/>
          <w:szCs w:val="28"/>
          <w:rtl w:val="true"/>
          <w:lang w:bidi="fa-IR"/>
        </w:rPr>
        <w:t>و المجلسی</w:t>
      </w:r>
      <w:r>
        <w:rPr>
          <w:rStyle w:val="FootnoteAnchor"/>
          <w:rtl w:val="true"/>
        </w:rPr>
        <w:footnoteReference w:id="71"/>
      </w:r>
      <w:r>
        <w:rPr>
          <w:rFonts w:ascii="IRNazanin" w:hAnsi="IRNazanin" w:eastAsia="IRNazanin"/>
          <w:color w:val="111111"/>
          <w:sz w:val="28"/>
          <w:sz w:val="28"/>
          <w:szCs w:val="28"/>
          <w:rtl w:val="true"/>
          <w:lang w:bidi="fa-IR"/>
        </w:rPr>
        <w:t>علی ما حکی عنهم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رابع بعدم وجوبه بمجرّد العلم التفصیلی أیضا بل لا بدّ فی وجوبه مع ذلک من تأکید البیان العقلی بالبیان السمعی اللفظی، زعما أنّه من اللطف الواجب </w:t>
      </w:r>
      <w:bookmarkStart w:id="116" w:name="pg12856_162551"/>
    </w:p>
    <w:p>
      <w:pPr>
        <w:pStyle w:val="BookText"/>
        <w:rPr/>
      </w:pPr>
      <w:bookmarkEnd w:id="116"/>
      <w:r>
        <w:rPr>
          <w:rFonts w:ascii="Amiri" w:hAnsi="Amiri" w:eastAsia="Amiri" w:cs="Amiri"/>
          <w:color w:val="111111"/>
          <w:sz w:val="28"/>
          <w:sz w:val="28"/>
          <w:szCs w:val="28"/>
          <w:rtl w:val="true"/>
          <w:lang w:bidi="ar-SA"/>
        </w:rPr>
        <w:t>حاملا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72"/>
      </w:r>
      <w:r>
        <w:rPr>
          <w:rFonts w:ascii="Amiri" w:hAnsi="Amiri" w:eastAsia="Amiri" w:cs="Amiri"/>
          <w:color w:val="111111"/>
          <w:sz w:val="28"/>
          <w:sz w:val="28"/>
          <w:szCs w:val="28"/>
          <w:rtl w:val="true"/>
          <w:lang w:bidi="ar-SA"/>
        </w:rPr>
        <w:t>وَ ما أَرْسَلْنا مِنْ رَسُولٍ إِلَّا بِلِسانِ قَوْمِهِ</w:t>
      </w:r>
      <w:r>
        <w:rPr>
          <w:rStyle w:val="FootnoteAnchor"/>
          <w:rtl w:val="true"/>
        </w:rPr>
        <w:footnoteReference w:id="73"/>
      </w:r>
      <w:r>
        <w:rPr>
          <w:rFonts w:ascii="Amiri" w:hAnsi="Amiri" w:eastAsia="Amiri" w:cs="Amiri"/>
          <w:color w:val="111111"/>
          <w:sz w:val="28"/>
          <w:sz w:val="28"/>
          <w:szCs w:val="28"/>
          <w:rtl w:val="true"/>
          <w:lang w:bidi="ar-SA"/>
        </w:rPr>
        <w:t>و لا یُکَلِّفُ اللَّهُ نَفْساً إِلَّا ما آتاها</w:t>
      </w:r>
      <w:r>
        <w:rPr>
          <w:rStyle w:val="FootnoteAnchor"/>
          <w:rtl w:val="true"/>
        </w:rPr>
        <w:footnoteReference w:id="74"/>
      </w:r>
      <w:r>
        <w:rPr>
          <w:rFonts w:ascii="IRNazanin" w:hAnsi="IRNazanin" w:eastAsia="IRNazanin"/>
          <w:color w:val="111111"/>
          <w:sz w:val="28"/>
          <w:sz w:val="28"/>
          <w:szCs w:val="28"/>
          <w:rtl w:val="true"/>
          <w:lang w:bidi="fa-IR"/>
        </w:rPr>
        <w:t>کما هو مذهب الذاهبین إلی عدم حجّیة العقل ما لم یؤکّد بالشرع و الأدلّة السمعیة من الأخباریة و الأشعریة، و لازمه قبح مؤاخذة المولی علی قتل ابنه مثلا ما لم ینه عنه باللفظ و لو علم به العبد عقلا کان قتله قبیحا، بل و أقبح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غنی عن الشناعة بالنقض و الحلّ، و کما أنّ القول الأول من الأقوال الأربعة تفریط بالغایة کذلک هذا القول إفراط بالنهایة، و الأوسط من بینها الوسطان، أعنی تنجّز الواقع بمجرّد العلم الإجمالی أو عدم تنجّزه إلّا بالعلم التفصیلی</w:t>
      </w:r>
      <w:r>
        <w:rPr>
          <w:rFonts w:eastAsia="IRNazanin" w:cs="IRNazanin"/>
          <w:color w:val="111111"/>
          <w:sz w:val="28"/>
          <w:szCs w:val="28"/>
          <w:rtl w:val="true"/>
          <w:lang w:bidi="fa-IR"/>
        </w:rPr>
        <w:t>.</w:t>
      </w:r>
    </w:p>
    <w:p>
      <w:pPr>
        <w:pStyle w:val="Heading5"/>
        <w:numPr>
          <w:ilvl w:val="4"/>
          <w:numId w:val="1"/>
        </w:numPr>
        <w:rPr/>
      </w:pPr>
      <w:bookmarkStart w:id="117" w:name="__RefHeading___Toc2646344_3224264995"/>
      <w:bookmarkStart w:id="118" w:name="_Toc43"/>
      <w:bookmarkEnd w:id="117"/>
      <w:r>
        <w:rPr>
          <w:rtl w:val="true"/>
        </w:rPr>
        <w:t>[</w:t>
      </w:r>
      <w:r>
        <w:rPr>
          <w:rtl w:val="true"/>
        </w:rPr>
        <w:t>دلیل المشهور علی وجوب الاحتیاط بمجرّد العلم الإجمالی</w:t>
      </w:r>
      <w:r>
        <w:rPr>
          <w:rtl w:val="true"/>
        </w:rPr>
        <w:t>]</w:t>
      </w:r>
      <w:bookmarkEnd w:id="118"/>
    </w:p>
    <w:p>
      <w:pPr>
        <w:pStyle w:val="BookText"/>
        <w:rPr/>
      </w:pPr>
      <w:r>
        <w:rPr>
          <w:rFonts w:ascii="IRNazanin" w:hAnsi="IRNazanin" w:eastAsia="IRNazanin"/>
          <w:color w:val="111111"/>
          <w:sz w:val="28"/>
          <w:sz w:val="28"/>
          <w:szCs w:val="28"/>
          <w:rtl w:val="true"/>
          <w:lang w:bidi="fa-IR"/>
        </w:rPr>
        <w:t>و استدلّ المشهور علی الأول بأنّا مکلّفون بالواقع و مجرّد العلم به و لو إجمالا دلیل وجوبه و تنجّزه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مکلّفون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معان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کوننا مکلّفین بالواقع فی الجملة فی مقابل السلب الکلّی، أعنی البهائم الغیر المکلّفین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کوننا مکلّفین بالواقع فی مقابل المصوّبة القائلین بأنّا مکلّفون بالمعتقدات من باب الموضوعیة، لا الکاشفیة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کوننا مکلّفون بالواقع الموجود بأیدینا من الوقائع المظنونة دون سائر الوقائع الموهومة و المشکوکة، فلا یکون مجرّد العلم الإجمالی منجّزا للتکلیف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کوننا مکلّفین بالواقع مطلقا فی الوقائع المظنونة و الموهومة </w:t>
      </w:r>
      <w:bookmarkStart w:id="119" w:name="pg12856_162552"/>
    </w:p>
    <w:p>
      <w:pPr>
        <w:pStyle w:val="BookText"/>
        <w:rPr/>
      </w:pPr>
      <w:bookmarkEnd w:id="119"/>
      <w:r>
        <w:rPr>
          <w:rFonts w:ascii="IRNazanin" w:hAnsi="IRNazanin" w:eastAsia="IRNazanin"/>
          <w:color w:val="111111"/>
          <w:sz w:val="28"/>
          <w:sz w:val="28"/>
          <w:szCs w:val="28"/>
          <w:rtl w:val="true"/>
          <w:lang w:bidi="fa-IR"/>
        </w:rPr>
        <w:t>و المشکوکة، فیکون العلم الإجمالی منجزا للتکلیف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الأول و لا الثانی و لا الثالث و إنّما یتمّ علی المعنی الرابع، و لا دلیل علیه، فالذی یتمّ به المدّعی لا دلیل علیه، و الذی علیه دلیل لا یتمّ به المدّعی فلنا إذن دعویان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الدلیل علی ما عدا المعنی الأخیر، 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علی المعنی الأول و الثانی فهو الإجماع و الضرورة، و علی الثالث هو الوفاق بیننا و بین الخصم فی وجوب العمل بالمظنونات، فإنّ وجوب العمل بها متیقّن مفروغ عنه و الخلاف فی وجوب العمل بما یزید علی المظنونات من الموهومات و المشکوکات، و الأصل عدمه فعلی المدّعی الإثبات، و أنّی له به</w:t>
      </w:r>
      <w:r>
        <w:rPr>
          <w:rFonts w:eastAsia="IRNazanin" w:cs="IRNazanin"/>
          <w:color w:val="111111"/>
          <w:sz w:val="28"/>
          <w:szCs w:val="28"/>
          <w:rtl w:val="true"/>
          <w:lang w:bidi="fa-IR"/>
        </w:rPr>
        <w:t>.</w:t>
      </w:r>
    </w:p>
    <w:p>
      <w:pPr>
        <w:pStyle w:val="Heading5"/>
        <w:numPr>
          <w:ilvl w:val="4"/>
          <w:numId w:val="1"/>
        </w:numPr>
        <w:rPr/>
      </w:pPr>
      <w:bookmarkStart w:id="120" w:name="__RefHeading___Toc2646346_3224264995"/>
      <w:bookmarkStart w:id="121" w:name="_Toc44"/>
      <w:bookmarkEnd w:id="120"/>
      <w:r>
        <w:rPr>
          <w:rtl w:val="true"/>
        </w:rPr>
        <w:t>[</w:t>
      </w:r>
      <w:r>
        <w:rPr>
          <w:rtl w:val="true"/>
        </w:rPr>
        <w:t>الأحکام الواقعیة امور متأصّلة</w:t>
      </w:r>
      <w:r>
        <w:rPr>
          <w:rtl w:val="true"/>
        </w:rPr>
        <w:t>]</w:t>
      </w:r>
      <w:bookmarkEnd w:id="121"/>
    </w:p>
    <w:p>
      <w:pPr>
        <w:pStyle w:val="BookText"/>
        <w:rPr/>
      </w:pPr>
      <w:r>
        <w:rPr>
          <w:rFonts w:ascii="IRNazanin" w:hAnsi="IRNazanin" w:eastAsia="IRNazanin"/>
          <w:color w:val="111111"/>
          <w:sz w:val="28"/>
          <w:sz w:val="28"/>
          <w:szCs w:val="28"/>
          <w:rtl w:val="true"/>
          <w:lang w:bidi="fa-IR"/>
        </w:rPr>
        <w:t>و أمّا وجه عدم الدلیل علی المعنی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کوننا مکلّفین بالواقع مطلقا و لو لم یعلم به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الأحکام الواقعیة و إن لم نقل کالعامة بأنّها أمور منتزعة من تنجّز التکلیفات بل قلنا بأنّها امور متأصّلة، إلّا أنّها مع ذلک عبارة عن نفس المصالح و المفاسد الکامنة فی الأشیاء، و مجرّد کون الشی‌ء ذی مصلحة أو مفسدة فی نفس الأمر لا یکون دلیلا علی تنجز التکلیف به و العقاب علی ترکه، إذ لعلّ ما یکون للعلم التفصیلی به مدخلیة أو جزء أخیر من العلّة التامّة فیه</w:t>
      </w:r>
      <w:r>
        <w:rPr>
          <w:rFonts w:eastAsia="IRNazanin" w:cs="IRNazanin"/>
          <w:color w:val="111111"/>
          <w:sz w:val="28"/>
          <w:szCs w:val="28"/>
          <w:rtl w:val="true"/>
          <w:lang w:bidi="fa-IR"/>
        </w:rPr>
        <w:t>.</w:t>
      </w:r>
    </w:p>
    <w:p>
      <w:pPr>
        <w:pStyle w:val="Heading5"/>
        <w:numPr>
          <w:ilvl w:val="4"/>
          <w:numId w:val="1"/>
        </w:numPr>
        <w:rPr/>
      </w:pPr>
      <w:bookmarkStart w:id="122" w:name="__RefHeading___Toc2646348_3224264995"/>
      <w:bookmarkStart w:id="123" w:name="_Toc45"/>
      <w:bookmarkEnd w:id="122"/>
      <w:r>
        <w:rPr>
          <w:rtl w:val="true"/>
        </w:rPr>
        <w:t>[</w:t>
      </w:r>
      <w:r>
        <w:rPr>
          <w:rtl w:val="true"/>
        </w:rPr>
        <w:t>تنجز الأحکام الواقعیة عقلا و شرعا بالبیان</w:t>
      </w:r>
      <w:r>
        <w:rPr>
          <w:rtl w:val="true"/>
        </w:rPr>
        <w:t>]</w:t>
      </w:r>
      <w:bookmarkEnd w:id="123"/>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الأحکام الواقعیة قد تقیّد تنجزها عقلا و شرعا بالبیان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عقاب إلّا بعد البیان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الظاهر من البیان هو العلم التفصیلی، أعنی المعلوم صغری و کبری لا العلم الإجمالی، أعنی المعلوم کبری لا صغری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بیان الصغریات لیس من شأن الشارع، فبیانه الکبریات کاف فی العقاب</w:t>
      </w:r>
      <w:r>
        <w:rPr>
          <w:rFonts w:eastAsia="IRNazanin" w:cs="IRNazanin"/>
          <w:color w:val="111111"/>
          <w:sz w:val="28"/>
          <w:szCs w:val="28"/>
          <w:rtl w:val="true"/>
          <w:lang w:bidi="fa-IR"/>
        </w:rPr>
        <w:t xml:space="preserve">. </w:t>
      </w:r>
      <w:bookmarkStart w:id="124" w:name="pg12856_162553"/>
    </w:p>
    <w:p>
      <w:pPr>
        <w:pStyle w:val="Heading5"/>
        <w:numPr>
          <w:ilvl w:val="4"/>
          <w:numId w:val="1"/>
        </w:numPr>
        <w:rPr/>
      </w:pPr>
      <w:bookmarkStart w:id="125" w:name="__RefHeading___Toc2646350_3224264995"/>
      <w:bookmarkStart w:id="126" w:name="_Toc46"/>
      <w:bookmarkEnd w:id="124"/>
      <w:bookmarkEnd w:id="125"/>
      <w:r>
        <w:rPr>
          <w:rtl w:val="true"/>
        </w:rPr>
        <w:t>[</w:t>
      </w:r>
      <w:r>
        <w:rPr>
          <w:rtl w:val="true"/>
        </w:rPr>
        <w:t>العقاب منفی مع عدم البیان سواء کان البیان من شأن الشارع أم لا</w:t>
      </w:r>
      <w:r>
        <w:rPr>
          <w:rtl w:val="true"/>
        </w:rPr>
        <w:t>]</w:t>
      </w:r>
      <w:bookmarkEnd w:id="126"/>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الجواب عن ذلک فی بیان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عموم أدلّة نفی العقاب بلا بیان یقتضی عموم نفی العقاب بلا بیان سواء کان المعدوم بیانه ممّا من شأن الشارع بیانه و لم یبیّنه کالأحکام الکلّیة، أو ممّا من شأن غیر الشارع بیانه و لم یتبیّن لنا کلما تفحصنا مظانّ بیانه، مع أنّه یکفی فی المطلوب و هو المنع مجرّد ورود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 فعلی المدّعی الإثبات</w:t>
      </w:r>
      <w:r>
        <w:rPr>
          <w:rFonts w:eastAsia="IRNazanin" w:cs="IRNazanin"/>
          <w:color w:val="111111"/>
          <w:sz w:val="28"/>
          <w:szCs w:val="28"/>
          <w:rtl w:val="true"/>
          <w:lang w:bidi="fa-IR"/>
        </w:rPr>
        <w:t>.</w:t>
      </w:r>
    </w:p>
    <w:p>
      <w:pPr>
        <w:pStyle w:val="Heading5"/>
        <w:numPr>
          <w:ilvl w:val="4"/>
          <w:numId w:val="1"/>
        </w:numPr>
        <w:rPr/>
      </w:pPr>
      <w:bookmarkStart w:id="127" w:name="__RefHeading___Toc2646352_3224264995"/>
      <w:bookmarkStart w:id="128" w:name="_Toc47"/>
      <w:bookmarkEnd w:id="127"/>
      <w:r>
        <w:rPr>
          <w:rtl w:val="true"/>
        </w:rPr>
        <w:t>[</w:t>
      </w:r>
      <w:r>
        <w:rPr>
          <w:rtl w:val="true"/>
        </w:rPr>
        <w:t>نفی بیانیة العلم الإجمالی</w:t>
      </w:r>
      <w:r>
        <w:rPr>
          <w:rtl w:val="true"/>
        </w:rPr>
        <w:t>]</w:t>
      </w:r>
      <w:bookmarkEnd w:id="128"/>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العلم الإجمالی بیان فلا یخلو إمّا أن یکون بیانیته قطعیة، أو ظنّیة، أو شکّیة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القطع بکونه بیانا فخلاف ما هو المفروض من الخلاف فی بیانیته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بکونه بیانا فالمرجع فیه إلی عموم لا عقاب بناء علی أنّ العامّ المخصّص بالمجمل المفهومی یقتصر فی تخصیصه علی القدر المتیقّن من التخصیص، و هو العلم التفصیلی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 بکونه بیانا فالمفروض أنّ حجّیة الظنّ أول الکلام و لم یثبت بعد فکیف یصحّ التمسک به علی بطلان العمل بالظنّ و وجوب الاحتیاط؟</w:t>
      </w:r>
    </w:p>
    <w:p>
      <w:pPr>
        <w:pStyle w:val="Heading5"/>
        <w:numPr>
          <w:ilvl w:val="4"/>
          <w:numId w:val="1"/>
        </w:numPr>
        <w:rPr/>
      </w:pPr>
      <w:bookmarkStart w:id="129" w:name="__RefHeading___Toc2646354_3224264995"/>
      <w:bookmarkStart w:id="130" w:name="_Toc48"/>
      <w:bookmarkEnd w:id="129"/>
      <w:r>
        <w:rPr>
          <w:rtl w:val="true"/>
        </w:rPr>
        <w:t>[</w:t>
      </w:r>
      <w:r>
        <w:rPr>
          <w:rtl w:val="true"/>
        </w:rPr>
        <w:t>الألفاظ موضوعة للمعانی الواقعیة</w:t>
      </w:r>
      <w:r>
        <w:rPr>
          <w:rtl w:val="true"/>
        </w:rPr>
        <w:t>]</w:t>
      </w:r>
      <w:bookmarkEnd w:id="130"/>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الألفاظ موضوعة للمعانی الواقعیة لا للمعلومات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الأحکام بالعلم التفصیلی لیس معناه وضع الألفاظ للمعلومات، بل معناه اشتراط تنجّزها و توجیهها بالعلم التفصیلی، و إلّا لکان توقّف تنجّز الأحکام علی مطلق العلم و لو إجمالا مناف لوضع الألفاظ للمعانی الواقعیة،</w:t>
      </w:r>
    </w:p>
    <w:p>
      <w:pPr>
        <w:pStyle w:val="Heading5"/>
        <w:numPr>
          <w:ilvl w:val="4"/>
          <w:numId w:val="1"/>
        </w:numPr>
        <w:rPr/>
      </w:pPr>
      <w:bookmarkStart w:id="131" w:name="__RefHeading___Toc2646356_3224264995"/>
      <w:bookmarkStart w:id="132" w:name="_Toc49"/>
      <w:bookmarkEnd w:id="131"/>
      <w:r>
        <w:rPr>
          <w:rtl w:val="true"/>
        </w:rPr>
        <w:t>[</w:t>
      </w:r>
      <w:r>
        <w:rPr>
          <w:rtl w:val="true"/>
        </w:rPr>
        <w:t>العلم بالحکم طریق لتنجّز الحکم لا موضوع له</w:t>
      </w:r>
      <w:r>
        <w:rPr>
          <w:rtl w:val="true"/>
        </w:rPr>
        <w:t>]</w:t>
      </w:r>
      <w:bookmarkEnd w:id="132"/>
    </w:p>
    <w:p>
      <w:pPr>
        <w:pStyle w:val="BookText"/>
        <w:rPr/>
      </w:pPr>
      <w:r>
        <w:rPr>
          <w:rFonts w:ascii="IRNazanin" w:hAnsi="IRNazanin" w:eastAsia="IRNazanin"/>
          <w:color w:val="111111"/>
          <w:sz w:val="28"/>
          <w:sz w:val="28"/>
          <w:szCs w:val="28"/>
          <w:rtl w:val="true"/>
          <w:lang w:bidi="fa-IR"/>
        </w:rPr>
        <w:t>فالعلم بالحکم طریق لتنجّز الحکم الواقعی لا موضوع للحکم حتی ینافیه الوضع للواقع</w:t>
      </w:r>
      <w:r>
        <w:rPr>
          <w:rFonts w:eastAsia="IRNazanin" w:cs="IRNazanin"/>
          <w:color w:val="111111"/>
          <w:sz w:val="28"/>
          <w:szCs w:val="28"/>
          <w:rtl w:val="true"/>
          <w:lang w:bidi="fa-IR"/>
        </w:rPr>
        <w:t>.</w:t>
      </w:r>
    </w:p>
    <w:p>
      <w:pPr>
        <w:pStyle w:val="Heading5"/>
        <w:numPr>
          <w:ilvl w:val="4"/>
          <w:numId w:val="1"/>
        </w:numPr>
        <w:rPr/>
      </w:pPr>
      <w:bookmarkStart w:id="133" w:name="__RefHeading___Toc2646358_3224264995"/>
      <w:bookmarkStart w:id="134" w:name="_Toc50"/>
      <w:bookmarkEnd w:id="133"/>
      <w:r>
        <w:rPr>
          <w:rtl w:val="true"/>
        </w:rPr>
        <w:t>[</w:t>
      </w:r>
      <w:r>
        <w:rPr>
          <w:rtl w:val="true"/>
        </w:rPr>
        <w:t>ثمرة الخلاف فی انّ الألفاظ موضوعة للمعانی الواقعیة أو المعلومة</w:t>
      </w:r>
      <w:r>
        <w:rPr>
          <w:rtl w:val="true"/>
        </w:rPr>
        <w:t>]</w:t>
      </w:r>
      <w:bookmarkEnd w:id="1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یرشدک إلی اختلاف النزاعین و عدم ابتناء أحدهما علی الآخر اختلاف ثمرتیهما، فإنّ ثمرة الخلاف فی وضع الألفاظ للمعانی الواقعیة أو المعلومة تظهر </w:t>
      </w:r>
      <w:bookmarkStart w:id="135" w:name="pg12856_162554"/>
    </w:p>
    <w:p>
      <w:pPr>
        <w:pStyle w:val="BookText"/>
        <w:rPr/>
      </w:pPr>
      <w:bookmarkEnd w:id="135"/>
      <w:r>
        <w:rPr>
          <w:rFonts w:ascii="IRNazanin" w:hAnsi="IRNazanin" w:eastAsia="IRNazanin"/>
          <w:color w:val="111111"/>
          <w:sz w:val="28"/>
          <w:sz w:val="28"/>
          <w:szCs w:val="28"/>
          <w:rtl w:val="true"/>
          <w:lang w:bidi="fa-IR"/>
        </w:rPr>
        <w:t>فی وجوب الفحص و عدمه من المأمور به من باب المقدّمة، حیث إنّ المکلّف تنجیزا بإتیان شی‌ء و ترک ما عداه لم یجب علیه الفحص عن ذلک الشی‌ء و لا إتیانه و لا عما عداه و لا ترکه ما لم یمیّز بینهما و إن أمکنه التمییز و التعیین، بناء علی الثانی، و أمّا علی الأول فیجب علیه الفحص و التعیین من باب المقدّمة ما دام متمکنا منه،</w:t>
      </w:r>
    </w:p>
    <w:p>
      <w:pPr>
        <w:pStyle w:val="Heading5"/>
        <w:numPr>
          <w:ilvl w:val="4"/>
          <w:numId w:val="1"/>
        </w:numPr>
        <w:rPr/>
      </w:pPr>
      <w:bookmarkStart w:id="136" w:name="__RefHeading___Toc2646360_3224264995"/>
      <w:bookmarkStart w:id="137" w:name="_Toc51"/>
      <w:bookmarkEnd w:id="136"/>
      <w:r>
        <w:rPr>
          <w:rtl w:val="true"/>
        </w:rPr>
        <w:t>[</w:t>
      </w:r>
      <w:r>
        <w:rPr>
          <w:rtl w:val="true"/>
        </w:rPr>
        <w:t>ثمرة الخلاف فی تنجّز التکلیف بالعلم الإجمالی و عدمه</w:t>
      </w:r>
      <w:r>
        <w:rPr>
          <w:rtl w:val="true"/>
        </w:rPr>
        <w:t>]</w:t>
      </w:r>
      <w:bookmarkEnd w:id="137"/>
    </w:p>
    <w:p>
      <w:pPr>
        <w:pStyle w:val="BookText"/>
        <w:rPr/>
      </w:pPr>
      <w:r>
        <w:rPr>
          <w:rFonts w:ascii="IRNazanin" w:hAnsi="IRNazanin" w:eastAsia="IRNazanin"/>
          <w:color w:val="111111"/>
          <w:sz w:val="28"/>
          <w:sz w:val="28"/>
          <w:szCs w:val="28"/>
          <w:rtl w:val="true"/>
          <w:lang w:bidi="fa-IR"/>
        </w:rPr>
        <w:t>و ثمرة الخلاف فی تنجز العلم الإجمالی التکلیف و عدمه تظهر فی وجوب ارتکاب جمیع المحتملات المحصورة المردّدة بین الواجب و غیر الحرام علی الأول دون الثانی، و کذا فی وجوب الاجتناب عن جمیع المحتملات المحصورة المردّدة بین الحرام و غیر الواجب من باب المقدّمة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العلم التفصیلی فی تنجّز الأحکام الواقعیة یستلزم الدور، و هو توقّف تنجّز الأحکام علی العلم التفصیلی بها و توقّف العلم التفصیلی علی تنجّزها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ممنوع بمنع التوقّف من طرف العلم، لوضوح أنّ ما فی طرف العلم هو التلازم للواقع لا التوقّف علی الواقع، و إلّا للزم الدور حتی علی القول باعتبار العلم الإجمالی فی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إنّما یثبت إمکان اشتراط العلم التفصیلی فی تنجّز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وقوعه فلا، بل یحتاج وقوعه إلی البیّنة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مجرّد إمکان اشتراط الشارع فی تنجّز أحکامه العلم التفصیلی بها کفی فی صحّة الرجوع إلی أصل البراءة مجرّد الإنکار و الشکّ فی عدم اشتراط العلم التفصیلی، و کان البیّنة و البرهان علی المدّعی لعدم اشتراطه و کفایة العلم الإجمالی فی التنجّز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اشتراط الشارع العلم التفصیلی فی التنجّز یقتضی </w:t>
      </w:r>
      <w:bookmarkStart w:id="138" w:name="pg12856_162555"/>
    </w:p>
    <w:p>
      <w:pPr>
        <w:pStyle w:val="BookText"/>
        <w:rPr/>
      </w:pPr>
      <w:bookmarkEnd w:id="138"/>
      <w:r>
        <w:rPr>
          <w:rFonts w:ascii="IRNazanin" w:hAnsi="IRNazanin" w:eastAsia="IRNazanin"/>
          <w:color w:val="111111"/>
          <w:sz w:val="28"/>
          <w:sz w:val="28"/>
          <w:szCs w:val="28"/>
          <w:rtl w:val="true"/>
          <w:lang w:bidi="fa-IR"/>
        </w:rPr>
        <w:t>کون البیّنة علی المدّعی لاشتراطه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اشتراطه العلم التفصیلی فی التنجّز معارض بأصالة عدم اشتراطه العلم الإجمالی فی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اشتراط العلم التفصیلی فی التنجّز لا یثبت التنجّز بالعلم الإجمالی لکونه أصل مثبت للأثر الغیر الشرعی</w:t>
      </w:r>
      <w:r>
        <w:rPr>
          <w:rFonts w:eastAsia="IRNazanin" w:cs="IRNazanin"/>
          <w:color w:val="111111"/>
          <w:sz w:val="28"/>
          <w:szCs w:val="28"/>
          <w:rtl w:val="true"/>
          <w:lang w:bidi="fa-IR"/>
        </w:rPr>
        <w:t>.</w:t>
      </w:r>
    </w:p>
    <w:p>
      <w:pPr>
        <w:pStyle w:val="Heading5"/>
        <w:numPr>
          <w:ilvl w:val="4"/>
          <w:numId w:val="1"/>
        </w:numPr>
        <w:rPr/>
      </w:pPr>
      <w:bookmarkStart w:id="139" w:name="__RefHeading___Toc2646362_3224264995"/>
      <w:bookmarkStart w:id="140" w:name="_Toc52"/>
      <w:bookmarkEnd w:id="139"/>
      <w:r>
        <w:rPr>
          <w:rtl w:val="true"/>
        </w:rPr>
        <w:t>[</w:t>
      </w:r>
      <w:r>
        <w:rPr>
          <w:rtl w:val="true"/>
        </w:rPr>
        <w:t>کفایة إطلاق ألفاظ الأحکام فی تنجّزها بالعلم الإجمالی</w:t>
      </w:r>
      <w:r>
        <w:rPr>
          <w:rtl w:val="true"/>
        </w:rPr>
        <w:t>]</w:t>
      </w:r>
      <w:bookmarkEnd w:id="140"/>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البیّنة علی المدّعی کفایة العلم الإجمالی فی التنجّز، لکن یکفی فی البیّنة علی ذلک إطلاق ألفاظ الأحکام و عدم تقییدها بالعلم التفصیلی، و الأصل عدم التقیید و التخصیص</w:t>
      </w:r>
      <w:r>
        <w:rPr>
          <w:rFonts w:eastAsia="IRNazanin" w:cs="IRNazanin"/>
          <w:color w:val="111111"/>
          <w:sz w:val="28"/>
          <w:szCs w:val="28"/>
          <w:rtl w:val="true"/>
          <w:lang w:bidi="fa-IR"/>
        </w:rPr>
        <w:t>.</w:t>
      </w:r>
    </w:p>
    <w:p>
      <w:pPr>
        <w:pStyle w:val="Heading5"/>
        <w:numPr>
          <w:ilvl w:val="4"/>
          <w:numId w:val="1"/>
        </w:numPr>
        <w:rPr/>
      </w:pPr>
      <w:bookmarkStart w:id="141" w:name="__RefHeading___Toc2646364_3224264995"/>
      <w:bookmarkStart w:id="142" w:name="_Toc53"/>
      <w:bookmarkEnd w:id="141"/>
      <w:r>
        <w:rPr>
          <w:rtl w:val="true"/>
        </w:rPr>
        <w:t>[</w:t>
      </w:r>
      <w:r>
        <w:rPr>
          <w:rtl w:val="true"/>
        </w:rPr>
        <w:t>النقض علی انکار اطلاقات الأحکام</w:t>
      </w:r>
      <w:r>
        <w:rPr>
          <w:rtl w:val="true"/>
        </w:rPr>
        <w:t>]</w:t>
      </w:r>
      <w:bookmarkEnd w:id="142"/>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للمنکر إنکار إطلاقات الأحکام رأسا، بدعوی ورودها مورد بیان حکم آخر طرّا، أعنی مورد بیان أصل تشریع مضامین تلک الأحکام الواقعیة، نظیر إطلاق کلام الوعّاظ فی مقام الوعظ بالأحکام سیما بملاحظة عدم مشافهتنا معاشر الغائبین بالخطابات، حتی یشخّص ورودها مورد البیان و عدمه من جهة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التوجیهات المستفادة و المستنبطة من طیّ کلمات القوانین لعدم تنجّز العلم الإجمالی التکلیف</w:t>
      </w:r>
      <w:r>
        <w:rPr>
          <w:rStyle w:val="FootnoteAnchor"/>
          <w:rtl w:val="true"/>
        </w:rPr>
        <w:footnoteReference w:id="76"/>
      </w:r>
      <w:r>
        <w:rPr>
          <w:rFonts w:ascii="IRNazanin" w:hAnsi="IRNazanin" w:eastAsia="IRNazanin"/>
          <w:color w:val="111111"/>
          <w:sz w:val="28"/>
          <w:sz w:val="28"/>
          <w:szCs w:val="28"/>
          <w:rtl w:val="true"/>
          <w:lang w:bidi="fa-IR"/>
        </w:rPr>
        <w:t>، و صرف إطلاقات الأحکام إلی الورود مورد بیان حکم آخر</w:t>
      </w:r>
      <w:r>
        <w:rPr>
          <w:rFonts w:eastAsia="IRNazanin" w:cs="IRNazanin"/>
          <w:color w:val="111111"/>
          <w:sz w:val="28"/>
          <w:szCs w:val="28"/>
          <w:rtl w:val="true"/>
          <w:lang w:bidi="fa-IR"/>
        </w:rPr>
        <w:t>.</w:t>
      </w:r>
    </w:p>
    <w:p>
      <w:pPr>
        <w:pStyle w:val="Heading5"/>
        <w:numPr>
          <w:ilvl w:val="4"/>
          <w:numId w:val="1"/>
        </w:numPr>
        <w:rPr/>
      </w:pPr>
      <w:bookmarkStart w:id="143" w:name="__RefHeading___Toc2646366_3224264995"/>
      <w:bookmarkStart w:id="144" w:name="_Toc54"/>
      <w:bookmarkEnd w:id="143"/>
      <w:r>
        <w:rPr>
          <w:rtl w:val="true"/>
        </w:rPr>
        <w:t>[</w:t>
      </w:r>
      <w:r>
        <w:rPr>
          <w:rtl w:val="true"/>
        </w:rPr>
        <w:t>العلم الإجمالی ببقاء الأحکام دلیل علی استحقاق الجاهل المقصّر للعقاب</w:t>
      </w:r>
      <w:r>
        <w:rPr>
          <w:rtl w:val="true"/>
        </w:rPr>
        <w:t>]</w:t>
      </w:r>
      <w:bookmarkEnd w:id="1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کلّه یرد علی هذه التوجیهات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سقوط إطلاقات الأحکام من سائر الجهات طرّا عن الحجّیة و عدم بقاء جهة من جهات الإطلاق لمطلق من المطلقات، و بلزوم سقوط التکلیف و الرجوع إلی البراءة بعد انسداد باب العلم الإجمالی بوجود الأحکام فی الوقائع، و بلزوم انتفاء العقاب و المؤاخذة عن الجاهل المقصّر فی تحصیل الأحکام المعلومة له إجمالا، و اللوازم بأسرها باطلة بوفاق من الخصم؛ فالملزوم کذلک، کیف لا؟ و الحال أنّ دلیل الخصم علی </w:t>
      </w:r>
      <w:bookmarkStart w:id="145" w:name="pg12856_162556"/>
    </w:p>
    <w:p>
      <w:pPr>
        <w:pStyle w:val="BookText"/>
        <w:rPr/>
      </w:pPr>
      <w:bookmarkEnd w:id="145"/>
      <w:r>
        <w:rPr>
          <w:rFonts w:ascii="IRNazanin" w:hAnsi="IRNazanin" w:eastAsia="IRNazanin"/>
          <w:color w:val="111111"/>
          <w:sz w:val="28"/>
          <w:sz w:val="28"/>
          <w:szCs w:val="28"/>
          <w:rtl w:val="true"/>
          <w:lang w:bidi="fa-IR"/>
        </w:rPr>
        <w:t>استحقاق الجاهل المقصّر العقاب و علی حجّیة مطلق الظنّ بعد فرض الانسداد لیس سوی العلم الإجمالی ببقاء الأحکام</w:t>
      </w:r>
      <w:r>
        <w:rPr>
          <w:rFonts w:eastAsia="IRNazanin" w:cs="IRNazanin"/>
          <w:color w:val="111111"/>
          <w:sz w:val="28"/>
          <w:szCs w:val="28"/>
          <w:rtl w:val="true"/>
          <w:lang w:bidi="fa-IR"/>
        </w:rPr>
        <w:t>.</w:t>
      </w:r>
    </w:p>
    <w:p>
      <w:pPr>
        <w:pStyle w:val="Heading5"/>
        <w:numPr>
          <w:ilvl w:val="4"/>
          <w:numId w:val="1"/>
        </w:numPr>
        <w:rPr/>
      </w:pPr>
      <w:bookmarkStart w:id="146" w:name="__RefHeading___Toc2646368_3224264995"/>
      <w:bookmarkStart w:id="147" w:name="_Toc55"/>
      <w:bookmarkEnd w:id="146"/>
      <w:r>
        <w:rPr>
          <w:rtl w:val="true"/>
        </w:rPr>
        <w:t>[</w:t>
      </w:r>
      <w:r>
        <w:rPr>
          <w:rtl w:val="true"/>
        </w:rPr>
        <w:t>المطلق عند المشهور</w:t>
      </w:r>
      <w:r>
        <w:rPr>
          <w:rtl w:val="true"/>
        </w:rPr>
        <w:t>]</w:t>
      </w:r>
      <w:bookmarkEnd w:id="147"/>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المطلق عندنا معاشر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عبارة عن الطبیعة المهملة، کما علیه السلطان حتی یکون الإطلاق و الإهمال فیه علی حدّ سواء و فی عرض واحد، بل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الطبیعة اللابشرط و اللابقید، فالشرط و القید فیه أمر زائد علی أصل الطبیعة و فی طولها، و الأصل عدمه عند الشکّ فی ازدیاده و عدم الصارف عن الإطلاق عند الشکّ فی 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الأصل و الغالب فی کلمات الشارع البیان لا الإجمال و الورود مورد البیان لا مورد بیان حکم آخر، کما قرّر فی محلّه من بحث المطلق و المقیّد</w:t>
      </w:r>
      <w:r>
        <w:rPr>
          <w:rFonts w:eastAsia="IRNazanin" w:cs="IRNazanin"/>
          <w:color w:val="111111"/>
          <w:sz w:val="28"/>
          <w:szCs w:val="28"/>
          <w:rtl w:val="true"/>
          <w:lang w:bidi="fa-IR"/>
        </w:rPr>
        <w:t>.</w:t>
      </w:r>
    </w:p>
    <w:p>
      <w:pPr>
        <w:pStyle w:val="Heading5"/>
        <w:numPr>
          <w:ilvl w:val="4"/>
          <w:numId w:val="1"/>
        </w:numPr>
        <w:rPr/>
      </w:pPr>
      <w:bookmarkStart w:id="148" w:name="__RefHeading___Toc2646370_3224264995"/>
      <w:bookmarkStart w:id="149" w:name="_Toc56"/>
      <w:bookmarkEnd w:id="148"/>
      <w:r>
        <w:rPr>
          <w:rtl w:val="true"/>
        </w:rPr>
        <w:t>[</w:t>
      </w:r>
      <w:r>
        <w:rPr>
          <w:rtl w:val="true"/>
        </w:rPr>
        <w:t>الأحکام عند العدلیّة تابعة للمصالح و المفاسد</w:t>
      </w:r>
      <w:r>
        <w:rPr>
          <w:rtl w:val="true"/>
        </w:rPr>
        <w:t>]</w:t>
      </w:r>
      <w:bookmarkEnd w:id="149"/>
    </w:p>
    <w:p>
      <w:pPr>
        <w:pStyle w:val="BookText"/>
        <w:rPr/>
      </w:pPr>
      <w:r>
        <w:rPr>
          <w:rFonts w:ascii="IRNazanin" w:hAnsi="IRNazanin" w:eastAsia="IRNazanin"/>
          <w:color w:val="111111"/>
          <w:sz w:val="28"/>
          <w:sz w:val="28"/>
          <w:szCs w:val="28"/>
          <w:rtl w:val="true"/>
          <w:lang w:bidi="fa-IR"/>
        </w:rPr>
        <w:t>و بأنّ الأحکام عند العدلیة تابعة للمصالح و المفاسد النفس الأمریة من غیر مدخلیة العلم و الجهل فیها، فالعلم لا مدخلیة له فی التنجّز إلّا بمقدار ما یرفع المانع العقلی، و هو قبح العقاب بلا بیان أصلا فمع البیان الإجمالی یکون المقتضی موجود و المانع مفقود فیتنجّز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مع ذلک کلّه یمکن للخصم دفع النقوض و لزوم المحاذیر المذکورة بمنع الملازمة فیها بإبدائه الفرق و دعوی أنّ تنجز العلم الإجمالی التکلیف فی الموارد المذکورة علی تقدیر تسلیمه و القول به إنّما هو بمخرج خارجی من إجماع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کما تری کما یمکن له دفع التمسّک بأصالة عدم التقیید و التخصیص و الاشتراط بمنع کون هذا الأصل أصیلا بأنّه فرع إحراز الإطلاق فی المطلقات من جهة اشتراط التنجز بالعلم التفصیلی، و لم یحرز بالنسبة إلینا معاشر الغائبین المعدومین حال الخطاب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عدم تعمیم خطابات الشفاهیة لغیر المشافهین عندنا </w:t>
      </w:r>
      <w:bookmarkStart w:id="150" w:name="pg12856_162557"/>
    </w:p>
    <w:p>
      <w:pPr>
        <w:pStyle w:val="BookText"/>
        <w:rPr/>
      </w:pPr>
      <w:bookmarkEnd w:id="150"/>
      <w:r>
        <w:rPr>
          <w:rFonts w:ascii="IRNazanin" w:hAnsi="IRNazanin" w:eastAsia="IRNazanin"/>
          <w:color w:val="111111"/>
          <w:sz w:val="28"/>
          <w:sz w:val="28"/>
          <w:szCs w:val="28"/>
          <w:rtl w:val="true"/>
          <w:lang w:bidi="fa-IR"/>
        </w:rPr>
        <w:t>معاشر المشهور، حتی یجوز لنا التمسک بإطلاقها،</w:t>
      </w:r>
    </w:p>
    <w:p>
      <w:pPr>
        <w:pStyle w:val="Heading5"/>
        <w:numPr>
          <w:ilvl w:val="4"/>
          <w:numId w:val="1"/>
        </w:numPr>
        <w:rPr/>
      </w:pPr>
      <w:bookmarkStart w:id="151" w:name="__RefHeading___Toc2646372_3224264995"/>
      <w:bookmarkStart w:id="152" w:name="_Toc57"/>
      <w:bookmarkEnd w:id="151"/>
      <w:r>
        <w:rPr>
          <w:rtl w:val="true"/>
        </w:rPr>
        <w:t>[</w:t>
      </w:r>
      <w:r>
        <w:rPr>
          <w:rtl w:val="true"/>
        </w:rPr>
        <w:t>أدلّة الاشتراک توجب اشتراکنا فی ما علم تکلیفهم به</w:t>
      </w:r>
      <w:r>
        <w:rPr>
          <w:rtl w:val="true"/>
        </w:rPr>
        <w:t>]</w:t>
      </w:r>
      <w:bookmarkEnd w:id="152"/>
    </w:p>
    <w:p>
      <w:pPr>
        <w:pStyle w:val="BookText"/>
        <w:rPr/>
      </w:pPr>
      <w:r>
        <w:rPr>
          <w:rFonts w:ascii="IRNazanin" w:hAnsi="IRNazanin" w:eastAsia="IRNazanin"/>
          <w:color w:val="111111"/>
          <w:sz w:val="28"/>
          <w:sz w:val="28"/>
          <w:szCs w:val="28"/>
          <w:rtl w:val="true"/>
          <w:lang w:bidi="fa-IR"/>
        </w:rPr>
        <w:t>و أدلّة الاشتراک إنّما یوجب اشتراکنا معهم فی التکالیف المعلومة لنا تکلیفهم به و أمّا فی ما لم نعلم تکلیفهم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لنا فیه إلی أصالة البراءة</w:t>
      </w:r>
      <w:r>
        <w:rPr>
          <w:rFonts w:eastAsia="IRNazanin" w:cs="IRNazanin"/>
          <w:color w:val="111111"/>
          <w:sz w:val="28"/>
          <w:szCs w:val="28"/>
          <w:rtl w:val="true"/>
          <w:lang w:bidi="fa-IR"/>
        </w:rPr>
        <w:t>.</w:t>
      </w:r>
    </w:p>
    <w:p>
      <w:pPr>
        <w:pStyle w:val="Heading5"/>
        <w:numPr>
          <w:ilvl w:val="4"/>
          <w:numId w:val="1"/>
        </w:numPr>
        <w:rPr/>
      </w:pPr>
      <w:bookmarkStart w:id="153" w:name="__RefHeading___Toc2646374_3224264995"/>
      <w:bookmarkStart w:id="154" w:name="_Toc58"/>
      <w:bookmarkEnd w:id="153"/>
      <w:r>
        <w:rPr>
          <w:rtl w:val="true"/>
        </w:rPr>
        <w:t>[</w:t>
      </w:r>
      <w:r>
        <w:rPr>
          <w:rtl w:val="true"/>
        </w:rPr>
        <w:t>جواز التمسّک بالاطلاق لغیر المشافهین بالمطلق بشرط وحدة الصنف</w:t>
      </w:r>
      <w:r>
        <w:rPr>
          <w:rtl w:val="true"/>
        </w:rPr>
        <w:t>]</w:t>
      </w:r>
      <w:bookmarkEnd w:id="154"/>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و إن سلّمنا جواز تمسکنا بإطلاق خطابات الشفاهیة إمّا بناء علی تعمیمها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تعمیم جواز التمسک بإطلاقها لغیر المشافهین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المرضیّ عندنا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جوازه لنا مشروط باتحادنا مع المشافهین فی الصنف دون اختلافنا معهم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یجوز لنا التمسک بإطلاق وجوب الجمعة علینا عند اختلافنا معهم فی درکهم حضور السلطان العادل غالبا لورود الإطلاق مورد الغالب کذلک لا یجوز لنا التمسک بإطلاق التکلیفات عند اختلافنا مع المشافهین فی درکهم إرادة تقییدها بصورة العلم التفصیلی من محض الخطاب، و عدم درکنا معاشر الغائبین تلک الإرادة علی تقدیرها من محض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أیضا ما أشار إلیه هو دام ظلّه فی مبحث الخطاب الشفاهی من أنّ اختصاص خطاب الشفاهة بالمشافهین لیس ثمرته إجمالها بالنسبة إلی غیر المشافهین بالإجمال الذاتی حتی لا یجوز لنا التعویل علی شی‌ء من ظواهرها لا قبل الفحص و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ثمرته إجمالها بالنسبة إلینا بالإجمال العرضی المرتفع بعد الفحص بواسطة أنّ إجمالها بالنسبة إلینا إنّما هو من جهة العلم فی الجملة بطروّ المانع من التخصیصات و التقییدات و التجوّزات الکثیرة علی ظواهر تلک الخطابات الشفاهیة، و من المعلوم ارتفاع هذا الإجمال لنا بعد الفحص</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اشتراطه الاتحاد فی الصنف فمرجعه إلی اشتراط الفحص أیضا حسبما قررنا تفصیله فی محلّه من المجلد الأول</w:t>
      </w:r>
      <w:r>
        <w:rPr>
          <w:rFonts w:eastAsia="IRNazanin" w:cs="IRNazanin"/>
          <w:color w:val="111111"/>
          <w:sz w:val="28"/>
          <w:szCs w:val="28"/>
          <w:rtl w:val="true"/>
          <w:lang w:bidi="fa-IR"/>
        </w:rPr>
        <w:t xml:space="preserve">. </w:t>
      </w:r>
      <w:bookmarkStart w:id="155" w:name="pg12856_162558"/>
    </w:p>
    <w:p>
      <w:pPr>
        <w:pStyle w:val="BookText"/>
        <w:rPr/>
      </w:pPr>
      <w:bookmarkEnd w:id="155"/>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تنجّز العلم الإجمالی التکلیف و عدمه شکّ فی طریق الإطاعة، و بناء العقلاء و حکم القوة العاقلة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 ممنوعة؛ فإنّ الشکّ فی ما نحن فیه فی أصل تنجّز التکلیف و الإطاعة بالعلم الإجمالی و عدمه، و المرجع فی ذلک إلی البراءة، لا فی کیفیة الامتثال و طریق الإطاعة بعد إحراز أصل التکلیف و المکلف به حتی یکون المرجع فیه بحکم القوة العاقلة إلی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یکون الشکّ فی طریق الإطاعة لو فرض ثبوت أصل التکلیف و المکلف به بالإطلاق ثمّ شکّ فی أنّه هل یکفی فی طریق إطاعة ذلک التکلیف الثابت بالإطلاق بالعلم الإجمالی بأن یأتی به فی ضمن ما یعلم حصوله فیه إجمالا، کالصلاة إلی الجهات الأربع للمتمکّن من الامتثال التفصیلی، أم لا یکفی إلّا الامتثال التفصیلی بأن یأتی به فی ما یعلم تفصیلا حصوله فیه؟</w:t>
      </w:r>
    </w:p>
    <w:p>
      <w:pPr>
        <w:pStyle w:val="BookText"/>
        <w:rPr/>
      </w:pPr>
      <w:r>
        <w:rPr>
          <w:rFonts w:ascii="IRNazanin" w:hAnsi="IRNazanin" w:eastAsia="IRNazanin"/>
          <w:color w:val="111111"/>
          <w:sz w:val="28"/>
          <w:sz w:val="28"/>
          <w:szCs w:val="28"/>
          <w:rtl w:val="true"/>
          <w:lang w:bidi="fa-IR"/>
        </w:rPr>
        <w:t>و قد عرفت ممّا تقدّم أنّ إطلاق التکلیف فی ما نحن فیه أول الکلام، و مع ثبوته الکفایة فی ثبوت المدّعی و لا حاجة بل لا مسرح إلی إرجاع الشکّ إلی طریق الإطاعة، فالشکّ فی طریق الإطاعة أجنبی جدّا عمّا نحن فیه،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العرف و العقلاء مستقرّ بالعیان علی مؤاخذة العبد التارک للمأمور به و استحقاقه العقاب علی الترک و إن علم به إجمالا و لم یعلمه تفصیلا، کما لو اشتبه ابن المولی أو ما أمر المولی بإکرامه أو اتیانه بین امور أو أشخاص فإنّ العبد یعاقب علی ترک ذلک المأمور به، و لم یعذر بعدم العلم التفصیلی به</w:t>
      </w:r>
      <w:r>
        <w:rPr>
          <w:rFonts w:eastAsia="IRNazanin" w:cs="IRNazanin"/>
          <w:color w:val="111111"/>
          <w:sz w:val="28"/>
          <w:szCs w:val="28"/>
          <w:rtl w:val="true"/>
          <w:lang w:bidi="fa-IR"/>
        </w:rPr>
        <w:t>.</w:t>
      </w:r>
    </w:p>
    <w:p>
      <w:pPr>
        <w:pStyle w:val="Heading5"/>
        <w:numPr>
          <w:ilvl w:val="4"/>
          <w:numId w:val="1"/>
        </w:numPr>
        <w:rPr/>
      </w:pPr>
      <w:bookmarkStart w:id="156" w:name="__RefHeading___Toc2646376_3224264995"/>
      <w:bookmarkStart w:id="157" w:name="_Toc59"/>
      <w:bookmarkEnd w:id="156"/>
      <w:r>
        <w:rPr>
          <w:rtl w:val="true"/>
        </w:rPr>
        <w:t>[</w:t>
      </w:r>
      <w:r>
        <w:rPr>
          <w:rtl w:val="true"/>
        </w:rPr>
        <w:t>عدم جواز مقایسة الأوامر الشرعیة بالأوامر العرفیة</w:t>
      </w:r>
      <w:r>
        <w:rPr>
          <w:rtl w:val="true"/>
        </w:rPr>
        <w:t>]</w:t>
      </w:r>
      <w:bookmarkEnd w:id="1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للمانع أن یجیب أیضا بأنّ مقایسة الأوامر الشرعیة سیما الغیر الشفاهیة التی نحن فیه بالأوامر العرفیة الشفاهیة فی الدلالة علی تنجّز التکلیف مطلقا و عدم اشتراطه بالعلم التفصیلی علی تقدیر تسلیمه فی المقیس علیه قیاس </w:t>
      </w:r>
      <w:bookmarkStart w:id="158" w:name="pg12856_162559"/>
    </w:p>
    <w:p>
      <w:pPr>
        <w:pStyle w:val="BookText"/>
        <w:rPr/>
      </w:pPr>
      <w:bookmarkEnd w:id="158"/>
      <w:r>
        <w:rPr>
          <w:rFonts w:ascii="IRNazanin" w:hAnsi="IRNazanin" w:eastAsia="IRNazanin"/>
          <w:color w:val="111111"/>
          <w:sz w:val="28"/>
          <w:sz w:val="28"/>
          <w:szCs w:val="28"/>
          <w:rtl w:val="true"/>
          <w:lang w:bidi="fa-IR"/>
        </w:rPr>
        <w:t>مع الفارق، نظیر ما توهّم من مقایسة الأوامر الشرعیة بالأوامر العرفیة فی إفادة الفور،</w:t>
      </w:r>
    </w:p>
    <w:p>
      <w:pPr>
        <w:pStyle w:val="Heading5"/>
        <w:numPr>
          <w:ilvl w:val="4"/>
          <w:numId w:val="1"/>
        </w:numPr>
        <w:rPr/>
      </w:pPr>
      <w:bookmarkStart w:id="159" w:name="__RefHeading___Toc2646378_3224264995"/>
      <w:bookmarkStart w:id="160" w:name="_Toc60"/>
      <w:bookmarkEnd w:id="159"/>
      <w:r>
        <w:rPr>
          <w:rtl w:val="true"/>
        </w:rPr>
        <w:t>[</w:t>
      </w:r>
      <w:r>
        <w:rPr>
          <w:rtl w:val="true"/>
        </w:rPr>
        <w:t>عدم صحّة مقایسة المرکّبات الشرعیة بالمرکّبات العرفیة</w:t>
      </w:r>
      <w:r>
        <w:rPr>
          <w:rtl w:val="true"/>
        </w:rPr>
        <w:t>]</w:t>
      </w:r>
      <w:bookmarkEnd w:id="160"/>
    </w:p>
    <w:p>
      <w:pPr>
        <w:pStyle w:val="BookText"/>
        <w:rPr/>
      </w:pPr>
      <w:r>
        <w:rPr>
          <w:rFonts w:ascii="IRNazanin" w:hAnsi="IRNazanin" w:eastAsia="IRNazanin"/>
          <w:color w:val="111111"/>
          <w:sz w:val="28"/>
          <w:sz w:val="28"/>
          <w:szCs w:val="28"/>
          <w:rtl w:val="true"/>
          <w:lang w:bidi="fa-IR"/>
        </w:rPr>
        <w:t>و مقایسة المرکّبات الشرعیة کالصلاة و الحج بالمرکّبات العرفیة المشتملة علی الأجزاء و الشروط، کمعاجین الأطباء المعمولة للخواصّ و المنافع فی لزوم الاحتیاط إذا شکّ فی شی‌ء من أجزائه و شرائطه قیاس مع الفارق، نظرا إلی أنّ المطلوب من الأوامر العرفیة غالبا هو التوصّل لا التعبّد، و مناط الأوامر التوصّلیة لما کان من الخواصّ المعلومة للمشافه بها کان العقل حاکما بلزوم تحصیل تلک الخواصّ مطلقا کیف ما اتفق، أو فورا من دون تراخ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الأوامر الشرعیة فإنّها تعبّدیّات غالبا، و المناط فیها لیس بخواصّ معلومة سیما لغیر المشافه حتی یکون قرینة علی مطلوبیته فورا أو مطلقا، بل المناط فیها الثواب و العقاب، و العقاب یرتفع بالبراءة، بخلاف الخواصّ فإنّه لا یحصل إلّا بالاحتیاط فی إتیان جمیع ما یحتمل مدخلیته، فمسألة رفع العقاب غیر مسألة تحصیل الخواصّ البتة</w:t>
      </w:r>
      <w:r>
        <w:rPr>
          <w:rFonts w:eastAsia="IRNazanin" w:cs="IRNazanin"/>
          <w:color w:val="111111"/>
          <w:sz w:val="28"/>
          <w:szCs w:val="28"/>
          <w:rtl w:val="true"/>
          <w:lang w:bidi="fa-IR"/>
        </w:rPr>
        <w:t>.</w:t>
      </w:r>
    </w:p>
    <w:p>
      <w:pPr>
        <w:pStyle w:val="Heading5"/>
        <w:numPr>
          <w:ilvl w:val="4"/>
          <w:numId w:val="1"/>
        </w:numPr>
        <w:rPr/>
      </w:pPr>
      <w:bookmarkStart w:id="161" w:name="__RefHeading___Toc2646380_3224264995"/>
      <w:bookmarkStart w:id="162" w:name="_Toc61"/>
      <w:bookmarkEnd w:id="161"/>
      <w:r>
        <w:rPr>
          <w:rtl w:val="true"/>
        </w:rPr>
        <w:t>[</w:t>
      </w:r>
      <w:r>
        <w:rPr>
          <w:rtl w:val="true"/>
        </w:rPr>
        <w:t>الاحتیاط فی الدماء و الفروج و أموال الناس</w:t>
      </w:r>
      <w:r>
        <w:rPr>
          <w:rtl w:val="true"/>
        </w:rPr>
        <w:t>]</w:t>
      </w:r>
      <w:bookmarkEnd w:id="162"/>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نری استقرار حکم العقل و بناء العقلاء علی تنجّز التکلیف فی کثیر من المسائل الشرعیة أیضا بمجرّد العلم الإجمالی، کما فی مسألة الدماء و الفروج سیما المحارم و أموال الناس، فهل تری من نفسک جواز وطی کلّ من المحارم المشتبهة بالحلیلة، و جواز قتل کلّ من الجماعة المشتبهة بمباح الدم و أکل کلّ من أموال الناس المشتبهة بماله، و إلّا لجاز للشخص إدخال حلیلته بین المحارم، و وطء کلّ منها علی وجه الاشتباه، و إدخال رغیفه فی أرغفة الناس و أکل کلّ منها بعنوان الاشتباه، و هو کما تری شنیع بالغایة و فضیح بالنهایة</w:t>
      </w:r>
      <w:r>
        <w:rPr>
          <w:rFonts w:eastAsia="IRNazanin" w:cs="IRNazanin"/>
          <w:color w:val="111111"/>
          <w:sz w:val="28"/>
          <w:szCs w:val="28"/>
          <w:rtl w:val="true"/>
          <w:lang w:bidi="fa-IR"/>
        </w:rPr>
        <w:t>.</w:t>
      </w:r>
    </w:p>
    <w:p>
      <w:pPr>
        <w:pStyle w:val="Heading5"/>
        <w:numPr>
          <w:ilvl w:val="4"/>
          <w:numId w:val="1"/>
        </w:numPr>
        <w:rPr/>
      </w:pPr>
      <w:bookmarkStart w:id="163" w:name="__RefHeading___Toc2646382_3224264995"/>
      <w:bookmarkStart w:id="164" w:name="_Toc62"/>
      <w:bookmarkEnd w:id="163"/>
      <w:r>
        <w:rPr>
          <w:rtl w:val="true"/>
        </w:rPr>
        <w:t>[</w:t>
      </w:r>
      <w:r>
        <w:rPr>
          <w:rtl w:val="true"/>
        </w:rPr>
        <w:t>حرمة المخالفة القطعیة للعمل الإجمالی</w:t>
      </w:r>
      <w:r>
        <w:rPr>
          <w:rtl w:val="true"/>
        </w:rPr>
        <w:t>]</w:t>
      </w:r>
      <w:bookmarkEnd w:id="1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للخصم أیضا الجواب عن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کلامنا فی وجوب الموافقة القطعیة و عدمه بمجرّد العلم الإجمالی و أمّا حرمة المخالفة القطعیة بمجرّد العلم </w:t>
      </w:r>
      <w:bookmarkStart w:id="165" w:name="pg12856_162560"/>
    </w:p>
    <w:p>
      <w:pPr>
        <w:pStyle w:val="BookText"/>
        <w:rPr/>
      </w:pPr>
      <w:bookmarkEnd w:id="165"/>
      <w:r>
        <w:rPr>
          <w:rFonts w:ascii="IRNazanin" w:hAnsi="IRNazanin" w:eastAsia="IRNazanin"/>
          <w:color w:val="111111"/>
          <w:sz w:val="28"/>
          <w:sz w:val="28"/>
          <w:szCs w:val="28"/>
          <w:rtl w:val="true"/>
          <w:lang w:bidi="fa-IR"/>
        </w:rPr>
        <w:t>الإجمالی فقد یقول به القائل بعدم وجوب الموافقة القطعیة بالعلم الإجمالی، فالنقض بحرمة المخالفة القطعیة فی الدماء و الفروج علی تقدیر تسلیمه فی الأمثلة المذکور لا یثبت وجوب الموافقة القطعیة التی نحن بصددها</w:t>
      </w:r>
      <w:r>
        <w:rPr>
          <w:rFonts w:eastAsia="IRNazanin" w:cs="IRNazanin"/>
          <w:color w:val="111111"/>
          <w:sz w:val="28"/>
          <w:szCs w:val="28"/>
          <w:rtl w:val="true"/>
          <w:lang w:bidi="fa-IR"/>
        </w:rPr>
        <w:t>.</w:t>
      </w:r>
    </w:p>
    <w:p>
      <w:pPr>
        <w:pStyle w:val="Heading5"/>
        <w:numPr>
          <w:ilvl w:val="4"/>
          <w:numId w:val="1"/>
        </w:numPr>
        <w:rPr/>
      </w:pPr>
      <w:bookmarkStart w:id="166" w:name="__RefHeading___Toc2646384_3224264995"/>
      <w:bookmarkStart w:id="167" w:name="_Toc63"/>
      <w:bookmarkEnd w:id="166"/>
      <w:r>
        <w:rPr>
          <w:rtl w:val="true"/>
        </w:rPr>
        <w:t>[</w:t>
      </w:r>
      <w:r>
        <w:rPr>
          <w:rtl w:val="true"/>
        </w:rPr>
        <w:t>وجه الاحتیاط فی الدماء و الفروج و بعض موارد أخر</w:t>
      </w:r>
      <w:r>
        <w:rPr>
          <w:rtl w:val="true"/>
        </w:rPr>
        <w:t>]</w:t>
      </w:r>
      <w:bookmarkEnd w:id="167"/>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للخصم الالتزام بخروج مسألة الدماء و الفروج، بل و مسألة شرب الخمر من القاعدة بمخرج خارجی من إجماع و نحوه، کما التزم به صریحا فی مسألة الظهر و الجمعة فی یوم الجمعة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تنجّز العلم الإجمالی التکلیف بإحدی الصلاتین فی یوم الجمعة إنّما هو من جهة الإجماع، و إلّا لکان مقتضی القاعدة سقوط التکلیف عند فقد العلم التفصیلی بالمکلّف به، فإنّ کثیرا من موارد الشبهة ما یعلم من مذاق الشرع فیه عدم رضائه بالاقتحام فیه، و لعلّ ما یکون من تلک الموارد مسألة الدماء و الفروج، بل و شرب الخمر،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اتّقی فیهن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 مسح الخفّین، و متعة الحجّ</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یضطر إلیه ابن آدم فقد أحلّه اللّه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کما قد یعلم من مذاق الشرع عدم رضائه بوقوع بعض الأفعال فی الخارج من أیّ شخص کان و لو من غیر المکلّف کالصبیّ و الجاهل الصرف، کاللواطة و إلقاء المصحف فی القاذورة أو مسّه من دون الطهارة، فإنّه قد یعلم من مذاق الشارع بحسب ما یحدسه الفقیه عدم رضا الشارع بصدور ذلک الفعل و لو من غیر المکلّف کالصبیّ و الجاهل، فیجب علی المکلّف العالم تنبیه الغافل الجاهل و منع الصبی عنه و لو لم یتعلّق بهما تکلیف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الاحتیاط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أخوک دینک فاحتط لدینک ما </w:t>
      </w:r>
      <w:bookmarkStart w:id="168" w:name="pg12856_162561"/>
    </w:p>
    <w:p>
      <w:pPr>
        <w:pStyle w:val="BookText"/>
        <w:rPr/>
      </w:pPr>
      <w:bookmarkEnd w:id="168"/>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ما یریبک إلی ما لا یریبک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تقتضی وجوب الاحتیاط و تنجّز العلم الإجمالی التکلیف</w:t>
      </w:r>
      <w:r>
        <w:rPr>
          <w:rFonts w:eastAsia="IRNazanin" w:cs="IRNazanin"/>
          <w:color w:val="111111"/>
          <w:sz w:val="28"/>
          <w:szCs w:val="28"/>
          <w:rtl w:val="true"/>
          <w:lang w:bidi="fa-IR"/>
        </w:rPr>
        <w:t>.</w:t>
      </w:r>
    </w:p>
    <w:p>
      <w:pPr>
        <w:pStyle w:val="Heading5"/>
        <w:numPr>
          <w:ilvl w:val="4"/>
          <w:numId w:val="1"/>
        </w:numPr>
        <w:rPr/>
      </w:pPr>
      <w:bookmarkStart w:id="169" w:name="__RefHeading___Toc2646386_3224264995"/>
      <w:bookmarkStart w:id="170" w:name="_Toc64"/>
      <w:bookmarkEnd w:id="169"/>
      <w:r>
        <w:rPr>
          <w:rtl w:val="true"/>
        </w:rPr>
        <w:t>[</w:t>
      </w:r>
      <w:r>
        <w:rPr>
          <w:rtl w:val="true"/>
        </w:rPr>
        <w:t>ظاهر أخبار الاحتیاط هو الاستحباب</w:t>
      </w:r>
      <w:r>
        <w:rPr>
          <w:rtl w:val="true"/>
        </w:rPr>
        <w:t>]</w:t>
      </w:r>
      <w:bookmarkEnd w:id="170"/>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أخبار الاحتیاط و لو بمعونة فهم المشهور أو بقرینة التعبیر بأخوّة الدین فیها هو الاستحباب لا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دلالتها علی الوجوب فأقصی ما یلزم منها هو وجوب الاحتیاط بالدلیل الخارجی، لا بنفس إطلاق أدلّة التکالیف کما هو محطّ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إناطة الأحکام الشرعیة بالمصالح و المفاسد النفس الأمریة عند العدلیة کاف فی إثبات تنجّز العلم الإجمالی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أخصّ من المدّعی من جهة عدم اقتضائه التنجّز علی مذهب غیر العدلیة القائلین باتباع المصالح و المفاسد للأحکام، دون اتباع الأحکام للمصالح و المفاسد</w:t>
      </w:r>
      <w:r>
        <w:rPr>
          <w:rFonts w:eastAsia="IRNazanin" w:cs="IRNazanin"/>
          <w:color w:val="111111"/>
          <w:sz w:val="28"/>
          <w:szCs w:val="28"/>
          <w:rtl w:val="true"/>
          <w:lang w:bidi="fa-IR"/>
        </w:rPr>
        <w:t>.</w:t>
      </w:r>
    </w:p>
    <w:p>
      <w:pPr>
        <w:pStyle w:val="Heading5"/>
        <w:numPr>
          <w:ilvl w:val="4"/>
          <w:numId w:val="1"/>
        </w:numPr>
        <w:rPr/>
      </w:pPr>
      <w:bookmarkStart w:id="171" w:name="__RefHeading___Toc2646388_3224264995"/>
      <w:bookmarkStart w:id="172" w:name="_Toc65"/>
      <w:bookmarkEnd w:id="171"/>
      <w:r>
        <w:rPr>
          <w:rtl w:val="true"/>
        </w:rPr>
        <w:t>[</w:t>
      </w:r>
      <w:r>
        <w:rPr>
          <w:rtl w:val="true"/>
        </w:rPr>
        <w:t>قول بعض العدلیة بتبعیّة الأحکام للمصالح و المفاسد فی نفس الأمر و التکلیف</w:t>
      </w:r>
      <w:r>
        <w:rPr>
          <w:rtl w:val="true"/>
        </w:rPr>
        <w:t>]</w:t>
      </w:r>
      <w:bookmarkEnd w:id="172"/>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أخصّ من المدّعی من جهة عدم اقتضائه التنجز علی مذهب بعض العدلیة القائلین بتبعیة الأحکام لمصالح و مفاسد فی نفس الأمر و التکلیف، لا فی المأمور به و المکلّف به</w:t>
      </w:r>
      <w:r>
        <w:rPr>
          <w:rFonts w:eastAsia="IRNazanin" w:cs="IRNazanin"/>
          <w:color w:val="111111"/>
          <w:sz w:val="28"/>
          <w:szCs w:val="28"/>
          <w:rtl w:val="true"/>
          <w:lang w:bidi="fa-IR"/>
        </w:rPr>
        <w:t>.</w:t>
      </w:r>
    </w:p>
    <w:p>
      <w:pPr>
        <w:pStyle w:val="Heading5"/>
        <w:numPr>
          <w:ilvl w:val="4"/>
          <w:numId w:val="1"/>
        </w:numPr>
        <w:rPr/>
      </w:pPr>
      <w:bookmarkStart w:id="173" w:name="__RefHeading___Toc2646390_3224264995"/>
      <w:bookmarkStart w:id="174" w:name="_Toc66"/>
      <w:bookmarkEnd w:id="173"/>
      <w:r>
        <w:rPr>
          <w:rtl w:val="true"/>
        </w:rPr>
        <w:t>[</w:t>
      </w:r>
      <w:r>
        <w:rPr>
          <w:rtl w:val="true"/>
        </w:rPr>
        <w:t>احتمال مدخلیة العلم التفصیلی فی المصالح و المفاسد الکامنة فی المأمور به</w:t>
      </w:r>
      <w:r>
        <w:rPr>
          <w:rtl w:val="true"/>
        </w:rPr>
        <w:t>]</w:t>
      </w:r>
      <w:bookmarkEnd w:id="17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اتباع الأحکام للمصالح و المفاسد النفس الأمریة الکامنة فی نفس المأمور به إلّا أنّه مع ذلک لا یقتضی تنجز العلم الإجمالی التکلیف، لاحتمال مدخلیة العلم التفصیلی فی تلک المصلحة و المفسدة؛ فإنّ المصالح و المفاسد النفس الأمریة لیست بذاتیة للأشیاء دائما عندنا بل قد تختلف بالوجوه و الاعتبار</w:t>
      </w:r>
      <w:r>
        <w:rPr>
          <w:rFonts w:eastAsia="IRNazanin" w:cs="IRNazanin"/>
          <w:color w:val="111111"/>
          <w:sz w:val="28"/>
          <w:szCs w:val="28"/>
          <w:rtl w:val="true"/>
          <w:lang w:bidi="fa-IR"/>
        </w:rPr>
        <w:t xml:space="preserve">. </w:t>
      </w:r>
      <w:bookmarkStart w:id="175" w:name="pg12856_162562"/>
    </w:p>
    <w:p>
      <w:pPr>
        <w:pStyle w:val="BookText"/>
        <w:rPr/>
      </w:pPr>
      <w:bookmarkEnd w:id="175"/>
      <w:r>
        <w:rPr>
          <w:rFonts w:ascii="IRNazanin" w:hAnsi="IRNazanin" w:eastAsia="IRNazanin"/>
          <w:color w:val="111111"/>
          <w:sz w:val="28"/>
          <w:sz w:val="28"/>
          <w:szCs w:val="28"/>
          <w:rtl w:val="true"/>
          <w:lang w:bidi="fa-IR"/>
        </w:rPr>
        <w:t>قال 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الوجه ممّا یمکن للمتأمّل الجزم بعدم اعتبارها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6" w:name="__RefHeading___Toc2646392_3224264995"/>
      <w:bookmarkStart w:id="177" w:name="_Toc67"/>
      <w:bookmarkEnd w:id="176"/>
      <w:r>
        <w:rPr>
          <w:rtl w:val="true"/>
        </w:rPr>
        <w:t>[</w:t>
      </w:r>
      <w:r>
        <w:rPr>
          <w:rtl w:val="true"/>
        </w:rPr>
        <w:t>لا دخل لقصد الوجه فی تحقّق الامتثال لا عقلا و لا شرعا</w:t>
      </w:r>
      <w:r>
        <w:rPr>
          <w:rtl w:val="true"/>
        </w:rPr>
        <w:t>]</w:t>
      </w:r>
      <w:bookmarkEnd w:id="1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إن کان فی اعتبارها عقلا فمن المعلوم عدم توقّف تحقّق الامتثال الذی مرجعه إلی العقل علی ما یزید علی مجرّد نیة التقرّب بالمقرب، و إن کان الکلام فی اعتبارها شرعا و تعبّدا فمضافا إلی أنّه ممّا لم یحتمله أحد، من الواضح عدم ورود التعبّد الشرعی باعتبارها فی شی‌ء من الکتاب و السنّة، سوی ما قد یتوهّم من دلالة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 اللَّهَ مُخْلِصاً لَهُ الدِّینَ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الاخلاص هو عدم الشرک و الریاء فی العمل، فقصد التقرب المعتبر فی العبادة کما لا ینافیه عدم الخلوص کذلک الخلوص المعتبر فیها لا ینافیه عدم قصد الوجه، سواء ارید من الوجه الوجوب و الاستحباب، أم وجه الوجوب و الاستحباب، و هی المصالح و المنافع الباعثة علی إیجاب الواجب و استحباب المستحب</w:t>
      </w:r>
      <w:r>
        <w:rPr>
          <w:rFonts w:eastAsia="IRNazanin" w:cs="IRNazanin"/>
          <w:color w:val="111111"/>
          <w:sz w:val="28"/>
          <w:szCs w:val="28"/>
          <w:rtl w:val="true"/>
          <w:lang w:bidi="fa-IR"/>
        </w:rPr>
        <w:t>.</w:t>
      </w:r>
    </w:p>
    <w:p>
      <w:pPr>
        <w:pStyle w:val="Heading5"/>
        <w:numPr>
          <w:ilvl w:val="4"/>
          <w:numId w:val="1"/>
        </w:numPr>
        <w:rPr/>
      </w:pPr>
      <w:bookmarkStart w:id="178" w:name="__RefHeading___Toc2646394_3224264995"/>
      <w:bookmarkStart w:id="179" w:name="_Toc68"/>
      <w:bookmarkEnd w:id="178"/>
      <w:r>
        <w:rPr>
          <w:rtl w:val="true"/>
        </w:rPr>
        <w:t>[</w:t>
      </w:r>
      <w:r>
        <w:rPr>
          <w:rtl w:val="true"/>
        </w:rPr>
        <w:t>اعتبار تعین الموجب إذا تعدّد ما فی الذمّة من العبادات فی تحقّق الامتثال</w:t>
      </w:r>
      <w:r>
        <w:rPr>
          <w:rtl w:val="true"/>
        </w:rPr>
        <w:t>]</w:t>
      </w:r>
      <w:bookmarkEnd w:id="179"/>
    </w:p>
    <w:p>
      <w:pPr>
        <w:pStyle w:val="BookText"/>
        <w:rPr/>
      </w:pPr>
      <w:r>
        <w:rPr>
          <w:rFonts w:ascii="IRNazanin" w:hAnsi="IRNazanin" w:eastAsia="IRNazanin"/>
          <w:color w:val="111111"/>
          <w:sz w:val="28"/>
          <w:sz w:val="28"/>
          <w:szCs w:val="28"/>
          <w:rtl w:val="true"/>
          <w:lang w:bidi="fa-IR"/>
        </w:rPr>
        <w:t>نعم، لو کان المراد من قصد الوجه تعیین السبب الموجب للواجب أو المستحب توجّه اعتباره فی تحقّق الامتثال فی صورة تعدّد ما فی الذمّة من العبادات، سواء تغایر جنسها کخصال الکفّارة أم اتحد نوع سببه، ککفارة إفطار یومین من شهر رمضان و خلف نذرین، نظرا إلی أنّ عدم تعیین ما فی الذمّة عند تعدّده یستلزم اتیان الفعل لا بداعی الأمر الخاصّ بل بداعی الأمر المنتزع من الأوامر المتعددة، أعنی بداعی أحدها المشترک، و هو بهذا العنوان غیر مأمور به، فیکون الفعل المأتیّ به لا بقصد التعیین عند تعدّد أسبابه غیر مأمور به، و المأمور به غیر مأتی به، فما وقع لم یطلب و ما طلب لم یقع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صورة اتحاد ما فی الذمّة فلا یحتاج الی تعیینه لتعینه بنفسه </w:t>
      </w:r>
      <w:bookmarkStart w:id="180" w:name="pg12856_162563"/>
    </w:p>
    <w:p>
      <w:pPr>
        <w:pStyle w:val="BookText"/>
        <w:rPr/>
      </w:pPr>
      <w:bookmarkEnd w:id="180"/>
      <w:r>
        <w:rPr>
          <w:rFonts w:ascii="IRNazanin" w:hAnsi="IRNazanin" w:eastAsia="IRNazanin"/>
          <w:color w:val="111111"/>
          <w:sz w:val="28"/>
          <w:sz w:val="28"/>
          <w:szCs w:val="28"/>
          <w:rtl w:val="true"/>
          <w:lang w:bidi="fa-IR"/>
        </w:rPr>
        <w:t>فیجزی نیّته عما فی الذّمة، لأنّ غیره لیس بمأمور به، بل و لا یتصوّر وقوعه منه فی تلک الحالة شرعا، فلا وجه للاحتراز عنه کالقصر و التمام فی غیر موضع التخییر، بل قال الشهید فی الروضة</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أنّ المتعدد فی ذمّته مع اتحاد نوع سببه کإفطار یومین من شهر و خلف نذرین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بنیة عما فی الذمّة من دون اعتبار قصد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اختلف أسبابه توجّه اعتبار التعیین لیحصل التمییز و إن اتفق المسبّبات فی المقدار، بل قد نقل عن المحقّق عدم اعتباره فی العبادات المالیة مطلقا أی و لو تعدّدت و اختلف أسبابها، فینحصر اعتبارها فی صورة التعدّد و اختلاف الأسباب بالعبادات البدنیة، کالصوم دون المالیة کالعتق، نظرا إلی أن الأمر فی العبادات البدنیة أضیق و لهذا لا یجزی فیها التوکیل و تبرّع الغیر، بخلاف المالیة، بل قیل لا یفتقر إلی التعیین مطلقا حتی فی العبادات البدنیة،</w:t>
      </w:r>
    </w:p>
    <w:p>
      <w:pPr>
        <w:pStyle w:val="Heading5"/>
        <w:numPr>
          <w:ilvl w:val="4"/>
          <w:numId w:val="1"/>
        </w:numPr>
        <w:rPr/>
      </w:pPr>
      <w:bookmarkStart w:id="181" w:name="__RefHeading___Toc2646396_3224264995"/>
      <w:bookmarkStart w:id="182" w:name="_Toc69"/>
      <w:bookmarkEnd w:id="181"/>
      <w:r>
        <w:rPr>
          <w:rtl w:val="true"/>
        </w:rPr>
        <w:t>[</w:t>
      </w:r>
      <w:r>
        <w:rPr>
          <w:rtl w:val="true"/>
        </w:rPr>
        <w:t>الأقوال فی قصد التعیین عند الامتثال</w:t>
      </w:r>
      <w:r>
        <w:rPr>
          <w:rtl w:val="true"/>
        </w:rPr>
        <w:t>]</w:t>
      </w:r>
      <w:bookmarkEnd w:id="182"/>
    </w:p>
    <w:p>
      <w:pPr>
        <w:pStyle w:val="BookText"/>
        <w:rPr/>
      </w:pPr>
      <w:r>
        <w:rPr>
          <w:rFonts w:ascii="IRNazanin" w:hAnsi="IRNazanin" w:eastAsia="IRNazanin"/>
          <w:color w:val="111111"/>
          <w:sz w:val="28"/>
          <w:sz w:val="28"/>
          <w:szCs w:val="28"/>
          <w:rtl w:val="true"/>
          <w:lang w:bidi="fa-IR"/>
        </w:rPr>
        <w:t>فالأقوال فی اعتبار التعیین و عدمه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اتحاد ما فی الذمّة فلا یلزم، و تعدّده فیلزم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الروضة بین المتعدّد المتحد نوع سببه فلا یلزم، و بین المختلف فیلزم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المحقّق</w:t>
      </w:r>
      <w:r>
        <w:rPr>
          <w:rStyle w:val="FootnoteAnchor"/>
          <w:rtl w:val="true"/>
        </w:rPr>
        <w:footnoteReference w:id="83"/>
      </w:r>
      <w:r>
        <w:rPr>
          <w:rFonts w:ascii="IRNazanin" w:hAnsi="IRNazanin" w:eastAsia="IRNazanin"/>
          <w:color w:val="111111"/>
          <w:sz w:val="28"/>
          <w:sz w:val="28"/>
          <w:szCs w:val="28"/>
          <w:rtl w:val="true"/>
          <w:lang w:bidi="fa-IR"/>
        </w:rPr>
        <w:t>بین العبادات البدنیة فیلزم، و المالیة فلا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اعتباره مطلقا کما أنّ الأحوط اعتباره مطلقا، و دونه القول الثالث ثمّ الرابع ثمّ الخامس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استدلّ به لاعتبار التعیین من کون المأتیّ به لا بقصد التعیین خصوصا عند تعدّد أسبابه غیر مأمور به و المأمور به غیر مأتیّ به ففیه</w:t>
      </w:r>
      <w:r>
        <w:rPr>
          <w:rFonts w:eastAsia="IRNazanin" w:cs="IRNazanin"/>
          <w:color w:val="111111"/>
          <w:sz w:val="28"/>
          <w:szCs w:val="28"/>
          <w:rtl w:val="true"/>
          <w:lang w:bidi="fa-IR"/>
        </w:rPr>
        <w:t xml:space="preserve">: </w:t>
      </w:r>
      <w:bookmarkStart w:id="183" w:name="pg12856_162564"/>
    </w:p>
    <w:p>
      <w:pPr>
        <w:pStyle w:val="BookText"/>
        <w:rPr/>
      </w:pPr>
      <w:bookmarkEnd w:id="183"/>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امتثال الکلّیات عقلا باتیان فرد منها مع کمال المغایرة، بل المباینة بینهما فی الخارج بواسطة الخصوصیات المشخصة و الفصول المقوّمة له، و کون الامتثال للأمر الجزئی الشخصی المقدّمی الغیری المنتزع من الأمر الکلّی الأصلی، بل و بحصول امتثال العموم الأفرادی و الجمعی باتیان کلّ فرد من أفراده، مع کون الامتثال فیه للأمر المنتزع من العموم، بل و بحصول امتثال موارد العلم الإجمالی بالتکلیف المردّد فی الواقع بین الأقلّ و الأکثر بل المتباینین کالظهر و الجمعة مع کون الامتثال فیه للأمر الظاهری المقدّمی المنتزع من الأمر الواقعی النفس الأمری</w:t>
      </w:r>
      <w:r>
        <w:rPr>
          <w:rFonts w:eastAsia="IRNazanin" w:cs="IRNazanin"/>
          <w:color w:val="111111"/>
          <w:sz w:val="28"/>
          <w:szCs w:val="28"/>
          <w:rtl w:val="true"/>
          <w:lang w:bidi="fa-IR"/>
        </w:rPr>
        <w:t>.</w:t>
      </w:r>
    </w:p>
    <w:p>
      <w:pPr>
        <w:pStyle w:val="Heading5"/>
        <w:numPr>
          <w:ilvl w:val="4"/>
          <w:numId w:val="1"/>
        </w:numPr>
        <w:rPr/>
      </w:pPr>
      <w:bookmarkStart w:id="184" w:name="__RefHeading___Toc2646398_3224264995"/>
      <w:bookmarkStart w:id="185" w:name="_Toc70"/>
      <w:bookmarkEnd w:id="184"/>
      <w:r>
        <w:rPr>
          <w:rtl w:val="true"/>
        </w:rPr>
        <w:t>[</w:t>
      </w:r>
      <w:r>
        <w:rPr>
          <w:rtl w:val="true"/>
        </w:rPr>
        <w:t>الأصل عدم اعتبار التعیین و عدم اعتبار نیّة الوجه</w:t>
      </w:r>
      <w:r>
        <w:rPr>
          <w:rtl w:val="true"/>
        </w:rPr>
        <w:t>]</w:t>
      </w:r>
      <w:bookmarkEnd w:id="185"/>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غایة ما یستفاد من النقل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من العقل و هو لزوم إطاعة المولی و امتثاله إنّما هو وجوب الموافقة القطعیة أو الأعمّ منه و من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فهو حاصل بالموافقة لأیّ أمر من أوامره الأصلیة و الانتزاعیة و النفسیة الغیریة و المقدّمیة، و لا یتعیّن التطابق و لا تعیین نیّة المطابقة الحقیقیة، بل لا یمکن حتی فی المتعیّن من جمیع الجهات فاعتبار نیّة التعیین فی صورة تعدّد ما فی الذّمة علی القول به لیس لاعتباره فی صحّة العمل، بل و لا فی قبوله بل إنّما هو لوجود مانع الترجیح بلا مرجّح فی مقام احتساب ما اتی به علی غیر وجه التعیین عن أحد الأمرین المتعیّنین علیه فی الواقع و إن کان ذلک المأتیّ به علی غیر وجه التعیین صحیحا و مقبولا عقلا و نقلا</w:t>
      </w:r>
      <w:r>
        <w:rPr>
          <w:rFonts w:eastAsia="IRNazanin" w:cs="IRNazanin"/>
          <w:color w:val="111111"/>
          <w:sz w:val="28"/>
          <w:szCs w:val="28"/>
          <w:rtl w:val="true"/>
          <w:lang w:bidi="fa-IR"/>
        </w:rPr>
        <w:t>.</w:t>
      </w:r>
    </w:p>
    <w:p>
      <w:pPr>
        <w:pStyle w:val="Heading5"/>
        <w:numPr>
          <w:ilvl w:val="4"/>
          <w:numId w:val="1"/>
        </w:numPr>
        <w:rPr/>
      </w:pPr>
      <w:bookmarkStart w:id="186" w:name="__RefHeading___Toc2646400_3224264995"/>
      <w:bookmarkStart w:id="187" w:name="_Toc71"/>
      <w:bookmarkEnd w:id="186"/>
      <w:r>
        <w:rPr>
          <w:rtl w:val="true"/>
        </w:rPr>
        <w:t>[</w:t>
      </w:r>
      <w:r>
        <w:rPr>
          <w:rtl w:val="true"/>
        </w:rPr>
        <w:t>المعتبر فی صحّة العبادة و قبولها قصد القربة</w:t>
      </w:r>
      <w:r>
        <w:rPr>
          <w:rtl w:val="true"/>
        </w:rPr>
        <w:t>]</w:t>
      </w:r>
      <w:bookmarkEnd w:id="1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هذا الأصل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أصالة عدم اعتبار التعیین و عدم اعتبار نیّة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یعتبر فی صحّة العبادات و لا فی قبولها شی‌ء ممّا عدا </w:t>
      </w:r>
      <w:bookmarkStart w:id="188" w:name="pg12856_162565"/>
    </w:p>
    <w:p>
      <w:pPr>
        <w:pStyle w:val="BookText"/>
        <w:rPr/>
      </w:pPr>
      <w:bookmarkEnd w:id="188"/>
      <w:r>
        <w:rPr>
          <w:rFonts w:ascii="IRNazanin" w:hAnsi="IRNazanin" w:eastAsia="IRNazanin"/>
          <w:color w:val="111111"/>
          <w:sz w:val="28"/>
          <w:sz w:val="28"/>
          <w:szCs w:val="28"/>
          <w:rtl w:val="true"/>
          <w:lang w:bidi="fa-IR"/>
        </w:rPr>
        <w:t>القربة من مراتب نیة الوجه و لا تعیینها مطلقا سواء کان متعدّدا أم متحدا، و سواء کان المتعدّد متحد النوع و السبب أم مختلفا أم متفرقا</w:t>
      </w:r>
      <w:r>
        <w:rPr>
          <w:rFonts w:eastAsia="IRNazanin" w:cs="IRNazanin"/>
          <w:color w:val="111111"/>
          <w:sz w:val="28"/>
          <w:szCs w:val="28"/>
          <w:rtl w:val="true"/>
          <w:lang w:bidi="fa-IR"/>
        </w:rPr>
        <w:t>.</w:t>
      </w:r>
    </w:p>
    <w:p>
      <w:pPr>
        <w:pStyle w:val="Heading5"/>
        <w:numPr>
          <w:ilvl w:val="4"/>
          <w:numId w:val="1"/>
        </w:numPr>
        <w:rPr/>
      </w:pPr>
      <w:bookmarkStart w:id="189" w:name="__RefHeading___Toc2646402_3224264995"/>
      <w:bookmarkStart w:id="190" w:name="_Toc72"/>
      <w:bookmarkEnd w:id="189"/>
      <w:r>
        <w:rPr>
          <w:rtl w:val="true"/>
        </w:rPr>
        <w:t>[</w:t>
      </w:r>
      <w:r>
        <w:rPr>
          <w:rtl w:val="true"/>
        </w:rPr>
        <w:t>عدم اعتبار نیّة الرفع و لا الاباحة فی الطهارة و لا غیرهما</w:t>
      </w:r>
      <w:r>
        <w:rPr>
          <w:rtl w:val="true"/>
        </w:rPr>
        <w:t>]</w:t>
      </w:r>
      <w:bookmarkEnd w:id="190"/>
    </w:p>
    <w:p>
      <w:pPr>
        <w:pStyle w:val="BookText"/>
        <w:rPr/>
      </w:pPr>
      <w:r>
        <w:rPr>
          <w:rFonts w:ascii="IRNazanin" w:hAnsi="IRNazanin" w:eastAsia="IRNazanin"/>
          <w:color w:val="111111"/>
          <w:sz w:val="28"/>
          <w:sz w:val="28"/>
          <w:szCs w:val="28"/>
          <w:rtl w:val="true"/>
          <w:lang w:bidi="fa-IR"/>
        </w:rPr>
        <w:t>فعلی هذا الأصل الأصیل السالم عن مخالفة الدلیل لا یعتبر فی صحّة الطهارة مطلقا وراء الخلوص و القربة شی‌ء من نیة الرفع، و لا الإباحة، و لا نیة البدلیة، و لا تعیین المبدل فی التیمم عن الغسل أو الوضوء، و لا تعیین البدل فی ضربة أو ضربتین، بل و لا غیرها من سائر الأوصاف و الخواصّ و الغایات</w:t>
      </w:r>
      <w:r>
        <w:rPr>
          <w:rFonts w:eastAsia="IRNazanin" w:cs="IRNazanin"/>
          <w:color w:val="111111"/>
          <w:sz w:val="28"/>
          <w:szCs w:val="28"/>
          <w:rtl w:val="true"/>
          <w:lang w:bidi="fa-IR"/>
        </w:rPr>
        <w:t>.</w:t>
      </w:r>
    </w:p>
    <w:p>
      <w:pPr>
        <w:pStyle w:val="Heading5"/>
        <w:numPr>
          <w:ilvl w:val="4"/>
          <w:numId w:val="1"/>
        </w:numPr>
        <w:rPr/>
      </w:pPr>
      <w:bookmarkStart w:id="191" w:name="__RefHeading___Toc2646404_3224264995"/>
      <w:bookmarkStart w:id="192" w:name="_Toc73"/>
      <w:bookmarkEnd w:id="191"/>
      <w:r>
        <w:rPr>
          <w:rtl w:val="true"/>
        </w:rPr>
        <w:t>[</w:t>
      </w:r>
      <w:r>
        <w:rPr>
          <w:rtl w:val="true"/>
        </w:rPr>
        <w:t xml:space="preserve">عدم اعتبار تعیین القصر و الاتمام أو الاداء و القضاء فی الصلاة، و لا تعیین الأداء و القضاء و </w:t>
      </w:r>
      <w:r>
        <w:rPr>
          <w:rtl w:val="true"/>
        </w:rPr>
        <w:t>..]</w:t>
      </w:r>
      <w:bookmarkEnd w:id="192"/>
    </w:p>
    <w:p>
      <w:pPr>
        <w:pStyle w:val="BookText"/>
        <w:rPr/>
      </w:pPr>
      <w:r>
        <w:rPr>
          <w:rFonts w:ascii="IRNazanin" w:hAnsi="IRNazanin" w:eastAsia="IRNazanin"/>
          <w:color w:val="111111"/>
          <w:sz w:val="28"/>
          <w:sz w:val="28"/>
          <w:szCs w:val="28"/>
          <w:rtl w:val="true"/>
          <w:lang w:bidi="fa-IR"/>
        </w:rPr>
        <w:t>و لا فی صحّة الصلاة تعیین القصر و الإتمام فی مواضع التخییر، بل و لا فی مواضع التردید، بل و لا تعیین الأداء و القضاء، بل و لا تعیین الواجب من المندوب فی نفس الصلاة، و لا فی أجزائها المفردة، و لا فی أجزائها المردّدة بین الواجب و المندوب، کالتکبیرات و التسلیمات و الأذکار، و کذلک لا یعتبر السورة فی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یعتبر فی صحّة الصوم وراء القربة تعیین الأداء و القضاء، و لا تعیین نوعه من الواجب و المندوب فی یوم الشکّ و 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یعتبر فی صحّة الحجّ تعیین نوعه من القران و الإفراد و التمتع، و لا العلم الإجمالی بأجزائه و مجموع نسکه و أحکامه عند النیة، و لا تعیین الفرض من الندب، و لا تعیین حجّة الإسلام و غیره من أقسام النیابة و غیرها</w:t>
      </w:r>
      <w:r>
        <w:rPr>
          <w:rFonts w:eastAsia="IRNazanin" w:cs="IRNazanin"/>
          <w:color w:val="111111"/>
          <w:sz w:val="28"/>
          <w:szCs w:val="28"/>
          <w:rtl w:val="true"/>
          <w:lang w:bidi="fa-IR"/>
        </w:rPr>
        <w:t>.</w:t>
      </w:r>
    </w:p>
    <w:p>
      <w:pPr>
        <w:pStyle w:val="Heading5"/>
        <w:numPr>
          <w:ilvl w:val="4"/>
          <w:numId w:val="1"/>
        </w:numPr>
        <w:rPr/>
      </w:pPr>
      <w:bookmarkStart w:id="193" w:name="__RefHeading___Toc2646406_3224264995"/>
      <w:bookmarkStart w:id="194" w:name="_Toc74"/>
      <w:bookmarkEnd w:id="193"/>
      <w:r>
        <w:rPr>
          <w:rtl w:val="true"/>
        </w:rPr>
        <w:t>[</w:t>
      </w:r>
      <w:r>
        <w:rPr>
          <w:rtl w:val="true"/>
        </w:rPr>
        <w:t>امکان الأخذ بالإطلاق لعدم اعتبار التعیینی فی صحة احتساب المأتی به من التعبدیات عن خصوص المتعیّن المتعدّد علیه</w:t>
      </w:r>
      <w:r>
        <w:rPr>
          <w:rtl w:val="true"/>
        </w:rPr>
        <w:t>]</w:t>
      </w:r>
      <w:bookmarkEnd w:id="194"/>
    </w:p>
    <w:p>
      <w:pPr>
        <w:pStyle w:val="BookText"/>
        <w:rPr/>
      </w:pPr>
      <w:r>
        <w:rPr>
          <w:rFonts w:ascii="IRNazanin" w:hAnsi="IRNazanin" w:eastAsia="IRNazanin"/>
          <w:color w:val="111111"/>
          <w:sz w:val="28"/>
          <w:sz w:val="28"/>
          <w:szCs w:val="28"/>
          <w:rtl w:val="true"/>
          <w:lang w:bidi="fa-IR"/>
        </w:rPr>
        <w:t>نعم، قد یعتبر التعیین فی صحّة احتساب المأتی به عن خصوص المتعیّن المتعدّد علیه فی الواقع فی خصوص التعبدیات دون التوصلیات و إن أمکن الأخذ بإطلاقها أیضا فی صحّتها مطلقا حتی فی مقام الاحتساب، کما اخذ بإطلاقها فی إثبات الصحّة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یفرّق بأنّ مرجع صحّة الامتثال و عدمه إلی أصالة البراءة و الإطلاق بخلاف الشکّ فی الاحتساب، فإنّه شکّ فی کیفیة الإطاعة العقلیة التی مرجعها إلی </w:t>
      </w:r>
      <w:bookmarkStart w:id="195" w:name="pg12856_162566"/>
    </w:p>
    <w:p>
      <w:pPr>
        <w:pStyle w:val="BookText"/>
        <w:rPr/>
      </w:pPr>
      <w:bookmarkEnd w:id="195"/>
      <w:r>
        <w:rPr>
          <w:rFonts w:ascii="IRNazanin" w:hAnsi="IRNazanin" w:eastAsia="IRNazanin"/>
          <w:color w:val="111111"/>
          <w:sz w:val="28"/>
          <w:sz w:val="28"/>
          <w:szCs w:val="28"/>
          <w:rtl w:val="true"/>
          <w:lang w:bidi="fa-IR"/>
        </w:rPr>
        <w:t>حکم العقل بالاحتیاط و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الفرق و إن کان ممنوعا إلّا أنّ الفرق السابق بینهما بأنّ الترجیح بلا مرجّح مانع من الاحتساب لا من الامتثال، و الثواب کاف فی الفرق، إلّا أن یقال بأنّه غیر فارق و أنّ الواجب علی المأمور عقلا مجرّد تحصیل الامتثال لا الاحتساب و الثواب، و لکن الاحتیاط لا ینبغی ترکه فی الحساب و الاحتساب عند أولی الألباب</w:t>
      </w:r>
      <w:r>
        <w:rPr>
          <w:rFonts w:eastAsia="IRNazanin" w:cs="IRNazanin"/>
          <w:color w:val="111111"/>
          <w:sz w:val="28"/>
          <w:szCs w:val="28"/>
          <w:rtl w:val="true"/>
          <w:lang w:bidi="fa-IR"/>
        </w:rPr>
        <w:t>.</w:t>
      </w:r>
    </w:p>
    <w:p>
      <w:pPr>
        <w:pStyle w:val="Heading5"/>
        <w:numPr>
          <w:ilvl w:val="4"/>
          <w:numId w:val="1"/>
        </w:numPr>
        <w:rPr/>
      </w:pPr>
      <w:bookmarkStart w:id="196" w:name="__RefHeading___Toc2646408_3224264995"/>
      <w:bookmarkStart w:id="197" w:name="_Toc75"/>
      <w:bookmarkEnd w:id="196"/>
      <w:r>
        <w:rPr>
          <w:rtl w:val="true"/>
        </w:rPr>
        <w:t>[</w:t>
      </w:r>
      <w:r>
        <w:rPr>
          <w:rtl w:val="true"/>
        </w:rPr>
        <w:t>التردید فی النیّة یفترق عن التردید فی المنوی</w:t>
      </w:r>
      <w:r>
        <w:rPr>
          <w:rtl w:val="true"/>
        </w:rPr>
        <w:t>]</w:t>
      </w:r>
      <w:bookmarkEnd w:id="197"/>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الجزم مأخوذ فی النیة، و التردید و التزلزل فیها مناف للجزم بالنیة و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فی ما لم یقصد فیه التعیین ممّا ذکر إنّما هو تردید فی المنویّ لا النیة، فإنّ التردید فی النیة تردید فی فعل الشی‌ء و عدم فعله، و أین هذا من الجزم بفعله علی أیّ تقدیر من تقدیریه و وصفیه الواقعی المردّد فی الواقع بین المتعیّنین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 بعدم وجوب الاحتیاط فقد ظنّ بأنّ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198" w:name="__RefHeading___Toc2646410_3224264995"/>
      <w:bookmarkStart w:id="199" w:name="_Toc76"/>
      <w:bookmarkEnd w:id="198"/>
      <w:r>
        <w:rPr>
          <w:rtl w:val="true"/>
        </w:rPr>
        <w:t>[</w:t>
      </w:r>
      <w:r>
        <w:rPr>
          <w:rtl w:val="true"/>
        </w:rPr>
        <w:t>الفرق بین الظن بالواقع و بین الظن بالطریق إلی الواقع</w:t>
      </w:r>
      <w:r>
        <w:rPr>
          <w:rtl w:val="true"/>
        </w:rPr>
        <w:t>]</w:t>
      </w:r>
      <w:bookmarkEnd w:id="1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الظنّ المتعلق بالواقع و الظنّ المتعلق بکون الشی‌ء طریقا إلی الواقع أمّا من حیث المصداق و المورد فبینهما عموم من وجه، لتصادقهما علی الشهرة الکاشفة کشفا ظنّیا عن الواقع مع الظنّ بکونها طریقا إلیه، و افتراق المتعلق بالواقع فی الظنّ الحاصل بالواقع من القیاس مع عدم الظنّ بکونه طریقا إلی الواقع، و افتراق المتعلق بکون الشی‌ء طریقا فی الخبر الغیر المقیّد ظنا بالواقع مع الظنّ بطریقیته إلیه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الحکم فبینهما عموم و خصوص مطلقا، إذ کلّ من قال بحجّیة الظنّ المتعلق بالواقع بدلیل الانسداد قال بحجّیة الظنّ المتعلق بکون الشی‌ء طریقا إلی الواقع و لا 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عرفت ذلک فمحصّل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الظنّی بمرجعیة الاصول فی المشکوکات دون الاحتیاط و إن لم یکن حجّة من حیث تعلّقه بالواقع إلّا أنّه یمکن القول بحجّیته من حیث تعلّقه بطریقیة الاصول و مرجعیتها فی المشکوکات، دون مرجعیة الاحتیاط لما عرفت من وجود القائل بالتفکیک بین القول بحجّیة الظنّ الطریقی دون حجّیة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الجواب عنه فی ضمن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الظنّ بطریقیة الطریق و إن افترق عن الظنّ بالواقع من حیث الحکم و الحجّیة إلّا أنّه لم یفترق عنه من حیث توقّف الحجّیة فی کلّ منهما، علی حجّیة الظنّ فی الجملة و إبطال الاحتیاط بعد الانسداد، و 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أنّه إن ارید من الإجماع المذکور إجماع مستقلّ فهو غیر مسلّم لا قطعا و لا ظنا، لأنّ الإجماع المستقلّ علی عدم العمل بالاحتیاط فی المشکوکات إجماع تقییدی مختلف الوجه، فوجهه عند الانفتاحیین هو عدم العلم الإجمالی لهم بالتکالیف فی الوقائع المشکوکة، و عند الانسدادیین لعلّه لزوم العسر کلزومه فی 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الإجماع المنتزع المستنبط من عدم انسداد باب الاجتهاد بعد الانسداد فهو إجماع قطعی لا ظنّی، و هو منتزع من الإجماع القولی و العملی علی حجّیة الظنّ و قیامه مقام العلم بعد انسداد باب العلم، لا إجماع مستقلّ وراء ذلک الإجماع و یشهد علی قطعیة هذا الإجماع ما یظهر من کلمات الأصحاب من التصریح و التلویح بقیام الظنّ مقام العلم بعد فرض الانسداد، و عدم انسداد باب الاجتهاد بانسداد باب العلم، کما مرّ الکلام فی تفصیله سابقا بأبلغ وجه و أبسط فراجع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لک اندفاع الإشکال الثانی الذی استشکله الماتن حیث قال</w:t>
      </w:r>
      <w:r>
        <w:rPr>
          <w:rFonts w:eastAsia="IRNazanin" w:cs="IRNazanin"/>
          <w:color w:val="111111"/>
          <w:sz w:val="28"/>
          <w:szCs w:val="28"/>
          <w:rtl w:val="true"/>
          <w:lang w:bidi="fa-IR"/>
        </w:rPr>
        <w:t xml:space="preserve">: </w:t>
      </w:r>
      <w:bookmarkStart w:id="200" w:name="pg12856_162568"/>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یحصل ممّا ذکرنا إشکال آخر أیضا من جهة أنّ نفی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إنّها استصحابات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مانعیة العلم الإجمالی بوجود غیر الواجبات و المحرّمات کالمندوبات و المباحات أمّا عن نفس الاستصحاب فمبنیّ علی إفادته الظنّ الفعلی المخالف لذلک العلم الإجمالی، و المفروض عدمه، و أمّا مانعیته عن حکم الاستصحاب و مرجعیته فی الشکّ فی الأحکام فمبنیّ علی ما زعمه الأخباریة من عدم مرجعیته فی الأحکام، و المفروض وجوده عند المشهور خصوصا فی الاستصحاب المفروض موافقته الاحتیاط فإنّه حجّة حتی عند 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دلیل علی حجّیة فتواه بالنسبة إلیه</w:t>
      </w:r>
      <w:r>
        <w:rPr>
          <w:rFonts w:eastAsia="IRNazanin" w:cs="IRNazanin"/>
          <w:color w:val="111111"/>
          <w:sz w:val="28"/>
          <w:szCs w:val="28"/>
          <w:rtl w:val="true"/>
          <w:lang w:bidi="fa-IR"/>
        </w:rPr>
        <w:t>».</w:t>
      </w:r>
    </w:p>
    <w:p>
      <w:pPr>
        <w:pStyle w:val="Heading5"/>
        <w:numPr>
          <w:ilvl w:val="4"/>
          <w:numId w:val="1"/>
        </w:numPr>
        <w:rPr/>
      </w:pPr>
      <w:bookmarkStart w:id="201" w:name="__RefHeading___Toc2646412_3224264995"/>
      <w:bookmarkStart w:id="202" w:name="_Toc77"/>
      <w:bookmarkEnd w:id="201"/>
      <w:r>
        <w:rPr>
          <w:rtl w:val="true"/>
        </w:rPr>
        <w:t>[</w:t>
      </w:r>
      <w:r>
        <w:rPr>
          <w:rtl w:val="true"/>
        </w:rPr>
        <w:t>خروج المجتهد عن أدلّة الواقع حجّیة فتوی المجتهد فی حقّه</w:t>
      </w:r>
      <w:r>
        <w:rPr>
          <w:rtl w:val="true"/>
        </w:rPr>
        <w:t>]</w:t>
      </w:r>
      <w:bookmarkEnd w:id="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الحقیقة خارج عن موضوع رجوع الجاهل إلی العالم مضافا إلی خروجه عن حکمه، لدخوله فی الحقیقة فی موضوع رجوع الجاهل البسیط إلی الجاهل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العالم المعاصر لذلک الجاهل و أمّا العالم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کالصدوق و المفید و غیرهما من القدماء المحتمل فی حقّهم الانفتاح و لم یشاهد الجاهل خطاءه و غلطه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لذلک الجاهل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بالانسداد یقول به فی کلّ زمان من أزمنة الغیبة و لا یخصّه بالأزمنة المتأخّرة حتی یحتمل تصویب العالم المتقدّم فیجوز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ابتناء مرجعیة التقلید بعد الانسداد علی قطعیة أدلّته، و إلّا کان حال أدلّته کحال سائر الأدلّة الظنّیة المفروض عدم ثبوت حجّیتها بعد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أنّ احتمال مرجعیة الاصول أو التقلید من الاحتمالات التی لا </w:t>
      </w:r>
      <w:bookmarkStart w:id="203" w:name="pg12856_162569"/>
    </w:p>
    <w:p>
      <w:pPr>
        <w:pStyle w:val="BookText"/>
        <w:rPr/>
      </w:pPr>
      <w:bookmarkEnd w:id="203"/>
      <w:r>
        <w:rPr>
          <w:rFonts w:ascii="IRNazanin" w:hAnsi="IRNazanin" w:eastAsia="IRNazanin"/>
          <w:color w:val="111111"/>
          <w:sz w:val="28"/>
          <w:sz w:val="28"/>
          <w:szCs w:val="28"/>
          <w:rtl w:val="true"/>
          <w:lang w:bidi="fa-IR"/>
        </w:rPr>
        <w:t>ینبغی للفقیه عدّها فی عداد المحتملات بل الکلام فیها تضییع للوقت، و العمر أعزّ من أن یصرف فیه، کما أنّ احتمال التبعیض فی الاحتیاط بین أصناف المکلّفین أو أزمنتهم أو أحوالهم من جهة القوّة و الضعف أو الشرافة و الوضع، أو التبعیض بین العمل بالاحتیاط فی بعض الوقائع و بین العمل بالظنّ فی بعضها، أو بینه و بین العمل بالاصول الأربعة، أو بینه و بین التقلید، أو بینه و بین القرعة، إلی غیر ذلک من صور التبعیض ثنائیا و ثلاثیا و رباعیا، کلّها مخالفة للإجماع، مضافا إلی عدم احتمال شی‌ء منها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204" w:name="__RefHeading___Toc2646414_3224264995"/>
      <w:bookmarkStart w:id="205" w:name="_Toc78"/>
      <w:bookmarkEnd w:id="204"/>
      <w:r>
        <w:rPr>
          <w:rtl w:val="true"/>
        </w:rPr>
        <w:t>[</w:t>
      </w:r>
      <w:r>
        <w:rPr>
          <w:rtl w:val="true"/>
        </w:rPr>
        <w:t>مراتب الامتثال</w:t>
      </w:r>
      <w:r>
        <w:rPr>
          <w:rtl w:val="true"/>
        </w:rPr>
        <w:t>]</w:t>
      </w:r>
      <w:bookmarkEnd w:id="2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 توضیح ترتیب مراتب الامتثال بالمراتب الأربعة عقلا و جبلّة رفع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إشکال إبطاله مرجعیة القرعة و نحوها فی هذه المقدّمة الرابعة، مع تعرّضه لإبطال مرجعیة الاحتیاط و البراءة و الاصول الأربعة و التقلید فی المقدّمة الثالثة السابقة، فإنّ التفکیک فی إبطال مرجعیة ما عدا الظنّ بعد الانسداد من سائر طرق الامتثال ببیان إبطال بعضها فی المقدّمة الثالثة و بعضها فی المقدّمة الرابعة موهم للإشکال فی وجهه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یندفع الإشکال عن وجهه ببیان ترتّب طرق الامتثال العقلی بالمراتب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العلمی التفصیلی، ثمّ العلمی الإجمالی، ثمّ الظنّی التفصیلی، ثمّ الاحتمالی و الشکّی،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الطرق المقررة للجاهل لما کان بعضها مظنون الإیصال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کالبراءة و التقلید و الاصول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مشکوک الإیصال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کالقرعة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لمظنونه علی مشکوکه رتبة مقدمة فی الامتثال عقلا قدّم إبطال مرجعیة مظنونه فی المقدّمة الثالثة و اخّر إبطال مرجعیة مشکوکه إلی المقدّمة الرابعة وضعا، لإبطال مرجعیة کلما یحتمل </w:t>
      </w:r>
    </w:p>
    <w:p>
      <w:pPr>
        <w:pStyle w:val="BookText"/>
        <w:rPr/>
      </w:pPr>
      <w:r>
        <w:rPr>
          <w:rFonts w:ascii="IRNazanin" w:hAnsi="IRNazanin" w:eastAsia="IRNazanin"/>
          <w:color w:val="111111"/>
          <w:sz w:val="28"/>
          <w:sz w:val="28"/>
          <w:szCs w:val="28"/>
          <w:rtl w:val="true"/>
          <w:lang w:bidi="fa-IR"/>
        </w:rPr>
        <w:t>المرجعیة فی محلّه و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أشار إلیه الماتن من احتمال مرجعیة ما عدا الظنّ بعد الانسداد و عدم التمکن من الاحتیاط من سائر الطرق الشرعیة کالقرعة و التقلید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أشار إلیه الماتن أیضا من التنافی بین التزام بقاء التکلیف فی الوقائع المجهولة، و بین التزام العمل بالظنّ، بالتوضیح المقرّر فی المتن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کما قد علم من توضیح ترتیب مراتب الامتثال بالمراتب الأربع عقلا و جبلّة و قهرا رفع إشکالات کذلک قد یتوهّم من ترتیب مراتب الامتثال بالمراتب الأربع عقلا و قهرا ورود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عدّه الظنّ بعد الانسداد کالعلم فی المقام فی الحجّیة عقلا بنفسه لا بجعل الشارع، لإطلاق عدّه الظنّ فی أوّل حجّیة القطع من الطرق المجعولة شرعا لا المنجعلة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رفع المنافاة إمّا بحمل إطلاقه السابق بمجعولیة حجّیة الظنّ علی صورة الانفتاح، لئلّا ینافیه انجعال حجّیته فی صورة الانسداد، الذی هو مفروض الکلام فی المقام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لابتناء انجعال حجّیة الظنّ بنفسه بعد الانسداد علی فرض عدم التمکّن من الاحتیاط و امتثال العلمی الإجمالی، و أمّا مع التمکّن من الاحتیاط الذی هو امتثال علمی إجمالی و لو فی بعض الموارد کالمشکوکات فلا إشکال فی مجعولیة حجّیة الظنّ شرعا علی تقدیر حجّیته فی هذا المقام؛ لأنّ تقدیم ما حقّه التأخیر بحسب الرتبة العقلیة من کلّ من المراتب الأربع للامتثال لا یکون إلّا </w:t>
      </w:r>
    </w:p>
    <w:p>
      <w:pPr>
        <w:pStyle w:val="BookText"/>
        <w:rPr/>
      </w:pPr>
      <w:r>
        <w:rPr>
          <w:rFonts w:ascii="IRNazanin" w:hAnsi="IRNazanin" w:eastAsia="IRNazanin"/>
          <w:color w:val="111111"/>
          <w:sz w:val="28"/>
          <w:sz w:val="28"/>
          <w:szCs w:val="28"/>
          <w:rtl w:val="true"/>
          <w:lang w:bidi="fa-IR"/>
        </w:rPr>
        <w:t>بجعل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ما صرّح به فی المقدّمة الرابعة من مرجعیة الظنّ بعد الانسداد، لما صرح به فی المقدّمة الثالثة السابقة من مرجعیة الاحتیاط بعد الانسداد، غایته ثبوت عفو الشارع عن الاحتیاط فی الموهومات بأدلّة نفی العسر و الحرج و ثبوت عفوه تعالی عن الاحتیاط فی الموهومات، بل و فی المشکوکات لا ارتفاع مرجعیة الاحتیاط و الامتثال العلمی الإجمالی فی التتمة و البقیة من الوقائع و تعیین مرجعیة الظنّ فیها، ضرورة أنّ مرجعیة الظنّ متأخرة عن مرتبة مرجعیة الاحتیاط و الامتثال العلمی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فمرجعیة الاحتیاط و الامتثال العلمی الإجمالی مقدّم بحسب الرتبة العقلیة علی مرجعیة الظنّ و إن ارتفع الید عن أکثر موارده بواسطة عسر أو حرج أو ضرورة، فارتفاع الید و لو عن أکثر موارد الاحتیاط لا یوجب ارتفاع مرجعیة الاحتیاط فی التتمة، و تعیین مرجعیة الظنّ فیها و إن صادفت موارد الظنّ أ لا تری أنّ تجویز الشارع و ترخیصه ارتکاب بعض أطراف الشبهة المحصورة بل جمیعها إلّا موردا واحدا لضرورة أو عسر أو حرج لا یوجب العدول عن مرجعیة الاحتیاط فی التتمة و لو کان موردا واحدا إلی تعیین مرجعیة الظنّ فیه و لو کان مصادفا لمورد الظنّ، و مع ذلک کیف یستند العمل فی ما نحن فیه إلی الظنّ بعد فرض الانسداد؟ مع بقاء التمکن من الاحتیاط و الامتثال العلمی الاجمالی و لو فی بعض الموارد، بل و لو صادفت تلک الموارد الممکن فیها الاحتیاط لموارد الظنّ، فإن العمل بالمظنونات مع التمکن من الاحتیاط مستند إلی الاحتیاط، لا إلی الظنّ و إن صادف الاحتیاط الظنّ موردا، إلّا أنّ العمل لیس حینئذ بالمظنون بوصف أنّه مظنون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توجیه ورود هذا الإشکال أیضا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قد یعلم دفعه بما دفع به الإشکال السابق أخیرا 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206" w:name="pg12856_162572"/>
    </w:p>
    <w:p>
      <w:pPr>
        <w:pStyle w:val="BookText"/>
        <w:rPr/>
      </w:pPr>
      <w:bookmarkEnd w:id="206"/>
      <w:r>
        <w:rPr>
          <w:rFonts w:ascii="IRNazanin" w:hAnsi="IRNazanin" w:eastAsia="IRNazanin"/>
          <w:color w:val="111111"/>
          <w:sz w:val="28"/>
          <w:sz w:val="28"/>
          <w:szCs w:val="28"/>
          <w:rtl w:val="true"/>
          <w:lang w:bidi="fa-IR"/>
        </w:rPr>
        <w:t>و إن کان مرجعیة الظنّ بعد الانسداد و استناد العمل إلیه منافیا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الاحتیاط بحسب الرتبة العقلیة و لو فی الجملة لا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منافیا لتعبّد الشارع بمرجعیته و تقدّمه علی مرجعیة الاحتیاط و الامتثال العلمی الإجمالی، کما أنّ تأخیر رتبة الامتثال الاحتمالی و الموافقة الاحتمالیة عن الامتثال الظنّی بحسب الرتبة عقلا لا ینافی تعبّد الشارع بمرجعیته و الاکتفاء بمجرّد الامتثال الاحتمالی، فإن طالبتنا بالشاهد و البیّنة علی تعبّد الشارع بمرجعیة الظنّ دون الاحتیاط و إن تمکّن منه حوّلناک إلی التتبع فی موارد الفقه، فإنّ من تتبّع أدنی تتبّع فی الموارد الفقهیة علم بالعلم القطعی أنّ بناء الفقهاء لیس علی سدّ باب الاجتهاد و التقلید بعد فرض انسداد باب العلم علیهم بانحصار الأمر فی الاحتیاط، کما لا یخفی علی أولی الاستنباط من التصریح و التلویح بذلک فی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لذلک یجب العمل بالظنّ فی الضرر و العدالة و أمثالهما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أمثالهما ممّا یجب العمل فیه بالظنّ فکالأنساب و الوقفیة و الحرّیة و الملکیة خصوصا فی الرباط و المساجد و الأملاک و الممالیک</w:t>
      </w:r>
      <w:r>
        <w:rPr>
          <w:rFonts w:eastAsia="IRNazanin" w:cs="IRNazanin"/>
          <w:color w:val="111111"/>
          <w:sz w:val="28"/>
          <w:szCs w:val="28"/>
          <w:rtl w:val="true"/>
          <w:lang w:bidi="fa-IR"/>
        </w:rPr>
        <w:t>.</w:t>
      </w:r>
    </w:p>
    <w:p>
      <w:pPr>
        <w:pStyle w:val="Heading5"/>
        <w:numPr>
          <w:ilvl w:val="4"/>
          <w:numId w:val="1"/>
        </w:numPr>
        <w:rPr/>
      </w:pPr>
      <w:bookmarkStart w:id="207" w:name="__RefHeading___Toc2646416_3224264995"/>
      <w:bookmarkStart w:id="208" w:name="_Toc79"/>
      <w:bookmarkEnd w:id="207"/>
      <w:r>
        <w:rPr>
          <w:rtl w:val="true"/>
        </w:rPr>
        <w:t>[</w:t>
      </w:r>
      <w:r>
        <w:rPr>
          <w:rtl w:val="true"/>
        </w:rPr>
        <w:t>بعض ما یجب فیه العمل بالظن ممّا یعلم عدم رضا الشارع بإهمال أحکامه</w:t>
      </w:r>
      <w:r>
        <w:rPr>
          <w:rtl w:val="true"/>
        </w:rPr>
        <w:t>]</w:t>
      </w:r>
      <w:bookmarkEnd w:id="208"/>
    </w:p>
    <w:p>
      <w:pPr>
        <w:pStyle w:val="BookText"/>
        <w:rPr/>
      </w:pPr>
      <w:r>
        <w:rPr>
          <w:rFonts w:ascii="IRNazanin" w:hAnsi="IRNazanin" w:eastAsia="IRNazanin"/>
          <w:color w:val="111111"/>
          <w:sz w:val="28"/>
          <w:sz w:val="28"/>
          <w:szCs w:val="28"/>
          <w:rtl w:val="true"/>
          <w:lang w:bidi="fa-IR"/>
        </w:rPr>
        <w:t>و أمّا وجه ترجّی اعتبار الظنّ المطلق فی تحقّق هذه الموضوعات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فمبنیّ علی کونها اسما للمعانی الواقعیة أو المعلومة التی لا یعلم تحقّقها لغیر العالم بالغیوب عادة و غالبا، مع عدم جواز إهمال الأحکام المترتبة علیها شرعا بناء علی أنّ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الملکة النفسانیة، التی لا یعلم وجودها لغیر العالم بالغیوب المنزّه عن العیوب مع العلم بعدم رضا الشارع لإهمال أحکامها من إقامة الحدود و الحقوق و الجمعة و الجماعات و الشهادات و فصل الخصومات، و کذا الضرر ممّا لا یعلم غالبا إلّا بعد الوقوع فیه فیلزم من نفیه الوقوع فیه المنافی للامتنان بنفیه لو لا اعتبار الظنّ فیه، و کذلک الأنساب</w:t>
      </w:r>
      <w:r>
        <w:rPr>
          <w:rFonts w:eastAsia="IRNazanin" w:cs="IRNazanin"/>
          <w:color w:val="111111"/>
          <w:sz w:val="28"/>
          <w:szCs w:val="28"/>
          <w:rtl w:val="true"/>
          <w:lang w:bidi="fa-IR"/>
        </w:rPr>
        <w:t>.</w:t>
      </w:r>
    </w:p>
    <w:p>
      <w:pPr>
        <w:pStyle w:val="Heading5"/>
        <w:numPr>
          <w:ilvl w:val="4"/>
          <w:numId w:val="1"/>
        </w:numPr>
        <w:rPr/>
      </w:pPr>
      <w:bookmarkStart w:id="209" w:name="__RefHeading___Toc2646418_3224264995"/>
      <w:bookmarkStart w:id="210" w:name="_Toc80"/>
      <w:bookmarkEnd w:id="209"/>
      <w:r>
        <w:rPr>
          <w:rtl w:val="true"/>
        </w:rPr>
        <w:t>[</w:t>
      </w:r>
      <w:r>
        <w:rPr>
          <w:rtl w:val="true"/>
        </w:rPr>
        <w:t>احتمال موضوعیة الظن فی بعض الأحکام</w:t>
      </w:r>
      <w:r>
        <w:rPr>
          <w:rtl w:val="true"/>
        </w:rPr>
        <w:t>]</w:t>
      </w:r>
      <w:bookmarkEnd w:id="21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الاحتمال الآخر المقابل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اعتبار الظنّ فیها </w:t>
      </w:r>
      <w:bookmarkStart w:id="211" w:name="pg12856_162573"/>
    </w:p>
    <w:p>
      <w:pPr>
        <w:pStyle w:val="BookText"/>
        <w:rPr/>
      </w:pPr>
      <w:bookmarkEnd w:id="211"/>
      <w:r>
        <w:rPr>
          <w:rFonts w:ascii="IRNazanin" w:hAnsi="IRNazanin" w:eastAsia="IRNazanin"/>
          <w:color w:val="111111"/>
          <w:sz w:val="28"/>
          <w:sz w:val="28"/>
          <w:szCs w:val="28"/>
          <w:rtl w:val="true"/>
          <w:lang w:bidi="fa-IR"/>
        </w:rPr>
        <w:t>بالخصوص علی وجه الموضوعیة بناء علی کون المنفی هو مظنون الضرریة لا الضرر الواقعی،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حسن الظاهر و الوثوق بها، لا الملکة، أو علی وجه الطریقیة الخاصّة بناء علی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معناه اعتبار الظنّ بالولدیة الحاصلة من الفراش و حجّیته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الظنّ بالوقفیة و الحریة الحاصلة من الشهرة حجّة بالخصوص لمصلحة التوسعة، و حکمة تغلیب جهة الوقفیة 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 بالواقع لو فرض بقاؤه فلا یجدی غیر الاحتیاط و إحراز الواقع فی امتثاله</w:t>
      </w:r>
      <w:r>
        <w:rPr>
          <w:rFonts w:eastAsia="IRNazanin" w:cs="IRNazanin"/>
          <w:color w:val="111111"/>
          <w:sz w:val="28"/>
          <w:szCs w:val="28"/>
          <w:rtl w:val="true"/>
          <w:lang w:bidi="fa-IR"/>
        </w:rPr>
        <w:t>».</w:t>
      </w:r>
    </w:p>
    <w:p>
      <w:pPr>
        <w:pStyle w:val="Heading5"/>
        <w:numPr>
          <w:ilvl w:val="4"/>
          <w:numId w:val="1"/>
        </w:numPr>
        <w:rPr/>
      </w:pPr>
      <w:bookmarkStart w:id="212" w:name="__RefHeading___Toc2646420_3224264995"/>
      <w:bookmarkStart w:id="213" w:name="_Toc81"/>
      <w:bookmarkEnd w:id="212"/>
      <w:r>
        <w:rPr>
          <w:rtl w:val="true"/>
        </w:rPr>
        <w:t>[</w:t>
      </w:r>
      <w:r>
        <w:rPr>
          <w:rtl w:val="true"/>
        </w:rPr>
        <w:t>عدم مصادفة القطع الواقع أحیانا</w:t>
      </w:r>
      <w:r>
        <w:rPr>
          <w:rtl w:val="true"/>
        </w:rPr>
        <w:t>]</w:t>
      </w:r>
      <w:bookmarkEnd w:id="2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اندفاع ذلک حلّا بما فی المتن یندفع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بالقطع قد لا یصادف الواقع أیضا، إذ قد یکون جهلا مرکّبا فالالتزام به أیضا ینافی بقاء التکلیف فی الوقائع المجهولة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الانتقاض بذلک مبنیّ علی أن یکون الظنّ بعد انسداد باب العلم طریق منجعل کالقطع لا طریق جعلی، و إلّا فلقائل أن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القطع لما کان طریقا فی نفسه لا بجعل الشارع فمعذوریة العامل به فی صورة عدم المصادفة لا یستلزم التصویب أو تفویت المصلحة علی الشارع الحکیم، بخلاف معذوریة العامل بالظنّ فإنّه بعد فرضه طریقا جعلیا یستلزم أحد المحذورین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أقربیة الظنّ من الوهم إلی الواقع و أرجحیّته منه عقلا لا ینافی ما نحن بصدده من حجّیته عقلا؛ نظرا إلی أنّ المرجّحیة العقلیة و إن کان لمطلق المزیة و لا یستلزم الحجّیة إلّا أنّه لا ینافیها أیضا، فقد یجتمعان المرجّحیة و الحجّیة</w:t>
      </w:r>
      <w:r>
        <w:rPr>
          <w:rFonts w:eastAsia="IRNazanin" w:cs="IRNazanin"/>
          <w:color w:val="111111"/>
          <w:sz w:val="28"/>
          <w:szCs w:val="28"/>
          <w:rtl w:val="true"/>
          <w:lang w:bidi="fa-IR"/>
        </w:rPr>
        <w:t xml:space="preserve">. </w:t>
      </w:r>
      <w:bookmarkStart w:id="214" w:name="pg12856_162574"/>
    </w:p>
    <w:p>
      <w:pPr>
        <w:pStyle w:val="Heading5"/>
        <w:numPr>
          <w:ilvl w:val="4"/>
          <w:numId w:val="1"/>
        </w:numPr>
        <w:rPr/>
      </w:pPr>
      <w:bookmarkStart w:id="215" w:name="__RefHeading___Toc2646422_3224264995"/>
      <w:bookmarkStart w:id="216" w:name="_Toc82"/>
      <w:bookmarkEnd w:id="214"/>
      <w:bookmarkEnd w:id="215"/>
      <w:r>
        <w:rPr>
          <w:rtl w:val="true"/>
        </w:rPr>
        <w:t>[</w:t>
      </w:r>
      <w:r>
        <w:rPr>
          <w:rtl w:val="true"/>
        </w:rPr>
        <w:t>مقدّمات الانسداد</w:t>
      </w:r>
      <w:r>
        <w:rPr>
          <w:rtl w:val="true"/>
        </w:rPr>
        <w:t>]</w:t>
      </w:r>
      <w:bookmarkEnd w:id="216"/>
    </w:p>
    <w:p>
      <w:pPr>
        <w:pStyle w:val="BookText"/>
        <w:rPr/>
      </w:pPr>
      <w:r>
        <w:rPr>
          <w:rFonts w:ascii="IRNazanin" w:hAnsi="IRNazanin" w:eastAsia="IRNazanin"/>
          <w:color w:val="111111"/>
          <w:sz w:val="28"/>
          <w:sz w:val="28"/>
          <w:szCs w:val="28"/>
          <w:rtl w:val="true"/>
          <w:lang w:bidi="fa-IR"/>
        </w:rPr>
        <w:t>قال 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أحدهما من یری أنّ مقدّمات الانسداد لا یثبت إلّا اعتبار الظنّ و حجّیته فی کون الشی‌ء طریقا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17" w:name="__RefHeading___Toc2646424_3224264995"/>
      <w:bookmarkStart w:id="218" w:name="_Toc83"/>
      <w:bookmarkEnd w:id="217"/>
      <w:r>
        <w:rPr>
          <w:rtl w:val="true"/>
        </w:rPr>
        <w:t>[</w:t>
      </w:r>
      <w:r>
        <w:rPr>
          <w:rtl w:val="true"/>
        </w:rPr>
        <w:t>الظنّ الطریقی</w:t>
      </w:r>
      <w:r>
        <w:rPr>
          <w:rtl w:val="true"/>
        </w:rPr>
        <w:t>]</w:t>
      </w:r>
      <w:bookmarkEnd w:id="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تصویر القول بحجّیة الظنّ الطریقی دون الظنّ بالواقع فیظهر من ملاحظة افتراقه عن القول بالظنّ الخاصّ فی اعتبار طرق الواقع و أدلّة الأحکام بالأدلة الظنّیة، بخلاف القول بالظنّ الخاصّ، فإنّه یعتبرها بالأدلّة العلمیة، و افتراقه أیضا عن الظنّ المطلق فی اعتبار الظنّ فی المسائل الاصولیة، أعنی اصول الفقه دون نفس الفقه، بخلاف الظنّ المطلقی فإنّه بالعکس أو أعمّ منه، و فی اعتبار الشهرة مثلا إذا کشف عن مدرک ظنّی دون الکاشف عن نفس الواقع من دون وساطة مدرک، بخلاف الظنّ الطریقی فإنّه بالعکس أو أعمّ منه علی الخلاف</w:t>
      </w:r>
      <w:r>
        <w:rPr>
          <w:rFonts w:eastAsia="IRNazanin" w:cs="IRNazanin"/>
          <w:color w:val="111111"/>
          <w:sz w:val="28"/>
          <w:szCs w:val="28"/>
          <w:rtl w:val="true"/>
          <w:lang w:bidi="fa-IR"/>
        </w:rPr>
        <w:t>.</w:t>
      </w:r>
    </w:p>
    <w:p>
      <w:pPr>
        <w:pStyle w:val="Heading5"/>
        <w:numPr>
          <w:ilvl w:val="4"/>
          <w:numId w:val="1"/>
        </w:numPr>
        <w:rPr/>
      </w:pPr>
      <w:bookmarkStart w:id="219" w:name="__RefHeading___Toc2646426_3224264995"/>
      <w:bookmarkStart w:id="220" w:name="_Toc84"/>
      <w:bookmarkEnd w:id="219"/>
      <w:r>
        <w:rPr>
          <w:rtl w:val="true"/>
        </w:rPr>
        <w:t>[</w:t>
      </w:r>
      <w:r>
        <w:rPr>
          <w:rtl w:val="true"/>
        </w:rPr>
        <w:t>اعتبار الشهرة منوط بالکشف</w:t>
      </w:r>
      <w:r>
        <w:rPr>
          <w:rtl w:val="true"/>
        </w:rPr>
        <w:t>]</w:t>
      </w:r>
      <w:bookmarkEnd w:id="220"/>
    </w:p>
    <w:p>
      <w:pPr>
        <w:pStyle w:val="BookText"/>
        <w:rPr/>
      </w:pPr>
      <w:r>
        <w:rPr>
          <w:rFonts w:ascii="IRNazanin" w:hAnsi="IRNazanin" w:eastAsia="IRNazanin"/>
          <w:color w:val="111111"/>
          <w:sz w:val="28"/>
          <w:sz w:val="28"/>
          <w:szCs w:val="28"/>
          <w:rtl w:val="true"/>
          <w:lang w:bidi="fa-IR"/>
        </w:rPr>
        <w:t>و من هنا یظهر عدم منافاة القول بالظنّ الطریقی لاعتبار بعض الشهرات فی الفقه دون بعض،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 کانت مظنونة الطریقیة فما الوجه فی عدم اعتبار بعضها فی الفقه، و إن لم تکن مظنونة الطریقیة فما الوجه فی اعتبار بعضها؟</w:t>
      </w:r>
    </w:p>
    <w:p>
      <w:pPr>
        <w:pStyle w:val="BookText"/>
        <w:rPr/>
      </w:pPr>
      <w:r>
        <w:rPr>
          <w:rFonts w:ascii="IRNazanin" w:hAnsi="IRNazanin" w:eastAsia="IRNazanin"/>
          <w:color w:val="111111"/>
          <w:sz w:val="28"/>
          <w:sz w:val="28"/>
          <w:szCs w:val="28"/>
          <w:rtl w:val="true"/>
          <w:lang w:bidi="fa-IR"/>
        </w:rPr>
        <w:t>لما عرفت من أنّ طریقیتها منوطة بالکشف و هو أمر غیر مطرد</w:t>
      </w:r>
      <w:r>
        <w:rPr>
          <w:rFonts w:eastAsia="IRNazanin" w:cs="IRNazanin"/>
          <w:color w:val="111111"/>
          <w:sz w:val="28"/>
          <w:szCs w:val="28"/>
          <w:rtl w:val="true"/>
          <w:lang w:bidi="fa-IR"/>
        </w:rPr>
        <w:t>.</w:t>
      </w:r>
    </w:p>
    <w:p>
      <w:pPr>
        <w:pStyle w:val="Heading5"/>
        <w:numPr>
          <w:ilvl w:val="4"/>
          <w:numId w:val="1"/>
        </w:numPr>
        <w:rPr/>
      </w:pPr>
      <w:bookmarkStart w:id="221" w:name="__RefHeading___Toc2646428_3224264995"/>
      <w:bookmarkStart w:id="222" w:name="_Toc85"/>
      <w:bookmarkEnd w:id="221"/>
      <w:r>
        <w:rPr>
          <w:rtl w:val="true"/>
        </w:rPr>
        <w:t>[</w:t>
      </w:r>
      <w:r>
        <w:rPr>
          <w:rtl w:val="true"/>
        </w:rPr>
        <w:t>احتمال تقید الأحکام بالطرق المنصوبة</w:t>
      </w:r>
      <w:r>
        <w:rPr>
          <w:rtl w:val="true"/>
        </w:rPr>
        <w:t>]</w:t>
      </w:r>
      <w:bookmarkEnd w:id="22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محلّ النزاع فی حجّیة الظنّ الطریقی فیحتمل أن یکون فی مطلوبیة الأحکام الواقعیة علی وجه التقیید بالاتیان من الطرق المنصوبة مطلقا، أی و لو فی صورة العلم، فلو اتی بالواقع من غیر الطرق المنصوبة لم یجز و لو کان من باب </w:t>
      </w:r>
      <w:bookmarkStart w:id="223" w:name="pg12856_162575"/>
    </w:p>
    <w:p>
      <w:pPr>
        <w:pStyle w:val="BookText"/>
        <w:rPr/>
      </w:pPr>
      <w:bookmarkEnd w:id="223"/>
      <w:r>
        <w:rPr>
          <w:rFonts w:ascii="IRNazanin" w:hAnsi="IRNazanin" w:eastAsia="IRNazanin"/>
          <w:color w:val="111111"/>
          <w:sz w:val="28"/>
          <w:sz w:val="28"/>
          <w:szCs w:val="28"/>
          <w:rtl w:val="true"/>
          <w:lang w:bidi="fa-IR"/>
        </w:rPr>
        <w:t>العلم، و هو مبنی إیراد الماتن قدّس سرّه علی تقیید مطلوبیة الأحکام بالطرق المنصوبة</w:t>
      </w:r>
      <w:r>
        <w:rPr>
          <w:rStyle w:val="FootnoteAnchor"/>
          <w:rtl w:val="true"/>
        </w:rPr>
        <w:footnoteReference w:id="91"/>
      </w:r>
      <w:r>
        <w:rPr>
          <w:rFonts w:ascii="IRNazanin" w:hAnsi="IRNazanin" w:eastAsia="IRNazanin"/>
          <w:color w:val="111111"/>
          <w:sz w:val="28"/>
          <w:sz w:val="28"/>
          <w:szCs w:val="28"/>
          <w:rtl w:val="true"/>
          <w:lang w:bidi="fa-IR"/>
        </w:rPr>
        <w:t>باقتضائه عدم إجزاء إتیان الواقع من باب العلم به</w:t>
      </w:r>
      <w:r>
        <w:rPr>
          <w:rFonts w:eastAsia="IRNazanin" w:cs="IRNazanin"/>
          <w:color w:val="111111"/>
          <w:sz w:val="28"/>
          <w:szCs w:val="28"/>
          <w:rtl w:val="true"/>
          <w:lang w:bidi="fa-IR"/>
        </w:rPr>
        <w:t>.</w:t>
      </w:r>
    </w:p>
    <w:p>
      <w:pPr>
        <w:pStyle w:val="Heading5"/>
        <w:numPr>
          <w:ilvl w:val="4"/>
          <w:numId w:val="1"/>
        </w:numPr>
        <w:rPr/>
      </w:pPr>
      <w:bookmarkStart w:id="224" w:name="__RefHeading___Toc2646430_3224264995"/>
      <w:bookmarkStart w:id="225" w:name="_Toc86"/>
      <w:bookmarkEnd w:id="224"/>
      <w:r>
        <w:rPr>
          <w:rtl w:val="true"/>
        </w:rPr>
        <w:t>[</w:t>
      </w:r>
      <w:r>
        <w:rPr>
          <w:rtl w:val="true"/>
        </w:rPr>
        <w:t>احتمال تقید الأحکام بالطرق المنصوبة فی غیر صورة العلم</w:t>
      </w:r>
      <w:r>
        <w:rPr>
          <w:rtl w:val="true"/>
        </w:rPr>
        <w:t>]</w:t>
      </w:r>
      <w:bookmarkEnd w:id="225"/>
    </w:p>
    <w:p>
      <w:pPr>
        <w:pStyle w:val="BookText"/>
        <w:rPr/>
      </w:pPr>
      <w:r>
        <w:rPr>
          <w:rFonts w:ascii="IRNazanin" w:hAnsi="IRNazanin" w:eastAsia="IRNazanin"/>
          <w:color w:val="111111"/>
          <w:sz w:val="28"/>
          <w:sz w:val="28"/>
          <w:szCs w:val="28"/>
          <w:rtl w:val="true"/>
          <w:lang w:bidi="fa-IR"/>
        </w:rPr>
        <w:t>و یحتمل أن یکون مطلوبیة الأحکام الواقعیة علی وجه التقیید بالطرق المنصوبة لکن لا مطلقا بل فی غیر صورة العلم بالواقع، فإنّه مجزئ بنفسه، فیکون إجزاء الإتیان بالواقع من باب العلم خارجا عن محلّ النزاع</w:t>
      </w:r>
      <w:r>
        <w:rPr>
          <w:rFonts w:eastAsia="IRNazanin" w:cs="IRNazanin"/>
          <w:color w:val="111111"/>
          <w:sz w:val="28"/>
          <w:szCs w:val="28"/>
          <w:rtl w:val="true"/>
          <w:lang w:bidi="fa-IR"/>
        </w:rPr>
        <w:t>.</w:t>
      </w:r>
    </w:p>
    <w:p>
      <w:pPr>
        <w:pStyle w:val="Heading5"/>
        <w:numPr>
          <w:ilvl w:val="4"/>
          <w:numId w:val="1"/>
        </w:numPr>
        <w:rPr/>
      </w:pPr>
      <w:bookmarkStart w:id="226" w:name="__RefHeading___Toc2646432_3224264995"/>
      <w:bookmarkStart w:id="227" w:name="_Toc87"/>
      <w:bookmarkEnd w:id="226"/>
      <w:r>
        <w:rPr>
          <w:rtl w:val="true"/>
        </w:rPr>
        <w:t>[</w:t>
      </w:r>
      <w:r>
        <w:rPr>
          <w:rtl w:val="true"/>
        </w:rPr>
        <w:t>احتمال مطلوبیة الواقع من الطرق المنصوبة علی وجه ضمان المتخلّف منها</w:t>
      </w:r>
      <w:r>
        <w:rPr>
          <w:rtl w:val="true"/>
        </w:rPr>
        <w:t>]</w:t>
      </w:r>
      <w:bookmarkEnd w:id="227"/>
    </w:p>
    <w:p>
      <w:pPr>
        <w:pStyle w:val="BookText"/>
        <w:rPr/>
      </w:pPr>
      <w:r>
        <w:rPr>
          <w:rFonts w:ascii="IRNazanin" w:hAnsi="IRNazanin" w:eastAsia="IRNazanin"/>
          <w:color w:val="111111"/>
          <w:sz w:val="28"/>
          <w:sz w:val="28"/>
          <w:szCs w:val="28"/>
          <w:rtl w:val="true"/>
          <w:lang w:bidi="fa-IR"/>
        </w:rPr>
        <w:t>و یحتمل أن یکون مطلوبیة الواقع من الطرق المنصوبة علی وجه الضمان لا التقیید، یعنی أنّ الشارع ضمن للآتی بالواقع من الطرق المنصوبة ما یتخلّفه الطریق عن الواقع، بخلاف الطرق الغیر المنصوبة فإنّه لم یضمن تخلفها، لکن لا بمعنی عدم إجزاء الواقع الحاصل من سلوکها کما هو مقتضی التقیید، بل بمعنی أنّ إجزاء السالک مسلکها مراعی بمصادفة الواقع، و أمّا صورة التخلف و عدم المصادفة فلا یضمن الشارع 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الاحتمال هو الذی استظهره استاذنا العلّامة من القائلین بالظنّ الطریقی و إن نقل عن الهدایة فی بعض کلماته فی هذه المسألة التصریح بالتقیید فی غیر صورة العلم بالواقع</w:t>
      </w:r>
      <w:r>
        <w:rPr>
          <w:rStyle w:val="FootnoteAnchor"/>
          <w:rtl w:val="true"/>
        </w:rPr>
        <w:footnoteReference w:id="92"/>
      </w:r>
      <w:r>
        <w:rPr>
          <w:rFonts w:ascii="IRNazanin" w:hAnsi="IRNazanin" w:eastAsia="IRNazanin"/>
          <w:color w:val="111111"/>
          <w:sz w:val="28"/>
          <w:sz w:val="28"/>
          <w:szCs w:val="28"/>
          <w:rtl w:val="true"/>
          <w:lang w:bidi="fa-IR"/>
        </w:rPr>
        <w:t>، کتصریح الفصول به أیضا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2646434_3224264995"/>
      <w:bookmarkStart w:id="229" w:name="_Toc88"/>
      <w:bookmarkEnd w:id="228"/>
      <w:r>
        <w:rPr>
          <w:rtl w:val="true"/>
        </w:rPr>
        <w:t>[</w:t>
      </w:r>
      <w:r>
        <w:rPr>
          <w:rtl w:val="true"/>
        </w:rPr>
        <w:t>نسبة أدلّة الطرق و أدلّة الواقع</w:t>
      </w:r>
      <w:r>
        <w:rPr>
          <w:rtl w:val="true"/>
        </w:rPr>
        <w:t>]</w:t>
      </w:r>
      <w:bookmarkEnd w:id="229"/>
    </w:p>
    <w:p>
      <w:pPr>
        <w:pStyle w:val="BookText"/>
        <w:rPr/>
      </w:pPr>
      <w:r>
        <w:rPr>
          <w:rFonts w:ascii="IRNazanin" w:hAnsi="IRNazanin" w:eastAsia="IRNazanin"/>
          <w:color w:val="111111"/>
          <w:sz w:val="28"/>
          <w:sz w:val="28"/>
          <w:szCs w:val="28"/>
          <w:rtl w:val="true"/>
          <w:lang w:bidi="fa-IR"/>
        </w:rPr>
        <w:t>و من هنا یظهر عدم منافاة القول بالظنّ الطریقی للعمل فی مقام العلم بالواقع بمجرّد العلم و إن لم یتعلق بالطریق، مع عدم العمل بالظنّ فی مقام الظنّ إلّا إذا تعلق بالطریق</w:t>
      </w:r>
      <w:r>
        <w:rPr>
          <w:rFonts w:eastAsia="IRNazanin" w:cs="IRNazanin"/>
          <w:color w:val="111111"/>
          <w:sz w:val="28"/>
          <w:szCs w:val="28"/>
          <w:rtl w:val="true"/>
          <w:lang w:bidi="fa-IR"/>
        </w:rPr>
        <w:t>.</w:t>
      </w:r>
    </w:p>
    <w:p>
      <w:pPr>
        <w:pStyle w:val="Heading5"/>
        <w:numPr>
          <w:ilvl w:val="4"/>
          <w:numId w:val="1"/>
        </w:numPr>
        <w:rPr/>
      </w:pPr>
      <w:bookmarkStart w:id="230" w:name="__RefHeading___Toc2646436_3224264995"/>
      <w:bookmarkStart w:id="231" w:name="_Toc89"/>
      <w:bookmarkEnd w:id="230"/>
      <w:r>
        <w:rPr>
          <w:rtl w:val="true"/>
        </w:rPr>
        <w:t>[</w:t>
      </w:r>
      <w:r>
        <w:rPr>
          <w:rtl w:val="true"/>
        </w:rPr>
        <w:t>تحقیق فی مسألة حجّیة الظنّ الطریقی</w:t>
      </w:r>
      <w:r>
        <w:rPr>
          <w:rtl w:val="true"/>
        </w:rPr>
        <w:t>]</w:t>
      </w:r>
      <w:bookmarkEnd w:id="2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تحقیق الحقّ فی مسألة حجّیة الظنّ الطریقی فمجمل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تشریع الطرق المقررة للأحکام هل هی حاکمة علی أدلّة مطلوبیة الواقع فیها، أو مخصّصة و مقیّدة إیّاها، أم معارضة لها بالعموم من وجه أو التباین، أم </w:t>
      </w:r>
      <w:bookmarkStart w:id="232" w:name="pg12856_162576"/>
    </w:p>
    <w:p>
      <w:pPr>
        <w:pStyle w:val="BookText"/>
        <w:rPr/>
      </w:pPr>
      <w:bookmarkEnd w:id="232"/>
      <w:r>
        <w:rPr>
          <w:rFonts w:ascii="IRNazanin" w:hAnsi="IRNazanin" w:eastAsia="IRNazanin"/>
          <w:color w:val="111111"/>
          <w:sz w:val="28"/>
          <w:sz w:val="28"/>
          <w:szCs w:val="28"/>
          <w:rtl w:val="true"/>
          <w:lang w:bidi="fa-IR"/>
        </w:rPr>
        <w:t>لیست بحاکمة و لا مخصّصة و لا مقیّدة و لا معارضة لأدلّة مطلوبیة الواقع؟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أظهرها الأخیر فکأنّ مضمون أدلّة تشریع الطرق هو مطلوبیتها لکن لا مطلقا و لو لم یصادف سلوکها الواقع حتی یکون لها حکومة أو تقیید علی أدلّة مطلوبیة الواقع، بل مطلوبیتها و إن کان حکمته التسهیل علی المکلّفین و ترغیبهم فی الدین القویم إلّا أنّه من حیث الإیصال و الکاشفیة و الناظریة إلی الواقع دون الإغماض و رفع الید عن الواقع، فیرجع مطلوبیتها من هذه الحیثیة إلی مطلوبیة عین الواقع و نفس الواقع، لا إلی مطلوبیة شی‌ء مستقلّ فی مقابل الواقع و فی عرض الواقع، فضلا عن أن یکون هو المناط فی لزوم تحصیل العلم بالواقع</w:t>
      </w:r>
      <w:r>
        <w:rPr>
          <w:rFonts w:eastAsia="IRNazanin" w:cs="IRNazanin"/>
          <w:color w:val="111111"/>
          <w:sz w:val="28"/>
          <w:szCs w:val="28"/>
          <w:rtl w:val="true"/>
          <w:lang w:bidi="fa-IR"/>
        </w:rPr>
        <w:t>.</w:t>
      </w:r>
    </w:p>
    <w:p>
      <w:pPr>
        <w:pStyle w:val="Heading5"/>
        <w:numPr>
          <w:ilvl w:val="4"/>
          <w:numId w:val="1"/>
        </w:numPr>
        <w:rPr/>
      </w:pPr>
      <w:bookmarkStart w:id="233" w:name="__RefHeading___Toc2646438_3224264995"/>
      <w:bookmarkStart w:id="234" w:name="_Toc90"/>
      <w:bookmarkEnd w:id="233"/>
      <w:r>
        <w:rPr>
          <w:rtl w:val="true"/>
        </w:rPr>
        <w:t>[</w:t>
      </w:r>
      <w:r>
        <w:rPr>
          <w:rtl w:val="true"/>
        </w:rPr>
        <w:t>إشارة إلی إجزاء الأمر الظاهری</w:t>
      </w:r>
      <w:r>
        <w:rPr>
          <w:rtl w:val="true"/>
        </w:rPr>
        <w:t>]</w:t>
      </w:r>
      <w:bookmarkEnd w:id="234"/>
    </w:p>
    <w:p>
      <w:pPr>
        <w:pStyle w:val="BookText"/>
        <w:rPr/>
      </w:pPr>
      <w:r>
        <w:rPr>
          <w:rFonts w:ascii="IRNazanin" w:hAnsi="IRNazanin" w:eastAsia="IRNazanin"/>
          <w:color w:val="111111"/>
          <w:sz w:val="28"/>
          <w:sz w:val="28"/>
          <w:szCs w:val="28"/>
          <w:rtl w:val="true"/>
          <w:lang w:bidi="fa-IR"/>
        </w:rPr>
        <w:t>و علی ذلک فلا تدلّ الأوامر الظاهریة علی الإجزاء بعد کشف الخلاف بنفس طریقیتها للأحکام الواقعیة و إن لم نأب من القول بدلالتها علی ذلک بمعونة استقراء أو بناء عقلاء أو غیر ذلک ممّا قیل فی محلّه</w:t>
      </w:r>
      <w:r>
        <w:rPr>
          <w:rFonts w:eastAsia="IRNazanin" w:cs="IRNazanin"/>
          <w:color w:val="111111"/>
          <w:sz w:val="28"/>
          <w:szCs w:val="28"/>
          <w:rtl w:val="true"/>
          <w:lang w:bidi="fa-IR"/>
        </w:rPr>
        <w:t>.</w:t>
      </w:r>
    </w:p>
    <w:p>
      <w:pPr>
        <w:pStyle w:val="Heading5"/>
        <w:numPr>
          <w:ilvl w:val="4"/>
          <w:numId w:val="1"/>
        </w:numPr>
        <w:rPr/>
      </w:pPr>
      <w:bookmarkStart w:id="235" w:name="__RefHeading___Toc2646440_3224264995"/>
      <w:bookmarkStart w:id="236" w:name="_Toc91"/>
      <w:bookmarkEnd w:id="235"/>
      <w:r>
        <w:rPr>
          <w:rtl w:val="true"/>
        </w:rPr>
        <w:t>[</w:t>
      </w:r>
      <w:r>
        <w:rPr>
          <w:rtl w:val="true"/>
        </w:rPr>
        <w:t>إفادة أدلّة الطرق جعل مؤداها عین الواقع</w:t>
      </w:r>
      <w:r>
        <w:rPr>
          <w:rtl w:val="true"/>
        </w:rPr>
        <w:t>]</w:t>
      </w:r>
      <w:bookmarkEnd w:id="236"/>
    </w:p>
    <w:p>
      <w:pPr>
        <w:pStyle w:val="BookText"/>
        <w:rPr/>
      </w:pPr>
      <w:r>
        <w:rPr>
          <w:rFonts w:ascii="IRNazanin" w:hAnsi="IRNazanin" w:eastAsia="IRNazanin"/>
          <w:color w:val="111111"/>
          <w:sz w:val="28"/>
          <w:sz w:val="28"/>
          <w:szCs w:val="28"/>
          <w:rtl w:val="true"/>
          <w:lang w:bidi="fa-IR"/>
        </w:rPr>
        <w:t>و لو سلّمنا دلالتها علی الإجزاء و أنّ نصب الطرق لیس لمجرّد الکشف بل لأجل مصلحة یتدارک بها مصلحة الواقع لکن لیس مفاد بعضها تقیید الواقع بها، و اعتبار مساعدتها فی إرادة الواقع، بل مؤدّی وجوب العمل بها جعلها عین الواقع و لو بحکم الشارع لا قیدا له بحیث یکون ما عدا الطرق المنصوبة خارجا عن نظر الشارع و ساقطا عن حیّز الاعتبار، فإنّ غایة أدلّة نصب الطرق إثبات الحکم لها، و إثبات شی‌ء لشی‌ء کیف ینفی ما عداه</w:t>
      </w:r>
      <w:r>
        <w:rPr>
          <w:rFonts w:eastAsia="IRNazanin" w:cs="IRNazanin"/>
          <w:color w:val="111111"/>
          <w:sz w:val="28"/>
          <w:szCs w:val="28"/>
          <w:rtl w:val="true"/>
          <w:lang w:bidi="fa-IR"/>
        </w:rPr>
        <w:t>.</w:t>
      </w:r>
    </w:p>
    <w:p>
      <w:pPr>
        <w:pStyle w:val="Heading5"/>
        <w:numPr>
          <w:ilvl w:val="4"/>
          <w:numId w:val="1"/>
        </w:numPr>
        <w:rPr/>
      </w:pPr>
      <w:bookmarkStart w:id="237" w:name="__RefHeading___Toc2646442_3224264995"/>
      <w:bookmarkStart w:id="238" w:name="_Toc92"/>
      <w:bookmarkEnd w:id="237"/>
      <w:r>
        <w:rPr>
          <w:rtl w:val="true"/>
        </w:rPr>
        <w:t>[</w:t>
      </w:r>
      <w:r>
        <w:rPr>
          <w:rtl w:val="true"/>
        </w:rPr>
        <w:t>تعریض بما فی هدایة المسترشدین</w:t>
      </w:r>
      <w:r>
        <w:rPr>
          <w:rtl w:val="true"/>
        </w:rPr>
        <w:t>]</w:t>
      </w:r>
      <w:bookmarkEnd w:id="2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لک الجواب عن کلّ ما استدلّ به فی الهدایة علی تقیید مطلوبیة الواقع بالطرق المجعولة، أو یمکن الاستدلال به له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بین الظنّ بالواقع و الظنّ بالمبرئ عنه عموم من وجه، و فی أنّ المناط فی وجوب الأخذ بالعلم و تحصیل الیقین من الدلیل هل هو الیقین بمصادفة الأحکام الواقعیة الأولیة إلّا أن یقوم دلیل علی الاکتفاء لغیره، أو أنّ الواجب أولا هو تحصیل الیقین </w:t>
      </w:r>
      <w:bookmarkStart w:id="239" w:name="pg12856_162577"/>
    </w:p>
    <w:p>
      <w:pPr>
        <w:pStyle w:val="BookText"/>
        <w:rPr/>
      </w:pPr>
      <w:bookmarkEnd w:id="239"/>
      <w:r>
        <w:rPr>
          <w:rFonts w:ascii="IRNazanin" w:hAnsi="IRNazanin" w:eastAsia="IRNazanin"/>
          <w:color w:val="111111"/>
          <w:sz w:val="28"/>
          <w:sz w:val="28"/>
          <w:szCs w:val="28"/>
          <w:rtl w:val="true"/>
          <w:lang w:bidi="fa-IR"/>
        </w:rPr>
        <w:t xml:space="preserve">بتحصیل الأحکام و أداء الأعمال علی وجه أراده الشارع فی الظاهر و حکم معه بتفریغ ذمّتنا بملاحظة الطرق المقررة لمعرفتها بما جعلها وسیلة للوصول إلیها، سواء علم بمطابقة الواقع، أو ظن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المتن من کلام صاحب الهدایة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لاحتیاج کلّ مکلّف إلی معرفتها أکثر من حاجته إلی معرفة صلواته الخمس</w:t>
      </w:r>
      <w:r>
        <w:rPr>
          <w:rFonts w:eastAsia="IRNazanin" w:cs="IRNazanin"/>
          <w:color w:val="111111"/>
          <w:sz w:val="28"/>
          <w:szCs w:val="28"/>
          <w:rtl w:val="true"/>
          <w:lang w:bidi="fa-IR"/>
        </w:rPr>
        <w:t>».</w:t>
      </w:r>
    </w:p>
    <w:p>
      <w:pPr>
        <w:pStyle w:val="Heading5"/>
        <w:numPr>
          <w:ilvl w:val="4"/>
          <w:numId w:val="1"/>
        </w:numPr>
        <w:rPr/>
      </w:pPr>
      <w:bookmarkStart w:id="240" w:name="__RefHeading___Toc2646444_3224264995"/>
      <w:bookmarkStart w:id="241" w:name="_Toc93"/>
      <w:bookmarkEnd w:id="240"/>
      <w:r>
        <w:rPr>
          <w:rtl w:val="true"/>
        </w:rPr>
        <w:t>[</w:t>
      </w:r>
      <w:r>
        <w:rPr>
          <w:rtl w:val="true"/>
        </w:rPr>
        <w:t>دراسة کلام الماتن فی احتیاج کل مکلّف إلی معرفة الطرق المنصوبة شرعا</w:t>
      </w:r>
      <w:r>
        <w:rPr>
          <w:rtl w:val="true"/>
        </w:rPr>
        <w:t>]</w:t>
      </w:r>
      <w:bookmarkEnd w:id="2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یرد علیه بأنّ المحتاج إلی معرفة الطریق خاصّ بالمجتهد دون غیره، کاختصاص معرفة الدماء بالنساء، و الرجال بالجهاد و الجمعة و القضاء، فأین احتیاج کلّ مکلّف إلیه؟ و یمکن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معرفة الطریق و إن اختصّ بالمجتهد أصالة کاختصاص النساء بالدماء و الرجال بالقضاء إلّا أنّه بالتبعیة و قیاس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احتیاج کلّ من عدا المجتهد إلی المجتهد و احتیاج المجتهد إلی معرفة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احتیاج کلّ مکلّف إلیها؛ لأنّ المحتاج إلی ما یحتاج إلی الشی‌ء محتاج إلی ذلک الشی‌ء بالتبعیة و قیاس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أکثریة الحاجة إلی معرفتها من الحاجة إلی صلواته الخمس فإنّما هو بالنسبة إلی المجتهد لا المقلد، و باعتبار أنّ الالتزام و التدیّن بالاصول أهمّ حاجة و أعمّ حجّة من الحاجة بالفروع، و باعتبار أنّ المترتّب علی معرفة الأصل جمیع الفروع المترتبة علیه من الطهارة إلی الدیات، بخلاف معرفة الصلاة فلم یترتب و لم یتفرع علیها معرفة حکم آخر من أحکام الصوم و الزکاة و الحجّ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242" w:name="__RefHeading___Toc2646446_3224264995"/>
      <w:bookmarkStart w:id="243" w:name="_Toc94"/>
      <w:bookmarkEnd w:id="242"/>
      <w:r>
        <w:rPr>
          <w:rtl w:val="true"/>
        </w:rPr>
        <w:t>[</w:t>
      </w:r>
      <w:r>
        <w:rPr>
          <w:rtl w:val="true"/>
        </w:rPr>
        <w:t>دراسة الأمر بالتأمل فی کلام الماتن</w:t>
      </w:r>
      <w:r>
        <w:rPr>
          <w:rtl w:val="true"/>
        </w:rPr>
        <w:t>]</w:t>
      </w:r>
      <w:bookmarkEnd w:id="24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الاحتیاط المؤدّی إلی العسر هو الاحتیاط فی الشبهة الغیر المحصورة لا المحصورة، فتعلیل لزوم العسر بصیرورة الشبهة </w:t>
      </w:r>
      <w:bookmarkStart w:id="244" w:name="pg12856_162578"/>
    </w:p>
    <w:p>
      <w:pPr>
        <w:pStyle w:val="BookText"/>
        <w:rPr/>
      </w:pPr>
      <w:bookmarkEnd w:id="244"/>
      <w:r>
        <w:rPr>
          <w:rFonts w:ascii="IRNazanin" w:hAnsi="IRNazanin" w:eastAsia="IRNazanin"/>
          <w:color w:val="111111"/>
          <w:sz w:val="28"/>
          <w:sz w:val="28"/>
          <w:szCs w:val="28"/>
          <w:rtl w:val="true"/>
          <w:lang w:bidi="fa-IR"/>
        </w:rPr>
        <w:t>کالشبهة المحصورة تعلیل بخلاف المدّعی علی المدعی، أو اشارة إلی أنّ الاحتیاط فی المسائل الفرعیة الملزم للعسر إنّما هو فی ما لم یعارض بالاحتیاط فی المسألة الاصولیة، أعنی نصب الطریق،</w:t>
      </w:r>
    </w:p>
    <w:p>
      <w:pPr>
        <w:pStyle w:val="Heading5"/>
        <w:numPr>
          <w:ilvl w:val="4"/>
          <w:numId w:val="1"/>
        </w:numPr>
        <w:rPr/>
      </w:pPr>
      <w:bookmarkStart w:id="245" w:name="__RefHeading___Toc2646448_3224264995"/>
      <w:bookmarkStart w:id="246" w:name="_Toc95"/>
      <w:bookmarkEnd w:id="245"/>
      <w:r>
        <w:rPr>
          <w:rtl w:val="true"/>
        </w:rPr>
        <w:t>[</w:t>
      </w:r>
      <w:r>
        <w:rPr>
          <w:rtl w:val="true"/>
        </w:rPr>
        <w:t>معارضة الاحتیاط فی المسألة الفرعیة للاحتیاط فی المسألة الاصولیة</w:t>
      </w:r>
      <w:r>
        <w:rPr>
          <w:rtl w:val="true"/>
        </w:rPr>
        <w:t>]</w:t>
      </w:r>
      <w:bookmarkEnd w:id="246"/>
    </w:p>
    <w:p>
      <w:pPr>
        <w:pStyle w:val="BookText"/>
        <w:rPr/>
      </w:pPr>
      <w:r>
        <w:rPr>
          <w:rFonts w:ascii="IRNazanin" w:hAnsi="IRNazanin" w:eastAsia="IRNazanin"/>
          <w:color w:val="111111"/>
          <w:sz w:val="28"/>
          <w:sz w:val="28"/>
          <w:szCs w:val="28"/>
          <w:rtl w:val="true"/>
          <w:lang w:bidi="fa-IR"/>
        </w:rPr>
        <w:t>و أمّا فی ما عارضه کما فی کثیر من موارده إن لم یکن أکثر فبسبب لزوم ترجیح أحد الاحتیاطین و إسقاط الآخر من البین لا یلزم منه عسر و لا شین، مثلا الاحتیاط فی إعمال الطریق کالخبر و الشهرة المقتضی بطلان الصلاة الرباعیة بإتیان الرکعة المشکوکة فیهما معارض بالاحتیاط فی نفس الفرع المقتضی اتیانها باستصحاب عدم اتیانها فی السابق، فاذا أسقطنا أحد الاحتیاطین و عملنا بالآخر لا یلزم منه عسر، بخلاف العمل بکلاهما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عنده عادل واحد بالحقّ لا یعمل به، و إذا أخبره هذا العادل بعینه بطریق قطع هذه الخصومة یأخذ به</w:t>
      </w:r>
      <w:r>
        <w:rPr>
          <w:rFonts w:eastAsia="IRNazanin" w:cs="IRNazanin"/>
          <w:color w:val="111111"/>
          <w:sz w:val="28"/>
          <w:szCs w:val="28"/>
          <w:rtl w:val="true"/>
          <w:lang w:bidi="fa-IR"/>
        </w:rPr>
        <w:t>».</w:t>
      </w:r>
    </w:p>
    <w:p>
      <w:pPr>
        <w:pStyle w:val="Heading5"/>
        <w:numPr>
          <w:ilvl w:val="4"/>
          <w:numId w:val="1"/>
        </w:numPr>
        <w:rPr/>
      </w:pPr>
      <w:bookmarkStart w:id="247" w:name="__RefHeading___Toc2646450_3224264995"/>
      <w:bookmarkStart w:id="248" w:name="_Toc96"/>
      <w:bookmarkEnd w:id="247"/>
      <w:r>
        <w:rPr>
          <w:rtl w:val="true"/>
        </w:rPr>
        <w:t>[</w:t>
      </w:r>
      <w:r>
        <w:rPr>
          <w:rtl w:val="true"/>
        </w:rPr>
        <w:t>إیراد النقض علی القول باعتبار الظنّ بالطریق دون الظنّ بالواقع</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شهد عنده عدل واحد بمدیونیة زید لبکر لا یعمل به من جهة تعلق ظنّه بالحکم الواقعی، و أمّا لو أخبره بإقرار زید بدین أو ثبوت البیّنة علیه أو حکم الحاکم به أو تزکیة الشاهد به أخذ به، لتعلّقه بالطرق إلی الواقع لا نفس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القاضی عاجز عن الاجتهاد فی الوقائع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249" w:name="__RefHeading___Toc2646452_3224264995"/>
      <w:bookmarkStart w:id="250" w:name="_Toc97"/>
      <w:bookmarkEnd w:id="249"/>
      <w:r>
        <w:rPr>
          <w:rtl w:val="true"/>
        </w:rPr>
        <w:t>[</w:t>
      </w:r>
      <w:r>
        <w:rPr>
          <w:rtl w:val="true"/>
        </w:rPr>
        <w:t>افتراق المجتهد عن المقلد و القاضی فی العمل بالظنّ</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الفرق بینهما من حیث خفاء الأدلّة الظنّیة و الاصول اللفظیة و العملیة للأحکام الکلّیة علی المقلّد، و عجزه رأسا من الوصول إلیها و إلی کیفیتها، من حیث فهم الدلالة و السلامة و الحجّیة و المعارضة، فإنّها من الوظائف الخاصّة بالمجتهد بخلاف القاضی، فإنّه لا یخفی علیه الامور العادیة و القرائن الظنّیة و العادات العرفیة فی الوقائع الشخصیة لتشخیص الحقوق الواقعیة، إذ لیست من الوظائف الخاصّة بالمقلّد، بل المجتهد فیها أبصر و هی علیه أظهر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251" w:name="pg12856_162579"/>
    </w:p>
    <w:p>
      <w:pPr>
        <w:pStyle w:val="BookText"/>
        <w:rPr/>
      </w:pPr>
      <w:bookmarkEnd w:id="25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هو ثالث الوجوه المذکورة للفرق بین تعمیم ظنّ المجتهد بعد انسداد باب العلم للظنّ بکلّ من الطریق و الواقع، و بین اختصاص ظنّ المقلد و القاضی بالطریق المنصوب له، فإنّ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انضباط ظنّ المقلد و القاضی بالواقع و انضباطه فی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الإجماع علی الفرق المذکور بینهما و هو اعتبار ظنّ المجتهد بالواقع و عدم اعتبار ظنّ المقلّد و القاضی به فی الوقائع الشخصیة إجماعا، بل هو فی المقلّد ضروریّ الفساد 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بإغماض الشارع عن الواقع رأسا فی إرجاع المقلّد إلی المجتهد، و فی إرجاع القاضی إلی البیّنة و الیمین، بخلافه فی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وجه هذا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إغماض الشارع عن الواقع رأسا فی المقلد و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ظهور قوله تعالی فی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أحادیثنا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نحوه فی الحصر الحقیقی،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بالبیّنة و الیمین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علینا بالظاهر و اللّه ولیّ السرائر فی الحصر الحقیقی</w:t>
      </w:r>
      <w:r>
        <w:rPr>
          <w:rFonts w:eastAsia="IRNazanin" w:cs="IRNazanin"/>
          <w:color w:val="111111"/>
          <w:sz w:val="28"/>
          <w:szCs w:val="28"/>
          <w:rtl w:val="true"/>
          <w:lang w:bidi="fa-IR"/>
        </w:rPr>
        <w:t>.</w:t>
      </w:r>
    </w:p>
    <w:p>
      <w:pPr>
        <w:pStyle w:val="Heading5"/>
        <w:numPr>
          <w:ilvl w:val="4"/>
          <w:numId w:val="1"/>
        </w:numPr>
        <w:rPr/>
      </w:pPr>
      <w:bookmarkStart w:id="252" w:name="__RefHeading___Toc2646454_3224264995"/>
      <w:bookmarkStart w:id="253" w:name="_Toc98"/>
      <w:bookmarkEnd w:id="252"/>
      <w:r>
        <w:rPr>
          <w:rtl w:val="true"/>
        </w:rPr>
        <w:t>[</w:t>
      </w:r>
      <w:r>
        <w:rPr>
          <w:rtl w:val="true"/>
        </w:rPr>
        <w:t>حصر طریق المقلّد و القاضی فی تقلید المجتهد و العمل بالبینة و الیمین حصر إضافی</w:t>
      </w:r>
      <w:r>
        <w:rPr>
          <w:rtl w:val="true"/>
        </w:rPr>
        <w:t>]</w:t>
      </w:r>
      <w:bookmarkEnd w:id="25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حصر طریق المقلّد فی تقلید المجتهد و قضاء القاضی فی البیّنة و الیمین إنّما هو حصر إضافی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إلّا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ما یعتاده الجهّال من الرجوع إلی القیاس و الاستحسان و المصالح المرسلة و القیافة </w:t>
      </w:r>
      <w:bookmarkStart w:id="254" w:name="pg12856_162580"/>
    </w:p>
    <w:p>
      <w:pPr>
        <w:pStyle w:val="BookText"/>
        <w:rPr/>
      </w:pPr>
      <w:bookmarkEnd w:id="254"/>
      <w:r>
        <w:rPr>
          <w:rFonts w:ascii="IRNazanin" w:hAnsi="IRNazanin" w:eastAsia="IRNazanin"/>
          <w:color w:val="111111"/>
          <w:sz w:val="28"/>
          <w:sz w:val="28"/>
          <w:szCs w:val="28"/>
          <w:rtl w:val="true"/>
          <w:lang w:bidi="fa-IR"/>
        </w:rPr>
        <w:t>و الحدس و الرمل و الجفر و الأعداد و الفال و سالفة التجار، و سائر طرق الفساد المعمولة فی البلاد، لا حصر حقیقی بالإضافة إلی الواقع فإنّ لازمه القول ببطلان عبادة تارک السبیلین و إن صادف الواقع بالاحتیاط، و القول بعدم جواز قضاء القاضی بعلمه کما عن ابن جنید</w:t>
      </w:r>
      <w:r>
        <w:rPr>
          <w:rStyle w:val="FootnoteAnchor"/>
          <w:rtl w:val="true"/>
        </w:rPr>
        <w:footnoteReference w:id="98"/>
      </w:r>
      <w:r>
        <w:rPr>
          <w:rFonts w:ascii="IRNazanin" w:hAnsi="IRNazanin" w:eastAsia="IRNazanin"/>
          <w:color w:val="111111"/>
          <w:sz w:val="28"/>
          <w:sz w:val="28"/>
          <w:szCs w:val="28"/>
          <w:rtl w:val="true"/>
          <w:lang w:bidi="fa-IR"/>
        </w:rPr>
        <w:t>، و کلا اللازمین باطلان علی المشهور المنصور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255" w:name="__RefHeading___Toc2646456_3224264995"/>
      <w:bookmarkStart w:id="256" w:name="_Toc99"/>
      <w:bookmarkEnd w:id="255"/>
      <w:r>
        <w:rPr>
          <w:rtl w:val="true"/>
        </w:rPr>
        <w:t>[</w:t>
      </w:r>
      <w:r>
        <w:rPr>
          <w:rtl w:val="true"/>
        </w:rPr>
        <w:t>فرق الوجه الأول عن الوجه الثانی فی إثبات حجیّة الظنّ بالطریق الشرعی</w:t>
      </w:r>
      <w:r>
        <w:rPr>
          <w:rtl w:val="true"/>
        </w:rPr>
        <w:t>]</w:t>
      </w:r>
      <w:bookmarkEnd w:id="2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الوجهین بعد اتّحادهما فی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حصر الحجّة بعد الانسداد فی الظنّ الطریقی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من جهة إثبات حجّیة الظنّ الطریقی فی الوجه الأول بطریق التخصیص و تقیید أدلّة مطلوبیة الواقع بأدلّة مطلوبیة الطریق، نظرا إلی أنّه و إن کان بینهما بحسب المورد عموم من وجه إلّا أنّ أدلّة مطلوبیة الطریق المجعول حاکم علی أدلّة مطلوبیة الواقع الأوّلی، بخلاف الوجه الثانی فإنّ مقتضاه حصر مفاد أدلّة مطلوبیة التکالیف الشرعیة بالأصالة و بالذات فی خصوص مطلوبیة مؤدّی الطرق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الآخر بین الوجهین التعبیر عما یقتضیه الانسداد فی الوجه الأول بالظنّ الطریقی و الطرق المجعولة و حجّیة الظنّ فی الطریق، و فی الوجه الثانی بالظنّ بالمبرئ و تفریغ الذمّة و الظنّ بالبراءة، و هو فرق لفظی فی مجرّد التعبیر، کما أنّ الفرق الأول فرق فی کیفیة الاستدلال لا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سلک هذا 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257" w:name="__RefHeading___Toc2646458_3224264995"/>
      <w:bookmarkStart w:id="258" w:name="_Toc100"/>
      <w:bookmarkEnd w:id="257"/>
      <w:r>
        <w:rPr>
          <w:rtl w:val="true"/>
        </w:rPr>
        <w:t>[</w:t>
      </w:r>
      <w:r>
        <w:rPr>
          <w:rtl w:val="true"/>
        </w:rPr>
        <w:t>المدار عند صاحب القوانین علی الانسداد الشخصی دون النوعی فی حجیة مطلق الظنّ</w:t>
      </w:r>
      <w:r>
        <w:rPr>
          <w:rtl w:val="true"/>
        </w:rPr>
        <w:t>]</w:t>
      </w:r>
      <w:bookmarkEnd w:id="25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تبدیل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النسخ المتأخّرة، بل الأنسب بالمعنی العلاوة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قد سلک هذا </w:t>
      </w:r>
      <w:bookmarkStart w:id="259" w:name="pg12856_162581"/>
    </w:p>
    <w:p>
      <w:pPr>
        <w:pStyle w:val="BookText"/>
        <w:rPr/>
      </w:pPr>
      <w:bookmarkEnd w:id="259"/>
      <w:r>
        <w:rPr>
          <w:rFonts w:ascii="IRNazanin" w:hAnsi="IRNazanin" w:eastAsia="IRNazanin"/>
          <w:color w:val="111111"/>
          <w:sz w:val="28"/>
          <w:sz w:val="28"/>
          <w:szCs w:val="28"/>
          <w:rtl w:val="true"/>
          <w:lang w:bidi="fa-IR"/>
        </w:rPr>
        <w:t xml:space="preserve">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 بنی صاحب القوانین علی عدم الفرق بین الأسباب و الموارد و الاشخاص فی حجّیة الظنّ مع أنّ المدار عنده فی حجّیة مطلق الظنّ علی الانسداد الشخصی دون التوقّف علی الانسداد النوعی</w:t>
      </w:r>
      <w:r>
        <w:rPr>
          <w:rStyle w:val="FootnoteAnchor"/>
          <w:rtl w:val="true"/>
        </w:rPr>
        <w:footnoteReference w:id="99"/>
      </w:r>
      <w:r>
        <w:rPr>
          <w:rFonts w:ascii="IRNazanin" w:hAnsi="IRNazanin" w:eastAsia="IRNazanin"/>
          <w:color w:val="111111"/>
          <w:sz w:val="28"/>
          <w:sz w:val="28"/>
          <w:szCs w:val="28"/>
          <w:rtl w:val="true"/>
          <w:lang w:bidi="fa-IR"/>
        </w:rPr>
        <w:t>، أعنی انسداد معظم الأحکام و غالبها کما هو مدار حجّیة مطلق الظنّ عند من عداه، فالفرق بینه و بین من عداه فی حجّیة مطلق الظنّ هو اکتفاؤه فی الحجّیة بالانسداد الشخصی و لو فی مسألة واحدة من جمیع مسائل الفقه، فإنّه أیضا یبتنی علی حجّیة مطلق الظنّ فی تلک المسألة و لو کان المفروض انفتاح باب العلم أو الظنّ الخاصّ علیه فی سائر المسائل، بناء منه علی أنّ مجرّد انسداد باب العلم و الظنّ الخاصّ و لو فی مسألة خاصّة من بین جمیع المسائل موجب لحجّیة مطلق الظنّ لا العمل بالاحتیاط؛ زعما منه عدم دلالة دلیل علی لزوم الاحتیاط، و تنجّز العلم الإجمالی التکلیف،</w:t>
      </w:r>
    </w:p>
    <w:p>
      <w:pPr>
        <w:pStyle w:val="Heading5"/>
        <w:numPr>
          <w:ilvl w:val="4"/>
          <w:numId w:val="1"/>
        </w:numPr>
        <w:rPr/>
      </w:pPr>
      <w:bookmarkStart w:id="260" w:name="__RefHeading___Toc2646460_3224264995"/>
      <w:bookmarkStart w:id="261" w:name="_Toc101"/>
      <w:bookmarkEnd w:id="260"/>
      <w:r>
        <w:rPr>
          <w:rtl w:val="true"/>
        </w:rPr>
        <w:t>[</w:t>
      </w:r>
      <w:r>
        <w:rPr>
          <w:rtl w:val="true"/>
        </w:rPr>
        <w:t>اعتبار الظنّ بمفاد البراءة</w:t>
      </w:r>
      <w:r>
        <w:rPr>
          <w:rtl w:val="true"/>
        </w:rPr>
        <w:t>]</w:t>
      </w:r>
      <w:bookmarkEnd w:id="261"/>
    </w:p>
    <w:p>
      <w:pPr>
        <w:pStyle w:val="BookText"/>
        <w:rPr/>
      </w:pPr>
      <w:r>
        <w:rPr>
          <w:rFonts w:ascii="IRNazanin" w:hAnsi="IRNazanin" w:eastAsia="IRNazanin"/>
          <w:color w:val="111111"/>
          <w:sz w:val="28"/>
          <w:sz w:val="28"/>
          <w:szCs w:val="28"/>
          <w:rtl w:val="true"/>
          <w:lang w:bidi="fa-IR"/>
        </w:rPr>
        <w:t>و لا الرجوع إلی البراءة، زعما منه تبعا لأکثر القدماء أنّ المأخوذ فی اعتبار البراءة إفادتها وصف الظنّ المنتفی ذلک الوصف المأخوذ شرطا أو شطرا فی اعتبار البراءة عند قیام الظنّ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المکتفی فی حجّیة مطلق الظنّ بالانسداد الشخصی و لو فی مسألة واحدة من مسائل الفقه إنّما یبطل الرجوع إلی البراءة و الاحتیاط الذی هو من مقدّمات حجّیة مطلق الظنّ بعدم المقتضی للرجوع إلیهما، لا بوجود المانع و هو لزوم الخروج عن الدین فی الرجوع إلی البراءة، و لزوم العسر و الحرج فی الرجوع إلی الاحتیاط، کما هو مذهب المختار، وفاقا لمن عدا صاحب القوانین من البانین فی حجّیة مطلق الظنّ علی تحقّق الانسداد النوعی، أعنی الانسداد فی معظم الأحکام و غالبها</w:t>
      </w:r>
      <w:r>
        <w:rPr>
          <w:rFonts w:eastAsia="IRNazanin" w:cs="IRNazanin"/>
          <w:color w:val="111111"/>
          <w:sz w:val="28"/>
          <w:szCs w:val="28"/>
          <w:rtl w:val="true"/>
          <w:lang w:bidi="fa-IR"/>
        </w:rPr>
        <w:t>.</w:t>
      </w:r>
    </w:p>
    <w:p>
      <w:pPr>
        <w:pStyle w:val="Heading5"/>
        <w:numPr>
          <w:ilvl w:val="4"/>
          <w:numId w:val="1"/>
        </w:numPr>
        <w:rPr/>
      </w:pPr>
      <w:bookmarkStart w:id="262" w:name="__RefHeading___Toc2646462_3224264995"/>
      <w:bookmarkStart w:id="263" w:name="_Toc102"/>
      <w:bookmarkEnd w:id="262"/>
      <w:r>
        <w:rPr>
          <w:rtl w:val="true"/>
        </w:rPr>
        <w:t>[</w:t>
      </w:r>
      <w:r>
        <w:rPr>
          <w:rtl w:val="true"/>
        </w:rPr>
        <w:t>الخلاف فی نتیجة دلیل الانسداد بین الکشف و الحکومة</w:t>
      </w:r>
      <w:r>
        <w:rPr>
          <w:rtl w:val="true"/>
        </w:rPr>
        <w:t>]</w:t>
      </w:r>
      <w:bookmarkEnd w:id="26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البانین فی حجّیة مطلق الظنّ علی الانسداد النوعی بین من یجعل </w:t>
      </w:r>
      <w:bookmarkStart w:id="264" w:name="pg12856_162582"/>
    </w:p>
    <w:p>
      <w:pPr>
        <w:pStyle w:val="BookText"/>
        <w:rPr/>
      </w:pPr>
      <w:bookmarkEnd w:id="264"/>
      <w:r>
        <w:rPr>
          <w:rFonts w:ascii="IRNazanin" w:hAnsi="IRNazanin" w:eastAsia="IRNazanin"/>
          <w:color w:val="111111"/>
          <w:sz w:val="28"/>
          <w:sz w:val="28"/>
          <w:szCs w:val="28"/>
          <w:rtl w:val="true"/>
          <w:lang w:bidi="fa-IR"/>
        </w:rPr>
        <w:t>الانسداد کاشفا عن حکم الشارع بحجّیة الظنّ کما هو المنسوب إلی شریف العلماء و صاحب الریاض، و ظاهر الفصول</w:t>
      </w:r>
      <w:r>
        <w:rPr>
          <w:rStyle w:val="FootnoteAnchor"/>
          <w:rtl w:val="true"/>
        </w:rPr>
        <w:footnoteReference w:id="100"/>
      </w:r>
      <w:r>
        <w:rPr>
          <w:rFonts w:ascii="IRNazanin" w:hAnsi="IRNazanin" w:eastAsia="IRNazanin"/>
          <w:color w:val="111111"/>
          <w:sz w:val="28"/>
          <w:sz w:val="28"/>
          <w:szCs w:val="28"/>
          <w:rtl w:val="true"/>
          <w:lang w:bidi="fa-IR"/>
        </w:rPr>
        <w:t>و الهدایة</w:t>
      </w:r>
      <w:r>
        <w:rPr>
          <w:rStyle w:val="FootnoteAnchor"/>
          <w:rtl w:val="true"/>
        </w:rPr>
        <w:footnoteReference w:id="101"/>
      </w:r>
      <w:r>
        <w:rPr>
          <w:rFonts w:ascii="IRNazanin" w:hAnsi="IRNazanin" w:eastAsia="IRNazanin"/>
          <w:color w:val="111111"/>
          <w:sz w:val="28"/>
          <w:sz w:val="28"/>
          <w:szCs w:val="28"/>
          <w:rtl w:val="true"/>
          <w:lang w:bidi="fa-IR"/>
        </w:rPr>
        <w:t>، و بین من یجعل الانسداد منشأ لحکم العقل المستقلّ بحجّیة الظنّ و طریقیته، کما هو المختار المتن بتقریبه المقرّر فیه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2646464_3224264995"/>
      <w:bookmarkStart w:id="266" w:name="_Toc103"/>
      <w:bookmarkEnd w:id="265"/>
      <w:r>
        <w:rPr>
          <w:rtl w:val="true"/>
        </w:rPr>
        <w:t>[</w:t>
      </w:r>
      <w:r>
        <w:rPr>
          <w:rtl w:val="true"/>
        </w:rPr>
        <w:t>المفارقات بین القائلین بحجیة مطلق الظنّ</w:t>
      </w:r>
      <w:r>
        <w:rPr>
          <w:rtl w:val="true"/>
        </w:rPr>
        <w:t>]</w:t>
      </w:r>
      <w:bookmarkEnd w:id="266"/>
    </w:p>
    <w:p>
      <w:pPr>
        <w:pStyle w:val="BookText"/>
        <w:rPr/>
      </w:pPr>
      <w:r>
        <w:rPr>
          <w:rFonts w:ascii="IRNazanin" w:hAnsi="IRNazanin" w:eastAsia="IRNazanin"/>
          <w:color w:val="111111"/>
          <w:sz w:val="28"/>
          <w:sz w:val="28"/>
          <w:szCs w:val="28"/>
          <w:rtl w:val="true"/>
          <w:lang w:bidi="fa-IR"/>
        </w:rPr>
        <w:t>فالقائلون بحجّیة مطلق الظنّ إذن علی مذاهب ثلاثة یشترکون کلّهم فی أصل حجّیة مطلق الظنّ، و فی الدلالة علی التعمیم من حیث الموارد و الأشخاص، کما یشترک الأوّلان دون الثالث فی انتاج حجّیة مطلق الظنّ علی وجه الإهمال لا التعمیم من حیث الأسباب و الرتبة، و لازم الإهمال من الجهتین عدم الإشکال فی خروج القیاس عن 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یفترق الأول عن الأخیرین فی اکتفائه فی إثبات الحجّیة بالانسداد الشخصی، بخلاف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یفترق الأخیر عن الأولین فی الدلالة علی التعمیم من حیث الأسباب، و لازم هذا التعمیم الإشکال المعروف فی خروج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یفترق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استحقاق تارک طریق الظنّ، عقابا آخر غیر ما یترتب علی نفس المنهی عنه، و ثوابا آخر غیر ما یترتب علی نفس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بعد معرفة مادّة اجتماع المسالک الثلاثة فی حجّیة مطلق الظنّ و مادّة افتراقها فی تحقیق الحقّ من تلک المسالک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التلازم بین الحکمین إنّما هو مع قابلیة المورد لهما، أمّا لو کان قابلا لحکم العقل دون الشرع فلا تلازم</w:t>
      </w:r>
      <w:r>
        <w:rPr>
          <w:rFonts w:eastAsia="IRNazanin" w:cs="IRNazanin"/>
          <w:color w:val="111111"/>
          <w:sz w:val="28"/>
          <w:szCs w:val="28"/>
          <w:rtl w:val="true"/>
          <w:lang w:bidi="fa-IR"/>
        </w:rPr>
        <w:t xml:space="preserve">». </w:t>
      </w:r>
      <w:bookmarkStart w:id="267" w:name="pg12856_162583"/>
    </w:p>
    <w:p>
      <w:pPr>
        <w:pStyle w:val="Heading5"/>
        <w:numPr>
          <w:ilvl w:val="4"/>
          <w:numId w:val="1"/>
        </w:numPr>
        <w:rPr/>
      </w:pPr>
      <w:bookmarkStart w:id="268" w:name="__RefHeading___Toc2646466_3224264995"/>
      <w:bookmarkStart w:id="269" w:name="_Toc104"/>
      <w:bookmarkEnd w:id="267"/>
      <w:bookmarkEnd w:id="268"/>
      <w:r>
        <w:rPr>
          <w:rtl w:val="true"/>
        </w:rPr>
        <w:t>[</w:t>
      </w:r>
      <w:r>
        <w:rPr>
          <w:rtl w:val="true"/>
        </w:rPr>
        <w:t>إیراد علی المصنّف فی حکمه بإمکان الانفکاک بین حکم الشرع و حکم العقل</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الحکمین المتلازمین عند القائلین بالتلازم إمّا الحکمان المتحدان، نظرا إلی اتحاد حاکمیهما من حیث الوجود و الموجود و کون التغایر بینهما اعتباری، کالفرق بین حکم اللسان و ما یعقد علیه القلب و الجنان، کما یقتضیه ظاهر التلازم بین الحکمین و الاستدلال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رسول باطنی، کما أنّ الشرع رسول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الحکمان المتماثلان بواسطة تغایر حاکمیهما حقیقة کالإمامین و النبیّین المختلفین شخصا و المتحدین حکما، فیکون الحکمان من قبیل الموجود الواحد بوجودین و موجدین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الحکمان المتغایران بالتأسیس و التأکید و التحقیق و التصدیق و الإنشاء و الإمضاء لیکون تغایرهما من قبیل الموجودین بوجودین و موجدین المتغایرین حکما و اسما بخلافه فی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فالتلازم من الطرفین لقابلیة کلّ مورد للحکمین، بل لرجوعهما إلی الاتحاد فی الأثر و العین، لا معنی للانفکاک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و الثالث فالتلازم بینهما کذلک، لأنّهما و إن اختلفا اسما و رسما إلّا أنّهما متحدان حکما و علما و سلما و تلازما، لفرضهما علی کلّ من المعنیین الآخرین کالنورین المتحدین فی الأثر و العین و التلازم فی البین، کما لعلّه المراد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أنّ تحصیل الحاصل و لزوم الدور مانع من التلازم بین الحکمین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الدور مانع من التلازم بمعنی التوقّف التدریجی، لا الدفعیّ و المعیّ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تحصیل الحاصل فهو مانع من تلازمهما بلا داع و لا راع، و أمّا مع الداعی له </w:t>
      </w:r>
      <w:bookmarkStart w:id="270" w:name="pg12856_162584"/>
    </w:p>
    <w:p>
      <w:pPr>
        <w:pStyle w:val="BookText"/>
        <w:rPr/>
      </w:pPr>
      <w:bookmarkEnd w:id="270"/>
      <w:r>
        <w:rPr>
          <w:rFonts w:ascii="IRNazanin" w:hAnsi="IRNazanin" w:eastAsia="IRNazanin"/>
          <w:color w:val="111111"/>
          <w:sz w:val="28"/>
          <w:sz w:val="28"/>
          <w:szCs w:val="28"/>
          <w:rtl w:val="true"/>
          <w:lang w:bidi="fa-IR"/>
        </w:rPr>
        <w:t>عقلا أو بلاغة فلا یلزم من تلازمهما تحصیل الحاصل، بل یلزم تکمیل الکامل و تفضیل الفاضل و مزیة الحکمة و البلاغة فی العاقل، کبلاغة التکرار و الإصرار لتسهیل الثواب علی الأبرار، و تسجیل العذاب علی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271" w:name="__RefHeading___Toc2646468_3224264995"/>
      <w:bookmarkStart w:id="272" w:name="_Toc105"/>
      <w:bookmarkEnd w:id="271"/>
      <w:r>
        <w:rPr>
          <w:rtl w:val="true"/>
        </w:rPr>
        <w:t>[</w:t>
      </w:r>
      <w:r>
        <w:rPr>
          <w:rtl w:val="true"/>
        </w:rPr>
        <w:t>إشارة إلی ما یؤثر فی نتیجة دلیل الانسداد و فی لازمها</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مجرّد إمکان الاقتصار علی الطرق العقلیة قادح فی أصل النتیجة، و هو مجعولیة الظنّ بعد الانسداد فکیف لا یقدح فی لازمها و کیفیتها؟ و هو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273" w:name="__RefHeading___Toc2646470_3224264995"/>
      <w:bookmarkStart w:id="274" w:name="_Toc106"/>
      <w:bookmarkEnd w:id="273"/>
      <w:r>
        <w:rPr>
          <w:rtl w:val="true"/>
        </w:rPr>
        <w:t>[</w:t>
      </w:r>
      <w:r>
        <w:rPr>
          <w:rtl w:val="true"/>
        </w:rPr>
        <w:t>إشارة إلی انّ الاستکشاف بالاجماع یجعل دلیل الانسداد شرعیا</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إتمام استکشاف العقل بالإجماع یخرج الدلیل عن العقلی إلی النقلی، لأنّ النتیجة تابعة لأخسّ المقدّمات، و المرکّب من الداخل و الخارج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یصلح أن یکون معیّنا أو مرجّحا أحد امور ثلاثة</w:t>
      </w:r>
      <w:r>
        <w:rPr>
          <w:rFonts w:eastAsia="IRNazanin" w:cs="IRNazanin"/>
          <w:color w:val="111111"/>
          <w:sz w:val="28"/>
          <w:szCs w:val="28"/>
          <w:rtl w:val="true"/>
          <w:lang w:bidi="fa-IR"/>
        </w:rPr>
        <w:t>».</w:t>
      </w:r>
    </w:p>
    <w:p>
      <w:pPr>
        <w:pStyle w:val="Heading5"/>
        <w:numPr>
          <w:ilvl w:val="4"/>
          <w:numId w:val="1"/>
        </w:numPr>
        <w:rPr/>
      </w:pPr>
      <w:bookmarkStart w:id="275" w:name="__RefHeading___Toc2646472_3224264995"/>
      <w:bookmarkStart w:id="276" w:name="_Toc107"/>
      <w:bookmarkEnd w:id="275"/>
      <w:r>
        <w:rPr>
          <w:rtl w:val="true"/>
        </w:rPr>
        <w:t>[</w:t>
      </w:r>
      <w:r>
        <w:rPr>
          <w:rtl w:val="true"/>
        </w:rPr>
        <w:t>الفرق بین المعیّن و المرجح و الفرق بین الدلیل و المؤید</w:t>
      </w:r>
      <w:r>
        <w:rPr>
          <w:rtl w:val="true"/>
        </w:rPr>
        <w:t>]</w:t>
      </w:r>
      <w:bookmarkEnd w:id="2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 بین المعیّن و المرجّح فهو و إن کان عموم مطلقا و العموم من طرف المرجّح کالفرق بین الدلیل و المؤیّد حیث یعتبر فی الدلیل الحجّیة دون المؤیّد إلّا أنّ المراد من المرجّح هنا لیس ما لا یعتبر فیه الحجّیة، کما توهّم لما سیصرّح به المصنف من الإیراد علی ما لیس بحجّة من المرجّحات فیفهم منه کون المراد به الحجّة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فیفترق حینئذ عن المعیّن أمّا فی المورد حیث یعمل بالمرجّح فی مورد تعارض الدلیلین و بالمعیّن فی مورد تعارض الاحتمالین، و أمّا فی الاعتبار بمعنی أنّه یسمّی مرجّحا باعتبار ملاحظة تعارض الاحتمالین و تعادلهما لولاه، و معیّنا باعتبار الإغماض عن هذه الملاحظة</w:t>
      </w:r>
      <w:r>
        <w:rPr>
          <w:rFonts w:eastAsia="IRNazanin" w:cs="IRNazanin"/>
          <w:color w:val="111111"/>
          <w:sz w:val="28"/>
          <w:szCs w:val="28"/>
          <w:rtl w:val="true"/>
          <w:lang w:bidi="fa-IR"/>
        </w:rPr>
        <w:t>.</w:t>
      </w:r>
    </w:p>
    <w:p>
      <w:pPr>
        <w:pStyle w:val="Heading5"/>
        <w:numPr>
          <w:ilvl w:val="4"/>
          <w:numId w:val="1"/>
        </w:numPr>
        <w:rPr/>
      </w:pPr>
      <w:bookmarkStart w:id="277" w:name="__RefHeading___Toc2646474_3224264995"/>
      <w:bookmarkStart w:id="278" w:name="_Toc108"/>
      <w:bookmarkEnd w:id="277"/>
      <w:r>
        <w:rPr>
          <w:rtl w:val="true"/>
        </w:rPr>
        <w:t>[</w:t>
      </w:r>
      <w:r>
        <w:rPr>
          <w:rtl w:val="true"/>
        </w:rPr>
        <w:t>ترجیح بعض الظنون علی بعض</w:t>
      </w:r>
      <w:r>
        <w:rPr>
          <w:rtl w:val="true"/>
        </w:rPr>
        <w:t>]</w:t>
      </w:r>
      <w:bookmarkEnd w:id="2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الفرق بین الامور الثلاثة المرجّحة و هی تیقّن الاعتبار و مظنونه </w:t>
      </w:r>
      <w:bookmarkStart w:id="279" w:name="pg12856_162585"/>
    </w:p>
    <w:p>
      <w:pPr>
        <w:pStyle w:val="BookText"/>
        <w:rPr/>
      </w:pPr>
      <w:bookmarkEnd w:id="279"/>
      <w:r>
        <w:rPr>
          <w:rFonts w:ascii="IRNazanin" w:hAnsi="IRNazanin" w:eastAsia="IRNazanin"/>
          <w:color w:val="111111"/>
          <w:sz w:val="28"/>
          <w:sz w:val="28"/>
          <w:szCs w:val="28"/>
          <w:rtl w:val="true"/>
          <w:lang w:bidi="fa-IR"/>
        </w:rPr>
        <w:t>و الأقوی رتبة من الظنّین فعموم من وجه؛ لتصادقهما علی الخبر الصحیح الأعلائی الغیر المعارض و لا الموهوم، و یفارق متیقن الاعتبار عن الآخرین فی ما یکون الشکّ فی اعتباره دائرا بین الأقلّ و الأکثر کخبر الواحد بالنسبة إلی الإجماع المنقول و الشهرة، و تفارق الأقوی رتبة عن الآخرین فی الظنّ القیاسی القوی جدّا مثل قیاس الحجر الواحد من ذی الجهات الثلاث علی ثلاثة أحجار الاستنجاء، و بفارق مظنون الاعتبار عن الأخیرین فی ما یکون الشکّ فی اعتباره دائرا بین المتباینین، کالشهرة بالنسبة إلی الأولویة</w:t>
      </w:r>
      <w:r>
        <w:rPr>
          <w:rFonts w:eastAsia="IRNazanin" w:cs="IRNazanin"/>
          <w:color w:val="111111"/>
          <w:sz w:val="28"/>
          <w:szCs w:val="28"/>
          <w:rtl w:val="true"/>
          <w:lang w:bidi="fa-IR"/>
        </w:rPr>
        <w:t>.</w:t>
      </w:r>
    </w:p>
    <w:p>
      <w:pPr>
        <w:pStyle w:val="Heading5"/>
        <w:numPr>
          <w:ilvl w:val="4"/>
          <w:numId w:val="1"/>
        </w:numPr>
        <w:rPr/>
      </w:pPr>
      <w:bookmarkStart w:id="280" w:name="__RefHeading___Toc2646476_3224264995"/>
      <w:bookmarkStart w:id="281" w:name="_Toc109"/>
      <w:bookmarkEnd w:id="280"/>
      <w:r>
        <w:rPr>
          <w:rtl w:val="true"/>
        </w:rPr>
        <w:t>[</w:t>
      </w:r>
      <w:r>
        <w:rPr>
          <w:rtl w:val="true"/>
        </w:rPr>
        <w:t>المراد من تیقن اعتبار بعض الظنون و مظنونیته</w:t>
      </w:r>
      <w:r>
        <w:rPr>
          <w:rtl w:val="true"/>
        </w:rPr>
        <w:t>]</w:t>
      </w:r>
      <w:bookmarkEnd w:id="281"/>
    </w:p>
    <w:p>
      <w:pPr>
        <w:pStyle w:val="BookText"/>
        <w:rPr/>
      </w:pPr>
      <w:r>
        <w:rPr>
          <w:rFonts w:ascii="IRNazanin" w:hAnsi="IRNazanin" w:eastAsia="IRNazanin"/>
          <w:color w:val="111111"/>
          <w:sz w:val="28"/>
          <w:sz w:val="28"/>
          <w:szCs w:val="28"/>
          <w:rtl w:val="true"/>
          <w:lang w:bidi="fa-IR"/>
        </w:rPr>
        <w:t>فالمراد من المتیقن لیس خصوص مقطوع الاعتبار حتی یباین المظنون، بل المراد هو الأقلّ سواء کان أقوی أو أضعف، و سواء کان مظنون الاعتبار أم مقطوع الاعتبار، کما أنّ المراد من المظنون هو الراجح سواء کان أقلّ بالنسبة إلی الأکثر، أم من قبیل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الظنّ فی مظنون الاعتبار أعمّ من الظنّ التفصیلی و الإجمالی، کما صرح به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توجیه کلّ من هذه الوجوه المرجّحة و تضعیفها فالمتکفل له المتن بأبلغ وجه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لغیر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282" w:name="__RefHeading___Toc2646478_3224264995"/>
      <w:bookmarkStart w:id="283" w:name="_Toc110"/>
      <w:bookmarkEnd w:id="282"/>
      <w:r>
        <w:rPr>
          <w:rtl w:val="true"/>
        </w:rPr>
        <w:t>[</w:t>
      </w:r>
      <w:r>
        <w:rPr>
          <w:rtl w:val="true"/>
        </w:rPr>
        <w:t>استواء نسبة دلیل الانسداد إلی افراد الظنّ و اختلاف نسبة آیة النبأ و نحوها إلیها</w:t>
      </w:r>
      <w:r>
        <w:rPr>
          <w:rtl w:val="true"/>
        </w:rPr>
        <w:t>]</w:t>
      </w:r>
      <w:bookmarkEnd w:id="2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التأمل أنّ تیقّن المتیقّن من أفراد حجّیة الظنّ لا یکون إلّا لدلیل خاصّ غیر دلیل الانسداد، لأنّ نسبة دلیل الانسداد إلی جمیع أفراد الظنّ متساویة لا خصوصیة له بالنسبة إلی بعض دون بعض، حتی یصیّره متیقنا دون غیره، بخلاف سائر الأدلّة الخاصّة کآیة النبأ</w:t>
      </w:r>
      <w:r>
        <w:rPr>
          <w:rStyle w:val="FootnoteAnchor"/>
          <w:rtl w:val="true"/>
        </w:rPr>
        <w:footnoteReference w:id="105"/>
      </w:r>
      <w:r>
        <w:rPr>
          <w:rFonts w:ascii="IRNazanin" w:hAnsi="IRNazanin" w:eastAsia="IRNazanin"/>
          <w:color w:val="111111"/>
          <w:sz w:val="28"/>
          <w:sz w:val="28"/>
          <w:szCs w:val="28"/>
          <w:rtl w:val="true"/>
          <w:lang w:bidi="fa-IR"/>
        </w:rPr>
        <w:t xml:space="preserve">و نحوهما فإن نسبتها إلی أفراد تصدیق العادل و أفراد الظنّ من حیث الشمول و عدمه متفاوت جدا، کتفاوت </w:t>
      </w:r>
      <w:bookmarkStart w:id="284" w:name="pg12856_162586"/>
    </w:p>
    <w:p>
      <w:pPr>
        <w:pStyle w:val="BookText"/>
        <w:rPr/>
      </w:pPr>
      <w:bookmarkEnd w:id="284"/>
      <w:r>
        <w:rPr>
          <w:rFonts w:ascii="IRNazanin" w:hAnsi="IRNazanin" w:eastAsia="IRNazanin"/>
          <w:color w:val="111111"/>
          <w:sz w:val="28"/>
          <w:sz w:val="28"/>
          <w:szCs w:val="28"/>
          <w:rtl w:val="true"/>
          <w:lang w:bidi="fa-IR"/>
        </w:rPr>
        <w:t>صدق الکلّی المشکّک علی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لو ظنّ عدم حجّیة بعض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مع عدم الظنّ بحجّیتها، و لعلّ قوله فی 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تلک العلاوة، أو إلی أنّ الأخذ بالمظنون حجّیته فی صورة العلم التفصیلی متعیّن لا أولی، أو إلی دفع ما یقال من أنّه فی صورة العلم الإجمالی دون التفصیلی بکون مظنون الحجّیة دائرا بین امور یکون الأخذ بکلّ منها مشکوک الحجّیة فی نفسه فلا ترجیح له علی غیره</w:t>
      </w:r>
      <w:r>
        <w:rPr>
          <w:rFonts w:eastAsia="IRNazanin" w:cs="IRNazanin"/>
          <w:color w:val="111111"/>
          <w:sz w:val="28"/>
          <w:szCs w:val="28"/>
          <w:rtl w:val="true"/>
          <w:lang w:bidi="fa-IR"/>
        </w:rPr>
        <w:t>.</w:t>
      </w:r>
    </w:p>
    <w:p>
      <w:pPr>
        <w:pStyle w:val="Heading5"/>
        <w:numPr>
          <w:ilvl w:val="4"/>
          <w:numId w:val="1"/>
        </w:numPr>
        <w:rPr/>
      </w:pPr>
      <w:bookmarkStart w:id="285" w:name="__RefHeading___Toc2646480_3224264995"/>
      <w:bookmarkStart w:id="286" w:name="_Toc111"/>
      <w:bookmarkEnd w:id="285"/>
      <w:r>
        <w:rPr>
          <w:rtl w:val="true"/>
        </w:rPr>
        <w:t>[</w:t>
      </w:r>
      <w:r>
        <w:rPr>
          <w:rtl w:val="true"/>
        </w:rPr>
        <w:t>مزیة احتمال المرجّحیة</w:t>
      </w:r>
      <w:r>
        <w:rPr>
          <w:rtl w:val="true"/>
        </w:rPr>
        <w:t>]</w:t>
      </w:r>
      <w:bookmarkEnd w:id="286"/>
    </w:p>
    <w:p>
      <w:pPr>
        <w:pStyle w:val="BookText"/>
        <w:rPr/>
      </w:pPr>
      <w:r>
        <w:rPr>
          <w:rFonts w:ascii="IRNazanin" w:hAnsi="IRNazanin" w:eastAsia="IRNazanin"/>
          <w:color w:val="111111"/>
          <w:sz w:val="28"/>
          <w:sz w:val="28"/>
          <w:szCs w:val="28"/>
          <w:rtl w:val="true"/>
          <w:lang w:bidi="fa-IR"/>
        </w:rPr>
        <w:t>و طریق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محتمل الحجّیة بالنسبة إلی غیر محتملها محتمل المرجّحیة فهی ذی مزیّة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لو کان بنفسه کثیرا کافیا لکن یعلم إجمالا بوجود مخصّصات کثیرة</w:t>
      </w:r>
      <w:r>
        <w:rPr>
          <w:rFonts w:eastAsia="IRNazanin" w:cs="IRNazanin"/>
          <w:color w:val="111111"/>
          <w:sz w:val="28"/>
          <w:szCs w:val="28"/>
          <w:rtl w:val="true"/>
          <w:lang w:bidi="fa-IR"/>
        </w:rPr>
        <w:t>».</w:t>
      </w:r>
    </w:p>
    <w:p>
      <w:pPr>
        <w:pStyle w:val="Heading5"/>
        <w:numPr>
          <w:ilvl w:val="4"/>
          <w:numId w:val="1"/>
        </w:numPr>
        <w:rPr/>
      </w:pPr>
      <w:bookmarkStart w:id="287" w:name="__RefHeading___Toc2646482_3224264995"/>
      <w:bookmarkStart w:id="288" w:name="_Toc112"/>
      <w:bookmarkEnd w:id="287"/>
      <w:r>
        <w:rPr>
          <w:rtl w:val="true"/>
        </w:rPr>
        <w:t>[</w:t>
      </w:r>
      <w:r>
        <w:rPr>
          <w:rtl w:val="true"/>
        </w:rPr>
        <w:t>عدم کفایة ما تیقّن اعتباره من الظنّ بدلیل الانسداد</w:t>
      </w:r>
      <w:r>
        <w:rPr>
          <w:rtl w:val="true"/>
        </w:rPr>
        <w:t>]</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سلّمنا کثرة المتیقن من حیث السند، لکن لا یسلّم کثرته من حیث الدلالة بعد العلم الإجمالی بطروّ المخصّصات علی کلّ مقطوع السند و لو کان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متیقن بالإضافة إلی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المتیقن الحقیقی قلیل الوجود بل هو مفقود، و الإضافی منه مشکوک فی نفسه و إن کان متیقنا بالإضافة إلی غیره، بل هو عامّ لجمیع أفراد الظنّ حتی القیاس، فإنّه بالإضافة إلی ظنّ الظنّان و نحوه متیقّن الاعتبار و إن کان فی نفسه مشکوکا بل موهوما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قد توهّم غیر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646484_3224264995"/>
      <w:bookmarkStart w:id="290" w:name="_Toc113"/>
      <w:bookmarkEnd w:id="289"/>
      <w:r>
        <w:rPr>
          <w:rtl w:val="true"/>
        </w:rPr>
        <w:t>[</w:t>
      </w:r>
      <w:r>
        <w:rPr>
          <w:rtl w:val="true"/>
        </w:rPr>
        <w:t>المراد من اعتبار مطلق الظنّ فی إثبات حجیة مظنون الحجّیة</w:t>
      </w:r>
      <w:r>
        <w:rPr>
          <w:rtl w:val="true"/>
        </w:rPr>
        <w:t>]</w:t>
      </w:r>
      <w:bookmarkEnd w:id="2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الکلام فی بیان المراد من هذا التوهّم و مرجعه و متوهّمیه و وجوهه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من هذا التوهّم المتوهّم فهو إثبات حجّیة مظنون الحجّیة بمطلق الظنّ فی حجّیة مظنون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bookmarkStart w:id="291" w:name="pg12856_162587"/>
    </w:p>
    <w:p>
      <w:pPr>
        <w:pStyle w:val="BookText"/>
        <w:rPr/>
      </w:pPr>
      <w:bookmarkEnd w:id="291"/>
      <w:r>
        <w:rPr>
          <w:rFonts w:ascii="IRNazanin" w:hAnsi="IRNazanin" w:eastAsia="IRNazanin"/>
          <w:color w:val="111111"/>
          <w:sz w:val="28"/>
          <w:sz w:val="28"/>
          <w:szCs w:val="28"/>
          <w:rtl w:val="true"/>
          <w:lang w:bidi="fa-IR"/>
        </w:rPr>
        <w:t>إثبات مرجّحیة مظنون الاعتبار علی مظنون الواقع بمطلق الظنّ فی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کون الحجّة بدلیل الانسداد فی خصوص مظنون الحجّیة و ترجیحه علی غیر مظنون الحجّیة بمطلق الظنّ الغیر الثابت الحجّیة و المرجّحیة و المعیّنیة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محذوره و وجه کونه توهّما فلرجوعه إلی الدور و المصادرة، و هو تعیین الظنّ بمطلق الظنّ، و تعیین الظنّ الطریقی بعد الانسداد بمطلق الظنّ</w:t>
      </w:r>
      <w:r>
        <w:rPr>
          <w:rFonts w:eastAsia="IRNazanin" w:cs="IRNazanin"/>
          <w:color w:val="111111"/>
          <w:sz w:val="28"/>
          <w:szCs w:val="28"/>
          <w:rtl w:val="true"/>
          <w:lang w:bidi="fa-IR"/>
        </w:rPr>
        <w:t>.</w:t>
      </w:r>
    </w:p>
    <w:p>
      <w:pPr>
        <w:pStyle w:val="Heading5"/>
        <w:numPr>
          <w:ilvl w:val="4"/>
          <w:numId w:val="1"/>
        </w:numPr>
        <w:rPr/>
      </w:pPr>
      <w:bookmarkStart w:id="292" w:name="__RefHeading___Toc2646486_3224264995"/>
      <w:bookmarkStart w:id="293" w:name="_Toc114"/>
      <w:bookmarkEnd w:id="292"/>
      <w:r>
        <w:rPr>
          <w:rtl w:val="true"/>
        </w:rPr>
        <w:t>[</w:t>
      </w:r>
      <w:r>
        <w:rPr>
          <w:rtl w:val="true"/>
        </w:rPr>
        <w:t>القول بحجیّة الظنّ الطریقی و افتراقه عن توهّم اعتبار مطلق الظنّ فی إثبات حجّیة مظنون الحجّیة</w:t>
      </w:r>
      <w:r>
        <w:rPr>
          <w:rtl w:val="true"/>
        </w:rPr>
        <w:t>]</w:t>
      </w:r>
      <w:bookmarkEnd w:id="293"/>
    </w:p>
    <w:p>
      <w:pPr>
        <w:pStyle w:val="BookText"/>
        <w:rPr/>
      </w:pPr>
      <w:r>
        <w:rPr>
          <w:rFonts w:ascii="IRNazanin" w:hAnsi="IRNazanin" w:eastAsia="IRNazanin"/>
          <w:color w:val="111111"/>
          <w:sz w:val="28"/>
          <w:sz w:val="28"/>
          <w:szCs w:val="28"/>
          <w:rtl w:val="true"/>
          <w:lang w:bidi="fa-IR"/>
        </w:rPr>
        <w:t>و أمّا الفرق بین هذا التوهّم و توهّم الظنّ الطریقی المتقدّم فمن حیث رجوع التوهّم السابق فی الظنّ الطریقی إلی التوهّم فی المدّعی، و فی المقام إلی التوهّم فی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علیه بمثل الدور و المصادرة و هو تعیین الظنّ الطریقی بمطلق الظنّ فهو توهّم فی توهّم، و الکلام فی المقام إنّما هو فی توهّمه الثانی، و أمّا الاول فقد تقدّم هو و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متوهّمیة فمحکی عن الهدایة</w:t>
      </w:r>
      <w:r>
        <w:rPr>
          <w:rStyle w:val="FootnoteAnchor"/>
          <w:rtl w:val="true"/>
        </w:rPr>
        <w:footnoteReference w:id="106"/>
      </w:r>
      <w:r>
        <w:rPr>
          <w:rFonts w:ascii="IRNazanin" w:hAnsi="IRNazanin" w:eastAsia="IRNazanin"/>
          <w:color w:val="111111"/>
          <w:sz w:val="28"/>
          <w:sz w:val="28"/>
          <w:szCs w:val="28"/>
          <w:rtl w:val="true"/>
          <w:lang w:bidi="fa-IR"/>
        </w:rPr>
        <w:t>و النراقی فی العائدة الاولی أو الثانیة و الأربعین من عوائده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2646488_3224264995"/>
      <w:bookmarkStart w:id="295" w:name="_Toc115"/>
      <w:bookmarkEnd w:id="294"/>
      <w:r>
        <w:rPr>
          <w:rtl w:val="true"/>
        </w:rPr>
        <w:t>[</w:t>
      </w:r>
      <w:r>
        <w:rPr>
          <w:rtl w:val="true"/>
        </w:rPr>
        <w:t>توجیه توهّم اعتبار مطلق الظنّ فی إثبات حجّیة المظنون حجّیته</w:t>
      </w:r>
      <w:r>
        <w:rPr>
          <w:rtl w:val="true"/>
        </w:rPr>
        <w:t>]</w:t>
      </w:r>
      <w:bookmarkEnd w:id="295"/>
    </w:p>
    <w:p>
      <w:pPr>
        <w:pStyle w:val="BookText"/>
        <w:rPr/>
      </w:pPr>
      <w:r>
        <w:rPr>
          <w:rFonts w:ascii="IRNazanin" w:hAnsi="IRNazanin" w:eastAsia="IRNazanin"/>
          <w:color w:val="111111"/>
          <w:sz w:val="28"/>
          <w:sz w:val="28"/>
          <w:szCs w:val="28"/>
          <w:rtl w:val="true"/>
          <w:lang w:bidi="fa-IR"/>
        </w:rPr>
        <w:t>و أمّا توجیه التوهّم المذکور علی ما یظهر أو لعلّه یظهر من عبارة المتوهّم المحکیة فی المتن فأحد وجوه ثلاثة، علی سبیل منع الخلوّ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لعلّه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المراد اعتبار مطلق الظنّ فی مسألة تعیین القضیة المهملة و إنّما المقصود ترجیح بعضها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لیس المراد من ترجیح مظنون الحجّیة بمطلق الظنّ الترجیح به فی الواقع و نفس الأمر عند الشارع حتی یستلزم الدور و المصادرة و الافتراء علی اللّه القبیح عقلا و نقلا، بل المقصود الترجیح به عند النفس، و من البیّن عقلا عدم اعتبار الحجّیة </w:t>
      </w:r>
      <w:bookmarkStart w:id="296" w:name="pg12856_162588"/>
    </w:p>
    <w:p>
      <w:pPr>
        <w:pStyle w:val="BookText"/>
        <w:rPr/>
      </w:pPr>
      <w:bookmarkEnd w:id="296"/>
      <w:r>
        <w:rPr>
          <w:rFonts w:ascii="IRNazanin" w:hAnsi="IRNazanin" w:eastAsia="IRNazanin"/>
          <w:color w:val="111111"/>
          <w:sz w:val="28"/>
          <w:sz w:val="28"/>
          <w:szCs w:val="28"/>
          <w:rtl w:val="true"/>
          <w:lang w:bidi="fa-IR"/>
        </w:rPr>
        <w:t>فی المرجّحات النفسیة، و کنایة الترجیح النفسی الشی‌ء علی غیره عند العقل بأیّ داع من الدواعی النفسیة، إذ لا یلزم فی الترجیحات النفسیة بغیر ثابت الحجّیة من الدواعی النفسیة ما یلزم فی الترجیحات الواقعیة النفس الأمریة من المصادرة و الدور و الافتراء علی اللّه القبیح عقلا و نقلا</w:t>
      </w:r>
      <w:r>
        <w:rPr>
          <w:rFonts w:eastAsia="IRNazanin" w:cs="IRNazanin"/>
          <w:color w:val="111111"/>
          <w:sz w:val="28"/>
          <w:szCs w:val="28"/>
          <w:rtl w:val="true"/>
          <w:lang w:bidi="fa-IR"/>
        </w:rPr>
        <w:t>.</w:t>
      </w:r>
    </w:p>
    <w:p>
      <w:pPr>
        <w:pStyle w:val="Heading5"/>
        <w:numPr>
          <w:ilvl w:val="4"/>
          <w:numId w:val="1"/>
        </w:numPr>
        <w:rPr/>
      </w:pPr>
      <w:bookmarkStart w:id="297" w:name="__RefHeading___Toc2646490_3224264995"/>
      <w:bookmarkStart w:id="298" w:name="_Toc116"/>
      <w:bookmarkEnd w:id="297"/>
      <w:r>
        <w:rPr>
          <w:rtl w:val="true"/>
        </w:rPr>
        <w:t>[</w:t>
      </w:r>
      <w:r>
        <w:rPr>
          <w:rtl w:val="true"/>
        </w:rPr>
        <w:t>الردّ علی توجیه المتوهّم المذکور</w:t>
      </w:r>
      <w:r>
        <w:rPr>
          <w:rtl w:val="true"/>
        </w:rPr>
        <w:t>]</w:t>
      </w:r>
      <w:bookmarkEnd w:id="298"/>
    </w:p>
    <w:p>
      <w:pPr>
        <w:pStyle w:val="BookText"/>
        <w:rPr/>
      </w:pPr>
      <w:r>
        <w:rPr>
          <w:rFonts w:ascii="IRNazanin" w:hAnsi="IRNazanin" w:eastAsia="IRNazanin"/>
          <w:color w:val="111111"/>
          <w:sz w:val="28"/>
          <w:sz w:val="28"/>
          <w:szCs w:val="28"/>
          <w:rtl w:val="true"/>
          <w:lang w:bidi="fa-IR"/>
        </w:rPr>
        <w:t>و هذا التوجیه غیر وجیه؛ لما فیه من أنّ عدم احتیاج الترجیح النفسی إلی ما یحتاج إلیه الترجیح الواقعی من حجّیة مرجّحه إنّما هو فی موارد تخییر النفس بین الشیئین عقلا أو شرعا، لا موارد دورانه بین المحذور و غیره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العقلی المثبت لحجّیتها هو الدلیل العقلی المذکور</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الدلیل علی اعتبار مطلق الظنّ فی تعیین ذلک الظنّ المجمل هو عین دلیل الانسداد القاضی بحجّیة الظنّ فی الأحکام بناء علی إرجاع الظنّ فی تعیین الظنّ المجمل إلی الظنّ فی الأحکام، أو مثله بناء علی تعمیم دائرة الانسداد بدعوی انسداد آخر فی تعیین الظنّ المجمل وراء الانسداد فی تعیین الأحکام المجملة القاضی حجّیة مطلق الظنّ، و هذان الوجهان محکیان عن النراقی فی العوائد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التوجیه أیضا أنّه إمّا أن یرید به عین الانسداد فی الأحکام، أو انسداد آخر مثله، و علی کلّ منهما إمّا أن یجعل الانسداد کاشفا عن حجّیة الظنّ فی الجملة أو حاکما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تقدیر الحکومة فلا مورد للترجیح، لکون المفروض تعمیم الظنّ من حیث الأسباب و المورد علی تقدیره، و أمّا علی تقدیر الکشف فیعود الکلام </w:t>
      </w:r>
    </w:p>
    <w:p>
      <w:pPr>
        <w:pStyle w:val="BookText"/>
        <w:rPr/>
      </w:pPr>
      <w:r>
        <w:rPr>
          <w:rFonts w:ascii="IRNazanin" w:hAnsi="IRNazanin" w:eastAsia="IRNazanin"/>
          <w:color w:val="111111"/>
          <w:sz w:val="28"/>
          <w:sz w:val="28"/>
          <w:szCs w:val="28"/>
          <w:rtl w:val="true"/>
          <w:lang w:bidi="fa-IR"/>
        </w:rPr>
        <w:t>بالمطالبة عن المرجّح و المعین لذلک الظنّ المجمل، إلّا أن یفرض اتحاد ذلک المجمل و انحصاره بحسب الخارج فی أمارة واحدة، کما إذا فرض مظنون الاعتبار من الأمارات منحصر فی ما قام أمارة واحدة علی حجّیته فإنّه یعمل به فی تعیین المتبع و إن کان أضعف الظنون، لأنّه إذا انسدّ باب العلم فی تعیین ما هو المتبع بعد الانسداد و لم یجز الرجوع فیها إلی الاصول حتی الاحتیاط تعیّن الرجوع إلی الظنّ الموجود فی المسألة فیؤخذ به،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توجیه حسن، و لکنه مبنیّ علی فرض اتحاد ذلک المجمل و انحصاره بحسب الاتفاق و الخارج فی أمارة واحدة، و هو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ثالث 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التعویل علی القطع بالترجیح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الدلیل علی مرجّحیة الظنّ فی تعیین مظنون الحجّیة هو القطع بمرجّحیته و معیّنیته عقلا، لرجوعه إلی ما صرّح به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قضیة العقل فی الدوران بین الکلّ و البعض هو الاقتصار علی البعض أخذا بالمتیقن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کما حکی هذا التوجیه عن الهدایة</w:t>
      </w:r>
      <w:r>
        <w:rPr>
          <w:rStyle w:val="FootnoteAnchor"/>
          <w:rtl w:val="true"/>
        </w:rPr>
        <w:footnoteReference w:id="113"/>
      </w:r>
      <w:r>
        <w:rPr>
          <w:rFonts w:ascii="IRNazanin" w:hAnsi="IRNazanin" w:eastAsia="IRNazanin"/>
          <w:color w:val="111111"/>
          <w:sz w:val="28"/>
          <w:sz w:val="28"/>
          <w:szCs w:val="28"/>
          <w:rtl w:val="true"/>
          <w:lang w:bidi="fa-IR"/>
        </w:rPr>
        <w:t>، و لکنه أیضا ضعیف بما ذکره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 الأول إذا کان الظنّ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قاطعیة العقل بمرجّحیة الأخذ بالمتیقن علی غیره فی تعیین المتبع إنّما هو فی ما دار بین البعض و الکلّ، لا بین المحتملین و الأبعاض التی لا متیقّن فیهما، کما فی 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المتوهّم المرجّح و إن کان ظنّا إلّا أنّ الترجیح به قطعی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به قطعی الاعتبار فممنوع، و إن ارید به قطعی الوجود فغیر </w:t>
      </w:r>
      <w:bookmarkStart w:id="299" w:name="pg12856_162590"/>
    </w:p>
    <w:p>
      <w:pPr>
        <w:pStyle w:val="BookText"/>
        <w:rPr/>
      </w:pPr>
      <w:bookmarkEnd w:id="299"/>
      <w:r>
        <w:rPr>
          <w:rFonts w:ascii="IRNazanin" w:hAnsi="IRNazanin" w:eastAsia="IRNazanin"/>
          <w:color w:val="111111"/>
          <w:sz w:val="28"/>
          <w:sz w:val="28"/>
          <w:szCs w:val="28"/>
          <w:rtl w:val="true"/>
          <w:lang w:bidi="fa-IR"/>
        </w:rPr>
        <w:t>نافع؛ لأنّه نظیر ترجیح الموزون الموضوع فی أحد کفّتی المیزان بوضع حجر فی جنبه، فإنّ الترجیح به و إن کان قطعیا إلّا أنّه غیر نافع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الظنّ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الظنّ المفروض المرجّحیة و المعیّنیة إنّما یقتضی الحجّیة و المرجّحیة لبعض الظنون علی بعض فی زمان الانفتاح و من حیث الخصوصیة، لا تعیین المتبع بعد الانسداد عقلا، ففی ما یوجد الظنّ المرجّح لیس موردا للترجیح، و فی ما یوجد المورد للترجیح لیس مرجّحا لعدم الربط و المناسبة بین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المجمل العقلی الخاصّ بزمان الانسداد لا یلائمه التعیین بمعیّن لفظی خاصّ بزمان الانفتاح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300" w:name="__RefHeading___Toc2646492_3224264995"/>
      <w:bookmarkStart w:id="301" w:name="_Toc117"/>
      <w:bookmarkEnd w:id="300"/>
      <w:r>
        <w:rPr>
          <w:rtl w:val="true"/>
        </w:rPr>
        <w:t>[</w:t>
      </w:r>
      <w:r>
        <w:rPr>
          <w:rtl w:val="true"/>
        </w:rPr>
        <w:t>المجمل العقلی الخاصّ بزمان الانسداد لا یلائم التعیین بمعیّن لفظی خاصّ بزمان الانفتاح</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وجهه إمکان منع اختصاص الظنّ المرجّح لبعض الظنون علی بعض بحال الانفتاح لا الانسداد، و بظنّ خاصّ لا بمطلق الظنّ، بفرض مرجّحیته و تعیینه الظنّ المتبع بدلیل الانسداد بانسداد آخر مثبت لحجّیة الظنّ المعیّن لذلک المتبع غیر الدلیل الخاصّ بحال الانفتاح، حسبما تقدّم من عدم المانع من تعدّد کشف العقل و الانسداد عن حجّیة ظنّ و عن تعیینه بمطلق الظنّ، لأنّه مضافا إلی ترتّب الکشفین طبعا لا مانع من ترتبهما و تدرّجهما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مبنیّ علی فرض اتحاد الأمارة المرجّحة للظنّ الطریق و انحصارها فی فرد خاصّ، و إلّا فیرجع الکلام فی المعیّن لإهمال النتیجة فی الانسداد الثانی علی نحو وروده و إیراده فی الانسداد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یجری دلیلک فیه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لا یجری دلیل الانسداد فی إثبات حجّیة ما عدا المظنون </w:t>
      </w:r>
      <w:bookmarkStart w:id="302" w:name="pg12856_162591"/>
    </w:p>
    <w:p>
      <w:pPr>
        <w:pStyle w:val="BookText"/>
        <w:rPr/>
      </w:pPr>
      <w:bookmarkEnd w:id="302"/>
      <w:r>
        <w:rPr>
          <w:rFonts w:ascii="IRNazanin" w:hAnsi="IRNazanin" w:eastAsia="IRNazanin"/>
          <w:color w:val="111111"/>
          <w:sz w:val="28"/>
          <w:sz w:val="28"/>
          <w:szCs w:val="28"/>
          <w:rtl w:val="true"/>
          <w:lang w:bidi="fa-IR"/>
        </w:rPr>
        <w:t>الحجّیة بعد فرض انفتاح باب الأحکام بمظنون الحجّیة، و انتفاء ضرورة الانسداد القاضی بحجّیة الظنّ نظرا إلی أنّ الضرورة 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المعنی لا یجری دلیل مرجّحیة مظنون الحجّیة فی غیره من مشکوک الحجّیة و موهومه، للخصوصیة الفارقة بینهما و المزیة الخاصّة بمظنون الحجّیة القاطعة للاشتراک بینها و بین مشکوک الحجّیة و موهومها، بواسطة اختصاص الوصف العنوانی، و هو مظنون الحجّیة به دونه، و تبعیة الأحکام لأسمائها، أو بواسطة اختصاص علّة الحکم و هو مناط حجّیة الظنّ بعد الانسداد بخصوص ما یرفع ضرورة الانسداد بالانفتاح بما فیه الکفایة و الغنیة، و هو مظنون الحجّیة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5"/>
        <w:numPr>
          <w:ilvl w:val="4"/>
          <w:numId w:val="1"/>
        </w:numPr>
        <w:rPr/>
      </w:pPr>
      <w:bookmarkStart w:id="303" w:name="__RefHeading___Toc2646494_3224264995"/>
      <w:bookmarkStart w:id="304" w:name="_Toc118"/>
      <w:bookmarkEnd w:id="303"/>
      <w:r>
        <w:rPr>
          <w:rtl w:val="true"/>
        </w:rPr>
        <w:t>[</w:t>
      </w:r>
      <w:r>
        <w:rPr>
          <w:rtl w:val="true"/>
        </w:rPr>
        <w:t>تلویح إلی انّ الترجیح بلا مرجّح فی التکوین محال، و فی الالزام و التکلیف قبیح</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رفع ما قیل أو یقال فی توجیه الإضراب من القبیح إلی المحال، باحتمال أن یرید به الترجیح بلا مرجّح فی خصوص الإیجاد و التکوین الذی هو المحال، بناء علی أنّ کلّ محال قبیح و لا عکس، و طریق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الاجتماع من الطرفین، أ لا تری أنّ اجتماع کلّ من الضدّین و ارتفاع المتناقضین و وجود المعلول بلا علّة و الترجیح بلا مرجّح محال لا قبیح من التکوینیات و أنّ کلّا من الظلم و الجور علی الحکیم و الخطأ و الزلل و العصیان و النقصان علی خلفائه المعصومین و الملائکة أجمعین قبیح لا محال إلّا بالمحال العادی لا العقلی الذی هو محطّ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محطّ کلامنا معاشر علماء الفقه و الاصول فی الترجیح بلا مرجّح إنّما هو فی ما یکون من التکلیفیات لا التکوینیات، فإنّها من محطّ نظر الفلاسفة لا الفقهاء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305" w:name="pg12856_162592"/>
    </w:p>
    <w:p>
      <w:pPr>
        <w:pStyle w:val="Heading5"/>
        <w:numPr>
          <w:ilvl w:val="4"/>
          <w:numId w:val="1"/>
        </w:numPr>
        <w:rPr/>
      </w:pPr>
      <w:bookmarkStart w:id="306" w:name="__RefHeading___Toc2646496_3224264995"/>
      <w:bookmarkStart w:id="307" w:name="_Toc119"/>
      <w:bookmarkEnd w:id="305"/>
      <w:bookmarkEnd w:id="306"/>
      <w:r>
        <w:rPr>
          <w:rtl w:val="true"/>
        </w:rPr>
        <w:t>[</w:t>
      </w:r>
      <w:r>
        <w:rPr>
          <w:rtl w:val="true"/>
        </w:rPr>
        <w:t>تعیین الظنّ المظنون حجّیته بالأولویة</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کون المقدّمة الکبرویة لصغری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فحجّیة الأولویة مع عدم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و الناهی عنها مطویة مقدّرة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حجّیته مع عدم حجّیة ما یقابله و یعادله غیر محتملة خرج عما نحن فیه من تعیین المحتمل المهمل المجمل من نتیجة دلیل الانسداد، الدائر بین الظنّین المحتمل الحجّیة و عدم الحجّیة إلی ما هو مقطوع الحجّیة کالخبر، و غیر محتمل الحجّیة کالأولویة، و أین ذلک ممّا نحن فیه من تعیین المحتمل الحجّیة و عدم الحجّیة المجمل بین الفردین فی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فمقصود المصنّف منع المانع من حجّیة الأولویة لتعیینه نتیجة الانسداد المهملة المحتملة فی خصوص الظنّ الطریقی و مظنون الحجّیة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الدلیل و المانع الظنّی علی منع الأولویة حتی یتعیّن النتیجة المجملة المحتملة فی خصوص الظنّ الطریقی و مظنون الحجّیة، نظرا إلی أنّ الممنوع بخبر أبان إنّما هو القیاس و الأولویة الظنّیة فی مقابل النصّ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عموم المنع و المانع فإنّما تصیر الأولویة ممنوعة الحجّیة بالقطع و بواسطة عدم الدخول فی محتمل دلیل الانسداد المفروض الإهمال و الاحتمال، لا بواسطة تعیین محتمله بالترجیح الذی هو محطّ الکلام بیننا و بین الخصم، القائل بالظنّ الطریقی و تعیین النتیجة المهملة المحتملة فیه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أن یکون الظنّ القائم علی حجّیة ظنّ متحدا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08" w:name="__RefHeading___Toc2646498_3224264995"/>
      <w:bookmarkStart w:id="309" w:name="_Toc120"/>
      <w:bookmarkEnd w:id="308"/>
      <w:r>
        <w:rPr>
          <w:rtl w:val="true"/>
        </w:rPr>
        <w:t>[</w:t>
      </w:r>
      <w:r>
        <w:rPr>
          <w:rtl w:val="true"/>
        </w:rPr>
        <w:t>تعیین الظنّ المظنون حجّیته بالمعیّن المتّحد و استبعاد ذلک</w:t>
      </w:r>
      <w:r>
        <w:rPr>
          <w:rtl w:val="true"/>
        </w:rPr>
        <w:t>]</w:t>
      </w:r>
      <w:bookmarkEnd w:id="3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المعیّن لا یوجب تعیین المتعدّد بالإجمال و الإهمال و الاحتمال المفروض فی نتیجة الانسداد، إلّا بفرض انسداد آخر فی خصوص تعیین المتبع المجمل فی الانسداد الأول، و فرض الانسداد الثانی فی تعیین المتبع بالانسداد الأول و إن کان فرضا غیر بعید إلّا أنّ فرض اتحاد المعیّن بعید جدّا بحسب الاتفاق؛ لأنّ موجبات الظنّ بالمعیّن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بعینها موجبات الظنّ </w:t>
      </w:r>
      <w:bookmarkStart w:id="310" w:name="pg12856_162593"/>
    </w:p>
    <w:p>
      <w:pPr>
        <w:pStyle w:val="BookText"/>
        <w:rPr/>
      </w:pPr>
      <w:bookmarkEnd w:id="310"/>
      <w:r>
        <w:rPr>
          <w:rFonts w:ascii="IRNazanin" w:hAnsi="IRNazanin" w:eastAsia="IRNazanin"/>
          <w:color w:val="111111"/>
          <w:sz w:val="28"/>
          <w:sz w:val="28"/>
          <w:szCs w:val="28"/>
          <w:rtl w:val="true"/>
          <w:lang w:bidi="fa-IR"/>
        </w:rPr>
        <w:t>بالمعیّن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اتحاد الموجب للظنّ بالأول دون الثانی بعید جدّا مع اشتراک الموجبین فی الایجاب و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 بعدم تعرّض الإمام له</w:t>
      </w:r>
      <w:r>
        <w:rPr>
          <w:rFonts w:eastAsia="IRNazanin" w:cs="IRNazanin"/>
          <w:color w:val="111111"/>
          <w:sz w:val="28"/>
          <w:szCs w:val="28"/>
          <w:rtl w:val="true"/>
          <w:lang w:bidi="fa-IR"/>
        </w:rPr>
        <w:t>».</w:t>
      </w:r>
    </w:p>
    <w:p>
      <w:pPr>
        <w:pStyle w:val="Heading5"/>
        <w:numPr>
          <w:ilvl w:val="4"/>
          <w:numId w:val="1"/>
        </w:numPr>
        <w:rPr/>
      </w:pPr>
      <w:bookmarkStart w:id="311" w:name="__RefHeading___Toc2646500_3224264995"/>
      <w:bookmarkStart w:id="312" w:name="_Toc121"/>
      <w:bookmarkEnd w:id="311"/>
      <w:r>
        <w:rPr>
          <w:rtl w:val="true"/>
        </w:rPr>
        <w:t>[</w:t>
      </w:r>
      <w:r>
        <w:rPr>
          <w:rtl w:val="true"/>
        </w:rPr>
        <w:t>المسائل العقلیة لیس من وظیفة الشرع بیانها</w:t>
      </w:r>
      <w:r>
        <w:rPr>
          <w:rtl w:val="true"/>
        </w:rPr>
        <w:t>]</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المسائل العقلیة من وظیفة العقل بیانها کمّا و کیفا، و لیس من وظیفة الشرع بیانها، لا کمّا و لا کیفا قولا و لا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للخصم منعه بأن الالتزام بکاشفیة العقل عن أصل حجّیة الظنّ فی الجملة لا یلزم الالتزام بکاشفیته أیضا فی جمیع کیفیات ذلک الظنّ المکشوف عنه و کمّیاته علی وجه لا یجوز التجاوز عن العقل، بل یجوز التجاوز عنه إلی التعبّد بإجماع فی بعض کیفیاته و کمّیاته و إن کان أصل ثبوت حجّیته فی الجملة بالعقل، و علی ذلک یکون الاحتیاج الموجب للتعدّی عن مظنون الاعتبار إلی بعض مشکوکات الاعتبار حکمة، لا علّة للتعدّی حتی یقتصر فیه علی مورد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من طرق التعمیم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13" w:name="__RefHeading___Toc2646502_3224264995"/>
      <w:bookmarkStart w:id="314" w:name="_Toc122"/>
      <w:bookmarkEnd w:id="313"/>
      <w:r>
        <w:rPr>
          <w:rtl w:val="true"/>
        </w:rPr>
        <w:t>[</w:t>
      </w:r>
      <w:r>
        <w:rPr>
          <w:rtl w:val="true"/>
        </w:rPr>
        <w:t>توجیه منع تعمیم نتیجة الانسداد بقاعدة الاشتغال</w:t>
      </w:r>
      <w:r>
        <w:rPr>
          <w:rtl w:val="true"/>
        </w:rPr>
        <w:t>]</w:t>
      </w:r>
      <w:bookmarkEnd w:id="3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التعمیم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لکن لا بما ذکره الماتن من المعارضة لما سیأتی ما فیه من عدم المقاومة، بل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مجری الاشتغال فی ما نحن فیه علی تقدیر أن لا یکون بین الظنون قدر متیقن کاف فی الفقه، و إلّا دار الأمر بین الأقلّ و الأکثر الذی هو مجری البراءة لا الاشتغال</w:t>
      </w:r>
      <w:r>
        <w:rPr>
          <w:rFonts w:eastAsia="IRNazanin" w:cs="IRNazanin"/>
          <w:color w:val="111111"/>
          <w:sz w:val="28"/>
          <w:szCs w:val="28"/>
          <w:rtl w:val="true"/>
          <w:lang w:bidi="fa-IR"/>
        </w:rPr>
        <w:t>.</w:t>
      </w:r>
    </w:p>
    <w:p>
      <w:pPr>
        <w:pStyle w:val="Heading5"/>
        <w:numPr>
          <w:ilvl w:val="4"/>
          <w:numId w:val="1"/>
        </w:numPr>
        <w:rPr/>
      </w:pPr>
      <w:bookmarkStart w:id="315" w:name="__RefHeading___Toc2646504_3224264995"/>
      <w:bookmarkStart w:id="316" w:name="_Toc123"/>
      <w:bookmarkEnd w:id="315"/>
      <w:r>
        <w:rPr>
          <w:rtl w:val="true"/>
        </w:rPr>
        <w:t>[</w:t>
      </w:r>
      <w:r>
        <w:rPr>
          <w:rtl w:val="true"/>
        </w:rPr>
        <w:t>الدوران بین الأقلّ و الأکثر مجری البراءة و بین المحذورین مجری قاعدة التخییر</w:t>
      </w:r>
      <w:r>
        <w:rPr>
          <w:rtl w:val="true"/>
        </w:rPr>
        <w:t>]</w:t>
      </w:r>
      <w:bookmarkEnd w:id="31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مجری الاشتغال علی تقدیر اعتبار الظنّ من باب الموضوعیة، و أما علی تقدیر اعتباره من باب الطریقیة فلا مجری له، لصیرورة الأمر علی هذا التقدیر من قبیل دوران الأمر بین المحذورین الواجب و الحرام الذی هو مجری قاعدة التخییر لا الاشتغال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العمل بالظنّ معارضة فی </w:t>
      </w:r>
      <w:bookmarkStart w:id="317" w:name="pg12856_162594"/>
    </w:p>
    <w:p>
      <w:pPr>
        <w:pStyle w:val="BookText"/>
        <w:rPr/>
      </w:pPr>
      <w:bookmarkEnd w:id="317"/>
      <w:r>
        <w:rPr>
          <w:rFonts w:ascii="IRNazanin" w:hAnsi="IRNazanin" w:eastAsia="IRNazanin"/>
          <w:color w:val="111111"/>
          <w:sz w:val="28"/>
          <w:sz w:val="28"/>
          <w:szCs w:val="28"/>
          <w:rtl w:val="true"/>
          <w:lang w:bidi="fa-IR"/>
        </w:rPr>
        <w:t xml:space="preserve">بعض الموارد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18" w:name="__RefHeading___Toc2646506_3224264995"/>
      <w:bookmarkStart w:id="319" w:name="_Toc124"/>
      <w:bookmarkEnd w:id="318"/>
      <w:r>
        <w:rPr>
          <w:rtl w:val="true"/>
        </w:rPr>
        <w:t>[</w:t>
      </w:r>
      <w:r>
        <w:rPr>
          <w:rtl w:val="true"/>
        </w:rPr>
        <w:t>تقدیم الاحتیاط فی الفروع علیه فی الاصول فی بعض صور تعارض الاشتغال فیها، و العکس فی بعض آخر</w:t>
      </w:r>
      <w:r>
        <w:rPr>
          <w:rtl w:val="true"/>
        </w:rPr>
        <w:t>]</w:t>
      </w:r>
      <w:bookmarkEnd w:id="3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توجیه منعه التعمیم بالاشتغال فبأنّ الاشتغال فی الاصول قد یعارض فی بعض الموارد بالاشتغال فی الفروع و هو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یقدّم فیه الاحتیاط فی الفروع علی الاحتیاط فی الاصول، کما فی مثل ما لو کان مقتضی الاحتیاط فی الاصول هو عدم وجوب ما یقتضی الاحتیاط فی الفروع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بالعکس یقدّم فیه الاحتیاط فی الاصول علی الاحتیاط فی الفروع، کما فی مثل ما لو کان الاحتیاط فی الاصول مزیلا للشکّ الموجب للاحتیاط فی الفروع</w:t>
      </w:r>
      <w:r>
        <w:rPr>
          <w:rFonts w:eastAsia="IRNazanin" w:cs="IRNazanin"/>
          <w:color w:val="111111"/>
          <w:sz w:val="28"/>
          <w:szCs w:val="28"/>
          <w:rtl w:val="true"/>
          <w:lang w:bidi="fa-IR"/>
        </w:rPr>
        <w:t>.</w:t>
      </w:r>
    </w:p>
    <w:p>
      <w:pPr>
        <w:pStyle w:val="Heading5"/>
        <w:numPr>
          <w:ilvl w:val="4"/>
          <w:numId w:val="1"/>
        </w:numPr>
        <w:rPr/>
      </w:pPr>
      <w:bookmarkStart w:id="320" w:name="__RefHeading___Toc2646508_3224264995"/>
      <w:bookmarkStart w:id="321" w:name="_Toc125"/>
      <w:bookmarkEnd w:id="320"/>
      <w:r>
        <w:rPr>
          <w:rtl w:val="true"/>
        </w:rPr>
        <w:t>[</w:t>
      </w:r>
      <w:r>
        <w:rPr>
          <w:rtl w:val="true"/>
        </w:rPr>
        <w:t>عدم تقدیم أحد الاحتیاطین علی الآخر فی بعض الصور</w:t>
      </w:r>
      <w:r>
        <w:rPr>
          <w:rtl w:val="true"/>
        </w:rPr>
        <w:t>]</w:t>
      </w:r>
      <w:bookmarkEnd w:id="321"/>
    </w:p>
    <w:p>
      <w:pPr>
        <w:pStyle w:val="BookText"/>
        <w:rPr/>
      </w:pPr>
      <w:r>
        <w:rPr>
          <w:rFonts w:ascii="IRNazanin" w:hAnsi="IRNazanin" w:eastAsia="IRNazanin"/>
          <w:color w:val="111111"/>
          <w:sz w:val="28"/>
          <w:sz w:val="28"/>
          <w:szCs w:val="28"/>
          <w:rtl w:val="true"/>
          <w:lang w:bidi="fa-IR"/>
        </w:rPr>
        <w:t>و قسم لا یقدّم فیه أحد الاحتیاطین و هو صورة تعارض الاحتیاطین فی ما فرضه الماتن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إذا علمنا إجمالا بحرمة شی‌ء من بین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322" w:name="__RefHeading___Toc2646510_3224264995"/>
      <w:bookmarkStart w:id="323" w:name="_Toc126"/>
      <w:bookmarkEnd w:id="322"/>
      <w:r>
        <w:rPr>
          <w:rtl w:val="true"/>
        </w:rPr>
        <w:t>[</w:t>
      </w:r>
      <w:r>
        <w:rPr>
          <w:rtl w:val="true"/>
        </w:rPr>
        <w:t>الردّ علی إیراد المصنّف علی تعمیم نتیجة الانسداد بقاعدة الاشتغال</w:t>
      </w:r>
      <w:r>
        <w:rPr>
          <w:rtl w:val="true"/>
        </w:rPr>
        <w:t>]</w:t>
      </w:r>
      <w:bookmarkEnd w:id="323"/>
    </w:p>
    <w:p>
      <w:pPr>
        <w:pStyle w:val="BookText"/>
        <w:rPr/>
      </w:pPr>
      <w:r>
        <w:rPr>
          <w:rFonts w:ascii="IRNazanin" w:hAnsi="IRNazanin" w:eastAsia="IRNazanin"/>
          <w:color w:val="111111"/>
          <w:sz w:val="28"/>
          <w:sz w:val="28"/>
          <w:szCs w:val="28"/>
          <w:rtl w:val="true"/>
          <w:lang w:bidi="fa-IR"/>
        </w:rPr>
        <w:t>هذا و لکن فی ما ذکره من منع تعمیم قاعدة الاشتغال لحجّیة الظنّ المهملة المجملة بواسطة معارضته بالاشتغال و الاحتیاط فی الفروع منع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ما ذکره المصنف هو من إمکان الجمع بین مقتضی الاشتغالین</w:t>
      </w:r>
      <w:r>
        <w:rPr>
          <w:rStyle w:val="FootnoteAnchor"/>
          <w:rtl w:val="true"/>
        </w:rPr>
        <w:footnoteReference w:id="116"/>
      </w:r>
      <w:r>
        <w:rPr>
          <w:rFonts w:ascii="IRNazanin" w:hAnsi="IRNazanin" w:eastAsia="IRNazanin"/>
          <w:color w:val="111111"/>
          <w:sz w:val="28"/>
          <w:sz w:val="28"/>
          <w:szCs w:val="28"/>
          <w:rtl w:val="true"/>
          <w:lang w:bidi="fa-IR"/>
        </w:rPr>
        <w:t>و انتفاء التنافی و المعارضة فی البین بواسطة تغایر المتعلقین و الاقتضائین</w:t>
      </w:r>
      <w:r>
        <w:rPr>
          <w:rFonts w:eastAsia="IRNazanin" w:cs="IRNazanin"/>
          <w:color w:val="111111"/>
          <w:sz w:val="28"/>
          <w:szCs w:val="28"/>
          <w:rtl w:val="true"/>
          <w:lang w:bidi="fa-IR"/>
        </w:rPr>
        <w:t>.</w:t>
      </w:r>
    </w:p>
    <w:p>
      <w:pPr>
        <w:pStyle w:val="Heading5"/>
        <w:numPr>
          <w:ilvl w:val="4"/>
          <w:numId w:val="1"/>
        </w:numPr>
        <w:rPr/>
      </w:pPr>
      <w:bookmarkStart w:id="324" w:name="__RefHeading___Toc2646512_3224264995"/>
      <w:bookmarkStart w:id="325" w:name="_Toc127"/>
      <w:bookmarkEnd w:id="324"/>
      <w:r>
        <w:rPr>
          <w:rtl w:val="true"/>
        </w:rPr>
        <w:t>[</w:t>
      </w:r>
      <w:r>
        <w:rPr>
          <w:rtl w:val="true"/>
        </w:rPr>
        <w:t>الاحتیاط فی المسألة الاصولیة یزیل الشکّ فی المسألة الفرعیة</w:t>
      </w:r>
      <w:r>
        <w:rPr>
          <w:rtl w:val="true"/>
        </w:rPr>
        <w:t>]</w:t>
      </w:r>
      <w:bookmarkEnd w:id="3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ما ذکره هو أیضا من تقدیم الاحتیاط فی المسألة الاصولیة علی الاحتیاط فی المسألة الفرعیة، لأنّ الاحتیاط فی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حجّیة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مزیل لموضوع الشکّ الموجب للاحتیاط فی المسألة الفرعیة</w:t>
      </w:r>
      <w:r>
        <w:rPr>
          <w:rStyle w:val="FootnoteAnchor"/>
          <w:rtl w:val="true"/>
        </w:rPr>
        <w:footnoteReference w:id="117"/>
      </w:r>
      <w:r>
        <w:rPr>
          <w:rFonts w:ascii="IRNazanin" w:hAnsi="IRNazanin" w:eastAsia="IRNazanin"/>
          <w:color w:val="111111"/>
          <w:sz w:val="28"/>
          <w:sz w:val="28"/>
          <w:szCs w:val="28"/>
          <w:rtl w:val="true"/>
          <w:lang w:bidi="fa-IR"/>
        </w:rPr>
        <w:t xml:space="preserve">لا محالة، نظرا إلی عدم مقاومة الأصل للدلیل، کما یقدّم الأصل و الاستصحاب فی موضوع حیاة زید علی البراءة من حرمة ماله و زوجته، </w:t>
      </w:r>
      <w:bookmarkStart w:id="326" w:name="pg12856_162595"/>
    </w:p>
    <w:p>
      <w:pPr>
        <w:pStyle w:val="BookText"/>
        <w:rPr/>
      </w:pPr>
      <w:bookmarkEnd w:id="326"/>
      <w:r>
        <w:rPr>
          <w:rFonts w:ascii="IRNazanin" w:hAnsi="IRNazanin" w:eastAsia="IRNazanin"/>
          <w:color w:val="111111"/>
          <w:sz w:val="28"/>
          <w:sz w:val="28"/>
          <w:szCs w:val="28"/>
          <w:rtl w:val="true"/>
          <w:lang w:bidi="fa-IR"/>
        </w:rPr>
        <w:t>و استصحاب طهارة الماء علی استصحاب نجاسة المغسول به و بقاء حدث المطهّر به، و استصحاب الطهارة السابقة علی استصحاب بقاء اشتغال الذمّة بالمشروط بها</w:t>
      </w:r>
      <w:r>
        <w:rPr>
          <w:rFonts w:eastAsia="IRNazanin" w:cs="IRNazanin"/>
          <w:color w:val="111111"/>
          <w:sz w:val="28"/>
          <w:szCs w:val="28"/>
          <w:rtl w:val="true"/>
          <w:lang w:bidi="fa-IR"/>
        </w:rPr>
        <w:t>.</w:t>
      </w:r>
    </w:p>
    <w:p>
      <w:pPr>
        <w:pStyle w:val="Heading5"/>
        <w:numPr>
          <w:ilvl w:val="4"/>
          <w:numId w:val="1"/>
        </w:numPr>
        <w:rPr/>
      </w:pPr>
      <w:bookmarkStart w:id="327" w:name="__RefHeading___Toc2646514_3224264995"/>
      <w:bookmarkStart w:id="328" w:name="_Toc128"/>
      <w:bookmarkEnd w:id="327"/>
      <w:r>
        <w:rPr>
          <w:rtl w:val="true"/>
        </w:rPr>
        <w:t>[</w:t>
      </w:r>
      <w:r>
        <w:rPr>
          <w:rtl w:val="true"/>
        </w:rPr>
        <w:t>تقدیم الأصل الجاری فی الموضوع علی الأصل فی حکمه</w:t>
      </w:r>
      <w:r>
        <w:rPr>
          <w:rtl w:val="true"/>
        </w:rPr>
        <w:t>]</w:t>
      </w:r>
      <w:bookmarkEnd w:id="328"/>
    </w:p>
    <w:p>
      <w:pPr>
        <w:pStyle w:val="BookText"/>
        <w:rPr/>
      </w:pPr>
      <w:r>
        <w:rPr>
          <w:rFonts w:ascii="IRNazanin" w:hAnsi="IRNazanin" w:eastAsia="IRNazanin"/>
          <w:color w:val="111111"/>
          <w:sz w:val="28"/>
          <w:sz w:val="28"/>
          <w:szCs w:val="28"/>
          <w:rtl w:val="true"/>
          <w:lang w:bidi="fa-IR"/>
        </w:rPr>
        <w:t>و أمّا ما فرضه الماتن من مثال المعارضة بین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إذا علمنا إجمالا بحرمة شی‌ء من بین أشیاء و دلّت علی وجوب کلّ منهما أمارات نعلم إجمالا بحجّیة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 المقاومة فی هذه المعارضة المفروضة أیضا سیما علی مسلکه هو من تقدیم الأصل فی الشکّ السببی علی الأصل فی الشکّ المسبّبی الناشئ من الشکّ الأول المزیل للشکّ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 أنّ تعارض الأصلین فی المثال المفروض إن فرض من الشبهة الحکمیة کالشکّ و العلم الإجمالی بحرمة إحدی صلاتی الظهر و الجمعة یوم الجمعة الموجب لترکهما معا بالاحتیاط، الناشئ و المسبب عن الشکّ و العلم الإجمالی بحجّیة أحد دلیلهما الموجب لفعلهما معا، فمن المقرّر المقرّ به هو تقدیم الأصل فی المزیل، و السبب علی الأصل فی المزال و المسبب، فلم یبق للمعارضة أثر و لا مقاومة</w:t>
      </w:r>
      <w:r>
        <w:rPr>
          <w:rFonts w:eastAsia="IRNazanin" w:cs="IRNazanin"/>
          <w:color w:val="111111"/>
          <w:sz w:val="28"/>
          <w:szCs w:val="28"/>
          <w:rtl w:val="true"/>
          <w:lang w:bidi="fa-IR"/>
        </w:rPr>
        <w:t>.</w:t>
      </w:r>
    </w:p>
    <w:p>
      <w:pPr>
        <w:pStyle w:val="Heading5"/>
        <w:numPr>
          <w:ilvl w:val="4"/>
          <w:numId w:val="1"/>
        </w:numPr>
        <w:rPr/>
      </w:pPr>
      <w:bookmarkStart w:id="329" w:name="__RefHeading___Toc2646516_3224264995"/>
      <w:bookmarkStart w:id="330" w:name="_Toc129"/>
      <w:bookmarkEnd w:id="329"/>
      <w:r>
        <w:rPr>
          <w:rtl w:val="true"/>
        </w:rPr>
        <w:t>[</w:t>
      </w:r>
      <w:r>
        <w:rPr>
          <w:rtl w:val="true"/>
        </w:rPr>
        <w:t>مناقشة تمثیل الماتن لتقدیم قاعدة الاحتیاط فی المسألة الاصولیة علیه فی المسألة الفرعیة</w:t>
      </w:r>
      <w:r>
        <w:rPr>
          <w:rtl w:val="true"/>
        </w:rPr>
        <w:t>]</w:t>
      </w:r>
      <w:bookmarkEnd w:id="3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فرض من الشبهة الموضوعیة کما لو کان الشکّ فی حرمة الجمعة و الظهر من جهة الشبهة فی موضوع الیوم المذکور هل هو الخمس أو الجمعة مع تعیین حکمه و الشکّ فی وجوب أحدهما من جهة الشکّ و العلم الإجمالی بحجّیة إحدی البیّنتین المعیّنتین لموضوعیهما فهو و إن تحقّق فیه معارضة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تسبب أحد الشکّین فیه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خارج عن محلّ الکلام المعمّم، لأنّ کلامه فی حجّیة الظنّ المهمل المجمل فی دلیل الانسداد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الشبهات الحکمیة الناشئة من عدم النصّ أو إجماله أو تعارض النصّین، لا من الشبهات الموضوعیة الناشئة عن طروّ الموانع الخارجیة من غفلة أو سترة أو </w:t>
      </w:r>
      <w:bookmarkStart w:id="331" w:name="pg12856_162596"/>
    </w:p>
    <w:p>
      <w:pPr>
        <w:pStyle w:val="BookText"/>
        <w:rPr/>
      </w:pPr>
      <w:bookmarkEnd w:id="331"/>
      <w:r>
        <w:rPr>
          <w:rFonts w:ascii="IRNazanin" w:hAnsi="IRNazanin" w:eastAsia="IRNazanin"/>
          <w:color w:val="111111"/>
          <w:sz w:val="28"/>
          <w:sz w:val="28"/>
          <w:szCs w:val="28"/>
          <w:rtl w:val="true"/>
          <w:lang w:bidi="fa-IR"/>
        </w:rPr>
        <w:t>ظلمة، فما هو من محلّ الکلام فی الشبهة الحکمیة لم یوجد فیه المعارضة بین الأصلین، لعدم المقاومة فی البین، و ما وجد فیه المعارضة من الشبهة الموضوعیة لیس من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منع تعمیم المعمّم بالاشتغال بما قدّمنا من 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یناف مؤدّاه لاستحباب الاحتیاط</w:t>
      </w:r>
      <w:r>
        <w:rPr>
          <w:rFonts w:eastAsia="IRNazanin" w:cs="IRNazanin"/>
          <w:color w:val="111111"/>
          <w:sz w:val="28"/>
          <w:szCs w:val="28"/>
          <w:rtl w:val="true"/>
          <w:lang w:bidi="fa-IR"/>
        </w:rPr>
        <w:t>».</w:t>
      </w:r>
    </w:p>
    <w:p>
      <w:pPr>
        <w:pStyle w:val="Heading5"/>
        <w:numPr>
          <w:ilvl w:val="4"/>
          <w:numId w:val="1"/>
        </w:numPr>
        <w:rPr/>
      </w:pPr>
      <w:bookmarkStart w:id="332" w:name="__RefHeading___Toc2646518_3224264995"/>
      <w:bookmarkStart w:id="333" w:name="_Toc130"/>
      <w:bookmarkEnd w:id="332"/>
      <w:r>
        <w:rPr>
          <w:rtl w:val="true"/>
        </w:rPr>
        <w:t>[</w:t>
      </w:r>
      <w:r>
        <w:rPr>
          <w:rtl w:val="true"/>
        </w:rPr>
        <w:t>العلم الواقعی التفصیلی مناف للاحتیاط لا العلم الظاهری الشرعی</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المنافی للاحتیاط إنّما هو العلم الواقعی التفصیلی الرافع لموضوع احتمال الخلاف لا لحکمه فقط، و أمّا العلم الظاهری الشرعی فغیر مناف للاحتیاط فضلا عن غیر العلم کالظنّ، لأنّ غایته أن یرفع حکم احتمال الخلاف لا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5"/>
        <w:numPr>
          <w:ilvl w:val="4"/>
          <w:numId w:val="1"/>
        </w:numPr>
        <w:rPr/>
      </w:pPr>
      <w:bookmarkStart w:id="334" w:name="__RefHeading___Toc2646520_3224264995"/>
      <w:bookmarkStart w:id="335" w:name="_Toc131"/>
      <w:bookmarkEnd w:id="334"/>
      <w:r>
        <w:rPr>
          <w:rtl w:val="true"/>
        </w:rPr>
        <w:t>[</w:t>
      </w:r>
      <w:r>
        <w:rPr>
          <w:rtl w:val="true"/>
        </w:rPr>
        <w:t>تثبیت التعارض بین الاحتیاطین فی موردی العلم الإجمالی</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دفع ما یقال من أنّ مقتضی کلّ من الاحتیاطین فی کلّ موردی العلم الإجمالی المتعارضین حکم عقلی لا یتأتّی فیه التعارض و الشکّ و التخصیص، بالنسبة إلی نفس العاقل الحاکم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فی الأحکام الفعلیة القطعیة الشخصیة و الواقعیة الأوّلیة کشکر المنعم و قبح الظلم،</w:t>
      </w:r>
    </w:p>
    <w:p>
      <w:pPr>
        <w:pStyle w:val="Heading5"/>
        <w:numPr>
          <w:ilvl w:val="4"/>
          <w:numId w:val="1"/>
        </w:numPr>
        <w:rPr/>
      </w:pPr>
      <w:bookmarkStart w:id="336" w:name="__RefHeading___Toc2646522_3224264995"/>
      <w:bookmarkStart w:id="337" w:name="_Toc132"/>
      <w:bookmarkEnd w:id="336"/>
      <w:r>
        <w:rPr>
          <w:rtl w:val="true"/>
        </w:rPr>
        <w:t>[</w:t>
      </w:r>
      <w:r>
        <w:rPr>
          <w:rtl w:val="true"/>
        </w:rPr>
        <w:t>تأتّی التعارض و نحوه فی الأحکام العقلیة الظنّیة</w:t>
      </w:r>
      <w:r>
        <w:rPr>
          <w:rtl w:val="true"/>
        </w:rPr>
        <w:t>]</w:t>
      </w:r>
      <w:bookmarkEnd w:id="337"/>
    </w:p>
    <w:p>
      <w:pPr>
        <w:pStyle w:val="BookText"/>
        <w:rPr/>
      </w:pPr>
      <w:r>
        <w:rPr>
          <w:rFonts w:ascii="IRNazanin" w:hAnsi="IRNazanin" w:eastAsia="IRNazanin"/>
          <w:color w:val="111111"/>
          <w:sz w:val="28"/>
          <w:sz w:val="28"/>
          <w:szCs w:val="28"/>
          <w:rtl w:val="true"/>
          <w:lang w:bidi="fa-IR"/>
        </w:rPr>
        <w:t>و أمّا العقلیة الظنّیة النوعیة خصوصا الظاهریة الثانویة المقرّرة للجاهل العاجز عن الواقع کما فی ما نحن فیه فیتأتّی فیها کلّما یتأتّی فی سائر الأحکام الشرعیة الظاهریة، من الشکّ و التعارض و احتمال التخصیص بالنسبة إلی شخص العاقل الغیر الحاکم به من حیث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ملزوم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5"/>
        <w:numPr>
          <w:ilvl w:val="4"/>
          <w:numId w:val="1"/>
        </w:numPr>
        <w:rPr/>
      </w:pPr>
      <w:bookmarkStart w:id="338" w:name="__RefHeading___Toc2646524_3224264995"/>
      <w:bookmarkStart w:id="339" w:name="_Toc133"/>
      <w:bookmarkEnd w:id="338"/>
      <w:r>
        <w:rPr>
          <w:rtl w:val="true"/>
        </w:rPr>
        <w:t>[</w:t>
      </w:r>
      <w:r>
        <w:rPr>
          <w:rtl w:val="true"/>
        </w:rPr>
        <w:t>تفسیر أمری الماتن بالفهم</w:t>
      </w:r>
      <w:r>
        <w:rPr>
          <w:rtl w:val="true"/>
        </w:rPr>
        <w:t>]</w:t>
      </w:r>
      <w:bookmarkEnd w:id="3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رفع ما یقال من أنّ التسرّی إلی بعض الظنون المخالفة للاحتیاط لدفع العسر یوجب التسرّی إلی بعضها الآخر بالإجماع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بیان کمیّة و کیفیة الأحکام العقلیة من </w:t>
      </w:r>
      <w:bookmarkStart w:id="340" w:name="pg12856_162597"/>
    </w:p>
    <w:p>
      <w:pPr>
        <w:pStyle w:val="BookText"/>
        <w:rPr/>
      </w:pPr>
      <w:bookmarkEnd w:id="340"/>
      <w:r>
        <w:rPr>
          <w:rFonts w:ascii="IRNazanin" w:hAnsi="IRNazanin" w:eastAsia="IRNazanin"/>
          <w:color w:val="111111"/>
          <w:sz w:val="28"/>
          <w:sz w:val="28"/>
          <w:szCs w:val="28"/>
          <w:rtl w:val="true"/>
          <w:lang w:bidi="fa-IR"/>
        </w:rPr>
        <w:t>وظائف العقل، لا الشرع حتی یشخّص بالإجماع، للعلم بعدم تعرض الإمام علیه السّلام له قولا و لا فعلا إلّا من باب التقریر و التأکید</w:t>
      </w:r>
      <w:r>
        <w:rPr>
          <w:rFonts w:eastAsia="IRNazanin" w:cs="IRNazanin"/>
          <w:color w:val="111111"/>
          <w:sz w:val="28"/>
          <w:szCs w:val="28"/>
          <w:rtl w:val="true"/>
          <w:lang w:bidi="fa-IR"/>
        </w:rPr>
        <w:t>.</w:t>
      </w:r>
    </w:p>
    <w:p>
      <w:pPr>
        <w:pStyle w:val="Heading5"/>
        <w:numPr>
          <w:ilvl w:val="4"/>
          <w:numId w:val="1"/>
        </w:numPr>
        <w:rPr/>
      </w:pPr>
      <w:bookmarkStart w:id="341" w:name="__RefHeading___Toc2646526_3224264995"/>
      <w:bookmarkStart w:id="342" w:name="_Toc134"/>
      <w:bookmarkEnd w:id="341"/>
      <w:r>
        <w:rPr>
          <w:rtl w:val="true"/>
        </w:rPr>
        <w:t>[</w:t>
      </w:r>
      <w:r>
        <w:rPr>
          <w:rtl w:val="true"/>
        </w:rPr>
        <w:t>بیان الحکم العقلی کمیة أو کیفیة فی لسان الشرع تقریر و تأکید</w:t>
      </w:r>
      <w:r>
        <w:rPr>
          <w:rtl w:val="true"/>
        </w:rPr>
        <w:t>]</w:t>
      </w:r>
      <w:bookmarkEnd w:id="342"/>
    </w:p>
    <w:p>
      <w:pPr>
        <w:pStyle w:val="BookText"/>
        <w:rPr/>
      </w:pPr>
      <w:r>
        <w:rPr>
          <w:rFonts w:ascii="IRNazanin" w:hAnsi="IRNazanin" w:eastAsia="IRNazanin"/>
          <w:color w:val="111111"/>
          <w:sz w:val="28"/>
          <w:sz w:val="28"/>
          <w:szCs w:val="28"/>
          <w:rtl w:val="true"/>
          <w:lang w:bidi="fa-IR"/>
        </w:rPr>
        <w:t>أو إشارة إلی دفع ما یقال من أنّ التسرّی إلی بعض الظنون المخالفة للاحتیاط لأجل أولویة العمل بالظنّ من الاحتیاط الموهوم و المشکوک بالفحوی و الأولویة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الأولویة المذکورة ملغاة بعد فرض استناد العمل بالظنّ إلی الاحتیاط العامّ لموارد الظنّ و الوهم و قطع النظر عن نفس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واقعة لیست فیها أمارة کذلک یعمل فیها بالاحتیاط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43" w:name="__RefHeading___Toc2646528_3224264995"/>
      <w:bookmarkStart w:id="344" w:name="_Toc135"/>
      <w:bookmarkEnd w:id="343"/>
      <w:r>
        <w:rPr>
          <w:rtl w:val="true"/>
        </w:rPr>
        <w:t>[</w:t>
      </w:r>
      <w:r>
        <w:rPr>
          <w:rtl w:val="true"/>
        </w:rPr>
        <w:t>الردّ علی الماتن فی العمل بالاحتیاط فی ما لم ترد امارة ظنیة توجب الاطمینان</w:t>
      </w:r>
      <w:r>
        <w:rPr>
          <w:rtl w:val="true"/>
        </w:rPr>
        <w:t>]</w:t>
      </w:r>
      <w:bookmarkEnd w:id="3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العمل بالاحتیاط فی ما عدا موارد الظنّ الاطمئنانی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باستلزامه لسدّ باب الاجتهاد و التقلید رأسا، و لمساواة المجتهد و المقلّد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 أن یکون جمیع تعلیلاتهم المذکورة لاستنباط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الأقربیة و الأقوائیة و الأظهریة و الأرجحیة و الأشهریة و البراءة و الاستصحاب و الإطلاق، و العموم و غیر ذلک من الاصول العملیة و اللفظیة، المعلّل بها الأحکام الدائر علیها المدار من أول صدر الإسلام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علیلة ذلیلة غیر کفیلة</w:t>
      </w:r>
      <w:r>
        <w:rPr>
          <w:rFonts w:eastAsia="IRNazanin" w:cs="IRNazanin"/>
          <w:color w:val="111111"/>
          <w:sz w:val="28"/>
          <w:szCs w:val="28"/>
          <w:rtl w:val="true"/>
          <w:lang w:bidi="fa-IR"/>
        </w:rPr>
        <w:t>.</w:t>
      </w:r>
    </w:p>
    <w:p>
      <w:pPr>
        <w:pStyle w:val="Heading5"/>
        <w:numPr>
          <w:ilvl w:val="4"/>
          <w:numId w:val="1"/>
        </w:numPr>
        <w:rPr/>
      </w:pPr>
      <w:bookmarkStart w:id="345" w:name="__RefHeading___Toc2646530_3224264995"/>
      <w:bookmarkStart w:id="346" w:name="_Toc136"/>
      <w:bookmarkEnd w:id="345"/>
      <w:r>
        <w:rPr>
          <w:rtl w:val="true"/>
        </w:rPr>
        <w:t>[</w:t>
      </w:r>
      <w:r>
        <w:rPr>
          <w:rtl w:val="true"/>
        </w:rPr>
        <w:t>الاطمینان لیس له ضابطة کلّیة</w:t>
      </w:r>
      <w:r>
        <w:rPr>
          <w:rtl w:val="true"/>
        </w:rPr>
        <w:t>]</w:t>
      </w:r>
      <w:bookmarkEnd w:id="346"/>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 جعل الاطمئنان میزانا لرفع الید عن الاحتیاط التعلیق علی ما لیس له ضابطة کلّیة، لأنّ الاطمئنان فی الأحکام أمر مختلف بحسب الأوقات و الأزمنة و الأمکنة و الأشخاص و الموارد و الحالات بحیث لا ینضبط غالبا، فکیف یصحّ جعله میزانا لرفع الید عن الاحتیاط؟</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باستلزامه التوقّف فی مظنون الاستحباب و مظنون الکراهة و مظنون الإباحة و عدم الفتوی بشی‌ء منها فی الفقه لعدم الحجّة علیها بالفرض و عدم قضاء الاحتیاط فعلها کما یقتضی فعل محتمل الوجوب، و لا ترکها کما یقتضی ترک </w:t>
      </w:r>
      <w:bookmarkStart w:id="347" w:name="pg12856_162598"/>
    </w:p>
    <w:p>
      <w:pPr>
        <w:pStyle w:val="BookText"/>
        <w:rPr/>
      </w:pPr>
      <w:bookmarkEnd w:id="347"/>
      <w:r>
        <w:rPr>
          <w:rFonts w:ascii="Amiri" w:hAnsi="Amiri" w:eastAsia="Amiri" w:cs="Amiri"/>
          <w:color w:val="111111"/>
          <w:sz w:val="28"/>
          <w:sz w:val="28"/>
          <w:szCs w:val="28"/>
          <w:rtl w:val="true"/>
          <w:lang w:bidi="ar-SA"/>
        </w:rPr>
        <w:t>محتمل الحرمة</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646532_3224264995"/>
      <w:bookmarkStart w:id="349" w:name="_Toc137"/>
      <w:bookmarkEnd w:id="348"/>
      <w:r>
        <w:rPr>
          <w:rtl w:val="true"/>
        </w:rPr>
        <w:t>[</w:t>
      </w:r>
      <w:r>
        <w:rPr>
          <w:rtl w:val="true"/>
        </w:rPr>
        <w:t>رفع العسر لا یستلزم بطلان العمل المعسور</w:t>
      </w:r>
      <w:r>
        <w:rPr>
          <w:rtl w:val="true"/>
        </w:rPr>
        <w:t>]</w:t>
      </w:r>
      <w:bookmarkEnd w:id="349"/>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 العمل بالاحتیاط فی ما عدا مورد العسر المفروض فی محلّ الاطمئنان لصحّة العمل به أیضا فی مورد العسر، و ذلک لأنّ رفع العسر تفضّلا لا یستلزم بطلان الأعمال المعسورة، و لأنّهم اختلفوا فی رفع العسر، فربما یقال بمنافاته للطف،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Heading5"/>
        <w:numPr>
          <w:ilvl w:val="4"/>
          <w:numId w:val="1"/>
        </w:numPr>
        <w:rPr/>
      </w:pPr>
      <w:bookmarkStart w:id="350" w:name="__RefHeading___Toc2646534_3224264995"/>
      <w:bookmarkStart w:id="351" w:name="_Toc138"/>
      <w:bookmarkEnd w:id="350"/>
      <w:r>
        <w:rPr>
          <w:rtl w:val="true"/>
        </w:rPr>
        <w:t>[</w:t>
      </w:r>
      <w:r>
        <w:rPr>
          <w:rtl w:val="true"/>
        </w:rPr>
        <w:t>الاختلاف فی نفی العسر</w:t>
      </w:r>
      <w:r>
        <w:rPr>
          <w:rtl w:val="true"/>
        </w:rPr>
        <w:t>]</w:t>
      </w:r>
      <w:bookmarkEnd w:id="351"/>
    </w:p>
    <w:p>
      <w:pPr>
        <w:pStyle w:val="BookText"/>
        <w:rPr/>
      </w:pPr>
      <w:r>
        <w:rPr>
          <w:rFonts w:ascii="IRNazanin" w:hAnsi="IRNazanin" w:eastAsia="IRNazanin"/>
          <w:color w:val="111111"/>
          <w:sz w:val="28"/>
          <w:sz w:val="28"/>
          <w:szCs w:val="28"/>
          <w:rtl w:val="true"/>
          <w:lang w:bidi="fa-IR"/>
        </w:rPr>
        <w:t>ثمّ القائلون بثبوته فی الشریعة اختلفوا فی حکومة أدلّة الأحکام الثابتة علی أدلّة رفعه کحکومتها علی أدلّة البراءة، أو حکومة أدلّة رفعه علی أدلّة الأحکام کحکومة لا ضرر علیها، أو المعارضة بینهما لیکون المرجع فی الترجیح إلی ما یقتضیه الشهرة أو غیرها من المرجّحات المختلفة باختلاف المقامات، و مع هذا الاختلاف الشدید فی معنی العسر کیف یمکن للقائل بعد الانسداد بوجوب الاحتیاط دون مطلق الظنّ تشخیص حکومة أدلّة رفعه علی أدلّة سائر الأحکام من بین سائر معانیه المختلف فیها بغیر إعمال مطلق الظنّ فی تشخیصه، و هل هو إلّا کرّ علی ما فرّ منه؟</w:t>
      </w:r>
    </w:p>
    <w:p>
      <w:pPr>
        <w:pStyle w:val="Heading5"/>
        <w:numPr>
          <w:ilvl w:val="4"/>
          <w:numId w:val="1"/>
        </w:numPr>
        <w:rPr/>
      </w:pPr>
      <w:bookmarkStart w:id="352" w:name="__RefHeading___Toc2646536_3224264995"/>
      <w:bookmarkStart w:id="353" w:name="_Toc139"/>
      <w:bookmarkEnd w:id="352"/>
      <w:r>
        <w:rPr>
          <w:rtl w:val="true"/>
        </w:rPr>
        <w:t>[</w:t>
      </w:r>
      <w:r>
        <w:rPr>
          <w:rtl w:val="true"/>
        </w:rPr>
        <w:t>الظواهر المظنون ظهورها بالاجتهاد و إعمال الظنون المطلقة فی ترجیحها بحکم الظنون المطلقة</w:t>
      </w:r>
      <w:r>
        <w:rPr>
          <w:rtl w:val="true"/>
        </w:rPr>
        <w:t>]</w:t>
      </w:r>
      <w:bookmarkEnd w:id="353"/>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الظنّ الحاصل من ظواهر الألفاظ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عن محلّ النزاع هو الظواهر الواقعیة المعلوم ظهورها، و أمّا الظواهر الظاهریة المظنون ظهورها بالاجتهاد و إعمال الظنون المطلقة فی ترجیحها علی سائر المعانی المختلف فیها فحکمها حکم الظنون المطلقة؛ لأنّ النتیجة تابعة لأخس المقدّمات</w:t>
      </w:r>
      <w:r>
        <w:rPr>
          <w:rFonts w:eastAsia="IRNazanin" w:cs="IRNazanin"/>
          <w:color w:val="111111"/>
          <w:sz w:val="28"/>
          <w:szCs w:val="28"/>
          <w:rtl w:val="true"/>
          <w:lang w:bidi="fa-IR"/>
        </w:rPr>
        <w:t>.</w:t>
      </w:r>
    </w:p>
    <w:p>
      <w:pPr>
        <w:pStyle w:val="Heading5"/>
        <w:numPr>
          <w:ilvl w:val="4"/>
          <w:numId w:val="1"/>
        </w:numPr>
        <w:rPr/>
      </w:pPr>
      <w:bookmarkStart w:id="354" w:name="__RefHeading___Toc2646538_3224264995"/>
      <w:bookmarkStart w:id="355" w:name="_Toc140"/>
      <w:bookmarkEnd w:id="354"/>
      <w:r>
        <w:rPr>
          <w:rtl w:val="true"/>
        </w:rPr>
        <w:t>[</w:t>
      </w:r>
      <w:r>
        <w:rPr>
          <w:rtl w:val="true"/>
        </w:rPr>
        <w:t>ردّ العمل بالاحتیاط عند الانسداد</w:t>
      </w:r>
      <w:r>
        <w:rPr>
          <w:rtl w:val="true"/>
        </w:rPr>
        <w:t>]</w:t>
      </w:r>
      <w:bookmarkEnd w:id="3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فالعمل بالاحتیاط دون مطلق الظنّ بعد فرض الانسداد ممّا هو خلاف الإجماع بجمیع أنحائه، بل و خلاف الضرورة و السیرة المستمرة علی الاجتهاد و الاستنباط فی تشخیص الأحکام من لدن آدم إلی یومنا هذا، بل </w:t>
      </w:r>
      <w:bookmarkStart w:id="356" w:name="pg12856_162599"/>
    </w:p>
    <w:p>
      <w:pPr>
        <w:pStyle w:val="BookText"/>
        <w:rPr/>
      </w:pPr>
      <w:bookmarkEnd w:id="356"/>
      <w:r>
        <w:rPr>
          <w:rFonts w:ascii="IRNazanin" w:hAnsi="IRNazanin" w:eastAsia="IRNazanin"/>
          <w:color w:val="111111"/>
          <w:sz w:val="28"/>
          <w:sz w:val="28"/>
          <w:szCs w:val="28"/>
          <w:rtl w:val="true"/>
          <w:lang w:bidi="fa-IR"/>
        </w:rPr>
        <w:t>و خلاف ما اعترف به الماتن أیضا فی مقدّمة بطلان الاحتیاط من مقدّمات الانسداد من ذکره الإجماعات المنقولة و المحصّلة و السیرة و الضرورة</w:t>
      </w:r>
      <w:r>
        <w:rPr>
          <w:rStyle w:val="FootnoteAnchor"/>
          <w:rtl w:val="true"/>
        </w:rPr>
        <w:footnoteReference w:id="118"/>
      </w:r>
      <w:r>
        <w:rPr>
          <w:rFonts w:ascii="IRNazanin" w:hAnsi="IRNazanin" w:eastAsia="IRNazanin"/>
          <w:color w:val="111111"/>
          <w:sz w:val="28"/>
          <w:sz w:val="28"/>
          <w:szCs w:val="28"/>
          <w:rtl w:val="true"/>
          <w:lang w:bidi="fa-IR"/>
        </w:rPr>
        <w:t>علی بطلان الاحتیاط بعد فرض الانسداد، کما لا یخفی علی المتتبع الخبیر أیضا فی ما نبّهنا علیه سابقا ممّا قبل مقدّمات الانسداد من سائر الأدلّة العقلیة علی حجّیة مطلق الظنّ عند تعرض المصنف لردّها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جملة من النقوض الإجمالیة لبطلان الاحتیاط بعد فرض الانسداد</w:t>
      </w:r>
      <w:r>
        <w:rPr>
          <w:rFonts w:eastAsia="IRNazanin" w:cs="IRNazanin"/>
          <w:color w:val="111111"/>
          <w:sz w:val="28"/>
          <w:szCs w:val="28"/>
          <w:rtl w:val="true"/>
          <w:lang w:bidi="fa-IR"/>
        </w:rPr>
        <w:t>.</w:t>
      </w:r>
    </w:p>
    <w:p>
      <w:pPr>
        <w:pStyle w:val="Heading5"/>
        <w:numPr>
          <w:ilvl w:val="4"/>
          <w:numId w:val="1"/>
        </w:numPr>
        <w:rPr/>
      </w:pPr>
      <w:bookmarkStart w:id="357" w:name="__RefHeading___Toc2646540_3224264995"/>
      <w:bookmarkStart w:id="358" w:name="_Toc141"/>
      <w:bookmarkEnd w:id="357"/>
      <w:r>
        <w:rPr>
          <w:rtl w:val="true"/>
        </w:rPr>
        <w:t>[</w:t>
      </w:r>
      <w:r>
        <w:rPr>
          <w:rtl w:val="true"/>
        </w:rPr>
        <w:t>الردّ علی الماتن فی إمکان الاحتیاط و کثرة حصول الاطمینان فی الامارات و غیر ذلک</w:t>
      </w:r>
      <w:r>
        <w:rPr>
          <w:rtl w:val="true"/>
        </w:rPr>
        <w:t>]</w:t>
      </w:r>
      <w:bookmarkEnd w:id="358"/>
    </w:p>
    <w:p>
      <w:pPr>
        <w:pStyle w:val="BookText"/>
        <w:rPr/>
      </w:pPr>
      <w:r>
        <w:rPr>
          <w:rFonts w:ascii="IRNazanin" w:hAnsi="IRNazanin" w:eastAsia="IRNazanin"/>
          <w:color w:val="111111"/>
          <w:sz w:val="28"/>
          <w:sz w:val="28"/>
          <w:szCs w:val="28"/>
          <w:rtl w:val="true"/>
          <w:lang w:bidi="fa-IR"/>
        </w:rPr>
        <w:t>و أمّا التفصیل و الحلّ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ادّعاه الماتن قدّس سرّه من إمکان الاحتیاط و عدم استلزامه العسر و سهولة حصول الاطمئنان، و کثرة حصوله فی الأمارات و علّیة العسر لرفع الید عن الاحتیاط، لیدور مدار وجوده دون کونه حکمة لیعمّ، فإنّ هذه المقدّمات کلّها ممنوعة جدّا،</w:t>
      </w:r>
    </w:p>
    <w:p>
      <w:pPr>
        <w:pStyle w:val="Heading5"/>
        <w:numPr>
          <w:ilvl w:val="4"/>
          <w:numId w:val="1"/>
        </w:numPr>
        <w:rPr/>
      </w:pPr>
      <w:bookmarkStart w:id="359" w:name="__RefHeading___Toc2646542_3224264995"/>
      <w:bookmarkStart w:id="360" w:name="_Toc142"/>
      <w:bookmarkEnd w:id="359"/>
      <w:r>
        <w:rPr>
          <w:rtl w:val="true"/>
        </w:rPr>
        <w:t>[</w:t>
      </w:r>
      <w:r>
        <w:rPr>
          <w:rtl w:val="true"/>
        </w:rPr>
        <w:t>انحصار القول فی الشبهة المحصورة فی الاحتیاط المطلق و البراءة المطلقة أو فی ما عدا مقدار الحرام و القرعة</w:t>
      </w:r>
      <w:r>
        <w:rPr>
          <w:rtl w:val="true"/>
        </w:rPr>
        <w:t>]</w:t>
      </w:r>
      <w:bookmarkEnd w:id="360"/>
    </w:p>
    <w:p>
      <w:pPr>
        <w:pStyle w:val="BookText"/>
        <w:rPr/>
      </w:pPr>
      <w:r>
        <w:rPr>
          <w:rFonts w:ascii="IRNazanin" w:hAnsi="IRNazanin" w:eastAsia="IRNazanin"/>
          <w:color w:val="111111"/>
          <w:sz w:val="28"/>
          <w:sz w:val="28"/>
          <w:szCs w:val="28"/>
          <w:rtl w:val="true"/>
          <w:lang w:bidi="fa-IR"/>
        </w:rPr>
        <w:t>ثمّ تمثیله ما نحن فیه من العلم الإجمالی فی الأحکام بمسألة القطیع من غنم مشتبهة</w:t>
      </w:r>
      <w:r>
        <w:rPr>
          <w:rStyle w:val="FootnoteAnchor"/>
          <w:rtl w:val="true"/>
        </w:rPr>
        <w:footnoteReference w:id="119"/>
      </w:r>
      <w:r>
        <w:rPr>
          <w:rFonts w:ascii="IRNazanin" w:hAnsi="IRNazanin" w:eastAsia="IRNazanin"/>
          <w:color w:val="111111"/>
          <w:sz w:val="28"/>
          <w:sz w:val="28"/>
          <w:szCs w:val="28"/>
          <w:rtl w:val="true"/>
          <w:lang w:bidi="fa-IR"/>
        </w:rPr>
        <w:t>تمثیل بما لا یطابق الممثل فی الحکم، لأنّ الممثل من الشبهات الحکمیة و المثال من الشبهات الموضوعیة، و الشبهة المحصورة و هما مختلفان فی الحکم، لوضوح أنّ الأقوال فی حکم الشبهة المحصورة محصورة فی الاحتیاط المطلق و البراءة المطلقة، و البراءة فی ما عدا مقدار الحرام و القرعة، و أمّا العمل بمطلق الظنّ فیها أو الظنّ الاطمئنانی فلم یعهد الفتوی به من أحد من السلف و لا من الخلف،</w:t>
      </w:r>
    </w:p>
    <w:p>
      <w:pPr>
        <w:pStyle w:val="Heading5"/>
        <w:numPr>
          <w:ilvl w:val="4"/>
          <w:numId w:val="1"/>
        </w:numPr>
        <w:rPr/>
      </w:pPr>
      <w:bookmarkStart w:id="361" w:name="__RefHeading___Toc2646544_3224264995"/>
      <w:bookmarkStart w:id="362" w:name="_Toc143"/>
      <w:bookmarkEnd w:id="361"/>
      <w:r>
        <w:rPr>
          <w:rtl w:val="true"/>
        </w:rPr>
        <w:t>[</w:t>
      </w:r>
      <w:r>
        <w:rPr>
          <w:rtl w:val="true"/>
        </w:rPr>
        <w:t>الجاهل بالموضوع معذور فی ما لا یعذر فیه الجاهل بالحکم</w:t>
      </w:r>
      <w:r>
        <w:rPr>
          <w:rtl w:val="true"/>
        </w:rPr>
        <w:t>]</w:t>
      </w:r>
      <w:bookmarkEnd w:id="3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سرّ الفرق هو اغتفار الشارع فی الشبهات الموضوعیة ما لا یغتفره فی الشبهات الحکمیة، من تخلّف الواقع و رفع الید عنه، و لهذا کان الجاهل بالموضوع معذورا فی ما لا یعذر فیه الجاهل بالحکم، فتبیّن أنّ تمثیل الماتن قدّس سرّه ما نحن فیه بمسألة القطیع تمثیل بما لا یطابق الممثل فی الحکم، اللّهمّ إلّا أن یراد منه مجرد التنظیر فی الموضوع لا فی </w:t>
      </w:r>
      <w:bookmarkStart w:id="363" w:name="pg12856_162600"/>
    </w:p>
    <w:p>
      <w:pPr>
        <w:pStyle w:val="BookText"/>
        <w:rPr/>
      </w:pPr>
      <w:bookmarkEnd w:id="363"/>
      <w:r>
        <w:rPr>
          <w:rFonts w:ascii="IRNazanin" w:hAnsi="IRNazanin" w:eastAsia="IRNazanin"/>
          <w:color w:val="111111"/>
          <w:sz w:val="28"/>
          <w:sz w:val="28"/>
          <w:szCs w:val="28"/>
          <w:rtl w:val="true"/>
          <w:lang w:bidi="fa-IR"/>
        </w:rPr>
        <w:t>الحکم، و مجرد التصویر للأقسام لا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یتسامح فی غیر الروایات بما لا یتسامح فیها</w:t>
      </w:r>
      <w:r>
        <w:rPr>
          <w:rFonts w:eastAsia="IRNazanin" w:cs="IRNazanin"/>
          <w:color w:val="111111"/>
          <w:sz w:val="28"/>
          <w:szCs w:val="28"/>
          <w:rtl w:val="true"/>
          <w:lang w:bidi="fa-IR"/>
        </w:rPr>
        <w:t>».</w:t>
      </w:r>
    </w:p>
    <w:p>
      <w:pPr>
        <w:pStyle w:val="Heading5"/>
        <w:numPr>
          <w:ilvl w:val="4"/>
          <w:numId w:val="1"/>
        </w:numPr>
        <w:rPr/>
      </w:pPr>
      <w:bookmarkStart w:id="364" w:name="__RefHeading___Toc2646546_3224264995"/>
      <w:bookmarkStart w:id="365" w:name="_Toc144"/>
      <w:bookmarkEnd w:id="364"/>
      <w:r>
        <w:rPr>
          <w:rtl w:val="true"/>
        </w:rPr>
        <w:t>[</w:t>
      </w:r>
      <w:r>
        <w:rPr>
          <w:rtl w:val="true"/>
        </w:rPr>
        <w:t>وجوه عدم التسامح فی الروایات بما یتسامح فی غیرها</w:t>
      </w:r>
      <w:r>
        <w:rPr>
          <w:rtl w:val="true"/>
        </w:rPr>
        <w:t>]</w:t>
      </w:r>
      <w:bookmarkEnd w:id="3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من جهة أن مقصودهم من تدوین الروایات تأسیس أساس الدین و حفظ آثار الأنبیاء و مواریثهم، لنصّه علیه السّلام فی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هؤلاء لاندرست آثار النبوة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جهة حثّ الأئمة و ترغیبهم فی اتقانها و حفظها و التحفّظ علیها من الخطأ و الخلل، و الأمر بکتبها و بثّها و 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خوف المسامح فیها من الوقوع فی الکذب علی اللّه و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بروز خطائه فی الإیمان بین الأعیان و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شدّة اهتمامهم و إجماعهم و اجتماعهم و توفّر دواعیهم علی الحفظ و التحفّظ من الخطأ و الخلل فی صدورها مع کثرتهم بمقدار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محدّث صحابی للصادق علیه السّلام وحده، مع توثیق ألف منهم و تصحیح أربعمائة أصل و کتاب معتمد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وجوه کثرة الوثوق و الاطمئنان بجهة صدورها بما زعمه الأخباریة من وجوه القطع بصدورها فضلا عن الظنّ الاطمئنانی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مرّ تضعیفه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366" w:name="__RefHeading___Toc2646548_3224264995"/>
      <w:bookmarkStart w:id="367" w:name="_Toc145"/>
      <w:bookmarkEnd w:id="366"/>
      <w:r>
        <w:rPr>
          <w:rtl w:val="true"/>
        </w:rPr>
        <w:t>[</w:t>
      </w:r>
      <w:r>
        <w:rPr>
          <w:rtl w:val="true"/>
        </w:rPr>
        <w:t>احتمال استناد العلم الإجمالی بالتکلیف إلی العلم الإجمالی فی حجّیة الأمارات</w:t>
      </w:r>
      <w:r>
        <w:rPr>
          <w:rtl w:val="true"/>
        </w:rPr>
        <w:t>]</w:t>
      </w:r>
      <w:bookmarkEnd w:id="3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ثبوت العلم الإجمالی بالتکلیف الإلزامی قبل استقصاء الأمارات و قبل الاطّلاع علیها لا ینافی استناده فی الواقع إلی العلم الإجمالی فی حجّیة الأمارات و الشکّ فیها، کما أنّ ثبوت الشکّ فی صحّة الصلاة </w:t>
      </w:r>
      <w:bookmarkStart w:id="368" w:name="pg12856_162601"/>
    </w:p>
    <w:p>
      <w:pPr>
        <w:pStyle w:val="BookText"/>
        <w:rPr/>
      </w:pPr>
      <w:bookmarkEnd w:id="368"/>
      <w:r>
        <w:rPr>
          <w:rFonts w:ascii="IRNazanin" w:hAnsi="IRNazanin" w:eastAsia="IRNazanin"/>
          <w:color w:val="111111"/>
          <w:sz w:val="28"/>
          <w:sz w:val="28"/>
          <w:szCs w:val="28"/>
          <w:rtl w:val="true"/>
          <w:lang w:bidi="fa-IR"/>
        </w:rPr>
        <w:t>قبل ملاحظة صحّة الوضوء لا ینافی استناده فی الواقع إلی الشکّ فی صحّة الوضوء و کونه مسبّبا عنه، و عدم کونه شکّا مستقلّا وراء ذلک الشکّ، بل تابعا له وجودا و عدما بحیث یزول بزواله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ثبوت العلم الإجمالی بالتکلیف الإلزامی و بقاء الشکّ فی التکلیف مع فرض انتفاء العلم الإجمالی و الشکّ فی حجّیة الأمارات کان شاهد صدق علی عدم استناده إلیه، و کون کلّ من الشکّین شکّا مستقلّا غیر ناشئ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دعوی اختصاص المعلوم إجمالا من مخالفة الظواهر بمورد الأمارات مضعّفة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69" w:name="__RefHeading___Toc2646550_3224264995"/>
      <w:bookmarkStart w:id="370" w:name="_Toc146"/>
      <w:bookmarkEnd w:id="369"/>
      <w:r>
        <w:rPr>
          <w:rtl w:val="true"/>
        </w:rPr>
        <w:t>[</w:t>
      </w:r>
      <w:r>
        <w:rPr>
          <w:rtl w:val="true"/>
        </w:rPr>
        <w:t>الجواب عن دعوی اختصاص المعلوم إجمالا من مخالفة الظواهر بمورد الأمارات، و مناقشة جواب الماتن</w:t>
      </w:r>
      <w:r>
        <w:rPr>
          <w:rtl w:val="true"/>
        </w:rPr>
        <w:t>]</w:t>
      </w:r>
      <w:bookmarkEnd w:id="3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تقریب هذه الدعوی، أعنی دعوی الاختصاص فبأن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بمخالفات الظواهر علم فی الجملة منتزع عما بأیدینا من مواردها بحیث یرتفع ذلک العلم بعد الفحص عن تلک الموارد فضلا عن ارتفاع أثره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ضعفها فبأن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ارتفاع العلم الإجمالی بمخالفات الظواهر بعد الفحص عن موارد الظواهر لا یثبت حجّیة تلک الظواهر إلّا علی القول بحجّیة الأمارات المخالفة للظواهر، أعنی المقیّدة و المخصّصة لها من باب الظنّ الخاصّ أو الظنّ المطلق بتقریر الکشف، و أمّا علی تقدیر الحکومة المفروض عدم قضائها الحجّیة فلا یثبت الحجّیة، ضرورة أنّ ظهور اللفظ فی التخصیص أو التقیید أو التعمیم لا یثبت حجّیة ذلک الظهور، إلّا بعد ثبوت حجّیة ذلک المخصّص أو المقید أو المعمّم له، و المفروض علی تقدیر الحکومة عدم ثبوته بعد، و النتیجة تابعة لأخسّ المقدّمات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الجواب عن إجمال الظواهر بإطلاق ارتفاع الإجمال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أجاب به المصنف فی ما سبق و فی ما سیأتی کغیر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bookmarkStart w:id="371" w:name="pg12856_162602"/>
    </w:p>
    <w:p>
      <w:pPr>
        <w:pStyle w:val="BookText"/>
        <w:rPr/>
      </w:pPr>
      <w:bookmarkEnd w:id="371"/>
      <w:r>
        <w:rPr>
          <w:rFonts w:ascii="IRNazanin" w:hAnsi="IRNazanin" w:eastAsia="IRNazanin"/>
          <w:color w:val="111111"/>
          <w:sz w:val="28"/>
          <w:sz w:val="28"/>
          <w:szCs w:val="28"/>
          <w:rtl w:val="true"/>
          <w:lang w:bidi="fa-IR"/>
        </w:rPr>
        <w:t>علی ما ینبغی، لما عرفت من ابتنائه علی تقدیر حجّیة الظنّ بالخصوص، أو علی تقدیر حجّیة مطلق الظنّ من باب الکشف، لا الحکومة التی ارتضاها الماتن</w:t>
      </w:r>
      <w:r>
        <w:rPr>
          <w:rStyle w:val="FootnoteAnchor"/>
          <w:rtl w:val="true"/>
        </w:rPr>
        <w:footnoteReference w:id="121"/>
      </w:r>
      <w:r>
        <w:rPr>
          <w:rFonts w:ascii="IRNazanin" w:hAnsi="IRNazanin" w:eastAsia="IRNazanin"/>
          <w:color w:val="111111"/>
          <w:sz w:val="28"/>
          <w:sz w:val="28"/>
          <w:szCs w:val="28"/>
          <w:rtl w:val="true"/>
          <w:lang w:bidi="fa-IR"/>
        </w:rPr>
        <w:t>، فإطلاق الجواب مع عدم نهوضه إلی بعض المذاهب لیس فی محلّه، سیما إذا کان ذلک المذهب الغیر الناهض إلیه الجواب هو مذهب المجیب المطلق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فیقضی به تقدیر الکشف</w:t>
      </w:r>
      <w:r>
        <w:rPr>
          <w:rFonts w:eastAsia="IRNazanin" w:cs="IRNazanin"/>
          <w:color w:val="111111"/>
          <w:sz w:val="28"/>
          <w:szCs w:val="28"/>
          <w:rtl w:val="true"/>
          <w:lang w:bidi="fa-IR"/>
        </w:rPr>
        <w:t>».</w:t>
      </w:r>
    </w:p>
    <w:p>
      <w:pPr>
        <w:pStyle w:val="Heading5"/>
        <w:numPr>
          <w:ilvl w:val="4"/>
          <w:numId w:val="1"/>
        </w:numPr>
        <w:rPr/>
      </w:pPr>
      <w:bookmarkStart w:id="372" w:name="__RefHeading___Toc2646552_3224264995"/>
      <w:bookmarkStart w:id="373" w:name="_Toc147"/>
      <w:bookmarkEnd w:id="372"/>
      <w:r>
        <w:rPr>
          <w:rtl w:val="true"/>
        </w:rPr>
        <w:t>[</w:t>
      </w:r>
      <w:r>
        <w:rPr>
          <w:rtl w:val="true"/>
        </w:rPr>
        <w:t>تقریر الکشف لا یقضی بحجّیة الظنّ فی الاصول</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آنفا من عدم قضاء تقدیر الکشف بالظنّ فی اصول الفقه، إلّا بفرض انسداد شخصی فی مورده وراء ذلک الانسداد الکلّی، اللّهمّ إلّا أن یوجّه قضاؤه بتقیید عدم قضائه الظنّ فی الاصول بصورة ما إذا لم یستلزم الظنّ فی الاصول الظنّ بالواقع فی الفروع، و تقیید ما نحن فیه بما یستلزمه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فیشکل خروج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74" w:name="__RefHeading___Toc2646554_3224264995"/>
      <w:bookmarkStart w:id="375" w:name="_Toc148"/>
      <w:bookmarkEnd w:id="374"/>
      <w:r>
        <w:rPr>
          <w:rtl w:val="true"/>
        </w:rPr>
        <w:t>[</w:t>
      </w:r>
      <w:r>
        <w:rPr>
          <w:rtl w:val="true"/>
        </w:rPr>
        <w:t>اشکال خروج القیاس علی تقریر الحکومة</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من تقریرک الحکومة حجّیة الظنّ حتی یشکل فی خروج القیاس و إنّما لزم تبعیض الاحتیاط و رفع الید عنه فی موارد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من اعتبار الظنّ عقلا بعد الانسداد و لو علی وجه الإناطة 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إشکال خروج الظنّ القیاسی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ضروری البطلان فی المذهب</w:t>
      </w:r>
      <w:r>
        <w:rPr>
          <w:rFonts w:eastAsia="IRNazanin" w:cs="IRNazanin"/>
          <w:color w:val="111111"/>
          <w:sz w:val="28"/>
          <w:szCs w:val="28"/>
          <w:rtl w:val="true"/>
          <w:lang w:bidi="fa-IR"/>
        </w:rPr>
        <w:t>».</w:t>
      </w:r>
    </w:p>
    <w:p>
      <w:pPr>
        <w:pStyle w:val="Heading5"/>
        <w:numPr>
          <w:ilvl w:val="4"/>
          <w:numId w:val="1"/>
        </w:numPr>
        <w:rPr/>
      </w:pPr>
      <w:bookmarkStart w:id="376" w:name="__RefHeading___Toc2646556_3224264995"/>
      <w:bookmarkStart w:id="377" w:name="_Toc149"/>
      <w:bookmarkEnd w:id="376"/>
      <w:r>
        <w:rPr>
          <w:rtl w:val="true"/>
        </w:rPr>
        <w:t>[</w:t>
      </w:r>
      <w:r>
        <w:rPr>
          <w:rtl w:val="true"/>
        </w:rPr>
        <w:t>بطلان القیاس فی قبال الخبر الصحیح لا مطلقا</w:t>
      </w:r>
      <w:r>
        <w:rPr>
          <w:rtl w:val="true"/>
        </w:rPr>
        <w:t>]</w:t>
      </w:r>
      <w:bookmarkEnd w:id="3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بطلانه منع قویّ فضلا عن کونه ضروری البطلان؛ لأنّ بطلان العمل بالقیاس المفید للظنّ فی مقابل الخبر الصحیح إنّما هو بالنظر إلی ذات الخبر الصحیح، مع الغضّ عن وهنه بعدم إفادة ما عدا الوهم فی مقابل الظنّ القیاسی المفروض، إمّا من جهة قصور فی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کأخبار النهی عن التفسیر بالرأی</w:t>
      </w:r>
      <w:r>
        <w:rPr>
          <w:rStyle w:val="FootnoteAnchor"/>
          <w:rtl w:val="true"/>
        </w:rPr>
        <w:footnoteReference w:id="122"/>
      </w:r>
      <w:r>
        <w:rPr>
          <w:rFonts w:ascii="IRNazanin" w:hAnsi="IRNazanin" w:eastAsia="IRNazanin"/>
          <w:color w:val="111111"/>
          <w:sz w:val="28"/>
          <w:sz w:val="28"/>
          <w:szCs w:val="28"/>
          <w:rtl w:val="true"/>
          <w:lang w:bidi="fa-IR"/>
        </w:rPr>
        <w:t xml:space="preserve">حیث إنّها مسوقة بقرینة المورد إلی منع المخالفین من التفسیر بالرأی، لا </w:t>
      </w:r>
      <w:bookmarkStart w:id="378" w:name="pg12856_162603"/>
    </w:p>
    <w:p>
      <w:pPr>
        <w:pStyle w:val="BookText"/>
        <w:rPr/>
      </w:pPr>
      <w:bookmarkEnd w:id="378"/>
      <w:r>
        <w:rPr>
          <w:rFonts w:ascii="IRNazanin" w:hAnsi="IRNazanin" w:eastAsia="IRNazanin"/>
          <w:color w:val="111111"/>
          <w:sz w:val="28"/>
          <w:sz w:val="28"/>
          <w:szCs w:val="28"/>
          <w:rtl w:val="true"/>
          <w:lang w:bidi="fa-IR"/>
        </w:rPr>
        <w:t>المؤالفین من التفسیر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جهة قصور فی جهة صدوره و إن صحّ صدوره، کأخبار سهو النبی</w:t>
      </w:r>
      <w:r>
        <w:rPr>
          <w:rStyle w:val="FootnoteAnchor"/>
          <w:rtl w:val="true"/>
        </w:rPr>
        <w:footnoteReference w:id="123"/>
      </w:r>
      <w:r>
        <w:rPr>
          <w:rFonts w:ascii="IRNazanin" w:hAnsi="IRNazanin" w:eastAsia="IRNazanin"/>
          <w:color w:val="111111"/>
          <w:sz w:val="28"/>
          <w:sz w:val="28"/>
          <w:szCs w:val="28"/>
          <w:rtl w:val="true"/>
          <w:lang w:bidi="fa-IR"/>
        </w:rPr>
        <w:t>، و جواز الدفّ و اجرة المغنّیة فی العرائس</w:t>
      </w:r>
      <w:r>
        <w:rPr>
          <w:rStyle w:val="FootnoteAnchor"/>
          <w:rtl w:val="true"/>
        </w:rPr>
        <w:footnoteReference w:id="124"/>
      </w:r>
      <w:r>
        <w:rPr>
          <w:rFonts w:ascii="IRNazanin" w:hAnsi="IRNazanin" w:eastAsia="IRNazanin"/>
          <w:color w:val="111111"/>
          <w:sz w:val="28"/>
          <w:sz w:val="28"/>
          <w:szCs w:val="28"/>
          <w:rtl w:val="true"/>
          <w:lang w:bidi="fa-IR"/>
        </w:rPr>
        <w:t>، فإنّها کلما ازدادت صحّة زادت وهنا بحیث یکون العمل بها و إن کانت صحیحة و صریحة فی مقابل الظنّ بخلافها و إن کان قیاسا، ضروری البطلان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فی الحکم بین ما یتراءی 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الجمع بین المختلفات فکنزح الثلاث دلاء لموت الفأرة و الحیّة، مع اختلاف المیتة منهما من حیث الطهارة و النجاسة، و السبع لارتماس الکلب و الجنب مع اختلافهما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تفریق ما یتخیّل متؤالفة فکنزح السبعین لموت الإنسان و الکرّ لموت الحمار، و نزح الجمیع للمنی، و العشر للعذرة، و الأربعین للهرّة، و العشر للشاة، و السبع للفأرة و الدلو للعصفور، و قضاء الحائض الصوم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نتیجة المقدّمات المذکورة لا تتغیّر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79" w:name="__RefHeading___Toc2646558_3224264995"/>
      <w:bookmarkStart w:id="380" w:name="_Toc150"/>
      <w:bookmarkEnd w:id="379"/>
      <w:r>
        <w:rPr>
          <w:rtl w:val="true"/>
        </w:rPr>
        <w:t>[</w:t>
      </w:r>
      <w:r>
        <w:rPr>
          <w:rtl w:val="true"/>
        </w:rPr>
        <w:t>توجیه من القوانین لخروج القیاس من نتیجة دلیل الانسداد</w:t>
      </w:r>
      <w:r>
        <w:rPr>
          <w:rtl w:val="true"/>
        </w:rPr>
        <w:t>]</w:t>
      </w:r>
      <w:bookmarkEnd w:id="38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توجیه هذا الوجه فی خروج القیاس الذی ذکره القوانین فی غیر موضع منه</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للعقل فی إثبات حجّیة الظنّ بعد الانسداد نظرتین و لحاظین، فبالنظر إلی ردّ العمل بالاحتیاط أو التقلید أو القرعة مثلا بعد فرض الانسداد ینتج حجّیة الظنّ علی وجه الإهمال و الإجمال، لورود حکمه بهذا النظر و اللحاظ مورد بیان حکم آخر، و هو ردّ العمل بعد الانسداد بالاحتیاط أو القرعة مثلا، و بالنظر إلی ملاحظة أسباب الظنّ و اتحادها فی الطریقیة و الإیصال إلی الواقع ینتج حجّیة الظنّ علی وجه العموم و الإطلاق، و خروج القیاس إنّما هو من </w:t>
      </w:r>
      <w:bookmarkStart w:id="381" w:name="pg12856_162604"/>
    </w:p>
    <w:p>
      <w:pPr>
        <w:pStyle w:val="BookText"/>
        <w:rPr/>
      </w:pPr>
      <w:bookmarkEnd w:id="381"/>
      <w:r>
        <w:rPr>
          <w:rFonts w:ascii="IRNazanin" w:hAnsi="IRNazanin" w:eastAsia="IRNazanin"/>
          <w:color w:val="111111"/>
          <w:sz w:val="28"/>
          <w:sz w:val="28"/>
          <w:szCs w:val="28"/>
          <w:rtl w:val="true"/>
          <w:lang w:bidi="fa-IR"/>
        </w:rPr>
        <w:t>مورد إهمال النتیجة فیکون من باب التخصّص لا مورد تفصیلها حتی یلزم التخصیص فکأنّه سئل العقل بعد الانسداد أولا عن العمل بالاحتیاط أو التقلید أو القرعة فأجاب عن ذلک السؤال بعدم جواز العمل بما عدا الظنّ من الاحتیاط و التقلید و القرعة، علی وجه الإهمال و الإجمال عن مطلق الظنّ، أو خصوص ظنّ دون ظنّ،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العمل بمطلق الظنّ أو العمل ببعض الظنون دون بعض فأجاب عن هذا السؤال بلزوم العمل بمطلق الظنّ، لاتحادها فی الطریقیة و الوصول إلی الواقع، فالنتیجة فی المرحلة الأولی مهملة کتقریر الکشف، و فی المرحلة الثانیة مطلقة و معمّمة کتقریر الحکومة، و خروج القیاس عن حکم حجّیة الظنّ إنّما هو فی المرحلة الاولی فهو من باب التخصّص لا فی المرحلة الثانیة حتی یلزم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القیاس مستثنی من الأدلّة الظنّیة، لا أنّ الظنّ القیاسی مستثنی من مطلق الظنّ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المراد من الاستثناء هنا إخراج ما لولاه لکان قابلا للدخول لا داخلا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الوجه یتوجه خروج القیاس</w:t>
      </w:r>
      <w:r>
        <w:rPr>
          <w:rFonts w:eastAsia="IRNazanin" w:cs="IRNazanin"/>
          <w:color w:val="111111"/>
          <w:sz w:val="28"/>
          <w:szCs w:val="28"/>
          <w:rtl w:val="true"/>
          <w:lang w:bidi="fa-IR"/>
        </w:rPr>
        <w:t>.</w:t>
      </w:r>
    </w:p>
    <w:p>
      <w:pPr>
        <w:pStyle w:val="Heading5"/>
        <w:numPr>
          <w:ilvl w:val="4"/>
          <w:numId w:val="1"/>
        </w:numPr>
        <w:rPr/>
      </w:pPr>
      <w:bookmarkStart w:id="382" w:name="__RefHeading___Toc2646560_3224264995"/>
      <w:bookmarkStart w:id="383" w:name="_Toc151"/>
      <w:bookmarkEnd w:id="382"/>
      <w:r>
        <w:rPr>
          <w:rtl w:val="true"/>
        </w:rPr>
        <w:t>[</w:t>
      </w:r>
      <w:r>
        <w:rPr>
          <w:rtl w:val="true"/>
        </w:rPr>
        <w:t>دفاع عن القوانین</w:t>
      </w:r>
      <w:r>
        <w:rPr>
          <w:rtl w:val="true"/>
        </w:rPr>
        <w:t>]</w:t>
      </w:r>
      <w:bookmarkEnd w:id="38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عنه ما أورد علیه الماتن و غیره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هذا مجرد تغییر عبارة، و أنّ نتیجة المقدّمات المذکورة لا تتغیر بتقریرها علی وجه دون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لأنّ تعبیره عن نتیجة دلیل الانسداد فی المرحلة الاولی بأسباب الظنّ و أدلّته دون نفس الظنّ کنایة عن إهمال النتیجة، نظرا إلی أنّ الأنسب إنّما هو الإهمال فی الأسباب الشأنیة لإفادة الظنّ دون نفس الظنون الفعلیة، فإنّ الأنسب فیها هو التعمیم و الإطلاق، نظرا إلی اختلاف موادّ الأسباب الشأنیة للظنّ المحتملة لتطرّق المانع من فعلیتها و إمکان اختلاف حکمها و اتحاد أفراد الظنون الفعلیة من حیثیة </w:t>
      </w:r>
      <w:bookmarkStart w:id="384" w:name="pg12856_162605"/>
    </w:p>
    <w:p>
      <w:pPr>
        <w:pStyle w:val="BookText"/>
        <w:rPr/>
      </w:pPr>
      <w:bookmarkEnd w:id="384"/>
      <w:r>
        <w:rPr>
          <w:rFonts w:ascii="IRNazanin" w:hAnsi="IRNazanin" w:eastAsia="IRNazanin"/>
          <w:color w:val="111111"/>
          <w:sz w:val="28"/>
          <w:sz w:val="28"/>
          <w:szCs w:val="28"/>
          <w:rtl w:val="true"/>
          <w:lang w:bidi="fa-IR"/>
        </w:rPr>
        <w:t>المواد و الخواصّ فلا یمکن اختلاف حکمها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یندفع أیضا ما یزعم من التناقض فی کلمات صاحب القوانین المذکورة لتوجیه خروج القیاس، حیث إنّ الظاهر من بعضها الانطباق علی تقریر الکشف، و من بعضها الآخر الانطباق علی تقدیر الحکومة</w:t>
      </w:r>
      <w:r>
        <w:rPr>
          <w:rFonts w:eastAsia="IRNazanin" w:cs="IRNazanin"/>
          <w:color w:val="111111"/>
          <w:sz w:val="28"/>
          <w:szCs w:val="28"/>
          <w:rtl w:val="true"/>
          <w:lang w:bidi="fa-IR"/>
        </w:rPr>
        <w:t>.</w:t>
      </w:r>
    </w:p>
    <w:p>
      <w:pPr>
        <w:pStyle w:val="Heading5"/>
        <w:numPr>
          <w:ilvl w:val="4"/>
          <w:numId w:val="1"/>
        </w:numPr>
        <w:rPr/>
      </w:pPr>
      <w:bookmarkStart w:id="385" w:name="__RefHeading___Toc2646562_3224264995"/>
      <w:bookmarkStart w:id="386" w:name="_Toc152"/>
      <w:bookmarkEnd w:id="385"/>
      <w:r>
        <w:rPr>
          <w:rtl w:val="true"/>
        </w:rPr>
        <w:t>[</w:t>
      </w:r>
      <w:r>
        <w:rPr>
          <w:rtl w:val="true"/>
        </w:rPr>
        <w:t>الوجوه المحتملة فی استثناء القیاس عن الأدلّة</w:t>
      </w:r>
      <w:r>
        <w:rPr>
          <w:rtl w:val="true"/>
        </w:rPr>
        <w:t>]</w:t>
      </w:r>
      <w:bookmarkEnd w:id="38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خصوصیة القیاس من بین سائر الأمارات هی غلبة مخالفتها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علیه استاذنا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برجوعه إلی الوجه الثانی من وجوه خروج القیاس، بل و إلی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منع کون خصوصیة القیاس هی غلبة مخالفة الواقع، لاحتمال أن تکون الخصوصیة هی التمیّز بین أهل الوفاق و الخلاف، أو مبغوضیة التشبّه بالمخالفین فی المسلک، أو من جهة عدم حصول الظنّ العادی من إعمال القیاس فی الموارد المتضمنة للنصوص الخاصّة، و من جهة حکمة الاطّراد فی سائر الموارد الخالیة عن نص خاصّ تسهیلا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یندفع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خصوصیة القیاس و إن لم ینحصر عقلا فی غلبة مخالفته الواقع إلّا أنّ تعلیلات حرمة العمل به إنّما تنطبق علی غلبة مخالفة الواقع دون غیرها من الجهات المذکورة</w:t>
      </w:r>
      <w:r>
        <w:rPr>
          <w:rFonts w:eastAsia="IRNazanin" w:cs="IRNazanin"/>
          <w:color w:val="111111"/>
          <w:sz w:val="28"/>
          <w:szCs w:val="28"/>
          <w:rtl w:val="true"/>
          <w:lang w:bidi="fa-IR"/>
        </w:rPr>
        <w:t>.</w:t>
      </w:r>
    </w:p>
    <w:p>
      <w:pPr>
        <w:pStyle w:val="Heading5"/>
        <w:numPr>
          <w:ilvl w:val="4"/>
          <w:numId w:val="1"/>
        </w:numPr>
        <w:rPr/>
      </w:pPr>
      <w:bookmarkStart w:id="387" w:name="__RefHeading___Toc2646564_3224264995"/>
      <w:bookmarkStart w:id="388" w:name="_Toc153"/>
      <w:bookmarkEnd w:id="387"/>
      <w:r>
        <w:rPr>
          <w:rtl w:val="true"/>
        </w:rPr>
        <w:t>[</w:t>
      </w:r>
      <w:r>
        <w:rPr>
          <w:rtl w:val="true"/>
        </w:rPr>
        <w:t>افتراق الظنّ بعد الانسداد عن العلم</w:t>
      </w:r>
      <w:r>
        <w:rPr>
          <w:rtl w:val="true"/>
        </w:rPr>
        <w:t>]</w:t>
      </w:r>
      <w:bookmarkEnd w:id="388"/>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الظنّ بعد الانسداد قائم مقام العلم و حکمه حکم العلم، و من جملة أحکام العلم عدم جواز تکلیف العالم بترک علمه و الأخذ بغیر علمه، فکذا الظانّ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بإبداء الفارق و منع کون الظنّ کالعلم، و ذلک لأنّ الظانّ ما لم یبلغ ظنّه مرتبة العلم یحتمل مخالفة ظنّه للواقع فیهون علیه التکلیف بمخالفة </w:t>
      </w:r>
      <w:bookmarkStart w:id="389" w:name="pg12856_162606"/>
    </w:p>
    <w:p>
      <w:pPr>
        <w:pStyle w:val="BookText"/>
        <w:rPr/>
      </w:pPr>
      <w:bookmarkEnd w:id="389"/>
      <w:r>
        <w:rPr>
          <w:rFonts w:ascii="IRNazanin" w:hAnsi="IRNazanin" w:eastAsia="IRNazanin"/>
          <w:color w:val="111111"/>
          <w:sz w:val="28"/>
          <w:sz w:val="28"/>
          <w:szCs w:val="28"/>
          <w:rtl w:val="true"/>
          <w:lang w:bidi="fa-IR"/>
        </w:rPr>
        <w:t>ظنّه، بخلاف العالم فإنّه لما لم یحتمل الخلاف حین کونه عالما بالواقع أشکل تکلیفه بمخالفة علمه مع کون المفروض إرادة الواقع، لأنّه کالتناقض</w:t>
      </w:r>
      <w:r>
        <w:rPr>
          <w:rFonts w:eastAsia="IRNazanin" w:cs="IRNazanin"/>
          <w:color w:val="111111"/>
          <w:sz w:val="28"/>
          <w:szCs w:val="28"/>
          <w:rtl w:val="true"/>
          <w:lang w:bidi="fa-IR"/>
        </w:rPr>
        <w:t>.</w:t>
      </w:r>
    </w:p>
    <w:p>
      <w:pPr>
        <w:pStyle w:val="Heading5"/>
        <w:numPr>
          <w:ilvl w:val="4"/>
          <w:numId w:val="1"/>
        </w:numPr>
        <w:rPr/>
      </w:pPr>
      <w:bookmarkStart w:id="390" w:name="__RefHeading___Toc2646566_3224264995"/>
      <w:bookmarkStart w:id="391" w:name="_Toc154"/>
      <w:bookmarkEnd w:id="390"/>
      <w:r>
        <w:rPr>
          <w:rtl w:val="true"/>
        </w:rPr>
        <w:t>[</w:t>
      </w:r>
      <w:r>
        <w:rPr>
          <w:rtl w:val="true"/>
        </w:rPr>
        <w:t>صورة إمکان تکلیف العالم بخلاف علمه</w:t>
      </w:r>
      <w:r>
        <w:rPr>
          <w:rtl w:val="true"/>
        </w:rPr>
        <w:t>]</w:t>
      </w:r>
      <w:bookmarkEnd w:id="391"/>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الحکم فی المقیس علیه و جواز تکلیف العالم أیضا بمخالفة علمه إذا فرض کثرة مخالفة علمه للواقع، و حصوله من الأسباب الغیر العادیة للعلم کالقطّاع</w:t>
      </w:r>
      <w:r>
        <w:rPr>
          <w:rFonts w:eastAsia="IRNazanin" w:cs="IRNazanin"/>
          <w:color w:val="111111"/>
          <w:sz w:val="28"/>
          <w:szCs w:val="28"/>
          <w:rtl w:val="true"/>
          <w:lang w:bidi="fa-IR"/>
        </w:rPr>
        <w:t>.</w:t>
      </w:r>
    </w:p>
    <w:p>
      <w:pPr>
        <w:pStyle w:val="Heading5"/>
        <w:numPr>
          <w:ilvl w:val="4"/>
          <w:numId w:val="1"/>
        </w:numPr>
        <w:rPr/>
      </w:pPr>
      <w:bookmarkStart w:id="392" w:name="__RefHeading___Toc2646568_3224264995"/>
      <w:bookmarkStart w:id="393" w:name="_Toc155"/>
      <w:bookmarkEnd w:id="392"/>
      <w:r>
        <w:rPr>
          <w:rtl w:val="true"/>
        </w:rPr>
        <w:t>[</w:t>
      </w:r>
      <w:r>
        <w:rPr>
          <w:rtl w:val="true"/>
        </w:rPr>
        <w:t>احتمال جواز ترجیح أحد المتعارضین بالقیاس</w:t>
      </w:r>
      <w:r>
        <w:rPr>
          <w:rtl w:val="true"/>
        </w:rPr>
        <w:t>]</w:t>
      </w:r>
      <w:bookmarkEnd w:id="393"/>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مانعیة کثرة تخلّف القیاس عن الواقع هو رجوعه إلی الاعتبار بزوال ذلک المانع، فیجوز ترجیح أحد الدلیلین المتعارضین بموافقة القیاس، بل و یجوز الاستناد إلی نفس القیاس الموافق لأحد المتعارضین؛ لأنّ المفروض علی الوجه السابع عدم المانع من اعتبار القیاس سوی کثرة مخالفة الواقع و قد زال عنه ذلک المانع بموافقة أحد الدلیلین المتعارضین، فیلزمه جواز ترجیح أحد المتعارضین بالقیاس بل و جواز الاستناد إلی نفس القیاس الموافق لأحد المتعارضین، و الحال أنّ الظاهر من إطلاق عبائرهم عدم اعتبار القیاس مطلقا، اللّهمّ إلّا أن یمنع ذلک الظهور و یلتزم بذلک اللازم، و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إذا قام ظنّ من أفراد مطلق الظنّ علی حرمة العمل ببعضها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94" w:name="__RefHeading___Toc2646570_3224264995"/>
      <w:bookmarkStart w:id="395" w:name="_Toc156"/>
      <w:bookmarkEnd w:id="394"/>
      <w:r>
        <w:rPr>
          <w:rtl w:val="true"/>
        </w:rPr>
        <w:t>[</w:t>
      </w:r>
      <w:r>
        <w:rPr>
          <w:rtl w:val="true"/>
        </w:rPr>
        <w:t>الکلام فی تعارض المانع و الممنوع</w:t>
      </w:r>
      <w:r>
        <w:rPr>
          <w:rtl w:val="true"/>
        </w:rPr>
        <w:t>]</w:t>
      </w:r>
      <w:bookmarkEnd w:id="3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تعارض المانع و الممنوع یقع فی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المانع و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وجوه الخلاف و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مدارک الوجوه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معنی المانع و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الظنّان القائم أحدهما علی عدم حجّیة الآخر و حرمة العمل به</w:t>
      </w:r>
      <w:r>
        <w:rPr>
          <w:rFonts w:eastAsia="IRNazanin" w:cs="IRNazanin"/>
          <w:color w:val="111111"/>
          <w:sz w:val="28"/>
          <w:szCs w:val="28"/>
          <w:rtl w:val="true"/>
          <w:lang w:bidi="fa-IR"/>
        </w:rPr>
        <w:t>.</w:t>
      </w:r>
    </w:p>
    <w:p>
      <w:pPr>
        <w:pStyle w:val="Heading5"/>
        <w:numPr>
          <w:ilvl w:val="4"/>
          <w:numId w:val="1"/>
        </w:numPr>
        <w:rPr/>
      </w:pPr>
      <w:bookmarkStart w:id="396" w:name="__RefHeading___Toc2646572_3224264995"/>
      <w:bookmarkStart w:id="397" w:name="_Toc157"/>
      <w:bookmarkEnd w:id="396"/>
      <w:r>
        <w:rPr>
          <w:rtl w:val="true"/>
        </w:rPr>
        <w:t>[</w:t>
      </w:r>
      <w:r>
        <w:rPr>
          <w:rtl w:val="true"/>
        </w:rPr>
        <w:t>تحریر محلّ النزاع</w:t>
      </w:r>
      <w:r>
        <w:rPr>
          <w:rtl w:val="true"/>
        </w:rPr>
        <w:t>]</w:t>
      </w:r>
      <w:bookmarkEnd w:id="397"/>
    </w:p>
    <w:p>
      <w:pPr>
        <w:pStyle w:val="BookText"/>
        <w:rPr/>
      </w:pPr>
      <w:r>
        <w:rPr>
          <w:rFonts w:ascii="IRNazanin" w:hAnsi="IRNazanin" w:eastAsia="IRNazanin"/>
          <w:color w:val="111111"/>
          <w:sz w:val="28"/>
          <w:sz w:val="28"/>
          <w:szCs w:val="28"/>
          <w:rtl w:val="true"/>
          <w:lang w:bidi="fa-IR"/>
        </w:rPr>
        <w:t>و أمّا تحریر محلّ النزاع فمن جهات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خصوص ما إذا لم یستند شی‌ء من ظنّی المانع أو </w:t>
      </w:r>
    </w:p>
    <w:p>
      <w:pPr>
        <w:pStyle w:val="BookText"/>
        <w:rPr/>
      </w:pPr>
      <w:r>
        <w:rPr>
          <w:rFonts w:ascii="IRNazanin" w:hAnsi="IRNazanin" w:eastAsia="IRNazanin"/>
          <w:color w:val="111111"/>
          <w:sz w:val="28"/>
          <w:sz w:val="28"/>
          <w:szCs w:val="28"/>
          <w:rtl w:val="true"/>
          <w:lang w:bidi="fa-IR"/>
        </w:rPr>
        <w:t>الممنوع إلی مثل الأصل أو نحوه من المدارک الغیر المفیدة للظن، فیخرج مثل الشهرة القائمة علی عدم حجّیة الشهرة لاستناد المانع إلی عدم الدلیل علی حجّیة الشهرة و بقائها تحت الأصل، فیقدّم الممنوع علیه، و کذا یخرج مثل خبر الواحد القائم علی حرمة ما یقتضی الشهرة جوازه لاستناد الممنوع إلی أصل الإباحة، فیقدّم المانع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خصوص ما إذا کان کلّ من ظنّی المانع و الممنوع من الظنون المطلقة، و أمّا إذا کان المانع من الظنون الخاصّة فیقدم علی الممنوع مطلقا؛ لحکومته علیه سواء کان الممنوع من الظنون الخاصّة أیضا أم کان من الظنون المطلقة، غایة الفرق أنّ المانع علی التقدیر الأول مانع من کون الممنوع من الظنون الخاصّة فلا یمنع کونه من الظنون المطلقة، بخلافه علی التقدیر الثانی فإنّه مانع من کونه من الظنون المطلقة،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 حصول الظنّ من آیة النبأ</w:t>
      </w:r>
      <w:r>
        <w:rPr>
          <w:rStyle w:val="FootnoteAnchor"/>
          <w:rtl w:val="true"/>
        </w:rPr>
        <w:footnoteReference w:id="128"/>
      </w:r>
      <w:r>
        <w:rPr>
          <w:rFonts w:ascii="IRNazanin" w:hAnsi="IRNazanin" w:eastAsia="IRNazanin"/>
          <w:color w:val="111111"/>
          <w:sz w:val="28"/>
          <w:sz w:val="28"/>
          <w:szCs w:val="28"/>
          <w:rtl w:val="true"/>
          <w:lang w:bidi="fa-IR"/>
        </w:rPr>
        <w:t>علی عدم اعتبار قول الفاسق، فإنّ الآیة علی التقدیر الأول مانعة من اعتبار قول الفاسق من باب الظنّ الخاصّ، و لا یمنع من اعتباره من باب الظنّ المطلق، و علی التقدیر الثانی مانعة من اعتباره من باب الظنّ المطلق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الممنوع فقط من الظنون الخاصّة فیقدّم علی المانع، بناء علی اعتبار ظنّه من باب التعبّد أو السببیة المطلقة، و أمّا علی تقدیر اعتباره من باب السببیة المقیّدة بعدم وجود الظنّ علی خلافه فیندرج فی محلّ النزاع الذی نحن فیه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المسألة مبنی علی القول باعتبار الظنّ المطلق مطلقا حتی فی المسائل الاصولیة، و أمّا علی القول بعدم اعتباره فی المسائل الاصولیة فلا ینبغی النزاع فی تقدیم الممنوع، و کذا أیضا مبنیّ علی القول باعتبار الظنّ </w:t>
      </w:r>
      <w:bookmarkStart w:id="398" w:name="pg12856_162608"/>
    </w:p>
    <w:p>
      <w:pPr>
        <w:pStyle w:val="BookText"/>
        <w:rPr/>
      </w:pPr>
      <w:bookmarkEnd w:id="398"/>
      <w:r>
        <w:rPr>
          <w:rFonts w:ascii="IRNazanin" w:hAnsi="IRNazanin" w:eastAsia="IRNazanin"/>
          <w:color w:val="111111"/>
          <w:sz w:val="28"/>
          <w:sz w:val="28"/>
          <w:szCs w:val="28"/>
          <w:rtl w:val="true"/>
          <w:lang w:bidi="fa-IR"/>
        </w:rPr>
        <w:t>مطلقا حتی الظنّ المتعلق بنفس الواقع، و أمّا علی القول باعتباره فی خصوص الطریق دون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کصاحب الفصول</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النزاع فی تقدیم المانع علی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 الاستاذ دام ظلّه بابتناء النزاع أیضا علی القول بخروج القیاس عن الاعتبار بعد الانسداد، کما یقتضیه ما عدا الوجه الأول من سائر وجوه خروج القیاس، و أمّا علی القول بعدم خروج القیاس عن الاعتبار بعد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الوجه الأول من تلک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القول بتقدیم الممنوع و عدم مانعیة المانع عنه مطلقا، نظرا إلی أنّ عدم مانعیة المانع القطعی عن اعتبار القیاس یستلزم عدم مانعیة المانع الظنّی عن اعتبار غیر القیاس من سائر الممنوعات بالطریق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399" w:name="__RefHeading___Toc2646574_3224264995"/>
      <w:bookmarkStart w:id="400" w:name="_Toc158"/>
      <w:bookmarkEnd w:id="399"/>
      <w:r>
        <w:rPr>
          <w:rtl w:val="true"/>
        </w:rPr>
        <w:t>[</w:t>
      </w:r>
      <w:r>
        <w:rPr>
          <w:rtl w:val="true"/>
        </w:rPr>
        <w:t>الإغماض عن سائر القرائن و العوارض الخارجیة فی المسائل النزاعیة</w:t>
      </w:r>
      <w:r>
        <w:rPr>
          <w:rtl w:val="true"/>
        </w:rPr>
        <w:t>]</w:t>
      </w:r>
      <w:bookmarkEnd w:id="400"/>
    </w:p>
    <w:p>
      <w:pPr>
        <w:pStyle w:val="BookText"/>
        <w:rPr/>
      </w:pPr>
      <w:r>
        <w:rPr>
          <w:rFonts w:ascii="IRNazanin" w:hAnsi="IRNazanin" w:eastAsia="IRNazanin"/>
          <w:color w:val="111111"/>
          <w:sz w:val="28"/>
          <w:sz w:val="28"/>
          <w:szCs w:val="28"/>
          <w:rtl w:val="true"/>
          <w:lang w:bidi="fa-IR"/>
        </w:rPr>
        <w:t>و یبعّده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مانعیة المانع من اعتبار القیاس علی القول به إنّما هو بمعونة القرائن و العوارض الخارجة عن حیث المانع و الممنوع، و محلّ النزاع إنّما هو فی حیث المانع و الممنوع مع الإغماض عن سائر القرائن و العوارض الخارجیة، کما هو محطّ نظر الباحثین فی کلّ مسألة من المسائل المتنازع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یتمّ فی ما إذا کان الظنّ المانع و الممنوع من جنس أمارة واحدة</w:t>
      </w:r>
      <w:r>
        <w:rPr>
          <w:rFonts w:eastAsia="IRNazanin" w:cs="IRNazanin"/>
          <w:color w:val="111111"/>
          <w:sz w:val="28"/>
          <w:szCs w:val="28"/>
          <w:rtl w:val="true"/>
          <w:lang w:bidi="fa-IR"/>
        </w:rPr>
        <w:t>».</w:t>
      </w:r>
    </w:p>
    <w:p>
      <w:pPr>
        <w:pStyle w:val="Heading5"/>
        <w:numPr>
          <w:ilvl w:val="4"/>
          <w:numId w:val="1"/>
        </w:numPr>
        <w:rPr/>
      </w:pPr>
      <w:bookmarkStart w:id="401" w:name="__RefHeading___Toc2646576_3224264995"/>
      <w:bookmarkStart w:id="402" w:name="_Toc159"/>
      <w:bookmarkEnd w:id="401"/>
      <w:r>
        <w:rPr>
          <w:rtl w:val="true"/>
        </w:rPr>
        <w:t>[</w:t>
      </w:r>
      <w:r>
        <w:rPr>
          <w:rtl w:val="true"/>
        </w:rPr>
        <w:t>توجیه کلام الماتن فی الردّ علی ترجیح الظنّ المانع</w:t>
      </w:r>
      <w:r>
        <w:rPr>
          <w:rtl w:val="true"/>
        </w:rPr>
        <w:t>]</w:t>
      </w:r>
      <w:bookmarkEnd w:id="4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المانع و الممنوع إذا کانا من جنس أمارة واحدة کان فرض قیام المانع علی عدم اعتبار الممنوع مستلزما لقیامه علی عدم اعتبار نفسه أیضا؛ لأنّ المفروض اتحادهما فی الجنس فیلزم من وجوده عدم نفسه، و ما یلزم من وجوده عدمه فهو باطل فالملزوم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قیام المانع علی عدم اعتبار ما هو من </w:t>
      </w:r>
      <w:bookmarkStart w:id="403" w:name="pg12856_162609"/>
    </w:p>
    <w:p>
      <w:pPr>
        <w:pStyle w:val="BookText"/>
        <w:rPr/>
      </w:pPr>
      <w:bookmarkEnd w:id="403"/>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 یعمّ نفسه مدفوعة بأنّه و إن لم یعمّ نفسه لقصور دلالة اللفظ علیه إلّا أنّه یعلم أنّ الحکم ثابت لهذا الفرد للعلم بعدم خصوصیة مخرجة له عن الحکم، بخلاف ما إذا کان من جنسین فإنّه لا یستلزم ما استلزمه وحدة الجنس کما لا یخفی</w:t>
      </w:r>
      <w:r>
        <w:rPr>
          <w:rFonts w:eastAsia="IRNazanin" w:cs="IRNazanin"/>
          <w:color w:val="111111"/>
          <w:sz w:val="28"/>
          <w:szCs w:val="28"/>
          <w:rtl w:val="true"/>
          <w:lang w:bidi="fa-IR"/>
        </w:rPr>
        <w:t>.</w:t>
      </w:r>
    </w:p>
    <w:p>
      <w:pPr>
        <w:pStyle w:val="Heading5"/>
        <w:numPr>
          <w:ilvl w:val="4"/>
          <w:numId w:val="1"/>
        </w:numPr>
        <w:rPr/>
      </w:pPr>
      <w:bookmarkStart w:id="404" w:name="__RefHeading___Toc2646578_3224264995"/>
      <w:bookmarkStart w:id="405" w:name="_Toc160"/>
      <w:bookmarkEnd w:id="404"/>
      <w:r>
        <w:rPr>
          <w:rtl w:val="true"/>
        </w:rPr>
        <w:t>[</w:t>
      </w:r>
      <w:r>
        <w:rPr>
          <w:rtl w:val="true"/>
        </w:rPr>
        <w:t>ردّ علی الماتن و انّ تقدّم الظنّ المانع یرجع إلی معنی تقدّم التخصّص علی التخصیص</w:t>
      </w:r>
      <w:r>
        <w:rPr>
          <w:rtl w:val="true"/>
        </w:rPr>
        <w:t>]</w:t>
      </w:r>
      <w:bookmarkEnd w:id="405"/>
    </w:p>
    <w:p>
      <w:pPr>
        <w:pStyle w:val="BookText"/>
        <w:rPr/>
      </w:pPr>
      <w:r>
        <w:rPr>
          <w:rFonts w:ascii="IRNazanin" w:hAnsi="IRNazanin" w:eastAsia="IRNazanin"/>
          <w:color w:val="111111"/>
          <w:sz w:val="28"/>
          <w:sz w:val="28"/>
          <w:szCs w:val="28"/>
          <w:rtl w:val="true"/>
          <w:lang w:bidi="fa-IR"/>
        </w:rPr>
        <w:t>هذا غایة توجیه الإیراد الأول، و لکن ستعرف من اندفاع الإیراد الثانی اندفاعه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رجوع تقدّم المانع علی الممنوع إلی معنی تقدّم التخصّص علی التخصیص خصوصیة مخرجة للمانع عن حکم ما یتحد معه فی الجنس، فکما لا إشکال فی خروج المانع و تقدّمه علی الممنوع لو قام علی مانعیته دلیل قطعی من إجماع أو نصّ کذلک ما هو بمنزلة القطع، و فی حکمه من الخصوصیات المقتضیة مانعیة المانع و تقدّمه علی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المثال من الأمارات اللفظیة التی یرجع حال المانع و الممنوع فیها إلی الدوران بین التخصّص و التخصیص المتقدّم فیه التخصّص، بخلاف ما نحن فیه فإنّه من الأمارات العقلیة التی لا یرجع حال المانع و الممنوع فیها إلی الدوران بین التخصیص و التخصّص حتی یقدّم التخصّص فیها علی التخصیص</w:t>
      </w:r>
      <w:r>
        <w:rPr>
          <w:rFonts w:eastAsia="IRNazanin" w:cs="IRNazanin"/>
          <w:color w:val="111111"/>
          <w:sz w:val="28"/>
          <w:szCs w:val="28"/>
          <w:rtl w:val="true"/>
          <w:lang w:bidi="fa-IR"/>
        </w:rPr>
        <w:t>.</w:t>
      </w:r>
    </w:p>
    <w:p>
      <w:pPr>
        <w:pStyle w:val="Heading5"/>
        <w:numPr>
          <w:ilvl w:val="4"/>
          <w:numId w:val="1"/>
        </w:numPr>
        <w:rPr/>
      </w:pPr>
      <w:bookmarkStart w:id="406" w:name="__RefHeading___Toc2646580_3224264995"/>
      <w:bookmarkStart w:id="407" w:name="_Toc161"/>
      <w:bookmarkEnd w:id="406"/>
      <w:r>
        <w:rPr>
          <w:rtl w:val="true"/>
        </w:rPr>
        <w:t>[</w:t>
      </w:r>
      <w:r>
        <w:rPr>
          <w:rtl w:val="true"/>
        </w:rPr>
        <w:t>حال الممنوع و المانع فی العقلیّات</w:t>
      </w:r>
      <w:r>
        <w:rPr>
          <w:rtl w:val="true"/>
        </w:rPr>
        <w:t>]</w:t>
      </w:r>
      <w:bookmarkEnd w:id="4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المانع و الممنوع فی العقلیات و إن لم یرجع إلی الدوران بین التخصّص و التخصیص نظرا إلی اختصاص صفة التخصّص و التخصیص اصطلاحا بالأمارات اللفظیة دون العقلیة إلّا أنّه یرجع الی ما هو فی معنی التخصّص و التخصیص من الترجیح بالمرجّح، و الترجیح بلا مرجّح، و الطرح بالدلیل، و الطرح بلا دلیل، و کما لا ریب عند العرف فی تقدیم التخصّص علی التخصیص </w:t>
      </w:r>
    </w:p>
    <w:p>
      <w:pPr>
        <w:pStyle w:val="BookText"/>
        <w:rPr/>
      </w:pPr>
      <w:r>
        <w:rPr>
          <w:rFonts w:ascii="IRNazanin" w:hAnsi="IRNazanin" w:eastAsia="IRNazanin"/>
          <w:color w:val="111111"/>
          <w:sz w:val="28"/>
          <w:sz w:val="28"/>
          <w:szCs w:val="28"/>
          <w:rtl w:val="true"/>
          <w:lang w:bidi="fa-IR"/>
        </w:rPr>
        <w:t>کذلک لا ریب عند العقل و العقلاء فی تقدیم الترجیح بالمرجّح علی الترجیح بلا مرجح، و الطرح بالدلیل علی الطرح بلا دلیل، فیقدّم المانع لأنّ طرحه طرح بلا دلیل و ترجیح بلا مرجح، بخلاف طرح الممنوع سواء کان مانعیة المانع عن حجّیة الظنّ الممنوع من باب الطریقیة و الکشف عن تخلّفه الواقع أم من باب الموضوعیة، و اشتمال الظنّ الممنوع علی مفسدة غالبة علی مصلحة إدراک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تقدیم المانع علی التقدیر الأول فلوروده علی الممنوع و رفعه موضوع الظنّ الممنوع، و أمّا علی التقدیر الثانی فلأنّ فی تقدیم المانع تقدیم دفع المفسدة المظنونة علی جلب المصلحة المظنونة، و ذلک لدوران الأمر بین أن یکون العمل بمقتضی الممنوع مشتملا علی مصلحة مظنونة بالظنّ الممنوع، و بین أن یکون مشتملا علی مفسدة مظنونة بالظنّ المانع، و لا ریب عند العقل و العقلاء فی تقدیم دفع المفسدة من حیث هی علی جلب المصلحة من حیث هی مع الإغماض عما قد یرجّح بالقوّة و الضعف، فإنّ الاطّلاع علی قوّة المصالح و المفاسد الکامنة فی الأحکام الواقعیة مع أنّه مجرد فرض فی المقام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لک ما فی کلام الماتن</w:t>
      </w:r>
      <w:r>
        <w:rPr>
          <w:rStyle w:val="FootnoteAnchor"/>
          <w:rtl w:val="true"/>
        </w:rPr>
        <w:footnoteReference w:id="130"/>
      </w:r>
      <w:r>
        <w:rPr>
          <w:rFonts w:ascii="IRNazanin" w:hAnsi="IRNazanin" w:eastAsia="IRNazanin"/>
          <w:color w:val="111111"/>
          <w:sz w:val="28"/>
          <w:sz w:val="28"/>
          <w:szCs w:val="28"/>
          <w:rtl w:val="true"/>
          <w:lang w:bidi="fa-IR"/>
        </w:rPr>
        <w:t>من وجوه من الإبرام فلا تخفی علی المتدرّب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إشکال ربما یورد علی تقدّم المانع علی الممنوع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ملاحظة التتبع و التّدرب فی فقه الإمامیة و مدارکه و مظانّ استنباط علماء السلف الأحکام یفید الظنّ بأنّ من ممیّزات الإمامیة عن فرقة العامّة هو أصالة حرمة العمل بالظنّ فی الأحکام إلّا ما أخرجه الدلیل عند الخاصّة، و أصالة عکسه عند العامّة حتی سمّوا بأصحاب الرأی و القیاس و الاستحسان و المصالح المرسلة، کممیّزیة حلّیة المتعة و حجّ التمتع، و الوضوء </w:t>
      </w:r>
      <w:bookmarkStart w:id="408" w:name="pg12856_162611"/>
    </w:p>
    <w:p>
      <w:pPr>
        <w:pStyle w:val="BookText"/>
        <w:rPr/>
      </w:pPr>
      <w:bookmarkEnd w:id="408"/>
      <w:r>
        <w:rPr>
          <w:rFonts w:ascii="IRNazanin" w:hAnsi="IRNazanin" w:eastAsia="IRNazanin"/>
          <w:color w:val="111111"/>
          <w:sz w:val="28"/>
          <w:sz w:val="28"/>
          <w:szCs w:val="28"/>
          <w:rtl w:val="true"/>
          <w:lang w:bidi="fa-IR"/>
        </w:rPr>
        <w:t>المنکوس، و التکفیر فی الصلاة، و غیر ذلک من الممیّزات بینهما</w:t>
      </w:r>
      <w:r>
        <w:rPr>
          <w:rFonts w:eastAsia="IRNazanin" w:cs="IRNazanin"/>
          <w:color w:val="111111"/>
          <w:sz w:val="28"/>
          <w:szCs w:val="28"/>
          <w:rtl w:val="true"/>
          <w:lang w:bidi="fa-IR"/>
        </w:rPr>
        <w:t>.</w:t>
      </w:r>
    </w:p>
    <w:p>
      <w:pPr>
        <w:pStyle w:val="Heading5"/>
        <w:numPr>
          <w:ilvl w:val="4"/>
          <w:numId w:val="1"/>
        </w:numPr>
        <w:rPr/>
      </w:pPr>
      <w:bookmarkStart w:id="409" w:name="__RefHeading___Toc2646582_3224264995"/>
      <w:bookmarkStart w:id="410" w:name="_Toc162"/>
      <w:bookmarkEnd w:id="409"/>
      <w:r>
        <w:rPr>
          <w:rtl w:val="true"/>
        </w:rPr>
        <w:t>[</w:t>
      </w:r>
      <w:r>
        <w:rPr>
          <w:rtl w:val="true"/>
        </w:rPr>
        <w:t>دعوی استواء الأزمنة المتأخرة مع المتقدّمة فی الانسداد و الانفتاح</w:t>
      </w:r>
      <w:r>
        <w:rPr>
          <w:rtl w:val="true"/>
        </w:rPr>
        <w:t>]</w:t>
      </w:r>
      <w:bookmarkEnd w:id="410"/>
    </w:p>
    <w:p>
      <w:pPr>
        <w:pStyle w:val="BookText"/>
        <w:rPr/>
      </w:pPr>
      <w:r>
        <w:rPr>
          <w:rFonts w:ascii="IRNazanin" w:hAnsi="IRNazanin" w:eastAsia="IRNazanin"/>
          <w:color w:val="111111"/>
          <w:sz w:val="28"/>
          <w:sz w:val="28"/>
          <w:szCs w:val="28"/>
          <w:rtl w:val="true"/>
          <w:lang w:bidi="fa-IR"/>
        </w:rPr>
        <w:t>ثمّ من ملاحظة تشابه الأزمان یظنّ اتحاد هذا الزمان مع الزمان السابق فی الانسداد و الانفتاح، بمعنی أنّه إن انسدّ باب العلم فی الأزمنة السابقة فکذلک أیضا فی الأزمنة المتأخرة، و إن انفتح بابه فی الأزمنة السابقة فکذلک أیضا فی الأزمنة المتأخرة، نظرا إلی أنّ تنقیح الأخبار و جمعها و ضبطها و بسطها و تدوینها و تصحیحها الحاصلة فی الأزمنة المتأخرة إذا لم یقتض أولویة انفتاح باب العلم فیها من انفتاحه فی الأزمنة السابقة فلا أقلّ من التساوی بین الزمانین فی الانسداد و الانفتاح، و إذا کان المستفاد من التتبع فی ممیّزات الخاصّة عن العامّة و ضمیمة تشابه الأزمان هو الظنّ المطلق بعدم حجّیة مطلق الظنّ و لو فی فرض الانسداد و کان المفروض تقدّم المانع علی الظنّ الممنوع لزم من فرض حجّیة مطلق الظنّ بدلیل الانسداد عدم حجّیة مطلق الظنّ، و ما یلزم من وجوده عدمه فهو باطل فالملزوم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تقدم المانع علی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یندفع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المستفاد من التتبع ممیّزیة العامّة عن الخاصّة فی حجّیة مطلق الظنّ حتی یلزم ما ذکر، بل المستفاد إنّما هو ممیزیتهم عن الخاصّة فی اختصاص عملهم بمطلق الظنّ حتی فی مقابل ما هو علم أو کالعلم من نصوص المعصومین علیهم السّلام، لا فی جواز العمل بمطلق الظنّ الغیر المقابل، و لا المعارض حتی یلزم ما لزم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امتیاز العامّة عن الخاصّة فی العمل بمطلق الظنّ و عدمه فإنّما هو مختصّ بما قبل الانسداد، و أمّا فی ما بعده فالمفروض قیام مطلق الظنّ مقام العلم فی حکم العقل بحجّیته من باب الانجعال لا الجعل، و بعد هذا الفرض لا مسرح لتحقّق ظنّ مانع من حجّیة مطلق الظنّ کما لا یخفی</w:t>
      </w:r>
      <w:r>
        <w:rPr>
          <w:rFonts w:eastAsia="IRNazanin" w:cs="IRNazanin"/>
          <w:color w:val="111111"/>
          <w:sz w:val="28"/>
          <w:szCs w:val="28"/>
          <w:rtl w:val="true"/>
          <w:lang w:bidi="fa-IR"/>
        </w:rPr>
        <w:t xml:space="preserve">. </w:t>
      </w:r>
      <w:bookmarkStart w:id="411" w:name="pg12856_162612"/>
    </w:p>
    <w:p>
      <w:pPr>
        <w:pStyle w:val="BookText"/>
        <w:rPr/>
      </w:pPr>
      <w:bookmarkEnd w:id="411"/>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ما قد یقال من أنّ استلزام دخول الممنوع لخروج المانع دون العکس مرجّح لدخول الممنوع دون المانع، أو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الاستلزام من طرف دخول الممنوع مرجّح لدخوله لو لم یکن فی إزائه من طرف دخول المانع عینیة خروج الممنوع و أمّا بملاحظة ذلک فتقدیم الممنوع ترجیح بلا مرجّح بل ترجیح للمرجوح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فی نتیجة دلیل الانسداد بین الظنّ الحاصل أولا من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12" w:name="__RefHeading___Toc2646584_3224264995"/>
      <w:bookmarkStart w:id="413" w:name="_Toc163"/>
      <w:bookmarkEnd w:id="412"/>
      <w:r>
        <w:rPr>
          <w:rtl w:val="true"/>
        </w:rPr>
        <w:t>[</w:t>
      </w:r>
      <w:r>
        <w:rPr>
          <w:rtl w:val="true"/>
        </w:rPr>
        <w:t>حجّیة الظنّ فی الاصول</w:t>
      </w:r>
      <w:r>
        <w:rPr>
          <w:rtl w:val="true"/>
        </w:rPr>
        <w:t>]</w:t>
      </w:r>
      <w:bookmarkEnd w:id="4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حجّیة الظنّ فی اصول الفقه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الظنون الخاصّة فیها،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الظنون المطلقة فیها، و هو الذی تکفّله المتن و عقد له 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الظنون الخاصّة کظواهر الآیات و السنّة فاختلفوا فی حجّیتها فی اصول الفقه علی قولین، فقول بحجّیتها فی اصول الفقه حملا علی فروعه، و قول بعدم حجّیتها فی اصول الفقه حملا لها علی اصول الدین</w:t>
      </w:r>
      <w:r>
        <w:rPr>
          <w:rFonts w:eastAsia="IRNazanin" w:cs="IRNazanin"/>
          <w:color w:val="111111"/>
          <w:sz w:val="28"/>
          <w:szCs w:val="28"/>
          <w:rtl w:val="true"/>
          <w:lang w:bidi="fa-IR"/>
        </w:rPr>
        <w:t>.</w:t>
      </w:r>
    </w:p>
    <w:p>
      <w:pPr>
        <w:pStyle w:val="Heading5"/>
        <w:numPr>
          <w:ilvl w:val="4"/>
          <w:numId w:val="1"/>
        </w:numPr>
        <w:rPr/>
      </w:pPr>
      <w:bookmarkStart w:id="414" w:name="__RefHeading___Toc2646586_3224264995"/>
      <w:bookmarkStart w:id="415" w:name="_Toc164"/>
      <w:bookmarkEnd w:id="414"/>
      <w:r>
        <w:rPr>
          <w:rtl w:val="true"/>
        </w:rPr>
        <w:t>[</w:t>
      </w:r>
      <w:r>
        <w:rPr>
          <w:rtl w:val="true"/>
        </w:rPr>
        <w:t>الشهرة علی حجّیة الظنون الخاصّة فی اصول الفقه</w:t>
      </w:r>
      <w:r>
        <w:rPr>
          <w:rtl w:val="true"/>
        </w:rPr>
        <w:t>]</w:t>
      </w:r>
      <w:bookmarkEnd w:id="4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الأشهر الأول بل کاد یکون اتفاقا إن لم یکن ضرورة، أ لا تری علماء الأعصار فی جمیع الأمصار خلفا عن سلف من قدیم الأیام إلی یومنا هذا متفقین علی قطع النزاع فی المسائل الاصولیة و فصل الخصومات المتفقة لهم فی اصول الفقه بمجرد احتجاج أحدهم علی صاحبه بظاهر آیة أو خبر، من غیر نکیر، و لا دغدغة فقد تراهم أنّ الاحتجاج بظاهر کتاب أو سنّة علی المدّعی المتخاصم فیه من المسائل الاصولیة یتلقّونه بالقبول کما یتلقّونه بالقبول فی المسائل الفرعیة من غیر نکیر، و لا یردّون علی الخصم بالفرق بأنّ المدّعی من المسائل الاصولیة و لا یثبت بمثله من الظنون الخاصّة</w:t>
      </w:r>
      <w:r>
        <w:rPr>
          <w:rFonts w:eastAsia="IRNazanin" w:cs="IRNazanin"/>
          <w:color w:val="111111"/>
          <w:sz w:val="28"/>
          <w:szCs w:val="28"/>
          <w:rtl w:val="true"/>
          <w:lang w:bidi="fa-IR"/>
        </w:rPr>
        <w:t xml:space="preserve">. </w:t>
      </w:r>
      <w:bookmarkStart w:id="416" w:name="pg12856_162613"/>
    </w:p>
    <w:p>
      <w:pPr>
        <w:pStyle w:val="Heading5"/>
        <w:numPr>
          <w:ilvl w:val="4"/>
          <w:numId w:val="1"/>
        </w:numPr>
        <w:rPr/>
      </w:pPr>
      <w:bookmarkStart w:id="417" w:name="__RefHeading___Toc2646588_3224264995"/>
      <w:bookmarkStart w:id="418" w:name="_Toc165"/>
      <w:bookmarkEnd w:id="416"/>
      <w:bookmarkEnd w:id="417"/>
      <w:r>
        <w:rPr>
          <w:rtl w:val="true"/>
        </w:rPr>
        <w:t>[</w:t>
      </w:r>
      <w:r>
        <w:rPr>
          <w:rtl w:val="true"/>
        </w:rPr>
        <w:t>عدم الفرق بین الفروع و الاصول فی کون کل منهما حکما شرعیا</w:t>
      </w:r>
      <w:r>
        <w:rPr>
          <w:rtl w:val="true"/>
        </w:rPr>
        <w:t>]</w:t>
      </w:r>
      <w:bookmarkEnd w:id="418"/>
    </w:p>
    <w:p>
      <w:pPr>
        <w:pStyle w:val="BookText"/>
        <w:rPr/>
      </w:pPr>
      <w:r>
        <w:rPr>
          <w:rFonts w:ascii="IRNazanin" w:hAnsi="IRNazanin" w:eastAsia="IRNazanin"/>
          <w:color w:val="111111"/>
          <w:sz w:val="28"/>
          <w:sz w:val="28"/>
          <w:szCs w:val="28"/>
          <w:rtl w:val="true"/>
          <w:lang w:bidi="fa-IR"/>
        </w:rPr>
        <w:t>هذا مضافا إلی عدم الفرق بین الفروع و الاصول فی کون کلّ منهما حکما شرعیا مکلّفا به، فلا وجه للتفرقة بینهما و اعتبار الظنون الخاصّة فی أحدهما دون الآخر، فالدلیل علی اعتبار ما یعتبر فی الفروع دلیل علی اعتباره فی اصول الفروع، لما عرفت من عدم الفرق بینهما فی الحکم، بل و لا فی الاسم فإنّ تسمیة الأحکام الوضعیة بالاصول و التکلیفیة بالفروع تسمیة حادثة، لا یوجب التفرقة بینهما فی الحکم</w:t>
      </w:r>
      <w:r>
        <w:rPr>
          <w:rFonts w:eastAsia="IRNazanin" w:cs="IRNazanin"/>
          <w:color w:val="111111"/>
          <w:sz w:val="28"/>
          <w:szCs w:val="28"/>
          <w:rtl w:val="true"/>
          <w:lang w:bidi="fa-IR"/>
        </w:rPr>
        <w:t>.</w:t>
      </w:r>
    </w:p>
    <w:p>
      <w:pPr>
        <w:pStyle w:val="Heading5"/>
        <w:numPr>
          <w:ilvl w:val="4"/>
          <w:numId w:val="1"/>
        </w:numPr>
        <w:rPr/>
      </w:pPr>
      <w:bookmarkStart w:id="419" w:name="__RefHeading___Toc2646590_3224264995"/>
      <w:bookmarkStart w:id="420" w:name="_Toc166"/>
      <w:bookmarkEnd w:id="419"/>
      <w:r>
        <w:rPr>
          <w:rtl w:val="true"/>
        </w:rPr>
        <w:t>[</w:t>
      </w:r>
      <w:r>
        <w:rPr>
          <w:rtl w:val="true"/>
        </w:rPr>
        <w:t>حجّة المانع من اعتبار الظنون الخاصّة فی الاصول</w:t>
      </w:r>
      <w:r>
        <w:rPr>
          <w:rtl w:val="true"/>
        </w:rPr>
        <w:t>]</w:t>
      </w:r>
      <w:bookmarkEnd w:id="420"/>
    </w:p>
    <w:p>
      <w:pPr>
        <w:pStyle w:val="BookText"/>
        <w:rPr/>
      </w:pPr>
      <w:r>
        <w:rPr>
          <w:rFonts w:ascii="IRNazanin" w:hAnsi="IRNazanin" w:eastAsia="IRNazanin"/>
          <w:color w:val="111111"/>
          <w:sz w:val="28"/>
          <w:sz w:val="28"/>
          <w:szCs w:val="28"/>
          <w:rtl w:val="true"/>
          <w:lang w:bidi="fa-IR"/>
        </w:rPr>
        <w:t>حجّة المانع من اعتبار الظنون الخاصّة فی الاصول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الحرمة و عدم شمول دلیل حجّیة الظنون الخاصّة لما عدا الفروع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أدلّة حجّیة الظنون الخاصّة من ظواهر الکتاب و السنّة لبّیّة من إجماع أو سیرة لا لفظیة، فینبغی الاقتصار علی المتیقّن، و هو حجّیتها فی الفروع دون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بما عرفت من عدم الفرق و عدم الإجمال فی أدلّة الحجّیة حتی یقتصر علی القدر المتیقن، و هو حجّیتها فی الفروع دون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اصول الفقه علی اصول الدین فی اعتبار الجزم فیها و عدم کفایة الظنّ و لو کان خاصّا</w:t>
      </w:r>
      <w:r>
        <w:rPr>
          <w:rFonts w:eastAsia="IRNazanin" w:cs="IRNazanin"/>
          <w:color w:val="111111"/>
          <w:sz w:val="28"/>
          <w:szCs w:val="28"/>
          <w:rtl w:val="true"/>
          <w:lang w:bidi="fa-IR"/>
        </w:rPr>
        <w:t>.</w:t>
      </w:r>
    </w:p>
    <w:p>
      <w:pPr>
        <w:pStyle w:val="Heading5"/>
        <w:numPr>
          <w:ilvl w:val="4"/>
          <w:numId w:val="1"/>
        </w:numPr>
        <w:rPr/>
      </w:pPr>
      <w:bookmarkStart w:id="421" w:name="__RefHeading___Toc2646592_3224264995"/>
      <w:bookmarkStart w:id="422" w:name="_Toc167"/>
      <w:bookmarkEnd w:id="421"/>
      <w:r>
        <w:rPr>
          <w:rtl w:val="true"/>
        </w:rPr>
        <w:t>[</w:t>
      </w:r>
      <w:r>
        <w:rPr>
          <w:rtl w:val="true"/>
        </w:rPr>
        <w:t>الاحتجاج بالظنون الخاصّة فی اصول الدین</w:t>
      </w:r>
      <w:r>
        <w:rPr>
          <w:rtl w:val="true"/>
        </w:rPr>
        <w:t>]</w:t>
      </w:r>
      <w:bookmarkEnd w:id="42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بمنع الحکم فی المقیس علیه فضلا عن المقیس، أ لا تری احتجاج أهل الکلام فی علم الکلام علی کلّ من تعیین الإمام و عصمته، و المعاد و کیفیاته بل و علی أصل الإمامة المطلقة و غیرها من سائر اصول الدین بالظنون الخاصّة من ظواهر الکتاب أو السنّة مع تلقّی الخصم لها بالقبول من غیر نکیر، و لا الردّ علی المستدلّ بأنّ الدلیل من الظنون الخاصّة و لا یثبت المسألة بها، بل ینحصر سبیل المانع فی المناقشة فی دلالة الدلیل من تلک الظنون الخاصّة دون أصل دلیلیة الدلیل منها، کما لا یخفی علی المتتبع الخبیر</w:t>
      </w:r>
      <w:r>
        <w:rPr>
          <w:rFonts w:eastAsia="IRNazanin" w:cs="IRNazanin"/>
          <w:color w:val="111111"/>
          <w:sz w:val="28"/>
          <w:szCs w:val="28"/>
          <w:rtl w:val="true"/>
          <w:lang w:bidi="fa-IR"/>
        </w:rPr>
        <w:t xml:space="preserve">. </w:t>
      </w:r>
      <w:bookmarkStart w:id="423" w:name="pg12856_162614"/>
    </w:p>
    <w:p>
      <w:pPr>
        <w:pStyle w:val="Heading5"/>
        <w:numPr>
          <w:ilvl w:val="4"/>
          <w:numId w:val="1"/>
        </w:numPr>
        <w:rPr/>
      </w:pPr>
      <w:bookmarkStart w:id="424" w:name="__RefHeading___Toc2646594_3224264995"/>
      <w:bookmarkStart w:id="425" w:name="_Toc168"/>
      <w:bookmarkEnd w:id="423"/>
      <w:bookmarkEnd w:id="424"/>
      <w:r>
        <w:rPr>
          <w:rtl w:val="true"/>
        </w:rPr>
        <w:t>[</w:t>
      </w:r>
      <w:r>
        <w:rPr>
          <w:rtl w:val="true"/>
        </w:rPr>
        <w:t>مطلوبیة الجزم فی اصول الدین لیست مطلقة</w:t>
      </w:r>
      <w:r>
        <w:rPr>
          <w:rtl w:val="true"/>
        </w:rPr>
        <w:t>]</w:t>
      </w:r>
      <w:bookmarkEnd w:id="425"/>
    </w:p>
    <w:p>
      <w:pPr>
        <w:pStyle w:val="BookText"/>
        <w:rPr/>
      </w:pPr>
      <w:r>
        <w:rPr>
          <w:rFonts w:ascii="IRNazanin" w:hAnsi="IRNazanin" w:eastAsia="IRNazanin"/>
          <w:color w:val="111111"/>
          <w:sz w:val="28"/>
          <w:sz w:val="28"/>
          <w:szCs w:val="28"/>
          <w:rtl w:val="true"/>
          <w:lang w:bidi="fa-IR"/>
        </w:rPr>
        <w:t>نعم، مطلوبیة الجزم فی اصول الدین و عدم کفایة الظنّ لو سلّم فلیس فی مطلق أصول الدین، بل فی خصوص ما خرج بمخرج خارجی من عقل أو اجماع، کما فی مثل التوحید و الاعتقاد بأصل وجود الصانع و أصل وجوب النبوّة المطلقة، و نحوها مما لا مسرح للظنون الخاصّة من الکتاب و السنّة فی إثباتها حذرا من لزوم الدور و المصادرة فی الاستدلال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کلّه فی حجّیة الظنون الخاصّة فی اصول الفقه، و بیان خروجها عن محلّ النزاع</w:t>
      </w:r>
      <w:r>
        <w:rPr>
          <w:rFonts w:eastAsia="IRNazanin" w:cs="IRNazanin"/>
          <w:color w:val="111111"/>
          <w:sz w:val="28"/>
          <w:szCs w:val="28"/>
          <w:rtl w:val="true"/>
          <w:lang w:bidi="fa-IR"/>
        </w:rPr>
        <w:t>.</w:t>
      </w:r>
    </w:p>
    <w:p>
      <w:pPr>
        <w:pStyle w:val="Heading5"/>
        <w:numPr>
          <w:ilvl w:val="4"/>
          <w:numId w:val="1"/>
        </w:numPr>
        <w:rPr/>
      </w:pPr>
      <w:bookmarkStart w:id="426" w:name="__RefHeading___Toc2646596_3224264995"/>
      <w:bookmarkStart w:id="427" w:name="_Toc169"/>
      <w:bookmarkEnd w:id="426"/>
      <w:r>
        <w:rPr>
          <w:rtl w:val="true"/>
        </w:rPr>
        <w:t>[</w:t>
      </w:r>
      <w:r>
        <w:rPr>
          <w:rtl w:val="true"/>
        </w:rPr>
        <w:t>الکلام فی حجّیة الظنون المطلقة فی اصول الفقه</w:t>
      </w:r>
      <w:r>
        <w:rPr>
          <w:rtl w:val="true"/>
        </w:rPr>
        <w:t>]</w:t>
      </w:r>
      <w:bookmarkEnd w:id="427"/>
    </w:p>
    <w:p>
      <w:pPr>
        <w:pStyle w:val="BookText"/>
        <w:rPr/>
      </w:pPr>
      <w:r>
        <w:rPr>
          <w:rFonts w:ascii="IRNazanin" w:hAnsi="IRNazanin" w:eastAsia="IRNazanin"/>
          <w:color w:val="111111"/>
          <w:sz w:val="28"/>
          <w:sz w:val="28"/>
          <w:szCs w:val="28"/>
          <w:rtl w:val="true"/>
          <w:lang w:bidi="fa-IR"/>
        </w:rPr>
        <w:t>بقی الکلام فی حجّیة الظنون المطلقة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القواعد الممهّدة لاستنباط الأحکام الشرعیة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 محلّ النزاع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حجّیة مطلق الظنّ فی اصول الفقه مبنیّ علی القول بالکشف و إهمال نتیجة دلیل الانسداد، و أمّا علی القول بالحکومة و عموم دلیل الانسداد فالظنّ کالعلم فی عدم تعقّل الفرق فی حجّیته بین الاصول و الفروع، بخلاف تقدیر الکشف و إهمال النتیجة فإن المتیقن من السیرة و الإجماع علی هذا التقدیر هو حجّیة مطلق الظنّ فی الفروع دون الاصول، فإنّه مختلف فیه، و احتمال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حجّیة مطلق الظنّ فی اصول الفقه و جری النزاع فی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بالإجماع و السیرة و ملاحظة عدم تمامیة مقدّمات دلیل الانسداد من استلزام الاحتیاط العسر و الحرج و استلزام البراءة الخروج عن الدین لو اجریت فی اصول الفقه، بخلاف مجراها فی الفروع فإنّه یستدعی تمامیة مقدّمات الانسداد</w:t>
      </w:r>
      <w:r>
        <w:rPr>
          <w:rFonts w:eastAsia="IRNazanin" w:cs="IRNazanin"/>
          <w:color w:val="111111"/>
          <w:sz w:val="28"/>
          <w:szCs w:val="28"/>
          <w:rtl w:val="true"/>
          <w:lang w:bidi="fa-IR"/>
        </w:rPr>
        <w:t>.</w:t>
      </w:r>
    </w:p>
    <w:p>
      <w:pPr>
        <w:pStyle w:val="Heading5"/>
        <w:numPr>
          <w:ilvl w:val="4"/>
          <w:numId w:val="1"/>
        </w:numPr>
        <w:rPr/>
      </w:pPr>
      <w:bookmarkStart w:id="428" w:name="__RefHeading___Toc2646598_3224264995"/>
      <w:bookmarkStart w:id="429" w:name="_Toc170"/>
      <w:bookmarkEnd w:id="428"/>
      <w:r>
        <w:rPr>
          <w:rtl w:val="true"/>
        </w:rPr>
        <w:t>[</w:t>
      </w:r>
      <w:r>
        <w:rPr>
          <w:rtl w:val="true"/>
        </w:rPr>
        <w:t>محلّ النزاع فی حجّیة مطلق الظنّ فی اصول الفقه</w:t>
      </w:r>
      <w:r>
        <w:rPr>
          <w:rtl w:val="true"/>
        </w:rPr>
        <w:t>]</w:t>
      </w:r>
      <w:bookmarkEnd w:id="4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حجّیة مطلق الظنّ فی اصول الفقه إنّما هو فی خصوص ما لا یتولّد منه الظنّ الفعلی بالحکم الفرعی، و أمّا ما یتولّد منه الظنّ الفعلی بالحکم الفرعی فلا نزاع فی حجّیته بدلیل الانسداد إن لم یکن أولی بالحجّیة من الظنّ المتعلق بنفس الحکم الفرعی، من دون وساطة تعلّقه بالأصل</w:t>
      </w:r>
      <w:r>
        <w:rPr>
          <w:rFonts w:eastAsia="IRNazanin" w:cs="IRNazanin"/>
          <w:color w:val="111111"/>
          <w:sz w:val="28"/>
          <w:szCs w:val="28"/>
          <w:rtl w:val="true"/>
          <w:lang w:bidi="fa-IR"/>
        </w:rPr>
        <w:t xml:space="preserve">. </w:t>
      </w:r>
      <w:bookmarkStart w:id="430" w:name="pg12856_162615"/>
    </w:p>
    <w:p>
      <w:pPr>
        <w:pStyle w:val="BookText"/>
        <w:rPr/>
      </w:pPr>
      <w:bookmarkEnd w:id="430"/>
      <w:r>
        <w:rPr>
          <w:rFonts w:ascii="IRNazanin" w:hAnsi="IRNazanin" w:eastAsia="IRNazanin"/>
          <w:color w:val="111111"/>
          <w:sz w:val="28"/>
          <w:sz w:val="28"/>
          <w:szCs w:val="28"/>
          <w:rtl w:val="true"/>
          <w:lang w:bidi="fa-IR"/>
        </w:rPr>
        <w:t>و من هنا یعلم خروج جمیع المبادئ اللغویة و الموضوعات المستنبطة، و بعض المسائل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کمقدّمة الواجب، و مسألة الضدّ، و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النزاع فی حجّیة الظنّ فی الاصول و إن کانت من جملة مسائل الاصول، نظرا إلی استلزام الظنّ بالظهور للظنّ الفعلی بالمراد، و الظنّ بالمراد للظنّ الفعلی بالحکم الفرعی، فیبقی لمحلّ النزاع ما عدا المبادئ اللغویة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الواحد، و حجّیة الإجماع المنقول، و نحوهما مما لا یستلزم الظنّ به الظنّ الفعلی بالحکم الفرعی و إن کان قد یتفق غالبا</w:t>
      </w:r>
      <w:r>
        <w:rPr>
          <w:rFonts w:eastAsia="IRNazanin" w:cs="IRNazanin"/>
          <w:color w:val="111111"/>
          <w:sz w:val="28"/>
          <w:szCs w:val="28"/>
          <w:rtl w:val="true"/>
          <w:lang w:bidi="fa-IR"/>
        </w:rPr>
        <w:t>.</w:t>
      </w:r>
    </w:p>
    <w:p>
      <w:pPr>
        <w:pStyle w:val="Heading5"/>
        <w:numPr>
          <w:ilvl w:val="4"/>
          <w:numId w:val="1"/>
        </w:numPr>
        <w:rPr/>
      </w:pPr>
      <w:bookmarkStart w:id="431" w:name="__RefHeading___Toc2646600_3224264995"/>
      <w:bookmarkStart w:id="432" w:name="_Toc171"/>
      <w:bookmarkEnd w:id="431"/>
      <w:r>
        <w:rPr>
          <w:rtl w:val="true"/>
        </w:rPr>
        <w:t>[</w:t>
      </w:r>
      <w:r>
        <w:rPr>
          <w:rtl w:val="true"/>
        </w:rPr>
        <w:t>اعتبار قول اللغوی</w:t>
      </w:r>
      <w:r>
        <w:rPr>
          <w:rtl w:val="true"/>
        </w:rPr>
        <w:t>]</w:t>
      </w:r>
      <w:bookmarkEnd w:id="432"/>
    </w:p>
    <w:p>
      <w:pPr>
        <w:pStyle w:val="BookText"/>
        <w:rPr/>
      </w:pPr>
      <w:r>
        <w:rPr>
          <w:rFonts w:ascii="IRNazanin" w:hAnsi="IRNazanin" w:eastAsia="IRNazanin"/>
          <w:color w:val="111111"/>
          <w:sz w:val="28"/>
          <w:sz w:val="28"/>
          <w:szCs w:val="28"/>
          <w:rtl w:val="true"/>
          <w:lang w:bidi="fa-IR"/>
        </w:rPr>
        <w:t>و مما ذکرنا یعلم أنّ مقتضی دلیل الانسداد فی الفروع هو اعتبار قول اللغوی فی المبادئ اللغویة، و نحوه من الظنون المتعلقة بأصل مستلزم للظنّ بالحکم الفرعی، من دون حاجة إلی مجری انسداد آخر وراء الانسداد فی الفروع، بل لو فرضنا عدم مجری الانسداد فی الاصول بواسطة فرض التمکّن من العلم فی جمیع مسائله إلّا فی مسألة واحدة لکفی الانسداد فی الفروع لاعتبار الظنّ فی تلک المسألة الاصولیة إذا استلزمت الظنّ بالحکم الفرعی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علم أیضا أنّ مقتضی الانسداد فی الفروع هو اعتبار الظنّ المتعلق بالموضوع الخارجی، ککون الراوی عادلا أو مؤمنا حال الروایة، و کون زرارة هو ابن أعین لا ابن لطیفة، فإنّ جمیع ذلک و إن کان ظنّا بالموضوع الخارجی إلّا أنّه لمّا کان منشأ للظنّ بالحکم الفرعی الکلّی المنسدّ فیه باب العلم عمل بمقتضاه من هذه الجهة و إن لم یعمل به من سائر الجهات المتعلّقة بعدالة ذلک الرجل أو تشخیصه عند إطلاق اسمه المشترک</w:t>
      </w:r>
      <w:r>
        <w:rPr>
          <w:rFonts w:eastAsia="IRNazanin" w:cs="IRNazanin"/>
          <w:color w:val="111111"/>
          <w:sz w:val="28"/>
          <w:szCs w:val="28"/>
          <w:rtl w:val="true"/>
          <w:lang w:bidi="fa-IR"/>
        </w:rPr>
        <w:t>.</w:t>
      </w:r>
    </w:p>
    <w:p>
      <w:pPr>
        <w:pStyle w:val="Heading5"/>
        <w:numPr>
          <w:ilvl w:val="4"/>
          <w:numId w:val="1"/>
        </w:numPr>
        <w:rPr/>
      </w:pPr>
      <w:bookmarkStart w:id="433" w:name="__RefHeading___Toc2646602_3224264995"/>
      <w:bookmarkStart w:id="434" w:name="_Toc172"/>
      <w:bookmarkEnd w:id="433"/>
      <w:r>
        <w:rPr>
          <w:rtl w:val="true"/>
        </w:rPr>
        <w:t>[</w:t>
      </w:r>
      <w:r>
        <w:rPr>
          <w:rtl w:val="true"/>
        </w:rPr>
        <w:t>اعتبار الظنون الرجالیة</w:t>
      </w:r>
      <w:r>
        <w:rPr>
          <w:rtl w:val="true"/>
        </w:rPr>
        <w:t>]</w:t>
      </w:r>
      <w:bookmarkEnd w:id="43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تبیّن أنّ الظنون الرجالیة معتبرة بقول مطلق کالظنون اللغویة عند من قال بمطلق الظنّ فی الأحکام، و لا یحتاج إلی تعیین أنّ اعتبار أقوال أهل الرجال من جهة دخولها فی الشهادة أو الروایة، و لا یقتصر علی أقوال أهل الخبرة </w:t>
      </w:r>
      <w:bookmarkStart w:id="435" w:name="pg12856_162616"/>
    </w:p>
    <w:p>
      <w:pPr>
        <w:pStyle w:val="BookText"/>
        <w:rPr/>
      </w:pPr>
      <w:bookmarkEnd w:id="435"/>
      <w:r>
        <w:rPr>
          <w:rFonts w:ascii="IRNazanin" w:hAnsi="IRNazanin" w:eastAsia="IRNazanin"/>
          <w:color w:val="111111"/>
          <w:sz w:val="28"/>
          <w:sz w:val="28"/>
          <w:szCs w:val="28"/>
          <w:rtl w:val="true"/>
          <w:lang w:bidi="fa-IR"/>
        </w:rPr>
        <w:t>بل یکتفی بتصحیح الغیر و إن کان من آحاد العلماء إذا أفاد قوله الظنّ بصدق الخبر، المستلزم للظنّ بالحکم الفرعی الکلّی</w:t>
      </w:r>
      <w:r>
        <w:rPr>
          <w:rFonts w:eastAsia="IRNazanin" w:cs="IRNazanin"/>
          <w:color w:val="111111"/>
          <w:sz w:val="28"/>
          <w:szCs w:val="28"/>
          <w:rtl w:val="true"/>
          <w:lang w:bidi="fa-IR"/>
        </w:rPr>
        <w:t>.</w:t>
      </w:r>
    </w:p>
    <w:p>
      <w:pPr>
        <w:pStyle w:val="Heading5"/>
        <w:numPr>
          <w:ilvl w:val="4"/>
          <w:numId w:val="1"/>
        </w:numPr>
        <w:rPr/>
      </w:pPr>
      <w:bookmarkStart w:id="436" w:name="__RefHeading___Toc2646604_3224264995"/>
      <w:bookmarkStart w:id="437" w:name="_Toc173"/>
      <w:bookmarkEnd w:id="436"/>
      <w:r>
        <w:rPr>
          <w:rtl w:val="true"/>
        </w:rPr>
        <w:t>[</w:t>
      </w:r>
      <w:r>
        <w:rPr>
          <w:rtl w:val="true"/>
        </w:rPr>
        <w:t>حجیة کلّ ظنّ تولّد منه الظن بالحکم الفرعی الکلّی</w:t>
      </w:r>
      <w:r>
        <w:rPr>
          <w:rtl w:val="true"/>
        </w:rPr>
        <w:t>]</w:t>
      </w:r>
      <w:bookmarkEnd w:id="437"/>
    </w:p>
    <w:p>
      <w:pPr>
        <w:pStyle w:val="BookText"/>
        <w:rPr/>
      </w:pPr>
      <w:r>
        <w:rPr>
          <w:rFonts w:ascii="IRNazanin" w:hAnsi="IRNazanin" w:eastAsia="IRNazanin"/>
          <w:color w:val="111111"/>
          <w:sz w:val="28"/>
          <w:sz w:val="28"/>
          <w:szCs w:val="28"/>
          <w:rtl w:val="true"/>
          <w:lang w:bidi="fa-IR"/>
        </w:rPr>
        <w:t>و ملخّص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ظنّ تولّد منه الظنّ بالحکم الفرعی الکلّی فهو حجّة من هذه الجهة، سواء کان الحکم الفرعی واقعیا أو کان ظاهریا، کالظنّ بحجّیة الاستصحاب تعبّدا، و بحجّیة الأمارة الغیر المفیدة للظنّ الفعلی بالحکم، و سواء تعلّق الظنّ أولا بالمطالب العلمیة أو غیرها إلی آخر ما أشار إلیه الماتن</w:t>
      </w:r>
      <w:r>
        <w:rPr>
          <w:rStyle w:val="FootnoteAnchor"/>
          <w:rtl w:val="true"/>
        </w:rPr>
        <w:footnoteReference w:id="131"/>
      </w:r>
      <w:r>
        <w:rPr>
          <w:rFonts w:ascii="IRNazanin" w:hAnsi="IRNazanin" w:eastAsia="IRNazanin"/>
          <w:color w:val="111111"/>
          <w:sz w:val="28"/>
          <w:sz w:val="28"/>
          <w:szCs w:val="28"/>
          <w:rtl w:val="true"/>
          <w:lang w:bidi="fa-IR"/>
        </w:rPr>
        <w:t>قدّس سرّه من أنّ وجهه واضح، فإنّ مقتضی النتیجة هو لزوم الامتثال الظنّی و ترجیح الراجح علی المرجوح فی العمل، حتی أنّه لو قلنا بخصوصیة فی الأمارات بناء علی عدم التعمیم فی نتیجة دلیل الانسداد لم یکن فرق بین ما تعلّق تلک الأمارة بنفس الحکم أو بما یتولّد منه الظنّ بالحکم، و لا إشکال فی ذلک أصلا إلّا أن یغفل غافل عن مقتضی دلیل الانسداد فیدّعی الاختصاص بالبعض دون البعض من حیث لا یشعر</w:t>
      </w:r>
      <w:r>
        <w:rPr>
          <w:rFonts w:eastAsia="IRNazanin" w:cs="IRNazanin"/>
          <w:color w:val="111111"/>
          <w:sz w:val="28"/>
          <w:szCs w:val="28"/>
          <w:rtl w:val="true"/>
          <w:lang w:bidi="fa-IR"/>
        </w:rPr>
        <w:t>.</w:t>
      </w:r>
    </w:p>
    <w:p>
      <w:pPr>
        <w:pStyle w:val="Heading5"/>
        <w:numPr>
          <w:ilvl w:val="4"/>
          <w:numId w:val="1"/>
        </w:numPr>
        <w:rPr/>
      </w:pPr>
      <w:bookmarkStart w:id="438" w:name="__RefHeading___Toc2646606_3224264995"/>
      <w:bookmarkStart w:id="439" w:name="_Toc174"/>
      <w:bookmarkEnd w:id="438"/>
      <w:r>
        <w:rPr>
          <w:rtl w:val="true"/>
        </w:rPr>
        <w:t>[</w:t>
      </w:r>
      <w:r>
        <w:rPr>
          <w:rtl w:val="true"/>
        </w:rPr>
        <w:t>مبنی محلّ النزاع فی حجّیة مطلق الظنّ</w:t>
      </w:r>
      <w:r>
        <w:rPr>
          <w:rtl w:val="true"/>
        </w:rPr>
        <w:t>]</w:t>
      </w:r>
      <w:bookmarkEnd w:id="43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حجّیة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حجّیة خبر الواحد و أمثاله من مسائل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تقدیر اعتبار الأمارات من باب التعبّد أو الظنّ الشأنی و السببیة المطلقة أو المقیّدة بعدم الظنّ بالخلاف، و أمّا علی تقدیر اعتبارها من باب الظنّ الفعلی فلا ینفکّ الظنّ بحجّیتها عن الظنّ بمؤدّاها فلا یبقی مسرح للنزاع فی حجّیة ذلک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الثابت بمقدّمات دلیل الانسداد هو الاکتفاء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40" w:name="__RefHeading___Toc2646608_3224264995"/>
      <w:bookmarkStart w:id="441" w:name="_Toc175"/>
      <w:bookmarkEnd w:id="440"/>
      <w:r>
        <w:rPr>
          <w:rtl w:val="true"/>
        </w:rPr>
        <w:t>[</w:t>
      </w:r>
      <w:r>
        <w:rPr>
          <w:rtl w:val="true"/>
        </w:rPr>
        <w:t>مقتضی حال الانسداد فی الأحکام بالنسبة إلی الموضوعات الصرفة</w:t>
      </w:r>
      <w:r>
        <w:rPr>
          <w:rtl w:val="true"/>
        </w:rPr>
        <w:t>]</w:t>
      </w:r>
      <w:bookmarkEnd w:id="44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فی الأمر الثالث أنّ مقتضی حال الانسداد فی الأحکام هو حجّیة الظنّ فی الفروع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فی الأحکام و موضوعاتها المستنبطة </w:t>
      </w:r>
      <w:bookmarkStart w:id="442" w:name="pg12856_162617"/>
    </w:p>
    <w:p>
      <w:pPr>
        <w:pStyle w:val="BookText"/>
        <w:rPr/>
      </w:pPr>
      <w:bookmarkEnd w:id="442"/>
      <w:r>
        <w:rPr>
          <w:rFonts w:ascii="IRNazanin" w:hAnsi="IRNazanin" w:eastAsia="IRNazanin"/>
          <w:color w:val="111111"/>
          <w:sz w:val="28"/>
          <w:sz w:val="28"/>
          <w:szCs w:val="28"/>
          <w:rtl w:val="true"/>
          <w:lang w:bidi="fa-IR"/>
        </w:rPr>
        <w:t>مطلقا سواء استلزام الظنّ بها للظنّ بالفروع أم لم یستلزم حسبما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الأمر الرابع بیان مقتضی حال الانسداد فی الأحکام بالنسبة إلی الموضوعات الصرفة هل هو کحاله بالنسبة إلی الموضوعات المستنبطة، أم لا کما هو الحقّ و المحقّق، و قبل الخوض فی ذلک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کون الکلام فی حجّیة مطلق الظنّ فی الموضوعات الصرفة الذی تکفّله الأمر الرابع هل هو کلام فی مسألة اصولیة کالکلام فی حجّیة الظنّ فی الاصول و الموضوعات المستنبطة المتکفّل له الأمر السابق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معنی الموضوعات المستنبطة و الصرفة لتبیّن فرقهما اسما کما تبیّن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محلّ الکلام و بیان المستثنیات عن محلّه، فالکلام إذن فی مقامات</w:t>
      </w:r>
      <w:r>
        <w:rPr>
          <w:rFonts w:eastAsia="IRNazanin" w:cs="IRNazanin"/>
          <w:color w:val="111111"/>
          <w:sz w:val="28"/>
          <w:szCs w:val="28"/>
          <w:rtl w:val="true"/>
          <w:lang w:bidi="fa-IR"/>
        </w:rPr>
        <w:t>.</w:t>
      </w:r>
    </w:p>
    <w:p>
      <w:pPr>
        <w:pStyle w:val="Heading5"/>
        <w:numPr>
          <w:ilvl w:val="4"/>
          <w:numId w:val="1"/>
        </w:numPr>
        <w:rPr/>
      </w:pPr>
      <w:bookmarkStart w:id="443" w:name="__RefHeading___Toc2646610_3224264995"/>
      <w:bookmarkStart w:id="444" w:name="_Toc176"/>
      <w:bookmarkEnd w:id="443"/>
      <w:r>
        <w:rPr>
          <w:rtl w:val="true"/>
        </w:rPr>
        <w:t>[</w:t>
      </w:r>
      <w:r>
        <w:rPr>
          <w:rtl w:val="true"/>
        </w:rPr>
        <w:t>حجّیة الظنّ فی الموضوعات الصرفة</w:t>
      </w:r>
      <w:r>
        <w:rPr>
          <w:rtl w:val="true"/>
        </w:rPr>
        <w:t>]</w:t>
      </w:r>
      <w:bookmarkEnd w:id="444"/>
    </w:p>
    <w:p>
      <w:pPr>
        <w:pStyle w:val="BookText"/>
        <w:rPr/>
      </w:pPr>
      <w:r>
        <w:rPr>
          <w:rFonts w:ascii="IRNazanin" w:hAnsi="IRNazanin" w:eastAsia="IRNazanin"/>
          <w:color w:val="111111"/>
          <w:sz w:val="28"/>
          <w:sz w:val="28"/>
          <w:szCs w:val="28"/>
          <w:rtl w:val="true"/>
          <w:lang w:bidi="fa-IR"/>
        </w:rPr>
        <w:t>أمّا فی المقام الأول فتحقیقه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الظنّ فی الموضوعات الصرفة و عدم حجّیته فیها و إن کان أصلا إلّا أنّه لیس من اصول الفقه، یعنی و إن کان مسألة کلّیة و قاعدة من القواعد الشرعیة إلّا أنّه لیس من القواعد الممهّدة لاستنباط الأحکام الشرعیة الفرعیة، حتی یعدّ فی عداد اصول الفقه، أ لا تری أنّ الکلام فی حجّیة الظنّ فی الموضوعات الصرفة نظیر الکلام فی نجاسة العصیر العنبی و نجاسة ابن آوی و نحوهما فی کونه مما یتعلق بالعمل بلا واسطة لا بواسطة فهو من مسائل الفقه لا الاصول، فتعرض المصنف لها فی الاصول من باب الاطّراد و المناسبة و دفع توهّم کونها کالموضوعات المستنبطة فی الحکم</w:t>
      </w:r>
      <w:r>
        <w:rPr>
          <w:rFonts w:eastAsia="IRNazanin" w:cs="IRNazanin"/>
          <w:color w:val="111111"/>
          <w:sz w:val="28"/>
          <w:szCs w:val="28"/>
          <w:rtl w:val="true"/>
          <w:lang w:bidi="fa-IR"/>
        </w:rPr>
        <w:t>.</w:t>
      </w:r>
    </w:p>
    <w:p>
      <w:pPr>
        <w:pStyle w:val="Heading5"/>
        <w:numPr>
          <w:ilvl w:val="4"/>
          <w:numId w:val="1"/>
        </w:numPr>
        <w:rPr/>
      </w:pPr>
      <w:bookmarkStart w:id="445" w:name="__RefHeading___Toc2646612_3224264995"/>
      <w:bookmarkStart w:id="446" w:name="_Toc177"/>
      <w:bookmarkEnd w:id="445"/>
      <w:r>
        <w:rPr>
          <w:rtl w:val="true"/>
        </w:rPr>
        <w:t>[</w:t>
      </w:r>
      <w:r>
        <w:rPr>
          <w:rtl w:val="true"/>
        </w:rPr>
        <w:t>الکلام فی الموضوعات المستنبطة و الفرق بینها و بین الموضوعات الصرفة</w:t>
      </w:r>
      <w:r>
        <w:rPr>
          <w:rtl w:val="true"/>
        </w:rPr>
        <w:t>]</w:t>
      </w:r>
      <w:bookmarkEnd w:id="4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المقام الثانی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الموضوعات المستنبطة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الموضوعات الکلّیة المنوط بها الأحکام الشرعیة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أوامر الکتاب و السنّة للوجوب أو الندب، و خبر المظنون صدوره حجّة أم لا، و أنّ قبلة العراق ما بین </w:t>
      </w:r>
    </w:p>
    <w:p>
      <w:pPr>
        <w:pStyle w:val="BookText"/>
        <w:rPr/>
      </w:pPr>
      <w:r>
        <w:rPr>
          <w:rFonts w:ascii="IRNazanin" w:hAnsi="IRNazanin" w:eastAsia="IRNazanin"/>
          <w:color w:val="111111"/>
          <w:sz w:val="28"/>
          <w:sz w:val="28"/>
          <w:szCs w:val="28"/>
          <w:rtl w:val="true"/>
          <w:lang w:bidi="fa-IR"/>
        </w:rPr>
        <w:t>المشرق و المغرب، و أمثال هذه المسائل مما یکون بیانه من وظیفة الفقیه، 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الموضوعات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الموضوعات الجزئیة الخارجیة الغیر المنوط بها الأحکام الشرعیة، ککونی أتیت بالأمر الواجب الفلانی أم لا؟ و أنّ صلاتی هذه وقعت علی القبلة أم لا؟ و أنّ هذا الشبح المرئی کلب أم لا؟ و أمثال ذلک مما لیس من شأن الفقیه فضلا عن الشارع بیانه، بل المرجع فی بیانه إلی الخارج من التذکّر بمذکّر، أو الاستضاءة بمصباح، أو الاستعلام من بیّنة أو خبرة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تبیّن الفرق و مباینة الموضوعات المستنبطة للموضوعات الصرفة من جهات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الافتراق فی الکلّیة و الجزئیة و کون المستنبط من المفاهیم الکلّیة الذهنیة و الموضوع الصرف من المصادیق الخارجیة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الافتراق فی إناطة الأحکام الشرعیة بالموضوعات المستنبطة علی وجه التوقّف، و مقدّمیة تعیین الموضوع لتعیین حکمه الشرعی، و عدم إناطتها بالموضوعات الصرفة بوجه من الوجوه، و من أجل ذلک سمّی هذا بالموضوع الصرف و ذلک بالمستنبط، أو لعلّه من أجل أنّ تشخیص الموضوع الصرف إنّما یتأتّی من الطرق الخارجیة کالبیّنة و نحوه، و المستنبط إنّما یتأتّی تشخیصه من الطرق الداخلیة، و هو ملاحظة معناه و حقیقته، فالموضوع الصرف إنّما یتشخّص بتوسط الامور الخارجیة، و المستنبط إنّما یشخّص بتوسط فهم المعانی و الحقائق، و هذا هو السرّ فی اتفاقهم علی حجّیة مطلق الظنّ فی الموضوعات المستنبطة حتی علی تقدیر الانفتاح فی الأحکام و عدم حجیته فی الموضوعات الصرفة حتی علی تقدیر الانسداد فی الأحکام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وضوح انسداد ما عدا الظنّ المطلق من أبواب العلم </w:t>
      </w:r>
      <w:bookmarkStart w:id="447" w:name="pg12856_162619"/>
    </w:p>
    <w:p>
      <w:pPr>
        <w:pStyle w:val="BookText"/>
        <w:rPr/>
      </w:pPr>
      <w:bookmarkEnd w:id="447"/>
      <w:r>
        <w:rPr>
          <w:rFonts w:ascii="IRNazanin" w:hAnsi="IRNazanin" w:eastAsia="IRNazanin"/>
          <w:color w:val="111111"/>
          <w:sz w:val="28"/>
          <w:sz w:val="28"/>
          <w:szCs w:val="28"/>
          <w:rtl w:val="true"/>
          <w:lang w:bidi="fa-IR"/>
        </w:rPr>
        <w:t>و الظنون الخاصّة من الکتاب و السنّة فی تشخیص ما یتوقّف تشخیصه من الموضوعات علی فهم معانیها و حقائقها، و عدم انسداد ما عداه فی تشخیص ما یتوقّف تشخیصه من الموضوعات علی الامور الخارجیة من الرجوع إلی الخبرة أو البیّنة و نحوه</w:t>
      </w:r>
      <w:r>
        <w:rPr>
          <w:rFonts w:eastAsia="IRNazanin" w:cs="IRNazanin"/>
          <w:color w:val="111111"/>
          <w:sz w:val="28"/>
          <w:szCs w:val="28"/>
          <w:rtl w:val="true"/>
          <w:lang w:bidi="fa-IR"/>
        </w:rPr>
        <w:t>.</w:t>
      </w:r>
    </w:p>
    <w:p>
      <w:pPr>
        <w:pStyle w:val="Heading5"/>
        <w:numPr>
          <w:ilvl w:val="4"/>
          <w:numId w:val="1"/>
        </w:numPr>
        <w:rPr/>
      </w:pPr>
      <w:bookmarkStart w:id="448" w:name="__RefHeading___Toc2646614_3224264995"/>
      <w:bookmarkStart w:id="449" w:name="_Toc178"/>
      <w:bookmarkEnd w:id="448"/>
      <w:r>
        <w:rPr>
          <w:rtl w:val="true"/>
        </w:rPr>
        <w:t>[</w:t>
      </w:r>
      <w:r>
        <w:rPr>
          <w:rtl w:val="true"/>
        </w:rPr>
        <w:t>تشخیص محلّ الکلام و بیان المستثنیات</w:t>
      </w:r>
      <w:r>
        <w:rPr>
          <w:rtl w:val="true"/>
        </w:rPr>
        <w:t>]</w:t>
      </w:r>
      <w:bookmarkEnd w:id="449"/>
    </w:p>
    <w:p>
      <w:pPr>
        <w:pStyle w:val="BookText"/>
        <w:rPr/>
      </w:pPr>
      <w:r>
        <w:rPr>
          <w:rFonts w:ascii="IRNazanin" w:hAnsi="IRNazanin" w:eastAsia="IRNazanin"/>
          <w:color w:val="111111"/>
          <w:sz w:val="28"/>
          <w:sz w:val="28"/>
          <w:szCs w:val="28"/>
          <w:rtl w:val="true"/>
          <w:lang w:bidi="fa-IR"/>
        </w:rPr>
        <w:t>و أمّا الکلام فی المقام الثالث فتحقیقه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عدم حجّیة الظنّ فی الموضوعات الصرفة هو مطلق الموضوعات الصرفة إلّا ما خرج بدلیل خارج، کالموضوع الصرف المنسدّ فی تشخیصه باب ما عدا الظنّ المطلق، بحیث یلزم من عدم العمل بمطلق الظنّ فی تشخیصه محذور عدم العمل بحکم الشارع المنوط بمفهوم کلّی ذلک الموضوع الصرف، کما فی مثل العدالة و النسب و الضرر و شبهها من الموضوعات المستنبطة، التی یلزم من إجراء الاصول فی موضوعاتها الصرفة عند عدم العلم الوقوع فی مخالفة الواقع کثیرا علی وجه نعلم من الخارج عدم رضا الشارع بتلک المخالفة، و تعطیل الأحکام المترتبة علی العدالة من قیام الجماعات و قبول الشهادات و فصل الخصومات، و علی النسب من الإرث و الاستیراث، و علی الضرر من التحرز عن الوقوع فی المضارّ و المهالک، بخلاف سائر الموضوعات من مثل الکلب و النجس و الطاهر، و المباح و الحرام، و نحوها مما لا یلزم من مجری الأصل فی موضوعاتها الصرفة عند عدم العلم ما لزم من مجراه فی تلک الوقائع من المخالفة للواقع المنافیة لغرض الشارع، کما لا یخفی علی الخبیر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الوقوع فی مخالفة الواقع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الفرق بین الوقوع فی الضرر اللازم من عدم العمل بالظنّ فی الضرر، و بین الوقوع فی مخالفة الواقع اللازم من عدم العمل بالظنّ فی العدالة و شبهه، من حیث إنّ دفع الضرر دفع للمفسدة بخلاف ما یترتب علی </w:t>
      </w:r>
      <w:bookmarkStart w:id="450" w:name="pg12856_162620"/>
    </w:p>
    <w:p>
      <w:pPr>
        <w:pStyle w:val="BookText"/>
        <w:rPr/>
      </w:pPr>
      <w:bookmarkEnd w:id="450"/>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إشارة إلی دفعه بعدم الفارق بعد فرض رجوع تفویت حقوق الناس الکلیة و حقوق اللّه النوعیة الفرضیة إلی الضرر و المفسدة أیضا، فالفرق المذکور غیر فارق</w:t>
      </w:r>
      <w:r>
        <w:rPr>
          <w:rFonts w:eastAsia="IRNazanin" w:cs="IRNazanin"/>
          <w:color w:val="111111"/>
          <w:sz w:val="28"/>
          <w:szCs w:val="28"/>
          <w:rtl w:val="true"/>
          <w:lang w:bidi="fa-IR"/>
        </w:rPr>
        <w:t>.</w:t>
      </w:r>
    </w:p>
    <w:p>
      <w:pPr>
        <w:pStyle w:val="Heading5"/>
        <w:numPr>
          <w:ilvl w:val="4"/>
          <w:numId w:val="1"/>
        </w:numPr>
        <w:rPr/>
      </w:pPr>
      <w:bookmarkStart w:id="451" w:name="__RefHeading___Toc2646616_3224264995"/>
      <w:bookmarkStart w:id="452" w:name="_Toc179"/>
      <w:bookmarkEnd w:id="451"/>
      <w:r>
        <w:rPr>
          <w:rtl w:val="true"/>
        </w:rPr>
        <w:t>[</w:t>
      </w:r>
      <w:r>
        <w:rPr>
          <w:rtl w:val="true"/>
        </w:rPr>
        <w:t>عدم اقتضاء الانسداد فی الأحکام لحجّیة مطلق الظنّ فی الموضوعات الصرفة</w:t>
      </w:r>
      <w:r>
        <w:rPr>
          <w:rtl w:val="true"/>
        </w:rPr>
        <w:t>]</w:t>
      </w:r>
      <w:bookmarkEnd w:id="452"/>
    </w:p>
    <w:p>
      <w:pPr>
        <w:pStyle w:val="BookText"/>
        <w:rPr/>
      </w:pPr>
      <w:r>
        <w:rPr>
          <w:rFonts w:ascii="IRNazanin" w:hAnsi="IRNazanin" w:eastAsia="IRNazanin"/>
          <w:color w:val="111111"/>
          <w:sz w:val="28"/>
          <w:sz w:val="28"/>
          <w:szCs w:val="28"/>
          <w:rtl w:val="true"/>
          <w:lang w:bidi="fa-IR"/>
        </w:rPr>
        <w:t>و إذ قد عرفت هذه المقدّمات فلنرجع إلی ذی المقدّمة، و هو عدم اقتضاء الانسداد فی الأحکام لحجّیة مطلق الظنّ فی الموضوعات الصرفة و إن اقتضی حجّیته فی مطلق الأحکام، من غیر فرق بین اصوله و فروعه، و لا بین نفس الأحکام و موضوعاتها المستنبطة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الملازمة بین حجّیة مطلق الظنّ فی الأحکام لحجّیته فی الموضوعات الصرفة بالوجدان، و عدم الانسداد آخر فی الموضوعات الصرفة بالفرض، فحجّیة الظن فی تعیین الحکم بمعنی معذوریة الشخص مع المخالفة لا یستلزم حجّیته فی الانطباق بمعنی معذوریته لو لم یکن الخارج منطبقا علی ذلک الذی عیّن، و إلّا لکان الإذن فی العمل بالظنّ فی بعض شروط الصلاة أو أجزائها یوجب جوازه فی سائرها، و هو بدیهی البطلان؛ فعلم أنّ قیاس الظنّ بالامور الخارجیة علی المسائل الاصولیة و اللغویة و استلزامه للظنّ بالامتثال قیاس مع الفارق، لأنّ جمیع هذه یرجع إلی شی‌ء واحد هو الظنّ بتعیین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عدم حجّیة مطلق الظنّ فی الموضوعات الصرفة، بل هو مما لم یعرف خلافه من أحد من العلماء، سوی ما حکی عن شریف العلماء قدّس سرّه من نسبته إلی القوانین، و لم نستعهده من القوانین إلّا فی مثل الضرر و العدالة و النسب مما استثنی عن محلّ الکلام،</w:t>
      </w:r>
    </w:p>
    <w:p>
      <w:pPr>
        <w:pStyle w:val="Heading5"/>
        <w:numPr>
          <w:ilvl w:val="4"/>
          <w:numId w:val="1"/>
        </w:numPr>
        <w:rPr/>
      </w:pPr>
      <w:bookmarkStart w:id="453" w:name="__RefHeading___Toc2646618_3224264995"/>
      <w:bookmarkStart w:id="454" w:name="_Toc180"/>
      <w:bookmarkEnd w:id="453"/>
      <w:r>
        <w:rPr>
          <w:rtl w:val="true"/>
        </w:rPr>
        <w:t>[</w:t>
      </w:r>
      <w:r>
        <w:rPr>
          <w:rtl w:val="true"/>
        </w:rPr>
        <w:t>موهمات حجّیة الظنّ فی الموضوعات الصرفة</w:t>
      </w:r>
      <w:r>
        <w:rPr>
          <w:rtl w:val="true"/>
        </w:rPr>
        <w:t>]</w:t>
      </w:r>
      <w:bookmarkEnd w:id="454"/>
    </w:p>
    <w:p>
      <w:pPr>
        <w:pStyle w:val="BookText"/>
        <w:rPr/>
      </w:pPr>
      <w:r>
        <w:rPr>
          <w:rFonts w:ascii="IRNazanin" w:hAnsi="IRNazanin" w:eastAsia="IRNazanin"/>
          <w:color w:val="111111"/>
          <w:sz w:val="28"/>
          <w:sz w:val="28"/>
          <w:szCs w:val="28"/>
          <w:rtl w:val="true"/>
          <w:lang w:bidi="fa-IR"/>
        </w:rPr>
        <w:t>و لکن مع ذلک للموهم توهّمه بأمور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المقایسة علی الموضوعات المستنبطة، و قد عرفت کونه مع الفارق</w:t>
      </w:r>
      <w:r>
        <w:rPr>
          <w:rFonts w:eastAsia="IRNazanin" w:cs="IRNazanin"/>
          <w:color w:val="111111"/>
          <w:sz w:val="28"/>
          <w:szCs w:val="28"/>
          <w:rtl w:val="true"/>
          <w:lang w:bidi="fa-IR"/>
        </w:rPr>
        <w:t xml:space="preserve">. </w:t>
      </w:r>
      <w:bookmarkStart w:id="455" w:name="pg12856_162621"/>
    </w:p>
    <w:p>
      <w:pPr>
        <w:pStyle w:val="BookText"/>
        <w:rPr/>
      </w:pPr>
      <w:bookmarkEnd w:id="455"/>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مجری انسداد آخر فی الموضوعات الصرفة وراء الانسداد فی الأحکام و قد عرفت أیضا عدم مجراه و عدم تمامیة مقدّماته المنتجة حجّیة مطلق الظنّ فیها من استلزام الاحتیاط العسر و الحرج و البراءة الخروج عن الدین، فإنّ الموضوعات الصرفة لم یتغیّر حالها فی هذا الزمان لحالها فی الأزمنة السابقة کتغیر الأحکام حتی یجری فیها ما یجری فی الأحکام من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استلزام عدم حجّیة مطلق الظنّ فیها ترجیح المرجوح، أعنی الوهم علی الراجح أعنی الظنّ و 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بکثیر من الظنون المحرّمة العمل بالإجماع و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بأنّ العمل فی موارد الظنّ بالموضوعات الصرفة إنّما هو علی الاصول المقررة للشاکّ من البراءة أو الاحتیاط، لا بالوهم حتی یلزم ترجیح المرجوح، حسبما تقدّم توضیحه فی الجواب عن الاستدلال بقبح ترجیح المرجوح علی حجّیة مطلق الظنّ فی الأحکام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حجّیة مطلق الظنّ فیها بلزوم دفع الضرر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تقدّم فی الجواب عن الاستدلال به علی حجّیة الظنّ فی الأحکام من منع الصغری، و هو الظنّ بالضرر بعد الإجماع علی إجراء الاصول فی الموضوعات الصرفة عند الشکّ حسبما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إلغاء الظنّ فی الموضوعات الصرفة و لو بالتدریج إنّما یؤدّی بالأخرة إلی حصول العلم الإجمالی بالوقوع فی مخالفة الواقع فی أحدها</w:t>
      </w:r>
      <w:r>
        <w:rPr>
          <w:rFonts w:eastAsia="IRNazanin" w:cs="IRNazanin"/>
          <w:color w:val="111111"/>
          <w:sz w:val="28"/>
          <w:szCs w:val="28"/>
          <w:rtl w:val="true"/>
          <w:lang w:bidi="fa-IR"/>
        </w:rPr>
        <w:t>.</w:t>
      </w:r>
    </w:p>
    <w:p>
      <w:pPr>
        <w:pStyle w:val="Heading5"/>
        <w:numPr>
          <w:ilvl w:val="4"/>
          <w:numId w:val="1"/>
        </w:numPr>
        <w:rPr/>
      </w:pPr>
      <w:bookmarkStart w:id="456" w:name="__RefHeading___Toc2646620_3224264995"/>
      <w:bookmarkStart w:id="457" w:name="_Toc181"/>
      <w:bookmarkEnd w:id="456"/>
      <w:r>
        <w:rPr>
          <w:rtl w:val="true"/>
        </w:rPr>
        <w:t>[</w:t>
      </w:r>
      <w:r>
        <w:rPr>
          <w:rtl w:val="true"/>
        </w:rPr>
        <w:t>العمل بالأمارات الشرعیة طول العمر یؤدی إلی حصول العلم الإجمالی بالخلاف عادة</w:t>
      </w:r>
      <w:r>
        <w:rPr>
          <w:rtl w:val="true"/>
        </w:rPr>
        <w:t>]</w:t>
      </w:r>
      <w:bookmarkEnd w:id="45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بجمیع الأمارات الظاهریة و الأدلة الشرعیة، فإنّ العمل بالید أو السوق أو البیّنة أو الاجتهاد فی جمیع موارد الابتلاء من أول العمر إلی آخره لا بدّ و أن یؤدّی إلی حصول العلم الإجمالی عادة بالوقوع فی مخالفة الواقع فی أحدها لا محالة</w:t>
      </w:r>
      <w:r>
        <w:rPr>
          <w:rFonts w:eastAsia="IRNazanin" w:cs="IRNazanin"/>
          <w:color w:val="111111"/>
          <w:sz w:val="28"/>
          <w:szCs w:val="28"/>
          <w:rtl w:val="true"/>
          <w:lang w:bidi="fa-IR"/>
        </w:rPr>
        <w:t xml:space="preserve">. </w:t>
      </w:r>
      <w:bookmarkStart w:id="458" w:name="pg12856_162622"/>
    </w:p>
    <w:p>
      <w:pPr>
        <w:pStyle w:val="Heading5"/>
        <w:numPr>
          <w:ilvl w:val="4"/>
          <w:numId w:val="1"/>
        </w:numPr>
        <w:rPr/>
      </w:pPr>
      <w:bookmarkStart w:id="459" w:name="__RefHeading___Toc2646622_3224264995"/>
      <w:bookmarkStart w:id="460" w:name="_Toc182"/>
      <w:bookmarkEnd w:id="458"/>
      <w:bookmarkEnd w:id="459"/>
      <w:r>
        <w:rPr>
          <w:rtl w:val="true"/>
        </w:rPr>
        <w:t>[</w:t>
      </w:r>
      <w:r>
        <w:rPr>
          <w:rtl w:val="true"/>
        </w:rPr>
        <w:t>اعتبار فعلیة العلم الإجمالی فی وقائع محصورة</w:t>
      </w:r>
      <w:r>
        <w:rPr>
          <w:rtl w:val="true"/>
        </w:rPr>
        <w:t>]</w:t>
      </w:r>
      <w:bookmarkEnd w:id="460"/>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بأنّ العلم الإجمالی علی القول باعتباره إنّما یعتبر إذا کان علما إجمالیا فعلیا فی وقائع محصورة، و أمّا إذا کان علما إجمالیا شأنیا حاصلا بعد ارتکاب مواقع الشبهة الغیر المحصورة فإنّه لا یؤثّر حرمة ارتکاب تلک الوقائع التدریجیة إجماعا، و لعدم تعقل تأثیر المتأخّر فی المتقدّم بحسب الوجود، کما فی ما نحن فیه، و سیأتی توضیح ذلک إن شاء اللّه</w:t>
      </w:r>
      <w:r>
        <w:rPr>
          <w:rFonts w:eastAsia="IRNazanin" w:cs="IRNazanin"/>
          <w:color w:val="111111"/>
          <w:sz w:val="28"/>
          <w:szCs w:val="28"/>
          <w:rtl w:val="true"/>
          <w:lang w:bidi="fa-IR"/>
        </w:rPr>
        <w:t>.</w:t>
      </w:r>
    </w:p>
    <w:p>
      <w:pPr>
        <w:pStyle w:val="Heading5"/>
        <w:numPr>
          <w:ilvl w:val="4"/>
          <w:numId w:val="1"/>
        </w:numPr>
        <w:rPr/>
      </w:pPr>
      <w:bookmarkStart w:id="461" w:name="__RefHeading___Toc2646624_3224264995"/>
      <w:bookmarkStart w:id="462" w:name="_Toc183"/>
      <w:bookmarkEnd w:id="461"/>
      <w:r>
        <w:rPr>
          <w:rtl w:val="true"/>
        </w:rPr>
        <w:t>[</w:t>
      </w:r>
      <w:r>
        <w:rPr>
          <w:rtl w:val="true"/>
        </w:rPr>
        <w:t>اعتبار الظنّ فی اصول الدین</w:t>
      </w:r>
      <w:r>
        <w:rPr>
          <w:rtl w:val="true"/>
        </w:rPr>
        <w:t>]</w:t>
      </w:r>
      <w:bookmarkEnd w:id="46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الظنّ فی 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هذه المسألة من باب المناسبة و الاطّراد و إلّا فلیست هی بمسألة اصولیة، بل هی مسألة شرعیة فرعیة إن عبّرنا عنها کما عبّر الأکثر بأنّه هل یجوز الاکتفاء بالظنّ فی اصول الدین أم یجب القطع فیها؟ و مسألة عقلیة حکمیة إن عبّرنا عنها بما عن بعض من أنّ حقیقة الإسلام و الإیمان هل هو القطع باصول الدین أم هو الظنّ؟</w:t>
      </w:r>
    </w:p>
    <w:p>
      <w:pPr>
        <w:pStyle w:val="Heading5"/>
        <w:numPr>
          <w:ilvl w:val="4"/>
          <w:numId w:val="1"/>
        </w:numPr>
        <w:rPr/>
      </w:pPr>
      <w:bookmarkStart w:id="463" w:name="__RefHeading___Toc2646626_3224264995"/>
      <w:bookmarkStart w:id="464" w:name="_Toc184"/>
      <w:bookmarkEnd w:id="463"/>
      <w:r>
        <w:rPr>
          <w:rtl w:val="true"/>
        </w:rPr>
        <w:t>[</w:t>
      </w:r>
      <w:r>
        <w:rPr>
          <w:rtl w:val="true"/>
        </w:rPr>
        <w:t>تحریر محلّ النزاع فی اصول الدین</w:t>
      </w:r>
      <w:r>
        <w:rPr>
          <w:rtl w:val="true"/>
        </w:rPr>
        <w:t>]</w:t>
      </w:r>
      <w:bookmarkEnd w:id="464"/>
    </w:p>
    <w:p>
      <w:pPr>
        <w:pStyle w:val="BookText"/>
        <w:rPr/>
      </w:pPr>
      <w:r>
        <w:rPr>
          <w:rFonts w:ascii="IRNazanin" w:hAnsi="IRNazanin" w:eastAsia="IRNazanin"/>
          <w:color w:val="111111"/>
          <w:sz w:val="28"/>
          <w:sz w:val="28"/>
          <w:szCs w:val="28"/>
          <w:rtl w:val="true"/>
          <w:lang w:bidi="fa-IR"/>
        </w:rPr>
        <w:t>و کیف کان، فینبغی أولا تنقیح محلّ النزاع فیها من جهات، أعنی من جهة تشخیص کون النزاع هل هو فی خصوص المعارف الخمس من اصول الدین، أم فی الأعمّ منه و من تفاصیل المعارف، أم فی الأعمّ منه و من مطلق ضروریات الدین، بل و إجماعیاته، أو فی الأعمّ منه و من مسائل الطبیعیة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جهة تشخیص کیفیة وجوب الاعتقاد المطلوب فی اصول الدین هل هو علی وجه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لیلحق فاقده بالفسقة و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وجه یعتبر ذلک فی تحقّق الإسلام، لیلحق فاقده بالکفرة و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جهة تشخیص کون النزاع فی اعتباره فی مطلق المکلّفین أو فی خصوص المتمکنین بحسب الاستعداد، و علوّ الفهم و الهمّة من تحصیل مقدّمات استنباط المطالب الاعتقادیة الاصولیة و العملیة عن الأدلّة العقلیة و النقلیة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من جهة تعداد الأقوال، و بیان المراد منها فی المقال</w:t>
      </w:r>
      <w:r>
        <w:rPr>
          <w:rFonts w:eastAsia="IRNazanin" w:cs="IRNazanin"/>
          <w:color w:val="111111"/>
          <w:sz w:val="28"/>
          <w:szCs w:val="28"/>
          <w:rtl w:val="true"/>
          <w:lang w:bidi="fa-IR"/>
        </w:rPr>
        <w:t xml:space="preserve">. </w:t>
      </w:r>
      <w:bookmarkStart w:id="465" w:name="pg12856_162623"/>
    </w:p>
    <w:p>
      <w:pPr>
        <w:pStyle w:val="BookText"/>
        <w:rPr/>
      </w:pPr>
      <w:bookmarkEnd w:id="465"/>
      <w:r>
        <w:rPr>
          <w:rFonts w:ascii="IRNazanin" w:hAnsi="IRNazanin" w:eastAsia="IRNazanin"/>
          <w:color w:val="111111"/>
          <w:sz w:val="28"/>
          <w:sz w:val="28"/>
          <w:szCs w:val="28"/>
          <w:rtl w:val="true"/>
          <w:lang w:bidi="fa-IR"/>
        </w:rPr>
        <w:t>أمّا تحریر محلّ النزاع من الجهة الاولی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ذکر العلّامة</w:t>
      </w:r>
      <w:r>
        <w:rPr>
          <w:rStyle w:val="FootnoteAnchor"/>
          <w:rtl w:val="true"/>
        </w:rPr>
        <w:footnoteReference w:id="132"/>
      </w:r>
      <w:r>
        <w:rPr>
          <w:rFonts w:ascii="IRNazanin" w:hAnsi="IRNazanin" w:eastAsia="IRNazanin"/>
          <w:color w:val="111111"/>
          <w:sz w:val="28"/>
          <w:sz w:val="28"/>
          <w:szCs w:val="28"/>
          <w:rtl w:val="true"/>
          <w:lang w:bidi="fa-IR"/>
        </w:rPr>
        <w:t>فی باب الحادی عشر وجوب المعرفة بتفاصیل المعارف الخمس، و أمکن الاستشهاد له بعموم وجوب التّفقه فی الدین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لِیَتَفَقَّهُوا فِی الدِّینِ</w:t>
      </w:r>
      <w:r>
        <w:rPr>
          <w:rStyle w:val="FootnoteAnchor"/>
          <w:rtl w:val="true"/>
        </w:rPr>
        <w:footnoteReference w:id="133"/>
      </w:r>
      <w:r>
        <w:rPr>
          <w:rFonts w:ascii="Amiri" w:hAnsi="Amiri" w:eastAsia="Amiri" w:cs="Amiri"/>
          <w:color w:val="111111"/>
          <w:sz w:val="28"/>
          <w:sz w:val="28"/>
          <w:szCs w:val="28"/>
          <w:rtl w:val="true"/>
          <w:lang w:bidi="ar-SA"/>
        </w:rPr>
        <w:t>وَ ما خَلَقْتُ الْجِنَّ وَ الْإِنْسَ إِلَّا لِیَعْبُدُونِ</w:t>
      </w:r>
      <w:r>
        <w:rPr>
          <w:rStyle w:val="FootnoteAnchor"/>
          <w:rtl w:val="true"/>
        </w:rPr>
        <w:footnoteReference w:id="134"/>
      </w:r>
      <w:r>
        <w:rPr>
          <w:rFonts w:ascii="Amiri" w:hAnsi="Amiri" w:eastAsia="Amiri" w:cs="Amiri"/>
          <w:color w:val="111111"/>
          <w:sz w:val="28"/>
          <w:sz w:val="28"/>
          <w:szCs w:val="28"/>
          <w:rtl w:val="true"/>
          <w:lang w:bidi="ar-SA"/>
        </w:rPr>
        <w:t>أی لیعرفون، إلّا أنّ الحقّ المحقّق</w:t>
      </w:r>
    </w:p>
    <w:p>
      <w:pPr>
        <w:pStyle w:val="Heading5"/>
        <w:numPr>
          <w:ilvl w:val="4"/>
          <w:numId w:val="1"/>
        </w:numPr>
        <w:rPr/>
      </w:pPr>
      <w:bookmarkStart w:id="466" w:name="__RefHeading___Toc2646628_3224264995"/>
      <w:bookmarkStart w:id="467" w:name="_Toc185"/>
      <w:bookmarkEnd w:id="466"/>
      <w:r>
        <w:rPr>
          <w:rtl w:val="true"/>
        </w:rPr>
        <w:t>[</w:t>
      </w:r>
      <w:r>
        <w:rPr>
          <w:rtl w:val="true"/>
        </w:rPr>
        <w:t>المشهور أنّ النزاع فی وجوب الاعتقاد الجزمی إنّما هو فی خصوص المعارف الإجمالیة دون التفاصیل</w:t>
      </w:r>
      <w:r>
        <w:rPr>
          <w:rtl w:val="true"/>
        </w:rPr>
        <w:t>]</w:t>
      </w:r>
      <w:bookmarkEnd w:id="467"/>
    </w:p>
    <w:p>
      <w:pPr>
        <w:pStyle w:val="BookText"/>
        <w:rPr/>
      </w:pPr>
      <w:r>
        <w:rPr>
          <w:rFonts w:ascii="IRNazanin" w:hAnsi="IRNazanin" w:eastAsia="IRNazanin"/>
          <w:color w:val="111111"/>
          <w:sz w:val="28"/>
          <w:sz w:val="28"/>
          <w:szCs w:val="28"/>
          <w:rtl w:val="true"/>
          <w:lang w:bidi="fa-IR"/>
        </w:rPr>
        <w:t>المشهور أنّ النزاع فی وجوب الاعتقاد الجزمی إنّما هو فی خصوص المعارف الإجمالیة دون شی‌ء من تفاصیلها، فضلا عن وجوب الاعتقاد بضروریات الدین و إجماعیاته فضلا عن مسائل الطبیعیة و یدلّ علی ذلک الأدلّة الأربعة</w:t>
      </w:r>
      <w:r>
        <w:rPr>
          <w:rFonts w:eastAsia="IRNazanin" w:cs="IRNazanin"/>
          <w:color w:val="111111"/>
          <w:sz w:val="28"/>
          <w:szCs w:val="28"/>
          <w:rtl w:val="true"/>
          <w:lang w:bidi="fa-IR"/>
        </w:rPr>
        <w:t>.</w:t>
      </w:r>
    </w:p>
    <w:p>
      <w:pPr>
        <w:pStyle w:val="Heading5"/>
        <w:numPr>
          <w:ilvl w:val="4"/>
          <w:numId w:val="1"/>
        </w:numPr>
        <w:rPr/>
      </w:pPr>
      <w:bookmarkStart w:id="468" w:name="__RefHeading___Toc2646630_3224264995"/>
      <w:bookmarkStart w:id="469" w:name="_Toc186"/>
      <w:bookmarkEnd w:id="468"/>
      <w:r>
        <w:rPr>
          <w:rtl w:val="true"/>
        </w:rPr>
        <w:t>[</w:t>
      </w:r>
      <w:r>
        <w:rPr>
          <w:rtl w:val="true"/>
        </w:rPr>
        <w:t>الدلیل من الکتاب</w:t>
      </w:r>
      <w:r>
        <w:rPr>
          <w:rtl w:val="true"/>
        </w:rPr>
        <w:t>]</w:t>
      </w:r>
      <w:bookmarkEnd w:id="469"/>
    </w:p>
    <w:p>
      <w:pPr>
        <w:pStyle w:val="BookText"/>
        <w:rPr/>
      </w:pPr>
      <w:r>
        <w:rPr>
          <w:rFonts w:ascii="Amiri" w:hAnsi="Amiri" w:eastAsia="Amiri" w:cs="Amiri"/>
          <w:color w:val="111111"/>
          <w:sz w:val="28"/>
          <w:sz w:val="28"/>
          <w:szCs w:val="28"/>
          <w:rtl w:val="true"/>
          <w:lang w:bidi="ar-SA"/>
        </w:rPr>
        <w:t>أمّا من الکتاب فیکفی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w:t>
      </w:r>
      <w:r>
        <w:rPr>
          <w:rStyle w:val="FootnoteAnchor"/>
          <w:rtl w:val="true"/>
        </w:rPr>
        <w:footnoteReference w:id="135"/>
      </w:r>
      <w:r>
        <w:rPr>
          <w:rFonts w:ascii="Amiri" w:hAnsi="Amiri" w:eastAsia="Amiri" w:cs="Amiri"/>
          <w:color w:val="111111"/>
          <w:sz w:val="28"/>
          <w:sz w:val="28"/>
          <w:szCs w:val="28"/>
          <w:rtl w:val="true"/>
          <w:lang w:bidi="ar-SA"/>
        </w:rPr>
        <w:t>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Style w:val="FootnoteAnchor"/>
          <w:rtl w:val="true"/>
        </w:rPr>
        <w:footnoteReference w:id="136"/>
      </w:r>
      <w:r>
        <w:rPr>
          <w:rFonts w:ascii="IRNazanin" w:hAnsi="IRNazanin" w:eastAsia="IRNazanin"/>
          <w:color w:val="111111"/>
          <w:sz w:val="28"/>
          <w:sz w:val="28"/>
          <w:szCs w:val="28"/>
          <w:rtl w:val="true"/>
          <w:lang w:bidi="fa-IR"/>
        </w:rPr>
        <w:t>و لا ریب أنّ فی وجوب معرفة تفاصیل المعارف فضلا عن معرفة الضروریات و الإجماعیات علی المکلّفین عسر و حرج نوعی علی أغلب المکلّفین، لا یتیسّر إلّا للأوحدیین و هو منفی فی مطلق الدین، لأنّ الدین وضع إلهی یتناول الاصول و الفروع</w:t>
      </w:r>
      <w:r>
        <w:rPr>
          <w:rFonts w:eastAsia="IRNazanin" w:cs="IRNazanin"/>
          <w:color w:val="111111"/>
          <w:sz w:val="28"/>
          <w:szCs w:val="28"/>
          <w:rtl w:val="true"/>
          <w:lang w:bidi="fa-IR"/>
        </w:rPr>
        <w:t>.</w:t>
      </w:r>
    </w:p>
    <w:p>
      <w:pPr>
        <w:pStyle w:val="Heading5"/>
        <w:numPr>
          <w:ilvl w:val="4"/>
          <w:numId w:val="1"/>
        </w:numPr>
        <w:rPr/>
      </w:pPr>
      <w:bookmarkStart w:id="470" w:name="__RefHeading___Toc2646632_3224264995"/>
      <w:bookmarkStart w:id="471" w:name="_Toc187"/>
      <w:bookmarkEnd w:id="470"/>
      <w:r>
        <w:rPr>
          <w:rtl w:val="true"/>
        </w:rPr>
        <w:t>[</w:t>
      </w:r>
      <w:r>
        <w:rPr>
          <w:rtl w:val="true"/>
        </w:rPr>
        <w:t>الدلیل من السنّة</w:t>
      </w:r>
      <w:r>
        <w:rPr>
          <w:rtl w:val="true"/>
        </w:rPr>
        <w:t>]</w:t>
      </w:r>
      <w:bookmarkEnd w:id="4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السنّة فیکفی روایة سلیم بن قیس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أدنی ما یکون به العبد مؤمنا أن یعرّفه اللّه تبارک و تعالی إیّاه، فیقرّ له بالطاعة، و یعرّفه نبیّه صلی اللّه علیه و آله، فیقرّ له بالطاعة، و یعرّفه إمامه و حجّته فی أرضه و شاهده علی خلقه، فیقرّ له بالطاعة، فقلت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جهل جمیع الأشیاء إلّا </w:t>
      </w:r>
      <w:bookmarkStart w:id="472" w:name="pg12856_162624"/>
    </w:p>
    <w:p>
      <w:pPr>
        <w:pStyle w:val="BookText"/>
        <w:rPr/>
      </w:pPr>
      <w:bookmarkEnd w:id="472"/>
      <w:r>
        <w:rPr>
          <w:rFonts w:ascii="IRNazanin" w:hAnsi="IRNazanin" w:eastAsia="IRNazanin"/>
          <w:color w:val="111111"/>
          <w:sz w:val="28"/>
          <w:sz w:val="28"/>
          <w:szCs w:val="28"/>
          <w:rtl w:val="true"/>
          <w:lang w:bidi="fa-IR"/>
        </w:rPr>
        <w:t>ما وصفت؟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إلی غیر ذلک من الأخبار المنقولة فی المتن</w:t>
      </w:r>
      <w:r>
        <w:rPr>
          <w:rStyle w:val="FootnoteAnchor"/>
          <w:rtl w:val="true"/>
        </w:rPr>
        <w:footnoteReference w:id="138"/>
      </w:r>
      <w:r>
        <w:rPr>
          <w:rFonts w:ascii="IRNazanin" w:hAnsi="IRNazanin" w:eastAsia="IRNazanin"/>
          <w:color w:val="111111"/>
          <w:sz w:val="28"/>
          <w:sz w:val="28"/>
          <w:szCs w:val="28"/>
          <w:rtl w:val="true"/>
          <w:lang w:bidi="fa-IR"/>
        </w:rPr>
        <w:t>المستفیضة الصریحة فی الدعوی</w:t>
      </w:r>
      <w:r>
        <w:rPr>
          <w:rFonts w:eastAsia="IRNazanin" w:cs="IRNazanin"/>
          <w:color w:val="111111"/>
          <w:sz w:val="28"/>
          <w:szCs w:val="28"/>
          <w:rtl w:val="true"/>
          <w:lang w:bidi="fa-IR"/>
        </w:rPr>
        <w:t>.</w:t>
      </w:r>
    </w:p>
    <w:p>
      <w:pPr>
        <w:pStyle w:val="Heading5"/>
        <w:numPr>
          <w:ilvl w:val="4"/>
          <w:numId w:val="1"/>
        </w:numPr>
        <w:rPr/>
      </w:pPr>
      <w:bookmarkStart w:id="473" w:name="__RefHeading___Toc2646634_3224264995"/>
      <w:bookmarkStart w:id="474" w:name="_Toc188"/>
      <w:bookmarkEnd w:id="473"/>
      <w:r>
        <w:rPr>
          <w:rtl w:val="true"/>
        </w:rPr>
        <w:t>[</w:t>
      </w:r>
      <w:r>
        <w:rPr>
          <w:rtl w:val="true"/>
        </w:rPr>
        <w:t>دلالة الإجماع</w:t>
      </w:r>
      <w:r>
        <w:rPr>
          <w:rtl w:val="true"/>
        </w:rPr>
        <w:t>]</w:t>
      </w:r>
      <w:bookmarkEnd w:id="474"/>
    </w:p>
    <w:p>
      <w:pPr>
        <w:pStyle w:val="BookText"/>
        <w:rPr/>
      </w:pPr>
      <w:r>
        <w:rPr>
          <w:rFonts w:ascii="IRNazanin" w:hAnsi="IRNazanin" w:eastAsia="IRNazanin"/>
          <w:color w:val="111111"/>
          <w:sz w:val="28"/>
          <w:sz w:val="28"/>
          <w:szCs w:val="28"/>
          <w:rtl w:val="true"/>
          <w:lang w:bidi="fa-IR"/>
        </w:rPr>
        <w:t>و أمّا من الإجماع فیکفی السیرة المستمرّة و نقل الإجماع</w:t>
      </w:r>
      <w:r>
        <w:rPr>
          <w:rFonts w:eastAsia="IRNazanin" w:cs="IRNazanin"/>
          <w:color w:val="111111"/>
          <w:sz w:val="28"/>
          <w:szCs w:val="28"/>
          <w:rtl w:val="true"/>
          <w:lang w:bidi="fa-IR"/>
        </w:rPr>
        <w:t>.</w:t>
      </w:r>
    </w:p>
    <w:p>
      <w:pPr>
        <w:pStyle w:val="Heading5"/>
        <w:numPr>
          <w:ilvl w:val="4"/>
          <w:numId w:val="1"/>
        </w:numPr>
        <w:rPr/>
      </w:pPr>
      <w:bookmarkStart w:id="475" w:name="__RefHeading___Toc2646636_3224264995"/>
      <w:bookmarkStart w:id="476" w:name="_Toc189"/>
      <w:bookmarkEnd w:id="475"/>
      <w:r>
        <w:rPr>
          <w:rtl w:val="true"/>
        </w:rPr>
        <w:t>[</w:t>
      </w:r>
      <w:r>
        <w:rPr>
          <w:rtl w:val="true"/>
        </w:rPr>
        <w:t>دلالة العقل</w:t>
      </w:r>
      <w:r>
        <w:rPr>
          <w:rtl w:val="true"/>
        </w:rPr>
        <w:t>]</w:t>
      </w:r>
      <w:bookmarkEnd w:id="476"/>
    </w:p>
    <w:p>
      <w:pPr>
        <w:pStyle w:val="BookText"/>
        <w:rPr/>
      </w:pPr>
      <w:r>
        <w:rPr>
          <w:rFonts w:ascii="IRNazanin" w:hAnsi="IRNazanin" w:eastAsia="IRNazanin"/>
          <w:color w:val="111111"/>
          <w:sz w:val="28"/>
          <w:sz w:val="28"/>
          <w:szCs w:val="28"/>
          <w:rtl w:val="true"/>
          <w:lang w:bidi="fa-IR"/>
        </w:rPr>
        <w:t>و أمّا من العقل فیکفی البراءة و أصالة عدم وجوب اعتقاد ما زاد علی أصل المعارف من تفاصیلها، و من ضروریات الدین</w:t>
      </w:r>
      <w:r>
        <w:rPr>
          <w:rFonts w:eastAsia="IRNazanin" w:cs="IRNazanin"/>
          <w:color w:val="111111"/>
          <w:sz w:val="28"/>
          <w:szCs w:val="28"/>
          <w:rtl w:val="true"/>
          <w:lang w:bidi="fa-IR"/>
        </w:rPr>
        <w:t>.</w:t>
      </w:r>
    </w:p>
    <w:p>
      <w:pPr>
        <w:pStyle w:val="Heading5"/>
        <w:numPr>
          <w:ilvl w:val="4"/>
          <w:numId w:val="1"/>
        </w:numPr>
        <w:rPr/>
      </w:pPr>
      <w:bookmarkStart w:id="477" w:name="__RefHeading___Toc2646638_3224264995"/>
      <w:bookmarkStart w:id="478" w:name="_Toc190"/>
      <w:bookmarkEnd w:id="477"/>
      <w:r>
        <w:rPr>
          <w:rtl w:val="true"/>
        </w:rPr>
        <w:t>[</w:t>
      </w:r>
      <w:r>
        <w:rPr>
          <w:rtl w:val="true"/>
        </w:rPr>
        <w:t>مقتضی الأدلّة الأربعة تخصیص العمومات الدالّة علی وجوب مطلق المعرفة بوجوب أصل المعارف، دون تفاصیلها</w:t>
      </w:r>
      <w:r>
        <w:rPr>
          <w:rtl w:val="true"/>
        </w:rPr>
        <w:t>]</w:t>
      </w:r>
      <w:bookmarkEnd w:id="478"/>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الأدلّة الأربعة هو تخصیص العمومات الدالّة علی وجوب مطلق المعرفة بوجوب أصل المعارف، دون تفاصیلها، أو صرف ظهورها فی الوجوب العینی إلی الوجوب الکفائی، أو إلی ضرب من الندب و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لیعلم أنّ المنفی بتلک الأدلّة الأربعة هو وجوب الاعتقاد المطلق بها، علی وجه یکون تحصیل العلم بها من مقدّمات الواجب المطلق، لا وجوبه المشروط بحصول العلم؛ فإنّ وجوب الاعتقاد المشروط بحصول العلم مما لا مجال لإنکاره فی الفروع فضلا عن الاصول و ضروریات الدین،</w:t>
      </w:r>
    </w:p>
    <w:p>
      <w:pPr>
        <w:pStyle w:val="Heading5"/>
        <w:numPr>
          <w:ilvl w:val="4"/>
          <w:numId w:val="1"/>
        </w:numPr>
        <w:rPr/>
      </w:pPr>
      <w:bookmarkStart w:id="479" w:name="__RefHeading___Toc2646640_3224264995"/>
      <w:bookmarkStart w:id="480" w:name="_Toc191"/>
      <w:bookmarkEnd w:id="479"/>
      <w:r>
        <w:rPr>
          <w:rtl w:val="true"/>
        </w:rPr>
        <w:t>[</w:t>
      </w:r>
      <w:r>
        <w:rPr>
          <w:rtl w:val="true"/>
        </w:rPr>
        <w:t>وجوب الاعتقاد لو حصل العلم بتفاصیل الدین</w:t>
      </w:r>
      <w:r>
        <w:rPr>
          <w:rtl w:val="true"/>
        </w:rPr>
        <w:t>]</w:t>
      </w:r>
      <w:bookmarkEnd w:id="480"/>
    </w:p>
    <w:p>
      <w:pPr>
        <w:pStyle w:val="BookText"/>
        <w:rPr/>
      </w:pPr>
      <w:r>
        <w:rPr>
          <w:rFonts w:ascii="IRNazanin" w:hAnsi="IRNazanin" w:eastAsia="IRNazanin"/>
          <w:color w:val="111111"/>
          <w:sz w:val="28"/>
          <w:sz w:val="28"/>
          <w:szCs w:val="28"/>
          <w:rtl w:val="true"/>
          <w:lang w:bidi="fa-IR"/>
        </w:rPr>
        <w:t>فالمنفی إنّما هو وجوب تحصیل الاعتقاد بتفاصیل الدین و ضروریاته، لا وجوب أصل الاعتقاد لو حصل العلم بها، و حیثما کان المفروض عدم وجوب تحصیل الاعتقاد به کان الحقّ عدم وجوب العمل فیه بالظنّ المطلق لو فرض حصوله، و وجوب التوقف فیه للأخبار الکثیرة الناهیة عن القول بغیر علم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2646642_3224264995"/>
      <w:bookmarkStart w:id="482" w:name="_Toc192"/>
      <w:bookmarkEnd w:id="481"/>
      <w:r>
        <w:rPr>
          <w:rtl w:val="true"/>
        </w:rPr>
        <w:t>[</w:t>
      </w:r>
      <w:r>
        <w:rPr>
          <w:rtl w:val="true"/>
        </w:rPr>
        <w:t>اعتبار الظنّ الخاصّ فی المعارف الدینیة</w:t>
      </w:r>
      <w:r>
        <w:rPr>
          <w:rtl w:val="true"/>
        </w:rPr>
        <w:t>]</w:t>
      </w:r>
      <w:bookmarkEnd w:id="482"/>
    </w:p>
    <w:p>
      <w:pPr>
        <w:pStyle w:val="BookText"/>
        <w:rPr/>
      </w:pPr>
      <w:r>
        <w:rPr>
          <w:rFonts w:ascii="IRNazanin" w:hAnsi="IRNazanin" w:eastAsia="IRNazanin"/>
          <w:color w:val="111111"/>
          <w:sz w:val="28"/>
          <w:sz w:val="28"/>
          <w:szCs w:val="28"/>
          <w:rtl w:val="true"/>
          <w:lang w:bidi="fa-IR"/>
        </w:rPr>
        <w:t>و أمّا الظنّ الخاصّ فقد تقدّم لک أنّ حکمه حکم العلم من غیر فرق بین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استظهره الماتن قدّس سرّه عن کثیر من الفرق</w:t>
      </w:r>
      <w:r>
        <w:rPr>
          <w:rStyle w:val="FootnoteAnchor"/>
          <w:rtl w:val="true"/>
        </w:rPr>
        <w:footnoteReference w:id="140"/>
      </w:r>
      <w:r>
        <w:rPr>
          <w:rFonts w:ascii="IRNazanin" w:hAnsi="IRNazanin" w:eastAsia="IRNazanin"/>
          <w:color w:val="111111"/>
          <w:sz w:val="28"/>
          <w:sz w:val="28"/>
          <w:szCs w:val="28"/>
          <w:rtl w:val="true"/>
          <w:lang w:bidi="fa-IR"/>
        </w:rPr>
        <w:t>، و لا 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تحریر محلّ النزاع من الجهة الثانیة فتفصیله</w:t>
      </w:r>
      <w:r>
        <w:rPr>
          <w:rFonts w:eastAsia="IRNazanin" w:cs="IRNazanin"/>
          <w:color w:val="111111"/>
          <w:sz w:val="28"/>
          <w:szCs w:val="28"/>
          <w:rtl w:val="true"/>
          <w:lang w:bidi="fa-IR"/>
        </w:rPr>
        <w:t>:</w:t>
      </w:r>
    </w:p>
    <w:p>
      <w:pPr>
        <w:pStyle w:val="Heading5"/>
        <w:numPr>
          <w:ilvl w:val="4"/>
          <w:numId w:val="1"/>
        </w:numPr>
        <w:rPr/>
      </w:pPr>
      <w:bookmarkStart w:id="483" w:name="__RefHeading___Toc2646644_3224264995"/>
      <w:bookmarkStart w:id="484" w:name="_Toc193"/>
      <w:bookmarkEnd w:id="483"/>
      <w:r>
        <w:rPr>
          <w:rtl w:val="true"/>
        </w:rPr>
        <w:t>[</w:t>
      </w:r>
      <w:r>
        <w:rPr>
          <w:rtl w:val="true"/>
        </w:rPr>
        <w:t>ما یعتبر فی التدیّن بالاسلام</w:t>
      </w:r>
      <w:r>
        <w:rPr>
          <w:rtl w:val="true"/>
        </w:rPr>
        <w:t>]</w:t>
      </w:r>
      <w:bookmarkEnd w:id="4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المعتبر فی الإسلام </w:t>
      </w:r>
    </w:p>
    <w:p>
      <w:pPr>
        <w:pStyle w:val="BookText"/>
        <w:rPr/>
      </w:pPr>
      <w:r>
        <w:rPr>
          <w:rFonts w:ascii="IRNazanin" w:hAnsi="IRNazanin" w:eastAsia="IRNazanin"/>
          <w:color w:val="111111"/>
          <w:sz w:val="28"/>
          <w:sz w:val="28"/>
          <w:szCs w:val="28"/>
          <w:rtl w:val="true"/>
          <w:lang w:bidi="fa-IR"/>
        </w:rPr>
        <w:t>من اصول الدین التی یعدّ منکرها من الکافرین إنّما هو التصدیق بأصل وجود صانع واجب الوجود بالذات للعالم، فی مقابل الدهری المنکر لذلک من الکافرین، و بأصل التوحید من جهة الذات و من جهة الصفات، بمعنی أنّه تعالی لا تکثّر فی ذاته، و لا شریک له فی الذات، و لا کفو و لا شبیه له فی الصفات، فی مقابل المشرکین من الکافرین، لا من سائر الجهات فی مقابل المجسّمة و الحلولیة و أمثالهم، فإنّ التوحید من هذه الجهات إنّما یعتبر فی الإیمان و اصول المذهب، لا فی الإسلام و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بأصل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للجور لا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مما یعتبر فی الإیمان و المذهب، لا الإسلام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بأصل نبوّة نبیّنا محمد بن عبد اللّه صلی اللّه علیه و آله فی مقابل الیهود و النصاری من الکافرین المنکرین، لا بسائر تفاصیل صفاته الشریفة من العصمة و غیرها فی مقابل الأشاعرة و سائر العامّة، فإنّها من الإیمان و المذهب کالتصدیق بإمامة الأئمة الاثنی عشر و بأصل المعاد لجزاء الأعمال إن خیرا فخیر، و إن شرا فشر، فی مقابل منکری الجزاء من الکافرین، لا بسائر تفاصیله و کیفیاته، فإنّه لا یعتبر فی الدین و الإسلام التصدیق و الاعتقاد بها و لو کانت من ضروریات الدین، إلّا بعد حصول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ما قیل من وجوب تحصیل العلم و التصدیق بها أیضا کما هو ظاهر العلّامة قدّس سرّه</w:t>
      </w:r>
      <w:r>
        <w:rPr>
          <w:rStyle w:val="FootnoteAnchor"/>
          <w:rtl w:val="true"/>
        </w:rPr>
        <w:footnoteReference w:id="141"/>
      </w:r>
      <w:r>
        <w:rPr>
          <w:rFonts w:ascii="IRNazanin" w:hAnsi="IRNazanin" w:eastAsia="IRNazanin"/>
          <w:color w:val="111111"/>
          <w:sz w:val="28"/>
          <w:sz w:val="28"/>
          <w:szCs w:val="28"/>
          <w:rtl w:val="true"/>
          <w:lang w:bidi="fa-IR"/>
        </w:rPr>
        <w:t>فإنّما هو من باب الوجوب المستقلّ لا المعتبر فی الإسلام أو الإیمان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عمدة الدلیل علی اعتبار المعارف الخمس بالمعانی المذکورة فی تحقّق الإسلام دون اعتبار ما زاد و الاکتفاء بما نقص هو الإجماع و الضرورة، و إلّا فاستفادة ذلک من مجرد قحّ الأخبار الواردة فی المضمار من دون ضمیمة </w:t>
      </w:r>
      <w:bookmarkStart w:id="485" w:name="pg12856_162626"/>
    </w:p>
    <w:p>
      <w:pPr>
        <w:pStyle w:val="BookText"/>
        <w:rPr/>
      </w:pPr>
      <w:bookmarkEnd w:id="485"/>
      <w:r>
        <w:rPr>
          <w:rFonts w:ascii="IRNazanin" w:hAnsi="IRNazanin" w:eastAsia="IRNazanin"/>
          <w:color w:val="111111"/>
          <w:sz w:val="28"/>
          <w:sz w:val="28"/>
          <w:szCs w:val="28"/>
          <w:rtl w:val="true"/>
          <w:lang w:bidi="fa-IR"/>
        </w:rPr>
        <w:t>الإجماع لا یخلو من نوع تکلّف و إشکال، فإنّ لسان الأخبار الواردة فی المضمار مختلف</w:t>
      </w:r>
      <w:r>
        <w:rPr>
          <w:rFonts w:eastAsia="IRNazanin" w:cs="IRNazanin"/>
          <w:color w:val="111111"/>
          <w:sz w:val="28"/>
          <w:szCs w:val="28"/>
          <w:rtl w:val="true"/>
          <w:lang w:bidi="fa-IR"/>
        </w:rPr>
        <w:t>:</w:t>
      </w:r>
    </w:p>
    <w:p>
      <w:pPr>
        <w:pStyle w:val="Heading5"/>
        <w:numPr>
          <w:ilvl w:val="4"/>
          <w:numId w:val="1"/>
        </w:numPr>
        <w:rPr/>
      </w:pPr>
      <w:bookmarkStart w:id="486" w:name="__RefHeading___Toc2646646_3224264995"/>
      <w:bookmarkStart w:id="487" w:name="_Toc194"/>
      <w:bookmarkEnd w:id="486"/>
      <w:r>
        <w:rPr>
          <w:rtl w:val="true"/>
        </w:rPr>
        <w:t>[</w:t>
      </w:r>
      <w:r>
        <w:rPr>
          <w:rtl w:val="true"/>
        </w:rPr>
        <w:t>الأخبار الواردة فی المسألة مختلفة</w:t>
      </w:r>
      <w:r>
        <w:rPr>
          <w:rtl w:val="true"/>
        </w:rPr>
        <w:t>]</w:t>
      </w:r>
      <w:bookmarkEnd w:id="487"/>
    </w:p>
    <w:p>
      <w:pPr>
        <w:pStyle w:val="BookText"/>
        <w:rPr/>
      </w:pPr>
      <w:r>
        <w:rPr>
          <w:rFonts w:ascii="IRNazanin" w:hAnsi="IRNazanin" w:eastAsia="IRNazanin"/>
          <w:color w:val="111111"/>
          <w:sz w:val="28"/>
          <w:sz w:val="28"/>
          <w:szCs w:val="28"/>
          <w:rtl w:val="true"/>
          <w:lang w:bidi="fa-IR"/>
        </w:rPr>
        <w:t>ففی بعضها اعتبار الإقرار بالشهادتین فقط فی الإیمان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 الآخر اعتبار المعرفة و الإقرار بالإمامة فقط علاوة علی الشهادتین فی الإیمان أیضا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 الثالث علاوة إقامة الصلاة و الصیام و ایتاء الزکاة و حجّ البیت علی المعارف الثلاث فی الدین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 الرابع علاوة الإقرار بما جاء به النبیّ من عند اللّه أیضا علی ما ذکر فی تحقّق الإسلام، حسبما ذکر فی المتن</w:t>
      </w:r>
      <w:r>
        <w:rPr>
          <w:rStyle w:val="FootnoteAnchor"/>
          <w:rtl w:val="true"/>
        </w:rPr>
        <w:footnoteReference w:id="145"/>
      </w:r>
      <w:r>
        <w:rPr>
          <w:rFonts w:ascii="IRNazanin" w:hAnsi="IRNazanin" w:eastAsia="IRNazanin"/>
          <w:color w:val="111111"/>
          <w:sz w:val="28"/>
          <w:sz w:val="28"/>
          <w:szCs w:val="28"/>
          <w:rtl w:val="true"/>
          <w:lang w:bidi="fa-IR"/>
        </w:rPr>
        <w:t>ألفاظ هذه الطوائف الأربع من الأخبار التی لا یکاد یستفاد منها اعتبار المعارف الخمس فی الإسلام من جهات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عدم التعرض فی شی‌ء منها لاعتبار العدل و المعاد المعتبرین فی الإسلام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اختلاف مفاد بعضها لبعض فی حصر ما یعتبر من الشهادتین و ما زاد علی وجه الاختلاف بالتباین الکلّی الذی لا یکاد یجمع بینها إلّا بضرب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اختلاف بعضها لبعض فی اعتبار ما اعتبر فی الإیمان تارة، و فی الدین اخری، و فی الإسلام ثالثة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مع ذلک کلّه یمکن رفع الإشکال من الجهة الاولی عنها بإلحاق العدل و المعاد بضمیمة الإجماع أو بدلالة الملازمة، أعنی ملازمة الإقرار بالتوحید </w:t>
      </w:r>
      <w:bookmarkStart w:id="488" w:name="pg12856_162627"/>
    </w:p>
    <w:p>
      <w:pPr>
        <w:pStyle w:val="BookText"/>
        <w:rPr/>
      </w:pPr>
      <w:bookmarkEnd w:id="488"/>
      <w:r>
        <w:rPr>
          <w:rFonts w:ascii="IRNazanin" w:hAnsi="IRNazanin" w:eastAsia="IRNazanin"/>
          <w:color w:val="111111"/>
          <w:sz w:val="28"/>
          <w:sz w:val="28"/>
          <w:szCs w:val="28"/>
          <w:rtl w:val="true"/>
          <w:lang w:bidi="fa-IR"/>
        </w:rPr>
        <w:t>للإقرار بالعدل، و بنبوّة النبیّ صلی اللّه علیه و آله للإقرار بالمعاد، أو بحمل الحصر فی کلّ من الأخبار علی الحصر الإضافی، أو القلب الغیر المنافیین لإلحاق العدل و المعاد، نظرا إلی أنّهما کالمفروغ عنهما فی مورد الأسئلة، و کأنّ السؤال عما عداهما من المعارف المعتبرة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دفع الإشکال من الجهة الثانیة أیضا بحمل الحصر فی کلّ من الطوائف علی الحصر الإضافی، أو حصر القلب لیرجع اختلافهما عن التباین الکلّی إلی مثل الاختلاف فی الإطلاق و التقیید و العموم و الخصوص المتقدّم فیه التقیید علی الإطلاق، و الخصوص علی العموم، فیحمل إطلاق کلّ ما یعتبر الأقلّ من المعارف فی الإیمان علی تقیید کلّ ما یعتبر الأکثر منها فیه، إلّا الأکثر الخارج اعتباره فی الدین بالإجماع، کإقامة 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یمکن رفع الإشکال من الجهة الثالثة أیضا عنها بحمل عموم الإیمان و الدین علی خصوص الإسلام، حملا للعامّ علی الخاصّ بعد اتحادهما فی الحکم</w:t>
      </w:r>
      <w:r>
        <w:rPr>
          <w:rFonts w:eastAsia="IRNazanin" w:cs="IRNazanin"/>
          <w:color w:val="111111"/>
          <w:sz w:val="28"/>
          <w:szCs w:val="28"/>
          <w:rtl w:val="true"/>
          <w:lang w:bidi="fa-IR"/>
        </w:rPr>
        <w:t>.</w:t>
      </w:r>
    </w:p>
    <w:p>
      <w:pPr>
        <w:pStyle w:val="Heading5"/>
        <w:numPr>
          <w:ilvl w:val="4"/>
          <w:numId w:val="1"/>
        </w:numPr>
        <w:rPr/>
      </w:pPr>
      <w:bookmarkStart w:id="489" w:name="__RefHeading___Toc2646648_3224264995"/>
      <w:bookmarkStart w:id="490" w:name="_Toc195"/>
      <w:bookmarkEnd w:id="489"/>
      <w:r>
        <w:rPr>
          <w:rtl w:val="true"/>
        </w:rPr>
        <w:t>[</w:t>
      </w:r>
      <w:r>
        <w:rPr>
          <w:rtl w:val="true"/>
        </w:rPr>
        <w:t>وجوب التصدیق بما یعتبر فی الاسلام او فی الایمان علی کلّ مکلّف إلّا البله</w:t>
      </w:r>
      <w:r>
        <w:rPr>
          <w:rtl w:val="true"/>
        </w:rPr>
        <w:t>]</w:t>
      </w:r>
      <w:bookmarkEnd w:id="4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تحریر محلّ النزاع من الجهة الثالثة فتحقیقه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یعتبر التصدیق به فی الإسلام کأصل المعارف، أو فی الإیمان کبعض تفاصیلها إنّما هو واجب علی مطلق المکلّفین دون خصوص المستعدّین لعلوّ الفهم و الهمّة، لأنّ المفروض أنّ أدلّة کلّ مما یعتبر فی الإسلام أو الإیمان أدلّة عقلیة أو نقلیة یتمکن منها کلّ المکلّفین حتی أهل البوادی و البراری، إلّا المنهمکین فی البلاهة الخارجین عن التکلیف بالقصور، و لیست بأدلّة مشکلة حتی یختصّ فهمها بالمستعدّین فیختصّ التکلیف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اعتبرنا فی الإسلام أو الإیمان تفاصیل المعارف علی وجه البسط و التفصیل أمکن اختصاص التکلیف بها بالمستعدّین المتمکنین منه، و لکن قد عرفت ضعفه</w:t>
      </w:r>
      <w:r>
        <w:rPr>
          <w:rFonts w:eastAsia="IRNazanin" w:cs="IRNazanin"/>
          <w:color w:val="111111"/>
          <w:sz w:val="28"/>
          <w:szCs w:val="28"/>
          <w:rtl w:val="true"/>
          <w:lang w:bidi="fa-IR"/>
        </w:rPr>
        <w:t xml:space="preserve">. </w:t>
      </w:r>
      <w:bookmarkStart w:id="491" w:name="pg12856_162628"/>
    </w:p>
    <w:p>
      <w:pPr>
        <w:pStyle w:val="Heading5"/>
        <w:numPr>
          <w:ilvl w:val="4"/>
          <w:numId w:val="1"/>
        </w:numPr>
        <w:rPr/>
      </w:pPr>
      <w:bookmarkStart w:id="492" w:name="__RefHeading___Toc2646650_3224264995"/>
      <w:bookmarkStart w:id="493" w:name="_Toc196"/>
      <w:bookmarkEnd w:id="491"/>
      <w:bookmarkEnd w:id="492"/>
      <w:r>
        <w:rPr>
          <w:rtl w:val="true"/>
        </w:rPr>
        <w:t>[</w:t>
      </w:r>
      <w:r>
        <w:rPr>
          <w:rtl w:val="true"/>
        </w:rPr>
        <w:t>الأقوال فی المسألة</w:t>
      </w:r>
      <w:r>
        <w:rPr>
          <w:rtl w:val="true"/>
        </w:rPr>
        <w:t>]</w:t>
      </w:r>
      <w:bookmarkEnd w:id="493"/>
    </w:p>
    <w:p>
      <w:pPr>
        <w:pStyle w:val="BookText"/>
        <w:rPr/>
      </w:pPr>
      <w:r>
        <w:rPr>
          <w:rFonts w:ascii="IRNazanin" w:hAnsi="IRNazanin" w:eastAsia="IRNazanin"/>
          <w:color w:val="111111"/>
          <w:sz w:val="28"/>
          <w:sz w:val="28"/>
          <w:szCs w:val="28"/>
          <w:rtl w:val="true"/>
          <w:lang w:bidi="fa-IR"/>
        </w:rPr>
        <w:t>و أمّا تحریر محلّ النزاع من الجهة الرابعة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الأقوال الحاصلة من التتبع فی کلمات العلماء ستّة لا سابع لها حسبما ما ذکرت فی المتن</w:t>
      </w:r>
      <w:r>
        <w:rPr>
          <w:rStyle w:val="FootnoteAnchor"/>
          <w:rtl w:val="true"/>
        </w:rPr>
        <w:footnoteReference w:id="146"/>
      </w:r>
      <w:r>
        <w:rPr>
          <w:rFonts w:ascii="IRNazanin" w:hAnsi="IRNazanin" w:eastAsia="IRNazanin"/>
          <w:color w:val="111111"/>
          <w:sz w:val="28"/>
          <w:sz w:val="28"/>
          <w:szCs w:val="28"/>
          <w:rtl w:val="true"/>
          <w:lang w:bidi="fa-IR"/>
        </w:rPr>
        <w:t>، و لکن لها سابع و هو تعیین التقلید و حرمة النظر و الاستدلال، نقله القوانین عن بعض</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مراد معتبری العلم فیها من النظر و الاستدلال فهو وجوب الاعتقاد العلمی فیها من النظر و الاستدلال</w:t>
      </w:r>
      <w:r>
        <w:rPr>
          <w:rFonts w:eastAsia="IRNazanin" w:cs="IRNazanin"/>
          <w:color w:val="111111"/>
          <w:sz w:val="28"/>
          <w:szCs w:val="28"/>
          <w:rtl w:val="true"/>
          <w:lang w:bidi="fa-IR"/>
        </w:rPr>
        <w:t>.</w:t>
      </w:r>
    </w:p>
    <w:p>
      <w:pPr>
        <w:pStyle w:val="Heading5"/>
        <w:numPr>
          <w:ilvl w:val="4"/>
          <w:numId w:val="1"/>
        </w:numPr>
        <w:rPr/>
      </w:pPr>
      <w:bookmarkStart w:id="494" w:name="__RefHeading___Toc2646652_3224264995"/>
      <w:bookmarkStart w:id="495" w:name="_Toc197"/>
      <w:bookmarkEnd w:id="494"/>
      <w:r>
        <w:rPr>
          <w:rtl w:val="true"/>
        </w:rPr>
        <w:t>[</w:t>
      </w:r>
      <w:r>
        <w:rPr>
          <w:rtl w:val="true"/>
        </w:rPr>
        <w:t>رد دعوی ان الاعتقاد العلمی أمر غیر مقدور بنفسه إلّا بتوسط الأسباب و مقدّماته المحصّلة له</w:t>
      </w:r>
      <w:r>
        <w:rPr>
          <w:rtl w:val="true"/>
        </w:rPr>
        <w:t>]</w:t>
      </w:r>
      <w:bookmarkEnd w:id="495"/>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الاعتقاد العلمی أمر غیر مقدور بنفسه إلّا بتوسط الأسباب و مقدّماته المحصّلة له، فالتکلیف به تکلیف بها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بجمیع التکالیف الغیر المقدورة بنفسها، من الصلاة و الصیام، إلّا بالأسباب و المقدّمات المحصّلة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بأنّ ما فی الاختیار لا ینافی الاختیار، و بأنّ المقدور بالواسطة مقدور، فالتکلیف به ظاهرا لا صارف له عنه إلی التکلیف بوسائطه،</w:t>
      </w:r>
    </w:p>
    <w:p>
      <w:pPr>
        <w:pStyle w:val="Heading5"/>
        <w:numPr>
          <w:ilvl w:val="4"/>
          <w:numId w:val="1"/>
        </w:numPr>
        <w:rPr/>
      </w:pPr>
      <w:bookmarkStart w:id="496" w:name="__RefHeading___Toc2646654_3224264995"/>
      <w:bookmarkStart w:id="497" w:name="_Toc198"/>
      <w:bookmarkEnd w:id="496"/>
      <w:r>
        <w:rPr>
          <w:rtl w:val="true"/>
        </w:rPr>
        <w:t>[</w:t>
      </w:r>
      <w:r>
        <w:rPr>
          <w:rtl w:val="true"/>
        </w:rPr>
        <w:t>الکفّار مکلّفون بالفروع</w:t>
      </w:r>
      <w:r>
        <w:rPr>
          <w:rtl w:val="true"/>
        </w:rPr>
        <w:t>]</w:t>
      </w:r>
      <w:bookmarkEnd w:id="497"/>
    </w:p>
    <w:p>
      <w:pPr>
        <w:pStyle w:val="BookText"/>
        <w:rPr/>
      </w:pPr>
      <w:r>
        <w:rPr>
          <w:rFonts w:ascii="IRNazanin" w:hAnsi="IRNazanin" w:eastAsia="IRNazanin"/>
          <w:color w:val="111111"/>
          <w:sz w:val="28"/>
          <w:sz w:val="28"/>
          <w:szCs w:val="28"/>
          <w:rtl w:val="true"/>
          <w:lang w:bidi="fa-IR"/>
        </w:rPr>
        <w:t>و من هنا ذهب المشهور إلی أنّ الکفّار مکلّفون بالفروع کما أنّهم مکلّفون بالاصول، و إلّا لکان تکلیفهم بالفروع ظاهرا مصروفا إلی تکلیفهم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القوانین من تفسیر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الاعتقاد فی اصول الدین، بوجوب أسبابه و مقدّماته المحصّلة له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خلاف المحقّق و المشهور، بل و خلاف ما هو مختاره فی مقدّمة الواجب من أنّ التکلیف بالمسببات تکلیف بها لا بأسبابها و إن لم تکن مقدورة إلا بتوسط الأسباب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2646656_3224264995"/>
      <w:bookmarkStart w:id="499" w:name="_Toc199"/>
      <w:bookmarkEnd w:id="498"/>
      <w:r>
        <w:rPr>
          <w:rtl w:val="true"/>
        </w:rPr>
        <w:t>[</w:t>
      </w:r>
      <w:r>
        <w:rPr>
          <w:rtl w:val="true"/>
        </w:rPr>
        <w:t>المراد من وجوب الاعتقاد فی اصول الدین</w:t>
      </w:r>
      <w:r>
        <w:rPr>
          <w:rtl w:val="true"/>
        </w:rPr>
        <w:t>]</w:t>
      </w:r>
      <w:bookmarkEnd w:id="4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المراد من وجوب الاعتقاد فیها فقد مرّ أنّه الوجوب المطلق الارتباطی فی خصوص المعارف الخمس فی الجملة، و أمّا فی غیرها من التفاصیل فوجوب </w:t>
      </w:r>
      <w:bookmarkStart w:id="500" w:name="pg12856_162629"/>
    </w:p>
    <w:p>
      <w:pPr>
        <w:pStyle w:val="BookText"/>
        <w:rPr/>
      </w:pPr>
      <w:bookmarkEnd w:id="500"/>
      <w:r>
        <w:rPr>
          <w:rFonts w:ascii="IRNazanin" w:hAnsi="IRNazanin" w:eastAsia="IRNazanin"/>
          <w:color w:val="111111"/>
          <w:sz w:val="28"/>
          <w:sz w:val="28"/>
          <w:szCs w:val="28"/>
          <w:rtl w:val="true"/>
          <w:lang w:bidi="fa-IR"/>
        </w:rPr>
        <w:t>الاعتقاد علی القول به فیها وجوب مشروط ارتباطی علی المشهور، و وجوب مطلق استقلالی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الوجوب المطلق الارتباطی فلا قائل به ظاهرا فی ما عدا المعارف من التفاصیل</w:t>
      </w:r>
      <w:r>
        <w:rPr>
          <w:rFonts w:eastAsia="IRNazanin" w:cs="IRNazanin"/>
          <w:color w:val="111111"/>
          <w:sz w:val="28"/>
          <w:szCs w:val="28"/>
          <w:rtl w:val="true"/>
          <w:lang w:bidi="fa-IR"/>
        </w:rPr>
        <w:t>.</w:t>
      </w:r>
    </w:p>
    <w:p>
      <w:pPr>
        <w:pStyle w:val="Heading5"/>
        <w:numPr>
          <w:ilvl w:val="4"/>
          <w:numId w:val="1"/>
        </w:numPr>
        <w:rPr/>
      </w:pPr>
      <w:bookmarkStart w:id="501" w:name="__RefHeading___Toc2646658_3224264995"/>
      <w:bookmarkStart w:id="502" w:name="_Toc200"/>
      <w:bookmarkEnd w:id="501"/>
      <w:r>
        <w:rPr>
          <w:rtl w:val="true"/>
        </w:rPr>
        <w:t>[</w:t>
      </w:r>
      <w:r>
        <w:rPr>
          <w:rtl w:val="true"/>
        </w:rPr>
        <w:t>المراد بالعلم من معتبریه</w:t>
      </w:r>
      <w:r>
        <w:rPr>
          <w:rtl w:val="true"/>
        </w:rPr>
        <w:t>]</w:t>
      </w:r>
      <w:bookmarkEnd w:id="502"/>
    </w:p>
    <w:p>
      <w:pPr>
        <w:pStyle w:val="BookText"/>
        <w:rPr/>
      </w:pPr>
      <w:r>
        <w:rPr>
          <w:rFonts w:ascii="IRNazanin" w:hAnsi="IRNazanin" w:eastAsia="IRNazanin"/>
          <w:color w:val="111111"/>
          <w:sz w:val="28"/>
          <w:sz w:val="28"/>
          <w:szCs w:val="28"/>
          <w:rtl w:val="true"/>
          <w:lang w:bidi="fa-IR"/>
        </w:rPr>
        <w:t xml:space="preserve">و أمّا المراد بالعلم من معتبریه فلیس مطلق الجزم و لو حصل من غیر سبب أو من سبب غیر عادی، بل خصوص الجزم الثابت عن سبب عادی من أسباب الجزم، کتواتر و نحوه، و یعبّر عن هذا الجزم غالبا بالقطع، و عن أسبابه العادیة بالنظر و الاستدلال، و عن أسبابه الغیر العادیة بالتقلید، فالمراد بالتقلید ممن اکتفی به فی اصول الدین لیس کالتقلید المکتفی به فی الفروع، أعنی مجرد التعبّد بقول الغیر فإنّ الظاهر أنّ لا قائل بکفایة التقلید بهذا المعنی فی الاصول إلّا عن بعض الملاحدة، بل إنّما هو القطع أو الظنّ الحاصل من التعبّد بقول الغیر لا مطلق التعبّد بقول الغیر و لو لم یحصل منه قطع أو ظنّ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اختلف التکلیف بالأصول</w:t>
      </w:r>
      <w:r>
        <w:rPr>
          <w:rStyle w:val="FootnoteAnchor"/>
          <w:rtl w:val="true"/>
        </w:rPr>
        <w:footnoteReference w:id="151"/>
      </w:r>
      <w:r>
        <w:rPr>
          <w:rFonts w:ascii="IRNazanin" w:hAnsi="IRNazanin" w:eastAsia="IRNazanin"/>
          <w:color w:val="111111"/>
          <w:sz w:val="28"/>
          <w:sz w:val="28"/>
          <w:szCs w:val="28"/>
          <w:rtl w:val="true"/>
          <w:lang w:bidi="fa-IR"/>
        </w:rPr>
        <w:t xml:space="preserve">للتکلیف بالفروع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جهة تعلقه فی الاصول</w:t>
      </w:r>
      <w:r>
        <w:rPr>
          <w:rStyle w:val="FootnoteAnchor"/>
          <w:rtl w:val="true"/>
        </w:rPr>
        <w:footnoteReference w:id="153"/>
      </w:r>
      <w:r>
        <w:rPr>
          <w:rFonts w:ascii="IRNazanin" w:hAnsi="IRNazanin" w:eastAsia="IRNazanin"/>
          <w:color w:val="111111"/>
          <w:sz w:val="28"/>
          <w:sz w:val="28"/>
          <w:szCs w:val="28"/>
          <w:rtl w:val="true"/>
          <w:lang w:bidi="fa-IR"/>
        </w:rPr>
        <w:t>بالإذعان و الاعتقاد و فی الفروع</w:t>
      </w:r>
      <w:r>
        <w:rPr>
          <w:rStyle w:val="FootnoteAnchor"/>
          <w:rtl w:val="true"/>
        </w:rPr>
        <w:footnoteReference w:id="154"/>
      </w:r>
      <w:r>
        <w:rPr>
          <w:rFonts w:ascii="IRNazanin" w:hAnsi="IRNazanin" w:eastAsia="IRNazanin"/>
          <w:color w:val="111111"/>
          <w:sz w:val="28"/>
          <w:sz w:val="28"/>
          <w:szCs w:val="28"/>
          <w:rtl w:val="true"/>
          <w:lang w:bidi="fa-IR"/>
        </w:rPr>
        <w:t xml:space="preserve">بترتیب آثار الاعتقاد نفس الاعتقاد و لم یکن الاعتقاد من الامور الاختیاریة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موردا للتکلیف بتحصیله من مطلق التقلید و الأخذ بقول الغیر، فلا بدّ من تقییده بالتقلید المفید للاعتقاد الظنّی أو العلمی و إن لم یکن سببا عادیا لشی‌ء من الاعتقادین فی طباع متعارف الناس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القوانین من حمل التقلید فی الاصول علی ما هو المراد منه فی الفروع بحیث یکون معنی تقلید المجتهد القائل بنبوة نبیّنا صلی اللّه علیه و آله هو العمل بشریعته </w:t>
      </w:r>
    </w:p>
    <w:p>
      <w:pPr>
        <w:pStyle w:val="BookText"/>
        <w:rPr/>
      </w:pPr>
      <w:r>
        <w:rPr>
          <w:rFonts w:ascii="IRNazanin" w:hAnsi="IRNazanin" w:eastAsia="IRNazanin"/>
          <w:color w:val="111111"/>
          <w:sz w:val="28"/>
          <w:sz w:val="28"/>
          <w:szCs w:val="28"/>
          <w:rtl w:val="true"/>
          <w:lang w:bidi="fa-IR"/>
        </w:rPr>
        <w:t>و اتباع سنّته و إن لم یحصل له إذعان بحقّیته بالخصوص قطعا و لا ظنّا</w:t>
      </w:r>
      <w:r>
        <w:rPr>
          <w:rStyle w:val="FootnoteAnchor"/>
          <w:rtl w:val="true"/>
        </w:rPr>
        <w:footnoteReference w:id="155"/>
      </w:r>
      <w:r>
        <w:rPr>
          <w:rFonts w:ascii="IRNazanin" w:hAnsi="IRNazanin" w:eastAsia="IRNazanin"/>
          <w:color w:val="111111"/>
          <w:sz w:val="28"/>
          <w:sz w:val="28"/>
          <w:szCs w:val="28"/>
          <w:rtl w:val="true"/>
          <w:lang w:bidi="fa-IR"/>
        </w:rPr>
        <w:t>، علی ما هو المراد من التقلید فی الفروع فلا قائل بجوازه فی الاصول مطلقا، أی و لو لم یطابق الواقع إلّا ما عن بعض الملاحدة فحمل إطلاق کلام المجوّزین للتقلید فی الاصول علیه حمل علی ما لا یرضی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المراد من التقلید فی الاصول هو التقلید المفید للظنّ لم یبق فرق بینه و بین القول باعتبار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ما ذکرنا من کون المراد باعتبار الظنّ هو الظنّ الحاصل من الأسباب العادیة للظنّ، و بالتقلید هو الظنّ الحاصل من الأسباب الغیر العادیة، فاتّضح الفرق بین القولین، و لم یتوقّف علی ما زعمه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لیس المراد من کفایة التقلید فی الاصول کفایته عن الواقع مخالفا کان فی الواقع أو موافقا، کما فی الفروع بل المراد کفایة التقلید فی الحقّ و سقوط النظر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المراد من وجوب الاعتقاد بالمعارف من خصوص النظر و الاستدلال أو التقلید عند المکتفی به هو خصوص الاعتقاد المصیب للواقع دون المخطئ فیه، فالاعتقاد المخالف للواقع بشی‌ء من المعارف لا یعذر صاحبه و إن حصّله من النظر و الاستدلال المؤدّی إلی العلم و القطع، فضلا عما لو حصّله من التقلید، نظرا إلی الإجماع علی عدم معذوریة المخطئ فی اصول الدین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وجوب الاعتقاد بهذا الوجه علی المکلف و إن کان فی بادئ النظر موهم للتحکّم و التکلیف بما لا یطاق إلّا أنّه مندفع بعد التأمل فی إتمامه تعالی اللطف و الحجّة بقیام الأدلّة العقلیة علی المعارف علی الوجه الواضح علی کلّ متأمّل فیها حتی المخدّرات فی الحجور الطاعنة فی أول حد البلوغ و التکلیف، بحیث لا </w:t>
      </w:r>
      <w:bookmarkStart w:id="503" w:name="pg12856_162631"/>
    </w:p>
    <w:p>
      <w:pPr>
        <w:pStyle w:val="BookText"/>
        <w:rPr/>
      </w:pPr>
      <w:bookmarkEnd w:id="503"/>
      <w:r>
        <w:rPr>
          <w:rFonts w:ascii="IRNazanin" w:hAnsi="IRNazanin" w:eastAsia="IRNazanin"/>
          <w:color w:val="111111"/>
          <w:sz w:val="28"/>
          <w:sz w:val="28"/>
          <w:szCs w:val="28"/>
          <w:rtl w:val="true"/>
          <w:lang w:bidi="fa-IR"/>
        </w:rPr>
        <w:t>یخفی إلّا علی المقصّر منهم فی التأمل و النظر علی وجه لا یعذر</w:t>
      </w:r>
      <w:r>
        <w:rPr>
          <w:rFonts w:eastAsia="IRNazanin" w:cs="IRNazanin"/>
          <w:color w:val="111111"/>
          <w:sz w:val="28"/>
          <w:szCs w:val="28"/>
          <w:rtl w:val="true"/>
          <w:lang w:bidi="fa-IR"/>
        </w:rPr>
        <w:t>.</w:t>
      </w:r>
    </w:p>
    <w:p>
      <w:pPr>
        <w:pStyle w:val="Heading5"/>
        <w:numPr>
          <w:ilvl w:val="4"/>
          <w:numId w:val="1"/>
        </w:numPr>
        <w:rPr/>
      </w:pPr>
      <w:bookmarkStart w:id="504" w:name="__RefHeading___Toc2646660_3224264995"/>
      <w:bookmarkStart w:id="505" w:name="_Toc201"/>
      <w:bookmarkEnd w:id="504"/>
      <w:r>
        <w:rPr>
          <w:rtl w:val="true"/>
        </w:rPr>
        <w:t>[</w:t>
      </w:r>
      <w:r>
        <w:rPr>
          <w:rtl w:val="true"/>
        </w:rPr>
        <w:t>کشف حکم عوام المخالفین القاصرین عن فهم الحقّ</w:t>
      </w:r>
      <w:r>
        <w:rPr>
          <w:rtl w:val="true"/>
        </w:rPr>
        <w:t>]</w:t>
      </w:r>
      <w:bookmarkEnd w:id="505"/>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بالعیان کثیرا من عوامّ المخالفین قاصرین عن فهم الحقّ و امتیازه عن الباطل بحیث لا یتعقل غیر الباطل حقّا سیما البعیدین عن بلاد الإسلام سیما النساء و الأطفال الطاعنة فی أول البلوغ و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کان مقتضی العقل هو تخصیص عموم خلود الکفّار فی النار بغیر القاصرین علی تقدیر وجود القاصر، کما هو المشاهد بزعمنا إلّا أنّه لما کان تنبیه المکلّفین فی أول البلوغ أمر ممکن للّه تعالی میسور له بقدرته الکامنة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بنوع من الإلهامات الخفیّة و الإیهامات النفسیة و الإرشادات اللطفیة إلی سبل الرشاد و طرق النجاة و لو حصل ذلک فی آن من الآنات لِیَهْلِکَ مَنْ هَلَکَ عَنْ بَیِّنَةٍ وَ یَحْیی مَنْ حَیَّ عَنْ بَیِّنَةٍ</w:t>
      </w:r>
      <w:r>
        <w:rPr>
          <w:rStyle w:val="FootnoteAnchor"/>
          <w:rtl w:val="true"/>
        </w:rPr>
        <w:footnoteReference w:id="156"/>
      </w:r>
      <w:r>
        <w:rPr>
          <w:rFonts w:ascii="IRNazanin" w:hAnsi="IRNazanin" w:eastAsia="IRNazanin"/>
          <w:color w:val="111111"/>
          <w:sz w:val="28"/>
          <w:sz w:val="28"/>
          <w:szCs w:val="28"/>
          <w:rtl w:val="true"/>
          <w:lang w:bidi="fa-IR"/>
        </w:rPr>
        <w:t>حذفا لمادّة العذر و قطعا لسبیل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الأمر بین الالتزام بما نزعمه من وجود القاصرین فتخصّص به عموم خلود الکفّار فی النار، و بین الالتزام بأنّه تعالی نبّههم الحقّ و أرشدهم إلی طریقه لا محالة و لو آناً ما من الآنات، حذرا من التخصیص عند إمکان التخصّص، و من المعلوم تقدیم التخصّص مهما أمکن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تنبیهه تعالی القصّر بزعمنا بنوع من الإلهامات الخفیة و الأسباب الغیر العادیة مستلزم لتخصیص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إلّا بأسبابها العادیة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هو لیس بأولی من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الکفّار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من نجده فی زعمنا من القاصرین</w:t>
      </w:r>
      <w:r>
        <w:rPr>
          <w:rFonts w:eastAsia="IRNazanin" w:cs="IRNazanin"/>
          <w:color w:val="111111"/>
          <w:sz w:val="28"/>
          <w:szCs w:val="28"/>
          <w:rtl w:val="true"/>
          <w:lang w:bidi="fa-IR"/>
        </w:rPr>
        <w:t>.</w:t>
      </w:r>
    </w:p>
    <w:p>
      <w:pPr>
        <w:pStyle w:val="Heading5"/>
        <w:numPr>
          <w:ilvl w:val="4"/>
          <w:numId w:val="1"/>
        </w:numPr>
        <w:rPr/>
      </w:pPr>
      <w:bookmarkStart w:id="506" w:name="__RefHeading___Toc2646662_3224264995"/>
      <w:bookmarkStart w:id="507" w:name="_Toc202"/>
      <w:bookmarkEnd w:id="506"/>
      <w:r>
        <w:rPr>
          <w:rtl w:val="true"/>
        </w:rPr>
        <w:t>[</w:t>
      </w:r>
      <w:r>
        <w:rPr>
          <w:rtl w:val="true"/>
        </w:rPr>
        <w:t>تحقیق المسألة</w:t>
      </w:r>
      <w:r>
        <w:rPr>
          <w:rtl w:val="true"/>
        </w:rPr>
        <w:t>]</w:t>
      </w:r>
      <w:bookmarkEnd w:id="50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عرفت ما تلونا علیک من تحریر محلّ النزاع و تنقیح المرام فلنرجع إلی بیان الأدلّة فی المقام، و نقول و باللّه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تارة فی بیان </w:t>
      </w:r>
      <w:bookmarkStart w:id="508" w:name="pg12856_162632"/>
    </w:p>
    <w:p>
      <w:pPr>
        <w:pStyle w:val="BookText"/>
        <w:rPr/>
      </w:pPr>
      <w:bookmarkEnd w:id="508"/>
      <w:r>
        <w:rPr>
          <w:rFonts w:ascii="IRNazanin" w:hAnsi="IRNazanin" w:eastAsia="IRNazanin"/>
          <w:color w:val="111111"/>
          <w:sz w:val="28"/>
          <w:sz w:val="28"/>
          <w:szCs w:val="28"/>
          <w:rtl w:val="true"/>
          <w:lang w:bidi="fa-IR"/>
        </w:rPr>
        <w:t>الدلیل علی أصل وجوب المعرفة، و تارة اخری فی تعیین وصف الدلیل الموجب للمعرفة هل هو من مقولة العقل أم النقل؛ و تارة ثالثة فی تشخیص کیفیة الواجب من المعرفة هل هو القطع أم یکفی الظنّ؟ و علی أیّ من التقدیرین هل یلزم کونه من النظر و الاستدلال أم یکفی التقلید؟ و تارة رابعة فی کمیّة ذلک الواجب و مقدار ما یجب من المعرفة فالکلام إذن فی مراحل</w:t>
      </w:r>
      <w:r>
        <w:rPr>
          <w:rFonts w:eastAsia="IRNazanin" w:cs="IRNazanin"/>
          <w:color w:val="111111"/>
          <w:sz w:val="28"/>
          <w:szCs w:val="28"/>
          <w:rtl w:val="true"/>
          <w:lang w:bidi="fa-IR"/>
        </w:rPr>
        <w:t>:</w:t>
      </w:r>
    </w:p>
    <w:p>
      <w:pPr>
        <w:pStyle w:val="Heading5"/>
        <w:numPr>
          <w:ilvl w:val="4"/>
          <w:numId w:val="1"/>
        </w:numPr>
        <w:rPr/>
      </w:pPr>
      <w:bookmarkStart w:id="509" w:name="__RefHeading___Toc2646664_3224264995"/>
      <w:bookmarkStart w:id="510" w:name="_Toc203"/>
      <w:bookmarkEnd w:id="509"/>
      <w:r>
        <w:rPr>
          <w:rtl w:val="true"/>
        </w:rPr>
        <w:t>[</w:t>
      </w:r>
      <w:r>
        <w:rPr>
          <w:rtl w:val="true"/>
        </w:rPr>
        <w:t>الدلیل علی وجوب المعرفة</w:t>
      </w:r>
      <w:r>
        <w:rPr>
          <w:rtl w:val="true"/>
        </w:rPr>
        <w:t>]</w:t>
      </w:r>
      <w:bookmarkEnd w:id="510"/>
    </w:p>
    <w:p>
      <w:pPr>
        <w:pStyle w:val="BookText"/>
        <w:rPr/>
      </w:pPr>
      <w:r>
        <w:rPr>
          <w:rFonts w:ascii="IRNazanin" w:hAnsi="IRNazanin" w:eastAsia="IRNazanin"/>
          <w:color w:val="111111"/>
          <w:sz w:val="28"/>
          <w:sz w:val="28"/>
          <w:szCs w:val="28"/>
          <w:rtl w:val="true"/>
          <w:lang w:bidi="fa-IR"/>
        </w:rPr>
        <w:t>أمّا المرحلة الاولی فمحصّل الکلام فیها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وجوب المعرفة فی الجملة هو کلّ من الأدلّة الاربعة، مضافا إلی الضرورة عند کلّ من التزم بوجود صانع مدبّر للعالم، إلّا الدهریة المنکرة لوجوده، فلا یبقی للمعرفة عندهم من موضوع و محلّ فضلا عن الحکم و الحلّ</w:t>
      </w:r>
      <w:r>
        <w:rPr>
          <w:rFonts w:eastAsia="IRNazanin" w:cs="IRNazanin"/>
          <w:color w:val="111111"/>
          <w:sz w:val="28"/>
          <w:szCs w:val="28"/>
          <w:rtl w:val="true"/>
          <w:lang w:bidi="fa-IR"/>
        </w:rPr>
        <w:t>.</w:t>
      </w:r>
    </w:p>
    <w:p>
      <w:pPr>
        <w:pStyle w:val="Heading5"/>
        <w:numPr>
          <w:ilvl w:val="4"/>
          <w:numId w:val="1"/>
        </w:numPr>
        <w:rPr/>
      </w:pPr>
      <w:bookmarkStart w:id="511" w:name="__RefHeading___Toc2646666_3224264995"/>
      <w:bookmarkStart w:id="512" w:name="_Toc204"/>
      <w:bookmarkEnd w:id="511"/>
      <w:r>
        <w:rPr>
          <w:rtl w:val="true"/>
        </w:rPr>
        <w:t>[</w:t>
      </w:r>
      <w:r>
        <w:rPr>
          <w:rtl w:val="true"/>
        </w:rPr>
        <w:t>الدلیل علی وجوب المعرفة لیس من النقل</w:t>
      </w:r>
      <w:r>
        <w:rPr>
          <w:rtl w:val="true"/>
        </w:rPr>
        <w:t>]</w:t>
      </w:r>
      <w:bookmarkEnd w:id="512"/>
    </w:p>
    <w:p>
      <w:pPr>
        <w:pStyle w:val="BookText"/>
        <w:rPr/>
      </w:pPr>
      <w:r>
        <w:rPr>
          <w:rFonts w:ascii="IRNazanin" w:hAnsi="IRNazanin" w:eastAsia="IRNazanin"/>
          <w:color w:val="111111"/>
          <w:sz w:val="28"/>
          <w:sz w:val="28"/>
          <w:szCs w:val="28"/>
          <w:rtl w:val="true"/>
          <w:lang w:bidi="fa-IR"/>
        </w:rPr>
        <w:t>و أمّا المرحلة الثانیة فتحقیق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وجوب المعرفة فی الجملة لیس من النقل لاستلزامه الدور و إفحام الأنبیاء، بل إنّما هو من العقل و هو لزوم دفع الضرر المحتمل، فإنّ من القریب إلی فطریات کلّ إنسان مکلّف إن لم یکن من فطریات کلّ حیوان هو إدراک أنّ ما یتوارده من النعم المتجدّدة العاریة القابلة للبقاء و الزوال إنّما هی من قبل غیره، لا من قبل نفسه، و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التضرّر بعدم معرفة ذلک الغیر المنعم علیه و لو بفقد نعمة أو نقصها، و هذا الاحتمال و الوهم ألم نفسانی یستوجب العقل دفعه بتحصیل المعرفة، و أیضا لزوم شکر المنعم الذی هو من المستقلّات العقلیة یتوقّف علی معرفة المنعم لئلا یتجاسر و یخطئ فی کیفیة شکره بما لا یلیق بحاله</w:t>
      </w:r>
      <w:r>
        <w:rPr>
          <w:rFonts w:eastAsia="IRNazanin" w:cs="IRNazanin"/>
          <w:color w:val="111111"/>
          <w:sz w:val="28"/>
          <w:szCs w:val="28"/>
          <w:rtl w:val="true"/>
          <w:lang w:bidi="fa-IR"/>
        </w:rPr>
        <w:t>.</w:t>
      </w:r>
    </w:p>
    <w:p>
      <w:pPr>
        <w:pStyle w:val="Heading5"/>
        <w:numPr>
          <w:ilvl w:val="4"/>
          <w:numId w:val="1"/>
        </w:numPr>
        <w:rPr/>
      </w:pPr>
      <w:bookmarkStart w:id="513" w:name="__RefHeading___Toc2646668_3224264995"/>
      <w:bookmarkStart w:id="514" w:name="_Toc205"/>
      <w:bookmarkEnd w:id="513"/>
      <w:r>
        <w:rPr>
          <w:rtl w:val="true"/>
        </w:rPr>
        <w:t>[</w:t>
      </w:r>
      <w:r>
        <w:rPr>
          <w:rtl w:val="true"/>
        </w:rPr>
        <w:t>لزوم شکر المنعم</w:t>
      </w:r>
      <w:r>
        <w:rPr>
          <w:rtl w:val="true"/>
        </w:rPr>
        <w:t>]</w:t>
      </w:r>
      <w:bookmarkEnd w:id="51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لزوم شکر المنعم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نظر بعین عقله إلی ما وهب له من القوی و الحواسّ الباطنة و الظاهرة و تأمّل بنور فطرته فی ما رکّب فی بدنه من دقائق الحکم الباهرة، و صرف بصر بصیرته نحو ما هو مغمور فیه من أنواع النعماء و أصناف الآلاء التی لا یحصر مقدارها و لا یقدر انحصارها فإن عقله </w:t>
      </w:r>
      <w:bookmarkStart w:id="515" w:name="pg12856_162633"/>
    </w:p>
    <w:p>
      <w:pPr>
        <w:pStyle w:val="BookText"/>
        <w:rPr/>
      </w:pPr>
      <w:bookmarkEnd w:id="515"/>
      <w:r>
        <w:rPr>
          <w:rFonts w:ascii="IRNazanin" w:hAnsi="IRNazanin" w:eastAsia="IRNazanin"/>
          <w:color w:val="111111"/>
          <w:sz w:val="28"/>
          <w:sz w:val="28"/>
          <w:szCs w:val="28"/>
          <w:rtl w:val="true"/>
          <w:lang w:bidi="fa-IR"/>
        </w:rPr>
        <w:t>یحکم حکما لازما بأنّ من أنعم علیه بتلک النعم العظیمة و المنن الجسیمة حقیق بأن یشکر، و یلیق بأن لا یکفر، و یقضی قضاء جازما بأنّ من أعرض عن شکر ألطافه العظام و تغافل عن حمد هاتیک الأیادی الجسام مع تواترها لیلا و نهارا و ترادفها سرّا و جهارا فهو مستوجب للذّم و العقاب بل مستحقّ لألیم النکال و عظیم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توقّفه علی معرفة المشکور فلئلا یتجاسر فی کیفیة الشکر و یخطو فی تأدیته بالکفر</w:t>
      </w:r>
    </w:p>
    <w:p>
      <w:pPr>
        <w:pStyle w:val="Heading5"/>
        <w:numPr>
          <w:ilvl w:val="4"/>
          <w:numId w:val="1"/>
        </w:numPr>
        <w:rPr/>
      </w:pPr>
      <w:bookmarkStart w:id="516" w:name="__RefHeading___Toc2646670_3224264995"/>
      <w:bookmarkStart w:id="517" w:name="_Toc206"/>
      <w:bookmarkEnd w:id="516"/>
      <w:r>
        <w:rPr>
          <w:rtl w:val="true"/>
        </w:rPr>
        <w:t>[</w:t>
      </w:r>
      <w:r>
        <w:rPr>
          <w:rtl w:val="true"/>
        </w:rPr>
        <w:t>رأی الأشاعرة فی وجوب المعرفة</w:t>
      </w:r>
      <w:r>
        <w:rPr>
          <w:rtl w:val="true"/>
        </w:rPr>
        <w:t>]</w:t>
      </w:r>
      <w:bookmarkEnd w:id="517"/>
    </w:p>
    <w:p>
      <w:pPr>
        <w:pStyle w:val="BookText"/>
        <w:rPr/>
      </w:pPr>
      <w:r>
        <w:rPr>
          <w:rFonts w:ascii="IRNazanin" w:hAnsi="IRNazanin" w:eastAsia="IRNazanin"/>
          <w:color w:val="111111"/>
          <w:sz w:val="28"/>
          <w:sz w:val="28"/>
          <w:szCs w:val="28"/>
          <w:rtl w:val="true"/>
          <w:lang w:bidi="fa-IR"/>
        </w:rPr>
        <w:t>، خلافا للأشاعرة المدّعین انحصار دلیل وجوب المعرفة فی النقل دون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الاستدلال بلزوم الدور و الإفحام فقد منعوه بدعوی أنّ من قدرته الکامنة و لطفه العمیم بروز العلم و القطع من مجرّد النقل، یعنی أنّ العلم بوجود واجب الوجود أو نبوّة نبیّه صلی اللّه علیه و آله یستفاد من مجرّد قوله تعالی أو قول نبیّه صلی اللّه علیه و آله بقدرته تعالی الخارقة للعادة، من دون أن یتوقّف علی سبق ثبوته تعالی أو ثبوت نبوّة نبیّه صلی اللّه علیه و آله حتی یستلزم الدور و إفحام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مخالفته للعادة و العیان مخالفته للنقل و البرهان، بأنّه أبی اللّه أن یجری الأشیاء إلّا باسبابها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بأسبابها العادیة دون الخارقة للعادة، إلّا لمصلحة خاصّة، فخلقه تعالی العلم اللدنی من مجرد قول المدّعی بصدق دعواه من الأسباب الخارقة للعادات التی لا مقتضی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بلزوم دفع الضرر المحتمل فقد منعوه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الصغری، أعنی منع احتمال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الوجدان و العیان بوجود الاحتمال و الوهم، إلّا من الغافل و القاصر عقلا أو فهما و هو علی تقدیر وجوده خارج عن محلّ النزاع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الکبری أولا بأنّ احتمال التضرر من عدم تحصیل المعرفة </w:t>
      </w:r>
      <w:bookmarkStart w:id="518" w:name="pg12856_162634"/>
    </w:p>
    <w:p>
      <w:pPr>
        <w:pStyle w:val="BookText"/>
        <w:rPr/>
      </w:pPr>
      <w:bookmarkEnd w:id="518"/>
      <w:r>
        <w:rPr>
          <w:rFonts w:ascii="IRNazanin" w:hAnsi="IRNazanin" w:eastAsia="IRNazanin"/>
          <w:color w:val="111111"/>
          <w:sz w:val="28"/>
          <w:sz w:val="28"/>
          <w:szCs w:val="28"/>
          <w:rtl w:val="true"/>
          <w:lang w:bidi="fa-IR"/>
        </w:rPr>
        <w:t>معارض باحتمال وقوع السالک طرق تحصیلها فی الخطأ و خلاف الواقع المطلق من المعرفة، فیتیه الطالب لتشتّت طرق المعرفة و اختلافها اختلافا لا یکاد أن یسلم السالک فیها من الزلل و الخلل، المنافی للغرض المطلوب من المعرفة</w:t>
      </w:r>
      <w:r>
        <w:rPr>
          <w:rFonts w:eastAsia="IRNazanin" w:cs="IRNazanin"/>
          <w:color w:val="111111"/>
          <w:sz w:val="28"/>
          <w:szCs w:val="28"/>
          <w:rtl w:val="true"/>
          <w:lang w:bidi="fa-IR"/>
        </w:rPr>
        <w:t>.</w:t>
      </w:r>
    </w:p>
    <w:p>
      <w:pPr>
        <w:pStyle w:val="Heading5"/>
        <w:numPr>
          <w:ilvl w:val="4"/>
          <w:numId w:val="1"/>
        </w:numPr>
        <w:rPr/>
      </w:pPr>
      <w:bookmarkStart w:id="519" w:name="__RefHeading___Toc2646672_3224264995"/>
      <w:bookmarkStart w:id="520" w:name="_Toc207"/>
      <w:bookmarkEnd w:id="519"/>
      <w:r>
        <w:rPr>
          <w:rtl w:val="true"/>
        </w:rPr>
        <w:t>[</w:t>
      </w:r>
      <w:r>
        <w:rPr>
          <w:rtl w:val="true"/>
        </w:rPr>
        <w:t>ما ینحصر دلیل وجوبه من المعارف فی دلیل العقل إنّما هو معرفة اللّه و نبوّة نبیّه</w:t>
      </w:r>
      <w:r>
        <w:rPr>
          <w:rtl w:val="true"/>
        </w:rPr>
        <w:t>]</w:t>
      </w:r>
      <w:bookmarkEnd w:id="520"/>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المنحصر دلیل وجوبها فی ما ذکر من العقل إنّما هی المعرفة بوجود الصانع و نبوّة نبیّه صلی اللّه علیه و آله، لا المعرفة بسائر المعارف فضلا عن سائر تفاصیل الإلهیات المقرّرة فی کتب الحکمة و الکلام حتی یحتمل وقوع سالکها فی الخطأ و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الضرر مرجعه إلی أصالة البراءة لا لزوم دفعه</w:t>
      </w:r>
      <w:r>
        <w:rPr>
          <w:rFonts w:eastAsia="IRNazanin" w:cs="IRNazanin"/>
          <w:color w:val="111111"/>
          <w:sz w:val="28"/>
          <w:szCs w:val="28"/>
          <w:rtl w:val="true"/>
          <w:lang w:bidi="fa-IR"/>
        </w:rPr>
        <w:t>.</w:t>
      </w:r>
    </w:p>
    <w:p>
      <w:pPr>
        <w:pStyle w:val="Heading5"/>
        <w:numPr>
          <w:ilvl w:val="4"/>
          <w:numId w:val="1"/>
        </w:numPr>
        <w:rPr/>
      </w:pPr>
      <w:bookmarkStart w:id="521" w:name="__RefHeading___Toc2646674_3224264995"/>
      <w:bookmarkStart w:id="522" w:name="_Toc208"/>
      <w:bookmarkEnd w:id="521"/>
      <w:r>
        <w:rPr>
          <w:rtl w:val="true"/>
        </w:rPr>
        <w:t>[</w:t>
      </w:r>
      <w:r>
        <w:rPr>
          <w:rtl w:val="true"/>
        </w:rPr>
        <w:t>اختصاص مجری البراءة الشرعیة بما بعد ورود الشرع</w:t>
      </w:r>
      <w:r>
        <w:rPr>
          <w:rtl w:val="true"/>
        </w:rPr>
        <w:t>]</w:t>
      </w:r>
      <w:bookmarkEnd w:id="522"/>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إن کان بالدلیل الشرعی فیختصّ مجراه بما بعد ثبوت الشریعة من الفروع لا بما قبله من الاصول، فإنّه مجری لأصالة الحظر لا الإباحة،</w:t>
      </w:r>
    </w:p>
    <w:p>
      <w:pPr>
        <w:pStyle w:val="Heading5"/>
        <w:numPr>
          <w:ilvl w:val="4"/>
          <w:numId w:val="1"/>
        </w:numPr>
        <w:rPr/>
      </w:pPr>
      <w:bookmarkStart w:id="523" w:name="__RefHeading___Toc2646676_3224264995"/>
      <w:bookmarkStart w:id="524" w:name="_Toc209"/>
      <w:bookmarkEnd w:id="523"/>
      <w:r>
        <w:rPr>
          <w:rtl w:val="true"/>
        </w:rPr>
        <w:t>[</w:t>
      </w:r>
      <w:r>
        <w:rPr>
          <w:rtl w:val="true"/>
        </w:rPr>
        <w:t>الاصول مجری لأصالة الحظر قبل ورود الشریعة</w:t>
      </w:r>
      <w:r>
        <w:rPr>
          <w:rtl w:val="true"/>
        </w:rPr>
        <w:t>]</w:t>
      </w:r>
      <w:bookmarkEnd w:id="524"/>
    </w:p>
    <w:p>
      <w:pPr>
        <w:pStyle w:val="BookText"/>
        <w:rPr/>
      </w:pPr>
      <w:r>
        <w:rPr>
          <w:rFonts w:ascii="IRNazanin" w:hAnsi="IRNazanin" w:eastAsia="IRNazanin"/>
          <w:color w:val="111111"/>
          <w:sz w:val="28"/>
          <w:sz w:val="28"/>
          <w:szCs w:val="28"/>
          <w:rtl w:val="true"/>
          <w:lang w:bidi="fa-IR"/>
        </w:rPr>
        <w:t>و لو سلّمنا الإباحة فیه أیضا فإنّما هو مشروط بما بعد الفحص و لو کان من الموضوعات الصرفة لا بما قبله، کما فی ما نحن فیه،</w:t>
      </w:r>
    </w:p>
    <w:p>
      <w:pPr>
        <w:pStyle w:val="Heading5"/>
        <w:numPr>
          <w:ilvl w:val="4"/>
          <w:numId w:val="1"/>
        </w:numPr>
        <w:rPr/>
      </w:pPr>
      <w:bookmarkStart w:id="525" w:name="__RefHeading___Toc2646678_3224264995"/>
      <w:bookmarkStart w:id="526" w:name="_Toc210"/>
      <w:bookmarkEnd w:id="525"/>
      <w:r>
        <w:rPr>
          <w:rtl w:val="true"/>
        </w:rPr>
        <w:t>[</w:t>
      </w:r>
      <w:r>
        <w:rPr>
          <w:rtl w:val="true"/>
        </w:rPr>
        <w:t>وجوب دفع الضرر المحتمل بیان فی مورد قبح العقاب بلا بیان</w:t>
      </w:r>
      <w:r>
        <w:rPr>
          <w:rtl w:val="true"/>
        </w:rPr>
        <w:t>]</w:t>
      </w:r>
      <w:bookmarkEnd w:id="526"/>
    </w:p>
    <w:p>
      <w:pPr>
        <w:pStyle w:val="BookText"/>
        <w:rPr/>
      </w:pPr>
      <w:r>
        <w:rPr>
          <w:rFonts w:ascii="IRNazanin" w:hAnsi="IRNazanin" w:eastAsia="IRNazanin"/>
          <w:color w:val="111111"/>
          <w:sz w:val="28"/>
          <w:sz w:val="28"/>
          <w:szCs w:val="28"/>
          <w:rtl w:val="true"/>
          <w:lang w:bidi="fa-IR"/>
        </w:rPr>
        <w:t>و إن کان بالدلیل العقلی و هو قبح العقاب بلا بیان فلا موضوع له فی ما نحن فیه، لأنّ المفروض إلزام العقل بدفع الضرر المحتمل و هو بیان بل فوق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المحتمل من ضرر عدم تحصیل المعرفة إنّما هو زوال النعم الدنیویة لا الابتلاء بالعقوبات الاخرویة، و من المبیّن أنّ إلزام العقل بدفعه إلزام إرشادی، کسائر الإلزامات العقلیة، فیترتّب علی مخالفته التضرّر بمجرّد ما احتمله من زوال النعم الدنیویة، لا إلزام حکمی کالالزامات المولویة لیترتب علی مخالفته العقوبة الاخرویة وراء ما احتمله من زوال نعمه الدنیویة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انحصار المحتمل فی الضرر الدنیوی و زوال النعم الدنیویة، بل کما یحتمل ذلک یحتمل التضرّر بغیره من العقوبات الاخرویة فالمحتمل هو مطلق العقوبة علی ترک المعرفة، فإلزام العقل و إن کان إرشادیا إلّا أنّه إرشاد إلی </w:t>
      </w:r>
      <w:bookmarkStart w:id="527" w:name="pg12856_162635"/>
    </w:p>
    <w:p>
      <w:pPr>
        <w:pStyle w:val="BookText"/>
        <w:rPr/>
      </w:pPr>
      <w:bookmarkEnd w:id="527"/>
      <w:r>
        <w:rPr>
          <w:rFonts w:ascii="IRNazanin" w:hAnsi="IRNazanin" w:eastAsia="IRNazanin"/>
          <w:color w:val="111111"/>
          <w:sz w:val="28"/>
          <w:sz w:val="28"/>
          <w:szCs w:val="28"/>
          <w:rtl w:val="true"/>
          <w:lang w:bidi="fa-IR"/>
        </w:rPr>
        <w:t>ترتب مطلق ما یترتب علیه فی الواقع سواء کان من المضارّ الدنیویة أم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المحتمل هو مطلق التضرر إلّا أنّ إلزام العقل خاصّ بدفع ما یتعلق بالمضارّ الدنیویة، فلا یترتب علی مخالفته وراء تلک المضارّ الدنیویة استحقاق العقوبة الاخرویة و إن کانت أیضا محتملة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اختصاص إلزام العقل بدفع المضارّ الدنیویة، بل المضارّ الاخرویة أشدّ من المضارّ الدنیویة بأضعاف مضاعفة، فالملزم لدفع المحتمل من المضارّ الدنیویة ملزم لدفع المحتمل من المضارّ الاخرویة بالأولویة القطعیة بعد فرض مساواتهما فی الاحتمال</w:t>
      </w:r>
      <w:r>
        <w:rPr>
          <w:rFonts w:eastAsia="IRNazanin" w:cs="IRNazanin"/>
          <w:color w:val="111111"/>
          <w:sz w:val="28"/>
          <w:szCs w:val="28"/>
          <w:rtl w:val="true"/>
          <w:lang w:bidi="fa-IR"/>
        </w:rPr>
        <w:t>.</w:t>
      </w:r>
    </w:p>
    <w:p>
      <w:pPr>
        <w:pStyle w:val="Heading5"/>
        <w:numPr>
          <w:ilvl w:val="4"/>
          <w:numId w:val="1"/>
        </w:numPr>
        <w:rPr/>
      </w:pPr>
      <w:bookmarkStart w:id="528" w:name="__RefHeading___Toc2646680_3224264995"/>
      <w:bookmarkStart w:id="529" w:name="_Toc211"/>
      <w:bookmarkEnd w:id="528"/>
      <w:r>
        <w:rPr>
          <w:rtl w:val="true"/>
        </w:rPr>
        <w:t>[</w:t>
      </w:r>
      <w:r>
        <w:rPr>
          <w:rtl w:val="true"/>
        </w:rPr>
        <w:t>منع الأشاعرة من لزوم شکر المنعم عقلا</w:t>
      </w:r>
      <w:r>
        <w:rPr>
          <w:rtl w:val="true"/>
        </w:rPr>
        <w:t>]</w:t>
      </w:r>
      <w:bookmarkEnd w:id="529"/>
    </w:p>
    <w:p>
      <w:pPr>
        <w:pStyle w:val="BookText"/>
        <w:rPr/>
      </w:pPr>
      <w:r>
        <w:rPr>
          <w:rFonts w:ascii="IRNazanin" w:hAnsi="IRNazanin" w:eastAsia="IRNazanin"/>
          <w:color w:val="111111"/>
          <w:sz w:val="28"/>
          <w:sz w:val="28"/>
          <w:szCs w:val="28"/>
          <w:rtl w:val="true"/>
          <w:lang w:bidi="fa-IR"/>
        </w:rPr>
        <w:t>و أمّا الاستدلال بلزوم شکر المنعم عقلا فقد منعوه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إدراک العقل للحسن و القبح حتی یلزمنا بشکر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إنکار للبدیهی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الشکر إن کان وجوبه لا لفائدة فهو عبث غیر جائز عقلا، و إن کان لفائدة فإمّا تعود إلی المشکور فهو متعال عن ذلک، و إمّا إلی الشاکر فهو منتف، أمّا فی الدنیا فلأنّه مشقّة بلا حظ، و أمّا فی الآخرة فلا استقلال للعقل فیها، و أیضا هو تصرف فی مال الغیر بدون إذنه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أنّ فائدته تعود إلی الشاکر، و هو محض حصول التقرّب فهو حسن بالذات، و لا یقتضی فائدة اخری مع أنّ عزل العقل عن حکمه بالفائدة الآجلة محض الدعوی، و قد أثبت فی محلّه، بل لا یحتاج فی إثبات مطلق المعاد إلی الشرع و العقل حاکم به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توقف الشکر و زوال الخوف علی المعرفة المستفادة من النظر، بل یکفی فیها المعرفة السابقة علی النظر التی هو شرط النظر، سلّمنا عدم کفایتها، و لکن نمنع توقّفها علی النظر، لجواز حصولها بالتعلیم کما هو رأی الملاحدة، أو </w:t>
      </w:r>
      <w:bookmarkStart w:id="530" w:name="pg12856_162636"/>
    </w:p>
    <w:p>
      <w:pPr>
        <w:pStyle w:val="BookText"/>
        <w:rPr/>
      </w:pPr>
      <w:bookmarkEnd w:id="530"/>
      <w:r>
        <w:rPr>
          <w:rFonts w:ascii="IRNazanin" w:hAnsi="IRNazanin" w:eastAsia="IRNazanin"/>
          <w:color w:val="111111"/>
          <w:sz w:val="28"/>
          <w:sz w:val="28"/>
          <w:szCs w:val="28"/>
          <w:rtl w:val="true"/>
          <w:lang w:bidi="fa-IR"/>
        </w:rPr>
        <w:t>بالإلهام علی ما یراه البراهمة، أو بتصفیة الباطن بالمجاهدات کما یراه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المذکورات تحتاج إلی النظر لیتمیّز به صحیحها عن فاسدها،</w:t>
      </w:r>
    </w:p>
    <w:p>
      <w:pPr>
        <w:pStyle w:val="Heading5"/>
        <w:numPr>
          <w:ilvl w:val="4"/>
          <w:numId w:val="1"/>
        </w:numPr>
        <w:rPr/>
      </w:pPr>
      <w:bookmarkStart w:id="531" w:name="__RefHeading___Toc2646682_3224264995"/>
      <w:bookmarkStart w:id="532" w:name="_Toc212"/>
      <w:bookmarkEnd w:id="531"/>
      <w:r>
        <w:rPr>
          <w:rtl w:val="true"/>
        </w:rPr>
        <w:t>[</w:t>
      </w:r>
      <w:r>
        <w:rPr>
          <w:rtl w:val="true"/>
        </w:rPr>
        <w:t>المقدور من طرق المعرفة</w:t>
      </w:r>
      <w:r>
        <w:rPr>
          <w:rtl w:val="true"/>
        </w:rPr>
        <w:t>]</w:t>
      </w:r>
      <w:bookmarkEnd w:id="532"/>
    </w:p>
    <w:p>
      <w:pPr>
        <w:pStyle w:val="BookText"/>
        <w:rPr/>
      </w:pPr>
      <w:r>
        <w:rPr>
          <w:rFonts w:ascii="IRNazanin" w:hAnsi="IRNazanin" w:eastAsia="IRNazanin"/>
          <w:color w:val="111111"/>
          <w:sz w:val="28"/>
          <w:sz w:val="28"/>
          <w:szCs w:val="28"/>
          <w:rtl w:val="true"/>
          <w:lang w:bidi="fa-IR"/>
        </w:rPr>
        <w:t>و أیضا الکلام فی المقدور، یعنی لا مقدور لنا من طرق المعرفة إلّا النظر و التعلیم و الإلهام من قبل الغیر فلیس شی‌ء منها مقدورا، و التصفیة کما هو حقّها أیضا فی حکم غیر المقدور لاحتیاجها إلی مجاهدات شاقّة و مخاطرات کثیرة قلّ ما یفی بها المزاج</w:t>
      </w:r>
      <w:r>
        <w:rPr>
          <w:rFonts w:eastAsia="IRNazanin" w:cs="IRNazanin"/>
          <w:color w:val="111111"/>
          <w:sz w:val="28"/>
          <w:szCs w:val="28"/>
          <w:rtl w:val="true"/>
          <w:lang w:bidi="fa-IR"/>
        </w:rPr>
        <w:t>.</w:t>
      </w:r>
    </w:p>
    <w:p>
      <w:pPr>
        <w:pStyle w:val="Heading5"/>
        <w:numPr>
          <w:ilvl w:val="4"/>
          <w:numId w:val="1"/>
        </w:numPr>
        <w:rPr/>
      </w:pPr>
      <w:bookmarkStart w:id="533" w:name="__RefHeading___Toc2646684_3224264995"/>
      <w:bookmarkStart w:id="534" w:name="_Toc213"/>
      <w:bookmarkEnd w:id="533"/>
      <w:r>
        <w:rPr>
          <w:rtl w:val="true"/>
        </w:rPr>
        <w:t>[</w:t>
      </w:r>
      <w:r>
        <w:rPr>
          <w:rtl w:val="true"/>
        </w:rPr>
        <w:t>وجوب ما یتوقّف علیه الواجب</w:t>
      </w:r>
      <w:r>
        <w:rPr>
          <w:rtl w:val="true"/>
        </w:rPr>
        <w:t>]</w:t>
      </w:r>
      <w:bookmarkEnd w:id="534"/>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وجوب 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جوابه مما حقّق فی محلّه، من عدم المجال لإنکار وجوبه التبعی العقلی و اللابدّی، و به الکفایة فی المطلوب</w:t>
      </w:r>
      <w:r>
        <w:rPr>
          <w:rFonts w:eastAsia="IRNazanin" w:cs="IRNazanin"/>
          <w:color w:val="111111"/>
          <w:sz w:val="28"/>
          <w:szCs w:val="28"/>
          <w:rtl w:val="true"/>
          <w:lang w:bidi="fa-IR"/>
        </w:rPr>
        <w:t>.</w:t>
      </w:r>
    </w:p>
    <w:p>
      <w:pPr>
        <w:pStyle w:val="Heading5"/>
        <w:numPr>
          <w:ilvl w:val="4"/>
          <w:numId w:val="1"/>
        </w:numPr>
        <w:rPr/>
      </w:pPr>
      <w:bookmarkStart w:id="535" w:name="__RefHeading___Toc2646686_3224264995"/>
      <w:bookmarkStart w:id="536" w:name="_Toc214"/>
      <w:bookmarkEnd w:id="535"/>
      <w:r>
        <w:rPr>
          <w:rtl w:val="true"/>
        </w:rPr>
        <w:t>[</w:t>
      </w:r>
      <w:r>
        <w:rPr>
          <w:rtl w:val="true"/>
        </w:rPr>
        <w:t>إظهار الأشاعرة بتقاعدنا عن شکر نعماء اللّه و لزوم الکفّ عن حمد آلائه عزّ و جلّ</w:t>
      </w:r>
      <w:r>
        <w:rPr>
          <w:rtl w:val="true"/>
        </w:rPr>
        <w:t>]</w:t>
      </w:r>
      <w:bookmarkEnd w:id="536"/>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شکرنا معاشر التراب لا یلیق بساحة نعماء ربّ الأرباب، فقالوا یعنی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لو تنزّلنا لکم و سلّمنا أنّ الحسن و القبح عقلیان و إننا و إنّکم فی الإذعان بذلک سیّان فإنّ عندنا ما یوجب تزییف قولکم بوجوب شکر المنعم بقضیة العقل، و عندنا ما یستخف اعتقادکم ثبوت ذلک من دون ورود النقل؛ فإنّ ما جعلتموه دلیلا من خوف العقاب و مظنّة الثواب مردود إلیکم و مقلوب علیکم، إذ الخوف المذکور قائم عند قیام العبد بوظائف الشکر و لطائف الحمد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کلّ من له أدنی مسکة یحکم حکما لا ریب فیه، و لا شکّ یعتریه بأنّ الملک الکریم الذی ملک الأکناف شرقا و غربا و سخّر الأطراف بعدا و قربا إذا مدّ لأهل مملکته من الخاصّ و العامّ مائدة عظیمة لا مقطوعة و لا ممنوعة علی توالی اللیل و النهار، مشتملة علی أنواع المطاعم الشهیة مشحونة بأصناف المشارب السنیة، یجلس علیها الدانی و القاصی و تمتّع بطیباتها المطیع و العاصی فحضرها فی بعض الأیام مسکین لم یحضرها قبل ذلک قطّ فدفع إلیه الملک لقمة واحدة فتناولها ذلک المسکین یمدحه بجلیل الإنعام و الإحسان، و یحمده علی جزیل </w:t>
      </w:r>
      <w:bookmarkStart w:id="537" w:name="pg12856_162637"/>
    </w:p>
    <w:p>
      <w:pPr>
        <w:pStyle w:val="BookText"/>
        <w:rPr/>
      </w:pPr>
      <w:bookmarkEnd w:id="537"/>
      <w:r>
        <w:rPr>
          <w:rFonts w:ascii="IRNazanin" w:hAnsi="IRNazanin" w:eastAsia="IRNazanin"/>
          <w:color w:val="111111"/>
          <w:sz w:val="28"/>
          <w:sz w:val="28"/>
          <w:szCs w:val="28"/>
          <w:rtl w:val="true"/>
          <w:lang w:bidi="fa-IR"/>
        </w:rPr>
        <w:t>الکرم و الامتنان و لم یزل یصف تلک اللقمة و یذکرها و یعظّم شأنها و یشکرها، فلا شکّ فی أنّ ذلک الشکر و الثناء یکون منتظما عند سائر العقلاء فی سلک السخریة و الاستهزاء، فکیف و نعم اللّه بالنسبة إلی ذلک الملک؟ لا یحویها الإحصاء و لا یحوم حولها الاستقصاء، فظهر أنّ تقاعدنا عن شکر نعمائه تعالی مما یقتضیه العقل السلیم و الکفّ عن حمد آلائه عزّ و علا مما یحکم بوجوبه الرأی القویم و الطبع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538" w:name="__RefHeading___Toc2646688_3224264995"/>
      <w:bookmarkStart w:id="539" w:name="_Toc215"/>
      <w:bookmarkEnd w:id="538"/>
      <w:r>
        <w:rPr>
          <w:rtl w:val="true"/>
        </w:rPr>
        <w:t>[</w:t>
      </w:r>
      <w:r>
        <w:rPr>
          <w:rtl w:val="true"/>
        </w:rPr>
        <w:t>ردّ الشیخ البهائی علیهم فی تلک المقالة</w:t>
      </w:r>
      <w:r>
        <w:rPr>
          <w:rtl w:val="true"/>
        </w:rPr>
        <w:t>]</w:t>
      </w:r>
      <w:bookmarkEnd w:id="539"/>
    </w:p>
    <w:p>
      <w:pPr>
        <w:pStyle w:val="BookText"/>
        <w:rPr/>
      </w:pPr>
      <w:r>
        <w:rPr>
          <w:rFonts w:ascii="IRNazanin" w:hAnsi="IRNazanin" w:eastAsia="IRNazanin"/>
          <w:color w:val="111111"/>
          <w:sz w:val="28"/>
          <w:sz w:val="28"/>
          <w:szCs w:val="28"/>
          <w:rtl w:val="true"/>
          <w:lang w:bidi="fa-IR"/>
        </w:rPr>
        <w:t>قال البهائی فی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من سلک مسالک السداد و لم ینهج مناهج اللجاج و العناد أنّ لأصحابنا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أوردتموه من الدلیل و تکفّلتموه من التمثیل کلام ممیل علیل لا یروی الغلیل، و لا یصلح للتعویل؛ فإنّ تلک اللقمة لما کانت حقیرة المقدار فی جمیع الأنظار عدیمة الاعتبار فی کلّ الأقطار لا جرم صار الحمد و الثناء علی ذلک العطاء منخرطا فی سلک السخریة و الاستهزاء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فالمثال المناسب لما نحن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زاویة الخمول و هاویة الذهول مسکین أخرس اللسان مسئوف الأرکان مشلول الیدین معدوم الرجلین مبتلی بالأسقام و الأمراض محروما عن جمیع المطالب و الأغراض، فاقد السمع و الأبصار لا یفرق بین السرّ و الجهار و لا یمیّز بین اللیل و النهار، بل عادم للحواسّ الظاهرة بأسرها عار عن المشاعرة الباطنة عن آخرها، فأخرجه الملک عن متاعب تلک الزاویة و مصاعب هاتیک الهاویة و منّ علیه بإطلاق لسانه و تقویة أرکانه و إزالة خلله و إماطة شلله، و تلطّف بإعطائه السمع و البصر و تعطف بهدایته إلی جلب النفع و دفع الضرر، و تکرّر بإعزازه و إکرامه و فضّله علی کثیر من أتباعه و خدّامه، ثمّ إنّه بعد تخلیص الملک له من تلک الآفات العظیمة و البلیّات العمیمة و إنقاذه من الأمراض المتفاقمة و الأسقام المتراکمة و إعطائه أنواع النعم الغامرة </w:t>
      </w:r>
      <w:bookmarkStart w:id="540" w:name="pg12856_162638"/>
    </w:p>
    <w:p>
      <w:pPr>
        <w:pStyle w:val="BookText"/>
        <w:rPr/>
      </w:pPr>
      <w:bookmarkEnd w:id="540"/>
      <w:r>
        <w:rPr>
          <w:rFonts w:ascii="IRNazanin" w:hAnsi="IRNazanin" w:eastAsia="IRNazanin"/>
          <w:color w:val="111111"/>
          <w:sz w:val="28"/>
          <w:sz w:val="28"/>
          <w:szCs w:val="28"/>
          <w:rtl w:val="true"/>
          <w:lang w:bidi="fa-IR"/>
        </w:rPr>
        <w:t>و أصناف التکریمات الفاخرة طوی عن شکره کشحا، و ضرب عن حمده صفحا، و لا یظهر منه ما یدلّ علی الاعتناء بتلک النعماء التی ساحها ذلک الملک إلیه و الآلاء التی أفاضها علیه، بل کان حاله بعد وصولها کما له قبل حصولها، فلا ریب أنّه مذموم بکلّ لسان مستوجب للإهانة و الخذلان، فدلیلکم حقیق بأن نشرّده و لا نطّرده، و تمثیلکم خلیق بأن ترفضوه و لا تحفظوه، فإنّ الطبع السلیم یأباهما و الذهن القویم لا یرضاهما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الثالثة فقد تکفّل المتن تحقیق الکلام فیها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فالکلام فیه یقع تارة بالنسبة إلی القادر علی تحصیل العلم، و اخری بالنسبة إلی العاجز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إلی آخر ما أشار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الدلیل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541" w:name="__RefHeading___Toc2646690_3224264995"/>
      <w:bookmarkStart w:id="542" w:name="_Toc216"/>
      <w:bookmarkEnd w:id="541"/>
      <w:r>
        <w:rPr>
          <w:rtl w:val="true"/>
        </w:rPr>
        <w:t>[</w:t>
      </w:r>
      <w:r>
        <w:rPr>
          <w:rtl w:val="true"/>
        </w:rPr>
        <w:t>عدم کفایة الظنّ فی المعارف النظریّة</w:t>
      </w:r>
      <w:r>
        <w:rPr>
          <w:rtl w:val="true"/>
        </w:rPr>
        <w:t>]</w:t>
      </w:r>
      <w:bookmarkEnd w:id="5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ما ذکره من اعتبار القطع و عدم کفایة الظنّ فی المعارف مضافا إلی ما ذکره الماتن</w:t>
      </w:r>
      <w:r>
        <w:rPr>
          <w:rStyle w:val="FootnoteAnchor"/>
          <w:rtl w:val="true"/>
        </w:rPr>
        <w:footnoteReference w:id="160"/>
      </w:r>
      <w:r>
        <w:rPr>
          <w:rFonts w:ascii="IRNazanin" w:hAnsi="IRNazanin" w:eastAsia="IRNazanin"/>
          <w:color w:val="111111"/>
          <w:sz w:val="28"/>
          <w:sz w:val="28"/>
          <w:szCs w:val="28"/>
          <w:rtl w:val="true"/>
          <w:lang w:bidi="fa-IR"/>
        </w:rPr>
        <w:t>قدّس سرّه من الآیات الناهیة عن الظنّ و التقلید و سائر الآیات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وجوب الإیمان و التفقه و العلم و المعرفة و التصدیق و الإقرار و الشهادة و 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الإجماعات المنقولة، بل المحصّلة علی وجوب العلم و عدم کفایة الظنّ</w:t>
      </w:r>
      <w:r>
        <w:rPr>
          <w:rFonts w:eastAsia="IRNazanin" w:cs="IRNazanin"/>
          <w:color w:val="111111"/>
          <w:sz w:val="28"/>
          <w:szCs w:val="28"/>
          <w:rtl w:val="true"/>
          <w:lang w:bidi="fa-IR"/>
        </w:rPr>
        <w:t>.</w:t>
      </w:r>
    </w:p>
    <w:p>
      <w:pPr>
        <w:pStyle w:val="Heading5"/>
        <w:numPr>
          <w:ilvl w:val="4"/>
          <w:numId w:val="1"/>
        </w:numPr>
        <w:rPr/>
      </w:pPr>
      <w:bookmarkStart w:id="543" w:name="__RefHeading___Toc2646692_3224264995"/>
      <w:bookmarkStart w:id="544" w:name="_Toc217"/>
      <w:bookmarkEnd w:id="543"/>
      <w:r>
        <w:rPr>
          <w:rtl w:val="true"/>
        </w:rPr>
        <w:t>[</w:t>
      </w:r>
      <w:r>
        <w:rPr>
          <w:rtl w:val="true"/>
        </w:rPr>
        <w:t>مفاد الآیات الناهیة عن الظنّ</w:t>
      </w:r>
      <w:r>
        <w:rPr>
          <w:rtl w:val="true"/>
        </w:rPr>
        <w:t>]</w:t>
      </w:r>
      <w:bookmarkEnd w:id="544"/>
    </w:p>
    <w:p>
      <w:pPr>
        <w:pStyle w:val="BookText"/>
        <w:rPr/>
      </w:pPr>
      <w:r>
        <w:rPr>
          <w:rFonts w:ascii="IRNazanin" w:hAnsi="IRNazanin" w:eastAsia="IRNazanin"/>
          <w:color w:val="111111"/>
          <w:sz w:val="28"/>
          <w:sz w:val="28"/>
          <w:szCs w:val="28"/>
          <w:rtl w:val="true"/>
          <w:lang w:bidi="fa-IR"/>
        </w:rPr>
        <w:t>و أمّا ما أورده صاحب القوانین علی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ظنّیة الدلالة، و المفروض عدم حجّیة الظنّ فی اصول الدین فمن الاستدلال بها علی عدم حجّیة الظنّ فی اصول الدین یلزم عدم حجّیة ظنّ نفسها، و ما یلزم من وجوده عدمه فهو باطل</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545" w:name="__RefHeading___Toc2646694_3224264995"/>
      <w:bookmarkStart w:id="546" w:name="_Toc218"/>
      <w:bookmarkEnd w:id="545"/>
      <w:r>
        <w:rPr>
          <w:rtl w:val="true"/>
        </w:rPr>
        <w:t>[</w:t>
      </w:r>
      <w:r>
        <w:rPr>
          <w:rtl w:val="true"/>
        </w:rPr>
        <w:t>ردود علی القوانین فی إیراده علی أدلّة القول باعتبار القطع فی اصول الدین</w:t>
      </w:r>
      <w:r>
        <w:rPr>
          <w:rtl w:val="true"/>
        </w:rPr>
        <w:t>]</w:t>
      </w:r>
      <w:bookmarkEnd w:id="54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یجاب عنه بمنع الملازمة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الظنّ الحاصل من الآیات لم یتعلق بنفس اصول الدین حتی یلزم من الاستدلال به علی عدم حجّیة الظنّ فی </w:t>
      </w:r>
      <w:bookmarkStart w:id="547" w:name="pg12856_162639"/>
    </w:p>
    <w:p>
      <w:pPr>
        <w:pStyle w:val="BookText"/>
        <w:rPr/>
      </w:pPr>
      <w:bookmarkEnd w:id="547"/>
      <w:r>
        <w:rPr>
          <w:rFonts w:ascii="IRNazanin" w:hAnsi="IRNazanin" w:eastAsia="IRNazanin"/>
          <w:color w:val="111111"/>
          <w:sz w:val="28"/>
          <w:sz w:val="28"/>
          <w:szCs w:val="28"/>
          <w:rtl w:val="true"/>
          <w:lang w:bidi="fa-IR"/>
        </w:rPr>
        <w:t>اصول الدین عدم حجّیة نفسه، بل إنّما هو متعلق بکیفیة الواجب فی اصول الدین هل هو القطع أم الظنّ؟</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 الآیة هو عدم حجّیة الظنّ فی اصول الدین، و أمّا نفس الآیة فلیس ظنّ بنفس اصول الدین حتی یلزم من عدم حجّیة الظنّ فی اصول الدین عدم حجّیة نفسه، بل إنّما هو ظنّ بکیفیة المطلوب فی اصول الدین هل هو القطع أم الظن؟ و شتان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کونه ظنّا باصول الدین، لکن ظواهر الآیات و الأخبار من الظنون الخاصّة التی لا کلام فی حجّیتها و إن تعلقت بنفس أصول الدین، بخلاف مدلولها و هو الظنّ المطلق بها فاختلف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علی الاستدلال بالآیات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حجّیتها فی أصول الدین یستلزم الدور و إن کانت نصوصا قطعیة الدلالة</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إلّا فی الاستدلال بها علی أصل إثبات وجود الصانع أو نبوّة النبی صلی اللّه علیه و آله، و محلّ الکلام فی الاستدلال بها علی تشخیص کیفیة المثبت هل هو العلم ام الظن؟ بعد الفراغ عن أصل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الملازمة مطلقا فإنّما نمنع بطلان اللازم لأنّ الدور إنّما هو مانع خارجی من الاستدلال بها، لا مانع من أصل حجّیتها فی الواقع کما أنّ صلابة الحجر مانع من تأثّره و انکساره، لا من مقتضی الکسر و التأثیر</w:t>
      </w:r>
      <w:r>
        <w:rPr>
          <w:rFonts w:eastAsia="IRNazanin" w:cs="IRNazanin"/>
          <w:color w:val="111111"/>
          <w:sz w:val="28"/>
          <w:szCs w:val="28"/>
          <w:rtl w:val="true"/>
          <w:lang w:bidi="fa-IR"/>
        </w:rPr>
        <w:t>.</w:t>
      </w:r>
    </w:p>
    <w:p>
      <w:pPr>
        <w:pStyle w:val="Heading5"/>
        <w:numPr>
          <w:ilvl w:val="4"/>
          <w:numId w:val="1"/>
        </w:numPr>
        <w:rPr/>
      </w:pPr>
      <w:bookmarkStart w:id="548" w:name="__RefHeading___Toc2646696_3224264995"/>
      <w:bookmarkStart w:id="549" w:name="_Toc219"/>
      <w:bookmarkEnd w:id="548"/>
      <w:r>
        <w:rPr>
          <w:rtl w:val="true"/>
        </w:rPr>
        <w:t>[</w:t>
      </w:r>
      <w:r>
        <w:rPr>
          <w:rtl w:val="true"/>
        </w:rPr>
        <w:t>عدم قدح وجوب المخالف فی الاجماع المحصل و لا المنقول</w:t>
      </w:r>
      <w:r>
        <w:rPr>
          <w:rtl w:val="true"/>
        </w:rPr>
        <w:t>]</w:t>
      </w:r>
      <w:bookmarkEnd w:id="5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63"/>
      </w:r>
      <w:r>
        <w:rPr>
          <w:rFonts w:ascii="IRNazanin" w:hAnsi="IRNazanin" w:eastAsia="IRNazanin"/>
          <w:color w:val="111111"/>
          <w:sz w:val="28"/>
          <w:sz w:val="28"/>
          <w:szCs w:val="28"/>
          <w:rtl w:val="true"/>
          <w:lang w:bidi="fa-IR"/>
        </w:rPr>
        <w:t>ما أورده علی الإجماعات بوجود الخلاف من المحقّق الطوسی و الأردبیلی و صاحب المدارک و البهائی و العلّامة المجلسی و الکاشانی و الأخباریة</w:t>
      </w:r>
      <w:r>
        <w:rPr>
          <w:rFonts w:eastAsia="IRNazanin" w:cs="IRNazanin"/>
          <w:color w:val="111111"/>
          <w:sz w:val="28"/>
          <w:szCs w:val="28"/>
          <w:rtl w:val="true"/>
          <w:lang w:bidi="fa-IR"/>
        </w:rPr>
        <w:t xml:space="preserve">. </w:t>
      </w:r>
      <w:bookmarkStart w:id="550" w:name="pg12856_162640"/>
    </w:p>
    <w:p>
      <w:pPr>
        <w:pStyle w:val="BookText"/>
        <w:rPr/>
      </w:pPr>
      <w:bookmarkEnd w:id="550"/>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موضوع الخلاف من بعض هؤلاء، و منع قدحه من آخرین، أمّا الأخباریة فلأنّهم إنّما یعوّلون علی أخبار الآحاد، و هی ظنون خاصّة لا کلام لنا معاشر المشهور فی حجّیتها فی الاصول، بل کلامنا إنّما هو فی حجّیة الظنون المطلقة و هم لم یخالفونا فی منع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مخالفة غیرهم فهی و إن تحققت إلّا أنّها مع ذلک غیر قادحة فی تحقّق الإجماع المحصّل و لا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قدح وجود المخالف فی الإجماع المحصّل فإناطته عندنا معاشر الخاصّة بوفاق المعصوم لا باتفاق الکلّ، کما هو مصطلح العامّة، و أمّا عدم قدحه فی المنقول فلتقدم المثبت و هو الناقل علی النافی و هو المخالف کما لا یخفی</w:t>
      </w:r>
      <w:r>
        <w:rPr>
          <w:rFonts w:eastAsia="IRNazanin" w:cs="IRNazanin"/>
          <w:color w:val="111111"/>
          <w:sz w:val="28"/>
          <w:szCs w:val="28"/>
          <w:rtl w:val="true"/>
          <w:lang w:bidi="fa-IR"/>
        </w:rPr>
        <w:t>.</w:t>
      </w:r>
    </w:p>
    <w:p>
      <w:pPr>
        <w:pStyle w:val="Heading5"/>
        <w:numPr>
          <w:ilvl w:val="4"/>
          <w:numId w:val="1"/>
        </w:numPr>
        <w:rPr/>
      </w:pPr>
      <w:bookmarkStart w:id="551" w:name="__RefHeading___Toc2646698_3224264995"/>
      <w:bookmarkStart w:id="552" w:name="_Toc220"/>
      <w:bookmarkEnd w:id="551"/>
      <w:r>
        <w:rPr>
          <w:rtl w:val="true"/>
        </w:rPr>
        <w:t>[</w:t>
      </w:r>
      <w:r>
        <w:rPr>
          <w:rtl w:val="true"/>
        </w:rPr>
        <w:t>وجوه احتجاج القوانین علی کفایة الظنّ فی اصول الدین و الردّ علیها</w:t>
      </w:r>
      <w:r>
        <w:rPr>
          <w:rtl w:val="true"/>
        </w:rPr>
        <w:t>]</w:t>
      </w:r>
      <w:bookmarkEnd w:id="552"/>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أورد صاحب القوانین</w:t>
      </w:r>
      <w:r>
        <w:rPr>
          <w:rStyle w:val="FootnoteAnchor"/>
          <w:rtl w:val="true"/>
        </w:rPr>
        <w:footnoteReference w:id="164"/>
      </w:r>
      <w:r>
        <w:rPr>
          <w:rFonts w:ascii="IRNazanin" w:hAnsi="IRNazanin" w:eastAsia="IRNazanin"/>
          <w:color w:val="111111"/>
          <w:sz w:val="28"/>
          <w:sz w:val="28"/>
          <w:szCs w:val="28"/>
          <w:rtl w:val="true"/>
          <w:lang w:bidi="fa-IR"/>
        </w:rPr>
        <w:t>علی ظواهر الآیات و الأخبار و الإجماعات المعتبرة للعلم فی اصول الدین بحمل العلم فیها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مطلق الرجحان الشامل للظنّ،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فالمراد من العلم هو مطلق الجزم المطابق و لو لم یکن فیه ثبات بأنّ أمکن زواله بالتشکیک،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فالمراد هو مطلق الجزم الثابت و لو لم یکن بمطابق للواقع،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فهو تکلیف المستعدّین لعلوّ الفهم و الهمّة لا تکلیف مطلق المکلّفین فخلاف ظاهر العلم و منصرفه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الحامل له علی ذلک کلّه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بها علی کفایة مطلق الظنّ فی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عن وجوب تحصیل ما یزید علی الظنّ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مقاومة الأصل لما ذکرنا من الأدلّة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العلم علی الجزم المطابق بل مطلق الجزم فی قوله تعالی </w:t>
      </w:r>
      <w:bookmarkStart w:id="553" w:name="pg12856_162641"/>
    </w:p>
    <w:p>
      <w:pPr>
        <w:pStyle w:val="BookText"/>
        <w:rPr/>
      </w:pPr>
      <w:bookmarkEnd w:id="553"/>
      <w:r>
        <w:rPr>
          <w:rFonts w:ascii="Amiri" w:hAnsi="Amiri" w:eastAsia="Amiri" w:cs="Amiri"/>
          <w:color w:val="111111"/>
          <w:sz w:val="28"/>
          <w:sz w:val="28"/>
          <w:szCs w:val="28"/>
          <w:rtl w:val="true"/>
          <w:lang w:bidi="ar-SA"/>
        </w:rPr>
        <w:t>فی سورة یوسف حکایة عن یوسف علیه السّلام 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إِلی أَبِیکُمْ فَقُولُوا یا أَبانا إِنَّ ابْنَکَ سَرَقَ وَ ما شَهِدْنا إِلَّا بِما عَلِمْنا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الإطلاق حقیقة بل هو مجاز، إمّا لعدم صدق العلم علی مطلق الجزم، و إمّا لانصرافه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الاصول بالفروع فی مجری انسداد باب العلم فیها و استلزام الاقتصار فیها علی العلم، للعسر و الحرج المنفیّین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المقایسة، و وضوح الفرق بین اصول الدین و فروعه خصوصا فی القدر الواجب منها و هو ما عدا التفاصیل</w:t>
      </w:r>
      <w:r>
        <w:rPr>
          <w:rFonts w:eastAsia="IRNazanin" w:cs="IRNazanin"/>
          <w:color w:val="111111"/>
          <w:sz w:val="28"/>
          <w:szCs w:val="28"/>
          <w:rtl w:val="true"/>
          <w:lang w:bidi="fa-IR"/>
        </w:rPr>
        <w:t>.</w:t>
      </w:r>
    </w:p>
    <w:p>
      <w:pPr>
        <w:pStyle w:val="Heading5"/>
        <w:numPr>
          <w:ilvl w:val="4"/>
          <w:numId w:val="1"/>
        </w:numPr>
        <w:rPr/>
      </w:pPr>
      <w:bookmarkStart w:id="554" w:name="__RefHeading___Toc2646700_3224264995"/>
      <w:bookmarkStart w:id="555" w:name="_Toc221"/>
      <w:bookmarkEnd w:id="554"/>
      <w:r>
        <w:rPr>
          <w:rtl w:val="true"/>
        </w:rPr>
        <w:t>[</w:t>
      </w:r>
      <w:r>
        <w:rPr>
          <w:rtl w:val="true"/>
        </w:rPr>
        <w:t>وجه رابع إضافة إلی ما ذکره صاحب القوانین من الوجوه لکفایة مطلق الظنّ فی اصول الدین</w:t>
      </w:r>
      <w:r>
        <w:rPr>
          <w:rtl w:val="true"/>
        </w:rPr>
        <w:t>]</w:t>
      </w:r>
      <w:bookmarkEnd w:id="555"/>
    </w:p>
    <w:p>
      <w:pPr>
        <w:pStyle w:val="BookText"/>
        <w:rPr/>
      </w:pPr>
      <w:r>
        <w:rPr>
          <w:rFonts w:ascii="IRNazanin" w:hAnsi="IRNazanin" w:eastAsia="IRNazanin"/>
          <w:color w:val="111111"/>
          <w:sz w:val="28"/>
          <w:sz w:val="28"/>
          <w:szCs w:val="28"/>
          <w:rtl w:val="true"/>
          <w:lang w:bidi="fa-IR"/>
        </w:rPr>
        <w:t>و یمکن أن نضیف إلی وجوه احتجاجه وجه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اعتبار العلم فی الاصول یستلزم عدم حجّیة ظواهر الکتاب و السنّة و عدم حجّیة ظاهر مثل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w:t>
      </w:r>
      <w:r>
        <w:rPr>
          <w:rStyle w:val="FootnoteAnchor"/>
          <w:rtl w:val="true"/>
        </w:rPr>
        <w:footnoteReference w:id="16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أَطِیعُوا اللَّهَ وَ أَطِیعُوا الرَّسُولَ وَ أُولِی الْأَمْرِ</w:t>
      </w:r>
      <w:r>
        <w:rPr>
          <w:rStyle w:val="FootnoteAnchor"/>
          <w:rtl w:val="true"/>
        </w:rPr>
        <w:footnoteReference w:id="169"/>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لِیُذْهِبَ عَنْکُمُ الرِّجْسَ أَهْلَ الْبَیْتِ</w:t>
      </w:r>
      <w:r>
        <w:rPr>
          <w:rStyle w:val="FootnoteAnchor"/>
          <w:rtl w:val="true"/>
        </w:rPr>
        <w:footnoteReference w:id="170"/>
      </w:r>
      <w:r>
        <w:rPr>
          <w:rFonts w:ascii="IRNazanin" w:hAnsi="IRNazanin" w:eastAsia="IRNazanin"/>
          <w:color w:val="111111"/>
          <w:sz w:val="28"/>
          <w:sz w:val="28"/>
          <w:szCs w:val="28"/>
          <w:rtl w:val="true"/>
          <w:lang w:bidi="fa-IR"/>
        </w:rPr>
        <w:t>إلی غیر ذلک من الظواهر الدالّة علی الإمامة و العصمة و غیرهما من اصول الدین</w:t>
      </w:r>
      <w:r>
        <w:rPr>
          <w:rFonts w:eastAsia="IRNazanin" w:cs="IRNazanin"/>
          <w:color w:val="111111"/>
          <w:sz w:val="28"/>
          <w:szCs w:val="28"/>
          <w:rtl w:val="true"/>
          <w:lang w:bidi="fa-IR"/>
        </w:rPr>
        <w:t xml:space="preserve">. </w:t>
      </w:r>
      <w:bookmarkStart w:id="556" w:name="pg12856_162642"/>
    </w:p>
    <w:p>
      <w:pPr>
        <w:pStyle w:val="Heading5"/>
        <w:numPr>
          <w:ilvl w:val="4"/>
          <w:numId w:val="1"/>
        </w:numPr>
        <w:rPr/>
      </w:pPr>
      <w:bookmarkStart w:id="557" w:name="__RefHeading___Toc2646702_3224264995"/>
      <w:bookmarkStart w:id="558" w:name="_Toc222"/>
      <w:bookmarkEnd w:id="556"/>
      <w:bookmarkEnd w:id="557"/>
      <w:r>
        <w:rPr>
          <w:rtl w:val="true"/>
        </w:rPr>
        <w:t>[</w:t>
      </w:r>
      <w:r>
        <w:rPr>
          <w:rtl w:val="true"/>
        </w:rPr>
        <w:t>ردّ الوجه الرابع</w:t>
      </w:r>
      <w:r>
        <w:rPr>
          <w:rtl w:val="true"/>
        </w:rPr>
        <w:t>]</w:t>
      </w:r>
      <w:bookmarkEnd w:id="558"/>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لأنّ عدم کفایة الظنّ فی الاصول علی القول به إنّما هو من جهة خروج الاصول عن موضوع أدلّة حجّیة الظواهر، لا عن حکمها حتی یستلزم تخصیص عموم أدلّة حجّیة الظواهر بعدم حجّیتها فی الاصول، و ذلک لأنّ اعتبار العلم فی الاصول علی القول به لیس من باب الطریقیة حتی یخصّص طریقیة ما دونه من الطرق الظنّیة، بل إنّما هو من باب أخذه موضوعا أو جزء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الملازمة قلنا منع بطلان اللازم، لأنّ تخصیص العموم لیس بأمر عزیز، و عمومات حجّیة الظواهر لیست بأقوی من سائر العمومات</w:t>
      </w:r>
      <w:r>
        <w:rPr>
          <w:rFonts w:eastAsia="IRNazanin" w:cs="IRNazanin"/>
          <w:color w:val="111111"/>
          <w:sz w:val="28"/>
          <w:szCs w:val="28"/>
          <w:rtl w:val="true"/>
          <w:lang w:bidi="fa-IR"/>
        </w:rPr>
        <w:t>.</w:t>
      </w:r>
    </w:p>
    <w:p>
      <w:pPr>
        <w:pStyle w:val="Heading5"/>
        <w:numPr>
          <w:ilvl w:val="4"/>
          <w:numId w:val="1"/>
        </w:numPr>
        <w:rPr/>
      </w:pPr>
      <w:bookmarkStart w:id="559" w:name="__RefHeading___Toc2646704_3224264995"/>
      <w:bookmarkStart w:id="560" w:name="_Toc223"/>
      <w:bookmarkEnd w:id="559"/>
      <w:r>
        <w:rPr>
          <w:rtl w:val="true"/>
        </w:rPr>
        <w:t>[</w:t>
      </w:r>
      <w:r>
        <w:rPr>
          <w:rtl w:val="true"/>
        </w:rPr>
        <w:t>حجج النافین لوجوب النظر و تضعیفها</w:t>
      </w:r>
      <w:r>
        <w:rPr>
          <w:rtl w:val="true"/>
        </w:rPr>
        <w:t>]</w:t>
      </w:r>
      <w:bookmarkEnd w:id="560"/>
    </w:p>
    <w:p>
      <w:pPr>
        <w:pStyle w:val="BookText"/>
        <w:rPr/>
      </w:pPr>
      <w:r>
        <w:rPr>
          <w:rFonts w:ascii="IRNazanin" w:hAnsi="IRNazanin" w:eastAsia="IRNazanin"/>
          <w:color w:val="111111"/>
          <w:sz w:val="28"/>
          <w:sz w:val="28"/>
          <w:szCs w:val="28"/>
          <w:rtl w:val="true"/>
          <w:lang w:bidi="fa-IR"/>
        </w:rPr>
        <w:t>و أمّا حجج النافین لوجوب النظر، و هم بین من یقول بجوازه، و بین من یقول بحرمته فوجوه غیر وجیهة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تقدیر صحّة روایته لا دلالة فیه لهم، بل هو علیهم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اکتفاؤه صلی اللّه علیه و آله فی إسلام الکافرین بمجرد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بمنع اکتفائه بذلک إلّا من العالمین برسالته من المعجزات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العلماء فی جمیع الأعصار و الأمصار فی إسلام المکلّفین و جواز المعاشرة و الملاقاة و جریان أحکام الإسلام علیهم بمجرّد إظهار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بأنّ اکتفاءهم بذلک إنّما هو بحسب الظاهر، و فی مرحلة الظاهر حیث إنّ ظاهر الشهادتین هو علم الشاهد بهما، لا بحسب الواقع و نفس الأمر</w:t>
      </w:r>
      <w:r>
        <w:rPr>
          <w:rFonts w:eastAsia="IRNazanin" w:cs="IRNazanin"/>
          <w:color w:val="111111"/>
          <w:sz w:val="28"/>
          <w:szCs w:val="28"/>
          <w:rtl w:val="true"/>
          <w:lang w:bidi="fa-IR"/>
        </w:rPr>
        <w:t xml:space="preserve">. </w:t>
      </w:r>
      <w:bookmarkStart w:id="561" w:name="pg12856_162643"/>
    </w:p>
    <w:p>
      <w:pPr>
        <w:pStyle w:val="BookText"/>
        <w:rPr/>
      </w:pPr>
      <w:bookmarkEnd w:id="561"/>
      <w:r>
        <w:rPr>
          <w:rFonts w:ascii="IRNazanin" w:hAnsi="IRNazanin" w:eastAsia="IRNazanin"/>
          <w:color w:val="111111"/>
          <w:sz w:val="28"/>
          <w:sz w:val="28"/>
          <w:szCs w:val="28"/>
          <w:rtl w:val="true"/>
          <w:lang w:bidi="fa-IR"/>
        </w:rPr>
        <w:t>إلی غیر ذلک مما یقف علیه، و علی ضعفه المراجع للقوانین</w:t>
      </w:r>
      <w:r>
        <w:rPr>
          <w:rStyle w:val="FootnoteAnchor"/>
          <w:rtl w:val="true"/>
        </w:rPr>
        <w:footnoteReference w:id="172"/>
      </w:r>
      <w:r>
        <w:rPr>
          <w:rFonts w:ascii="IRNazanin" w:hAnsi="IRNazanin" w:eastAsia="IRNazanin"/>
          <w:color w:val="111111"/>
          <w:sz w:val="28"/>
          <w:sz w:val="28"/>
          <w:szCs w:val="28"/>
          <w:rtl w:val="true"/>
          <w:lang w:bidi="fa-IR"/>
        </w:rPr>
        <w:t>أو المتأمل من المتدبّرین</w:t>
      </w:r>
      <w:r>
        <w:rPr>
          <w:rFonts w:eastAsia="IRNazanin" w:cs="IRNazanin"/>
          <w:color w:val="111111"/>
          <w:sz w:val="28"/>
          <w:szCs w:val="28"/>
          <w:rtl w:val="true"/>
          <w:lang w:bidi="fa-IR"/>
        </w:rPr>
        <w:t>.</w:t>
      </w:r>
    </w:p>
    <w:p>
      <w:pPr>
        <w:pStyle w:val="Heading5"/>
        <w:numPr>
          <w:ilvl w:val="4"/>
          <w:numId w:val="1"/>
        </w:numPr>
        <w:rPr/>
      </w:pPr>
      <w:bookmarkStart w:id="562" w:name="__RefHeading___Toc2646706_3224264995"/>
      <w:bookmarkStart w:id="563" w:name="_Toc224"/>
      <w:bookmarkEnd w:id="562"/>
      <w:r>
        <w:rPr>
          <w:rtl w:val="true"/>
        </w:rPr>
        <w:t>[</w:t>
      </w:r>
      <w:r>
        <w:rPr>
          <w:rtl w:val="true"/>
        </w:rPr>
        <w:t>فسق المکتفی بالظنّ فی المعارف الخمس</w:t>
      </w:r>
      <w:r>
        <w:rPr>
          <w:rtl w:val="true"/>
        </w:rPr>
        <w:t>]</w:t>
      </w:r>
      <w:bookmarkEnd w:id="563"/>
    </w:p>
    <w:p>
      <w:pPr>
        <w:pStyle w:val="BookText"/>
        <w:rPr/>
      </w:pPr>
      <w:r>
        <w:rPr>
          <w:rFonts w:ascii="IRNazanin" w:hAnsi="IRNazanin" w:eastAsia="IRNazanin"/>
          <w:color w:val="111111"/>
          <w:sz w:val="28"/>
          <w:sz w:val="28"/>
          <w:szCs w:val="28"/>
          <w:rtl w:val="true"/>
          <w:lang w:bidi="fa-IR"/>
        </w:rPr>
        <w:t>فتلخّص مما ذکرنا أنّ الحکم التکلیفی هو وجوب العلم بالمعارف الخمس المتقدّمة، أعنی الجزم الثابت المطابق للواقع و حرمة الاکتفاء بالظنّ فضلا عن الشکّ، فالمکتفی بغیر العلم من الظانّ أو الشاکّ فی شی‌ء منها عاص فاسق لا محالة، إلّا إذا فرض قصوره أو غفلته</w:t>
      </w:r>
      <w:r>
        <w:rPr>
          <w:rFonts w:eastAsia="IRNazanin" w:cs="IRNazanin"/>
          <w:color w:val="111111"/>
          <w:sz w:val="28"/>
          <w:szCs w:val="28"/>
          <w:rtl w:val="true"/>
          <w:lang w:bidi="fa-IR"/>
        </w:rPr>
        <w:t>.</w:t>
      </w:r>
    </w:p>
    <w:p>
      <w:pPr>
        <w:pStyle w:val="Heading5"/>
        <w:numPr>
          <w:ilvl w:val="4"/>
          <w:numId w:val="1"/>
        </w:numPr>
        <w:rPr/>
      </w:pPr>
      <w:bookmarkStart w:id="564" w:name="__RefHeading___Toc2646708_3224264995"/>
      <w:bookmarkStart w:id="565" w:name="_Toc225"/>
      <w:bookmarkEnd w:id="564"/>
      <w:r>
        <w:rPr>
          <w:rtl w:val="true"/>
        </w:rPr>
        <w:t>[</w:t>
      </w:r>
      <w:r>
        <w:rPr>
          <w:rtl w:val="true"/>
        </w:rPr>
        <w:t>الحکم الوضعی للظانّ أو الشاکّ فی المعارف الخمس</w:t>
      </w:r>
      <w:r>
        <w:rPr>
          <w:rtl w:val="true"/>
        </w:rPr>
        <w:t>]</w:t>
      </w:r>
      <w:bookmarkEnd w:id="565"/>
    </w:p>
    <w:p>
      <w:pPr>
        <w:pStyle w:val="BookText"/>
        <w:rPr/>
      </w:pPr>
      <w:r>
        <w:rPr>
          <w:rFonts w:ascii="IRNazanin" w:hAnsi="IRNazanin" w:eastAsia="IRNazanin"/>
          <w:color w:val="111111"/>
          <w:sz w:val="28"/>
          <w:sz w:val="28"/>
          <w:szCs w:val="28"/>
          <w:rtl w:val="true"/>
          <w:lang w:bidi="fa-IR"/>
        </w:rPr>
        <w:t>و أمّا الحکم الوضعی ففی کون الظانّ أو الشاکّ فی شی‌ء منها کافرا أو غیر کافر وجهان، من إطلاق ما دلّ علی أنّ الشاکّ و غیر المؤمن کافر، و ظاهر ما دلّ من الکتاب و السنّة علی حصر المکلّف فی المؤمن و الکافر، و من تقیید کفر الشاکّ فی غیر واحد من الأخبار بالجحود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هو الأظهر حملا للمطلق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فالمعتبر فی تحقّق الإسلام هو الإقرار العلمی بکلّ من المعارف الخمس، و فی تحقّق الکفر هو الإنکار لکلّ من المعارف الخمس، فسبب الإسلام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الکفر خمسة إن قلنا بکاشفیة إنکار الضروری عن إنکار النبی صلی اللّه علیه و آله، نظرا إلی الملازمة البیّنة المعتبرة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ستّة إن قلنا بسببیته مستقلّا فی عرض سائر أسباب الکفر، کما یقتضیه إطلاق الصحیح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یکون به العبد مشرکا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للنواة حصاة و للحصاة نواة و دان به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فی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بتفاوت فی اللفظ</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2856_162644"/>
    </w:p>
    <w:p>
      <w:pPr>
        <w:pStyle w:val="BookText"/>
        <w:rPr/>
      </w:pPr>
      <w:bookmarkEnd w:id="566"/>
      <w:r>
        <w:rPr>
          <w:rFonts w:ascii="IRNazanin" w:hAnsi="IRNazanin" w:eastAsia="IRNazanin"/>
          <w:color w:val="111111"/>
          <w:sz w:val="28"/>
          <w:sz w:val="28"/>
          <w:szCs w:val="28"/>
          <w:rtl w:val="true"/>
          <w:lang w:bidi="fa-IR"/>
        </w:rPr>
        <w:t>و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الکفر إلّا الجحود و الاستحلال أن یقول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و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حلال، و دان بذلک فعند ما یکون خارجا عن الإسلام و الإیمان داخلا فی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الإطلاقات الدالّة علی سببیة إنکار الضروری للخروج عن دین الإسلام بالاستقلال لا الکشف عن عدم الاعتقاد بالنبی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القولین تظهر فی من أنکر ضروریا و علمنا أنّه غیر شاکّ فی صدق النبی صلی اللّه علیه و آله بما جاء به کلیّة فیحکم بکفره علی السببیة المستقلّة، و عدم کفره علی القول بالکشف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تعبّدنا بالإطلاقات المذکورة فی إفادتها السببیة المستقلّة لزم الحکم بکفر مطلق من أنکر شیئا من أحکام دین الإسلام و إن کان عن جهل و خطأ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ورود تقییدها بالإجماع و النصّ المشهور الآخر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لقلنا بإطلاقها من تلک الجهة أیضا کما قلنا به من الجهة المتقدّمة، فمقتضی الأصل اللفظی هو الأخذ بالإطلاق من جمیع الجهات خرجنا عنه فی خصوص المنکر الجاهل و المخطئ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الباقی</w:t>
      </w:r>
      <w:r>
        <w:rPr>
          <w:rFonts w:eastAsia="IRNazanin" w:cs="IRNazanin"/>
          <w:color w:val="111111"/>
          <w:sz w:val="28"/>
          <w:szCs w:val="28"/>
          <w:rtl w:val="true"/>
          <w:lang w:bidi="fa-IR"/>
        </w:rPr>
        <w:t>.</w:t>
      </w:r>
    </w:p>
    <w:p>
      <w:pPr>
        <w:pStyle w:val="Heading5"/>
        <w:numPr>
          <w:ilvl w:val="4"/>
          <w:numId w:val="1"/>
        </w:numPr>
        <w:rPr/>
      </w:pPr>
      <w:bookmarkStart w:id="567" w:name="__RefHeading___Toc2646710_3224264995"/>
      <w:bookmarkStart w:id="568" w:name="_Toc226"/>
      <w:bookmarkEnd w:id="567"/>
      <w:r>
        <w:rPr>
          <w:rtl w:val="true"/>
        </w:rPr>
        <w:t>[</w:t>
      </w:r>
      <w:r>
        <w:rPr>
          <w:rtl w:val="true"/>
        </w:rPr>
        <w:t>المراد بالضروری الموجب إنکاره الکفر</w:t>
      </w:r>
      <w:r>
        <w:rPr>
          <w:rtl w:val="true"/>
        </w:rPr>
        <w:t>]</w:t>
      </w:r>
      <w:bookmarkEnd w:id="56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علم أنّ المراد بالضروری الموجب إنکاره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مطلق ما لا شبهة لمنکره فیه من کلّ ما علم المنکر کونه من الدین و إن لم یکن ضروری </w:t>
      </w:r>
      <w:bookmarkStart w:id="569" w:name="pg12856_162645"/>
    </w:p>
    <w:p>
      <w:pPr>
        <w:pStyle w:val="BookText"/>
        <w:rPr/>
      </w:pPr>
      <w:bookmarkEnd w:id="569"/>
      <w:r>
        <w:rPr>
          <w:rFonts w:ascii="IRNazanin" w:hAnsi="IRNazanin" w:eastAsia="IRNazanin"/>
          <w:color w:val="111111"/>
          <w:sz w:val="28"/>
          <w:sz w:val="28"/>
          <w:szCs w:val="28"/>
          <w:rtl w:val="true"/>
          <w:lang w:bidi="fa-IR"/>
        </w:rPr>
        <w:t>الجمیع بل و لا إجماعیا</w:t>
      </w:r>
      <w:r>
        <w:rPr>
          <w:rFonts w:eastAsia="IRNazanin" w:cs="IRNazanin"/>
          <w:color w:val="111111"/>
          <w:sz w:val="28"/>
          <w:szCs w:val="28"/>
          <w:rtl w:val="true"/>
          <w:lang w:bidi="fa-IR"/>
        </w:rPr>
        <w:t>.</w:t>
      </w:r>
    </w:p>
    <w:p>
      <w:pPr>
        <w:pStyle w:val="Heading5"/>
        <w:numPr>
          <w:ilvl w:val="4"/>
          <w:numId w:val="1"/>
        </w:numPr>
        <w:rPr/>
      </w:pPr>
      <w:bookmarkStart w:id="570" w:name="__RefHeading___Toc2646712_3224264995"/>
      <w:bookmarkStart w:id="571" w:name="_Toc227"/>
      <w:bookmarkEnd w:id="570"/>
      <w:r>
        <w:rPr>
          <w:rtl w:val="true"/>
        </w:rPr>
        <w:t>[</w:t>
      </w:r>
      <w:r>
        <w:rPr>
          <w:rtl w:val="true"/>
        </w:rPr>
        <w:t>الاستخفاف باللّه أو أحد خلفائه</w:t>
      </w:r>
      <w:r>
        <w:rPr>
          <w:rtl w:val="true"/>
        </w:rPr>
        <w:t>]</w:t>
      </w:r>
      <w:bookmarkEnd w:id="571"/>
    </w:p>
    <w:p>
      <w:pPr>
        <w:pStyle w:val="BookText"/>
        <w:rPr/>
      </w:pPr>
      <w:r>
        <w:rPr>
          <w:rFonts w:ascii="IRNazanin" w:hAnsi="IRNazanin" w:eastAsia="IRNazanin"/>
          <w:color w:val="111111"/>
          <w:sz w:val="28"/>
          <w:sz w:val="28"/>
          <w:szCs w:val="28"/>
          <w:rtl w:val="true"/>
          <w:lang w:bidi="fa-IR"/>
        </w:rPr>
        <w:t>و أمّا الاستخفاف باللّه، أو أحد من خلفائه بقول کالسبّ و الشتم، أو بفعل دالّ علی الاستخفاف و الهتک عرفا کإلقاء المصحف أو التربة الحسینیة فی القاذورات، أو قصدا کمدّ الرجل، أو إعطاء القفا إلیها بقصد الهتک و الاستخفاف فی ما یقع علی وجهین فسبب للکفر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لکشفه عن عدم الاعتقاد بجلاله المستخفّ و المستهزأ به مع أنّ جلالته و احترامه ضروریّ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 إنکار الضروری و الخروج عن الدین حیث إن احترام شعائر اللّه تعالی و تعظیمها من ضروریات الدین، فالمستخفّ بها منکر الضروری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المدار فی الکفر و الإسلام، العقیدة، فکلّ ما یکشف عنها فی العرف و العادة من قول أو فعل هو معتبر، و علی ذلک ففعل ما هو استخفاف فی العادة أو فی القصد فی ما یقع علی جهتین هو بحکم القول الصریح بأنّی اعتقد أن لا حرمة للمستخفّ، و علی ذلک یکون المعتبر فی الکفر الاستخفاف بکلّ ما کان تعظیمه ضروریا فی الفرقة التی منها المستخفّ، فإن کان من سائر المسلمین فاستخفافه بکلّ ما یکون وجوب تعظیمه ضروری الاسلام، کالباری و الرسول و سائر الأنبیاء، و الملائکة و الکعبة و القرآن، و مشهد النبی صلی اللّه علیه و آله و ضریحه المقدّس، و قبور سائر الأنبیاء المعلومة، و إن کان من الفرقة الاثنی عشریة فجمیع الأئمة الاثنی عشر و قبورهم و ضرائحهم و مشاهدهم، و منها التربة الحسینیة المبارکة المتّخذة بعنوان التعظیم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سبب مستقلّ فی نفسه لا من حیث کشفه، کما یظهر من بعض العبارات فیکون سابع أسباب الکفر، و لکن فی إقامة الدلیل علی کلّیته إشکال، لان أخبار تحدید حدّه بالقتل أعم من الکفر</w:t>
      </w:r>
      <w:r>
        <w:rPr>
          <w:rFonts w:eastAsia="IRNazanin" w:cs="IRNazanin"/>
          <w:color w:val="111111"/>
          <w:sz w:val="28"/>
          <w:szCs w:val="28"/>
          <w:rtl w:val="true"/>
          <w:lang w:bidi="fa-IR"/>
        </w:rPr>
        <w:t xml:space="preserve">. </w:t>
      </w:r>
      <w:bookmarkStart w:id="572" w:name="pg12856_162646"/>
    </w:p>
    <w:p>
      <w:pPr>
        <w:pStyle w:val="BookText"/>
        <w:rPr/>
      </w:pPr>
      <w:bookmarkEnd w:id="57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لعدم الدلیل علی اعتبار الزائد علی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3" w:name="__RefHeading___Toc2646714_3224264995"/>
      <w:bookmarkStart w:id="574" w:name="_Toc228"/>
      <w:bookmarkEnd w:id="573"/>
      <w:r>
        <w:rPr>
          <w:rtl w:val="true"/>
        </w:rPr>
        <w:t>[</w:t>
      </w:r>
      <w:r>
        <w:rPr>
          <w:rtl w:val="true"/>
        </w:rPr>
        <w:t>مناقشة کلام الماتن فی کفایة المعرفة عن التقلید</w:t>
      </w:r>
      <w:r>
        <w:rPr>
          <w:rtl w:val="true"/>
        </w:rPr>
        <w:t>]</w:t>
      </w:r>
      <w:bookmarkEnd w:id="5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مبنیّ علی حجّیة قطع القطّاع، و أمّا علی ما تقدّم من عدم حجّیته و عدم کونه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خیال قطع و توهّم قطع فی غیر محلّه و من غیر سببه و أنّه فی الواقع و نفس الأمر وهم صرف و شکّ بحت لأنّ سببه من أسباب الوهم و الشکّ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خروجه عن موضوع القطع و المعرفة و التصدیق و الاعتقاد بالتخصّص، لا التخصیص فلا یشمله حکمها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المجتهد 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575" w:name="__RefHeading___Toc2646716_3224264995"/>
      <w:bookmarkStart w:id="576" w:name="_Toc229"/>
      <w:bookmarkEnd w:id="575"/>
      <w:r>
        <w:rPr>
          <w:rtl w:val="true"/>
        </w:rPr>
        <w:t>[</w:t>
      </w:r>
      <w:r>
        <w:rPr>
          <w:rtl w:val="true"/>
        </w:rPr>
        <w:t>عدم معذوریة المجتهد المخطئ</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الإجماع علی عدم معذوریة المجتهد المخطئ هو المجتهد المقصّر لا القاصر</w:t>
      </w:r>
      <w:r>
        <w:rPr>
          <w:rFonts w:eastAsia="IRNazanin" w:cs="IRNazanin"/>
          <w:color w:val="111111"/>
          <w:sz w:val="28"/>
          <w:szCs w:val="28"/>
          <w:rtl w:val="true"/>
          <w:lang w:bidi="fa-IR"/>
        </w:rPr>
        <w:t>.</w:t>
      </w:r>
    </w:p>
    <w:p>
      <w:pPr>
        <w:pStyle w:val="Heading5"/>
        <w:numPr>
          <w:ilvl w:val="4"/>
          <w:numId w:val="1"/>
        </w:numPr>
        <w:rPr/>
      </w:pPr>
      <w:bookmarkStart w:id="577" w:name="__RefHeading___Toc2646718_3224264995"/>
      <w:bookmarkStart w:id="578" w:name="_Toc230"/>
      <w:bookmarkEnd w:id="577"/>
      <w:r>
        <w:rPr>
          <w:rtl w:val="true"/>
        </w:rPr>
        <w:t>[</w:t>
      </w:r>
      <w:r>
        <w:rPr>
          <w:rtl w:val="true"/>
        </w:rPr>
        <w:t>مناقشة کلام الماتن و بیان طرق معرفة الصانع</w:t>
      </w:r>
      <w:r>
        <w:rPr>
          <w:rtl w:val="true"/>
        </w:rPr>
        <w:t>]</w:t>
      </w:r>
      <w:bookmarkEnd w:id="578"/>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استلزامه التخصیص فی معقد الإجماع یستلزم التخصیص فی عموم ما دلّ علی حصر الناس فی المؤمن و الکافر، و عموم ما دلّ علی خلود الکفّار فی النار مضافا إلی شهادة الوجدان بقصور بعض المکلّفین مصادفة، لضرورة الوجدان علی إدراک کلّ مکلّف عاقل و قدرته بالعقل الفطری، الذی فطر الناس علیها، بل الحیوانات أیضا علی معرفة الصانع القادر الحکیم، و بالعقل البدیهی علی معرفته و معرفة سائر اصول الدین فضلا عن الإلهامات و الإیهامات و الألطاف الجلیّة و الخفیّة و الاعتبارات العقلیّة الموجودة فی کلّ شی‌ء، الکافیة الوافیة و فی إتمام الحجّة و قطع المحجّة و حسم مادّة العذر و المعذرة بأتمّ وجه و أبلغ خصوصا بملاحظة نصوص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الْحُجَّةُ الْبالِغَةُ</w:t>
      </w:r>
      <w:r>
        <w:rPr>
          <w:rStyle w:val="FootnoteAnchor"/>
          <w:rtl w:val="true"/>
        </w:rPr>
        <w:footnoteReference w:id="177"/>
      </w:r>
      <w:r>
        <w:rPr>
          <w:rFonts w:ascii="Amiri" w:hAnsi="Amiri" w:eastAsia="Amiri" w:cs="Amiri"/>
          <w:color w:val="111111"/>
          <w:sz w:val="28"/>
          <w:sz w:val="28"/>
          <w:szCs w:val="28"/>
          <w:rtl w:val="true"/>
          <w:lang w:bidi="ar-SA"/>
        </w:rPr>
        <w:t>و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w:t>
      </w:r>
      <w:r>
        <w:rPr>
          <w:rStyle w:val="FootnoteAnchor"/>
          <w:rtl w:val="true"/>
        </w:rPr>
        <w:footnoteReference w:id="178"/>
      </w:r>
    </w:p>
    <w:p>
      <w:pPr>
        <w:pStyle w:val="Heading5"/>
        <w:numPr>
          <w:ilvl w:val="4"/>
          <w:numId w:val="1"/>
        </w:numPr>
        <w:rPr/>
      </w:pPr>
      <w:bookmarkStart w:id="579" w:name="__RefHeading___Toc2646720_3224264995"/>
      <w:bookmarkStart w:id="580" w:name="_Toc231"/>
      <w:bookmarkEnd w:id="579"/>
      <w:r>
        <w:rPr>
          <w:rtl w:val="true"/>
        </w:rPr>
        <w:t>[</w:t>
      </w:r>
      <w:r>
        <w:rPr>
          <w:rtl w:val="true"/>
        </w:rPr>
        <w:t xml:space="preserve">عدم خلوّ الزمان عن وجود نبیّ أو إمام </w:t>
      </w:r>
      <w:r>
        <w:rPr>
          <w:rtl w:val="true"/>
        </w:rPr>
        <w:t>(</w:t>
      </w:r>
      <w:r>
        <w:rPr>
          <w:rtl w:val="true"/>
        </w:rPr>
        <w:t>اللطف الخاص و اللطف العام</w:t>
      </w:r>
      <w:r>
        <w:rPr>
          <w:rtl w:val="true"/>
        </w:rPr>
        <w:t>)]</w:t>
      </w:r>
      <w:bookmarkEnd w:id="58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بملاحظة حکمة عدم خلوّ الزمان عن وجود نبیّ أو إمام ظاهر أو مستور المعبّر عنهما بلطف خاصّ و لطف عامّ ما دامت الأیّام و الأعوام </w:t>
      </w:r>
      <w:bookmarkStart w:id="581" w:name="pg12856_162647"/>
    </w:p>
    <w:p>
      <w:pPr>
        <w:pStyle w:val="BookText"/>
        <w:rPr/>
      </w:pPr>
      <w:bookmarkEnd w:id="581"/>
      <w:r>
        <w:rPr>
          <w:rFonts w:ascii="IRNazanin" w:hAnsi="IRNazanin" w:eastAsia="IRNazanin"/>
          <w:color w:val="111111"/>
          <w:sz w:val="28"/>
          <w:sz w:val="28"/>
          <w:szCs w:val="28"/>
          <w:rtl w:val="true"/>
          <w:lang w:bidi="fa-IR"/>
        </w:rPr>
        <w:t>المحیط علمه بجمیع الأنام حتی علی الخطرات القلبیة و أحوالها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دلیل علی وجوب تحصیل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582" w:name="__RefHeading___Toc2646722_3224264995"/>
      <w:bookmarkStart w:id="583" w:name="_Toc232"/>
      <w:bookmarkEnd w:id="582"/>
      <w:r>
        <w:rPr>
          <w:rtl w:val="true"/>
        </w:rPr>
        <w:t>[</w:t>
      </w:r>
      <w:r>
        <w:rPr>
          <w:rtl w:val="true"/>
        </w:rPr>
        <w:t>وجوب تحصیل الظنّ لغیر المتمکّن من العلم بالمعارف الخمس</w:t>
      </w:r>
      <w:r>
        <w:rPr>
          <w:rtl w:val="true"/>
        </w:rPr>
        <w:t>]</w:t>
      </w:r>
      <w:bookmarkEnd w:id="5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الدلیل علیه کون الظنّ أیضا فردا من الاعتقاد الکلّی الواجب المتعذّر علیه فکما أنّ المیسور من الفعل المظنون لا یسقط بتعذّر المعلوم عند انسداد باب العلم کذلک المیسور من الاعتقاد الظنّی لا یسقط بتعذر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الفرق أنّ للاعتقاد مرتبتان لا یتجاوزهما إلی الشکّ بخلاف العمل، فإنّه قد یتجاوز إلی الشکّ و الاحتمال لو تعذّر علیه ما فوقه، کما فی موارد الاحتیاط و الإجمال، و هو غیر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لو رجع الجاهل بحکم الاعتقاد الظنّی إلی العالم وجب علیه إرشاده إلی وجوب تحصیل الاعتقاد الظنّی بالحقّ و إلّا لما وجب علی العالم إرشاد غیر المکلّف بالشی‌ء قطعا، و لما کان وجوب النظر فی تحصیل العلم بالمعرفة وجوبا مقدّمیا توصّلیا لأجل تحصیل المعرفة، کما هو المشهور المنصور الذی سیعترف به هو أیضا، بل کان وجوبه وجوبا نفسیا و هو خلاف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مبنی علی أنّ الإسلام مجرد الإقرار الصوری</w:t>
      </w:r>
      <w:r>
        <w:rPr>
          <w:rFonts w:eastAsia="IRNazanin" w:cs="IRNazanin"/>
          <w:color w:val="111111"/>
          <w:sz w:val="28"/>
          <w:szCs w:val="28"/>
          <w:rtl w:val="true"/>
          <w:lang w:bidi="fa-IR"/>
        </w:rPr>
        <w:t>».</w:t>
      </w:r>
    </w:p>
    <w:p>
      <w:pPr>
        <w:pStyle w:val="Heading5"/>
        <w:numPr>
          <w:ilvl w:val="4"/>
          <w:numId w:val="1"/>
        </w:numPr>
        <w:rPr/>
      </w:pPr>
      <w:bookmarkStart w:id="584" w:name="__RefHeading___Toc2646724_3224264995"/>
      <w:bookmarkStart w:id="585" w:name="_Toc233"/>
      <w:bookmarkEnd w:id="584"/>
      <w:r>
        <w:rPr>
          <w:rtl w:val="true"/>
        </w:rPr>
        <w:t>[</w:t>
      </w:r>
      <w:r>
        <w:rPr>
          <w:rtl w:val="true"/>
        </w:rPr>
        <w:t>احتمال کون الواجب هو نفس الاعتقاد بالحقّ</w:t>
      </w:r>
      <w:r>
        <w:rPr>
          <w:rtl w:val="true"/>
        </w:rPr>
        <w:t>]</w:t>
      </w:r>
      <w:bookmarkEnd w:id="5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یحتمل أن یکون مبنیا علی کون الواجب هو نفس الاعتقاد بالحقّ و قیام الظنّ مقام العلم، أو علی کون الاعتقاد واجبا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بالإسلام إن لم یکونا کذلک</w:t>
      </w:r>
      <w:r>
        <w:rPr>
          <w:rFonts w:eastAsia="IRNazanin" w:cs="IRNazanin"/>
          <w:color w:val="111111"/>
          <w:sz w:val="28"/>
          <w:szCs w:val="28"/>
          <w:rtl w:val="true"/>
          <w:lang w:bidi="fa-IR"/>
        </w:rPr>
        <w:t>».</w:t>
      </w:r>
    </w:p>
    <w:p>
      <w:pPr>
        <w:pStyle w:val="Heading5"/>
        <w:numPr>
          <w:ilvl w:val="4"/>
          <w:numId w:val="1"/>
        </w:numPr>
        <w:rPr/>
      </w:pPr>
      <w:bookmarkStart w:id="586" w:name="__RefHeading___Toc2646726_3224264995"/>
      <w:bookmarkStart w:id="587" w:name="_Toc234"/>
      <w:bookmarkEnd w:id="586"/>
      <w:r>
        <w:rPr>
          <w:rtl w:val="true"/>
        </w:rPr>
        <w:t>[</w:t>
      </w:r>
      <w:r>
        <w:rPr>
          <w:rtl w:val="true"/>
        </w:rPr>
        <w:t>عدم الفرق بین فرضی التقلید الجزمی و الظنّی بالباطل</w:t>
      </w:r>
      <w:r>
        <w:rPr>
          <w:rtl w:val="true"/>
        </w:rPr>
        <w:t>]</w:t>
      </w:r>
      <w:bookmarkEnd w:id="5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مدخلیة وجوب معرفة الحقّ فی الإیمان هو عدم الفرق بین فرضی التقلید الجزمی و الظنّی بالباطل فی الخروج عن الإیمان فی الدنیا و الآخرة، و لا بین فرضی الاعتقاد بموجب تقلیده و عدمه أیضا، من حیث الحکم بکفره من حیث عدم اعتقاد الحقّ و إن لم یعتقد الباطل، فإنّ مجرد عدم اعتقاد الباطل لا یدخله فی الإیمان بعد فرض عدم اعتقاده بالحقّ خصوصا من جهة </w:t>
      </w:r>
      <w:bookmarkStart w:id="588" w:name="pg12856_162648"/>
    </w:p>
    <w:p>
      <w:pPr>
        <w:pStyle w:val="BookText"/>
        <w:rPr/>
      </w:pPr>
      <w:bookmarkEnd w:id="588"/>
      <w:r>
        <w:rPr>
          <w:rFonts w:ascii="IRNazanin" w:hAnsi="IRNazanin" w:eastAsia="IRNazanin"/>
          <w:color w:val="111111"/>
          <w:sz w:val="28"/>
          <w:sz w:val="28"/>
          <w:szCs w:val="28"/>
          <w:rtl w:val="true"/>
          <w:lang w:bidi="fa-IR"/>
        </w:rPr>
        <w:t>الخلود، غایة الأمر أنّ اعتقاد الباطل مع عدم اعتقاد الحقّ أشدّ عقوبة و أکثر من غیر المعتقد بحقّ و لا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فی هذین إلحاقهما بمن یقام علیه الحجّة یوم القیامة</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589" w:name="__RefHeading___Toc2646728_3224264995"/>
      <w:bookmarkStart w:id="590" w:name="_Toc235"/>
      <w:bookmarkEnd w:id="589"/>
      <w:r>
        <w:rPr>
          <w:rtl w:val="true"/>
        </w:rPr>
        <w:t>[</w:t>
      </w:r>
      <w:r>
        <w:rPr>
          <w:rtl w:val="true"/>
        </w:rPr>
        <w:t>نصوص من یقام علیه الحجّة</w:t>
      </w:r>
      <w:r>
        <w:rPr>
          <w:rtl w:val="true"/>
        </w:rPr>
        <w:t>]</w:t>
      </w:r>
      <w:bookmarkEnd w:id="590"/>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الظهور؛ نظرا إلی اختصاص نصوص من یقام علیه الحجّة یوم القیامة بغیر المکلّفین من خصوص المجانین و أطفال الکفّار لا غیر، و أین هذا ممّن هو مفروض البحث؟ ثمّ إنّ تعدّد التمثیل لکلّ من فرضی الاعتقاد بالباطل و عدمه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فالأول کمن أنکر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ممّا لم نقف له علی وجه؛ فإنّ کلّ من المثالین کاف للفرضین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یحکم بکفرهما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بکفر المقلّد فی القسم الخامس و السادس لا یجامع فرض القول بجواز التقلید</w:t>
      </w:r>
      <w:r>
        <w:rPr>
          <w:rFonts w:eastAsia="IRNazanin" w:cs="IRNazanin"/>
          <w:color w:val="111111"/>
          <w:sz w:val="28"/>
          <w:szCs w:val="28"/>
          <w:rtl w:val="true"/>
          <w:lang w:bidi="fa-IR"/>
        </w:rPr>
        <w:t>.</w:t>
      </w:r>
    </w:p>
    <w:p>
      <w:pPr>
        <w:pStyle w:val="Heading5"/>
        <w:numPr>
          <w:ilvl w:val="4"/>
          <w:numId w:val="1"/>
        </w:numPr>
        <w:rPr/>
      </w:pPr>
      <w:bookmarkStart w:id="591" w:name="__RefHeading___Toc2646730_3224264995"/>
      <w:bookmarkStart w:id="592" w:name="_Toc236"/>
      <w:bookmarkEnd w:id="591"/>
      <w:r>
        <w:rPr>
          <w:rtl w:val="true"/>
        </w:rPr>
        <w:t>[</w:t>
      </w:r>
      <w:r>
        <w:rPr>
          <w:rtl w:val="true"/>
        </w:rPr>
        <w:t>المراد من جواز التقلید فی اصول الدین</w:t>
      </w:r>
      <w:r>
        <w:rPr>
          <w:rtl w:val="true"/>
        </w:rPr>
        <w:t>]</w:t>
      </w:r>
      <w:bookmarkEnd w:id="592"/>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المتن أنّ المراد من جواز التقلید جوازه من حیث إنّه تقلید، لا جوازه مطلقا حتی فی باطل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ذکر أقسام المقلد علی القول بعدم جواز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أقسامه علی أقسام القول بجواز التقلید بأضعاف مما لم نقف له علی وجه؛ فإن أقسام التقلید علی القولین مما لا یتفاوت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وجوب ذلک توصّلی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593" w:name="__RefHeading___Toc2646732_3224264995"/>
      <w:bookmarkStart w:id="594" w:name="_Toc237"/>
      <w:bookmarkEnd w:id="593"/>
      <w:r>
        <w:rPr>
          <w:rtl w:val="true"/>
        </w:rPr>
        <w:t>[</w:t>
      </w:r>
      <w:r>
        <w:rPr>
          <w:rtl w:val="true"/>
        </w:rPr>
        <w:t>مناقشة کلام الماتن فی عدم وجوب النظر علی المقلّد الجازم فی اصول الدین</w:t>
      </w:r>
      <w:r>
        <w:rPr>
          <w:rtl w:val="true"/>
        </w:rPr>
        <w:t>]</w:t>
      </w:r>
      <w:bookmarkEnd w:id="5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النظر و إن کان وجوبا مقدّمیا توصّلیا إلّا أنّه توصّل إلی المعرفة الحقیقیة الواقعیة و لو کان ظنّا، لا مطلق المعرفة و لو کان شکّا و وهما فی الواقع بالنظر إلی تبعیة المسبب المتوصّل إلیه لأسبابه الموصلة إلیه، و هو </w:t>
      </w:r>
      <w:bookmarkStart w:id="595" w:name="pg12856_162649"/>
    </w:p>
    <w:p>
      <w:pPr>
        <w:pStyle w:val="BookText"/>
        <w:rPr/>
      </w:pPr>
      <w:bookmarkEnd w:id="595"/>
      <w:r>
        <w:rPr>
          <w:rFonts w:ascii="IRNazanin" w:hAnsi="IRNazanin" w:eastAsia="IRNazanin"/>
          <w:color w:val="111111"/>
          <w:sz w:val="28"/>
          <w:sz w:val="28"/>
          <w:szCs w:val="28"/>
          <w:rtl w:val="true"/>
          <w:lang w:bidi="fa-IR"/>
        </w:rPr>
        <w:t>التقلید الذی لا یفید الظنّ فضلا عن الجزم بالمعرفة حتی یسقط وجوب المقدّمة الموصلة بمجرّد حصول المعرفة التقلیدیة، إلّا علی القول بحجّیة قطع القطّاع، و قد مرّ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فَأُولئِکَ عَسَی اللَّهُ أَنْ یَعْفُوَ عَنْهُمْ</w:t>
      </w:r>
      <w:r>
        <w:rPr>
          <w:rStyle w:val="FootnoteAnchor"/>
          <w:rtl w:val="true"/>
        </w:rPr>
        <w:footnoteReference w:id="182"/>
      </w:r>
      <w:r>
        <w:rPr>
          <w:rFonts w:ascii="IRNazanin" w:hAnsi="IRNazanin" w:eastAsia="IRNazanin"/>
          <w:color w:val="111111"/>
          <w:sz w:val="28"/>
          <w:sz w:val="28"/>
          <w:szCs w:val="28"/>
          <w:rtl w:val="true"/>
          <w:lang w:bidi="fa-IR"/>
        </w:rPr>
        <w:t>الآیة شاهد نصّ علی وجود القاصر و معذوریته فی التقلید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المستضعفین بقرینة استثنائه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أَرْضُ اللَّهِ واسِعَةً فَتُهاجِرُوا فِیها</w:t>
      </w:r>
      <w:r>
        <w:rPr>
          <w:rStyle w:val="FootnoteAnchor"/>
          <w:rtl w:val="true"/>
        </w:rPr>
        <w:footnoteReference w:id="183"/>
      </w:r>
      <w:r>
        <w:rPr>
          <w:rFonts w:ascii="IRNazanin" w:hAnsi="IRNazanin" w:eastAsia="IRNazanin"/>
          <w:color w:val="111111"/>
          <w:sz w:val="28"/>
          <w:sz w:val="28"/>
          <w:szCs w:val="28"/>
          <w:rtl w:val="true"/>
          <w:lang w:bidi="fa-IR"/>
        </w:rPr>
        <w:t>القاصر من مهاجرة دار الحرب و العصیان، لا القاصر من فهم اصول الدین الذی هو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بنینا علی عدم حجّیة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الکلام تارة فی تحریر محلّ النزاع، و اخری فی بیان الفرق بین المرجّح و المؤیّد، و الجابر و الموهن، و ثالثة فی بیان شقوق المسألة و أقسامها</w:t>
      </w:r>
      <w:r>
        <w:rPr>
          <w:rFonts w:eastAsia="IRNazanin" w:cs="IRNazanin"/>
          <w:color w:val="111111"/>
          <w:sz w:val="28"/>
          <w:szCs w:val="28"/>
          <w:rtl w:val="true"/>
          <w:lang w:bidi="fa-IR"/>
        </w:rPr>
        <w:t>.</w:t>
      </w:r>
    </w:p>
    <w:p>
      <w:pPr>
        <w:pStyle w:val="Heading5"/>
        <w:numPr>
          <w:ilvl w:val="4"/>
          <w:numId w:val="1"/>
        </w:numPr>
        <w:rPr/>
      </w:pPr>
      <w:bookmarkStart w:id="596" w:name="__RefHeading___Toc2646734_3224264995"/>
      <w:bookmarkStart w:id="597" w:name="_Toc238"/>
      <w:bookmarkEnd w:id="596"/>
      <w:r>
        <w:rPr>
          <w:rtl w:val="true"/>
        </w:rPr>
        <w:t>[</w:t>
      </w:r>
      <w:r>
        <w:rPr>
          <w:rtl w:val="true"/>
        </w:rPr>
        <w:t>فی الآثار المترتّبة علی الظنّ علی القول بعدم اعتباره خصوصا أو مطلقا</w:t>
      </w:r>
      <w:r>
        <w:rPr>
          <w:rtl w:val="true"/>
        </w:rPr>
        <w:t>]</w:t>
      </w:r>
      <w:bookmarkEnd w:id="59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محلّ النزاع من جهة الجابر و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خصوص ما إذا کان ذلک الظنّ الجابر و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الظنون الغیر القائم علی حجّیتها دلیل خاصّ و لا دلیل مطلق کدلیل الانسداد، و أمّا القائم علی حجّیته دلیل بالخصوص أو العموم فلا نزاع فی مرجّحیته و موهنیته و جابریته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الأمارة الظنّیة الغیر القائم علی حجّیتها دلیل إمّا أن تکشف بالکشف القطعی، أو الظنّی عن مدرک قطعی أو ظنّی، أو عن نفس الواقع من غیر توسط مدرک، و محلّ النزاع من هذه الصور الستّ إنما هو فی الظنّ الکاشف </w:t>
      </w:r>
      <w:bookmarkStart w:id="598" w:name="pg12856_162650"/>
    </w:p>
    <w:p>
      <w:pPr>
        <w:pStyle w:val="BookText"/>
        <w:rPr/>
      </w:pPr>
      <w:bookmarkEnd w:id="598"/>
      <w:r>
        <w:rPr>
          <w:rFonts w:ascii="IRNazanin" w:hAnsi="IRNazanin" w:eastAsia="IRNazanin"/>
          <w:color w:val="111111"/>
          <w:sz w:val="28"/>
          <w:sz w:val="28"/>
          <w:szCs w:val="28"/>
          <w:rtl w:val="true"/>
          <w:lang w:bidi="fa-IR"/>
        </w:rPr>
        <w:t>بالکشف الظنّی بأقسامه الثلاثة دون الکاشف بالکشف القطعی مطلقا بأقسامه الثلاثة؛ لان الکشف القطعی إن کان عن مدرک قطعی أو عن نفس الواقع فهو قطعی لا شبهة فی حجّیته بنفسه، و إن کان عن مدرک ظنّی فهو و إن لم یکن نفس القطع إلّا أنّه قطعی و ظنّ من الظنون الخاصّة التی لا شبهة فی حجّیته فضلا عن مرجّحیته</w:t>
      </w:r>
      <w:r>
        <w:rPr>
          <w:rFonts w:eastAsia="IRNazanin" w:cs="IRNazanin"/>
          <w:color w:val="111111"/>
          <w:sz w:val="28"/>
          <w:szCs w:val="28"/>
          <w:rtl w:val="true"/>
          <w:lang w:bidi="fa-IR"/>
        </w:rPr>
        <w:t>.</w:t>
      </w:r>
    </w:p>
    <w:p>
      <w:pPr>
        <w:pStyle w:val="Heading5"/>
        <w:numPr>
          <w:ilvl w:val="4"/>
          <w:numId w:val="1"/>
        </w:numPr>
        <w:rPr/>
      </w:pPr>
      <w:bookmarkStart w:id="599" w:name="__RefHeading___Toc2646736_3224264995"/>
      <w:bookmarkStart w:id="600" w:name="_Toc239"/>
      <w:bookmarkEnd w:id="599"/>
      <w:r>
        <w:rPr>
          <w:rtl w:val="true"/>
        </w:rPr>
        <w:t>[</w:t>
      </w:r>
      <w:r>
        <w:rPr>
          <w:rtl w:val="true"/>
        </w:rPr>
        <w:t>أثر الجبر و الترجیح بالظنّ غیر المعتبر</w:t>
      </w:r>
      <w:r>
        <w:rPr>
          <w:rtl w:val="true"/>
        </w:rPr>
        <w:t>]</w:t>
      </w:r>
      <w:bookmarkEnd w:id="600"/>
    </w:p>
    <w:p>
      <w:pPr>
        <w:pStyle w:val="BookText"/>
        <w:rPr/>
      </w:pPr>
      <w:r>
        <w:rPr>
          <w:rFonts w:ascii="IRNazanin" w:hAnsi="IRNazanin" w:eastAsia="IRNazanin"/>
          <w:color w:val="111111"/>
          <w:sz w:val="28"/>
          <w:sz w:val="28"/>
          <w:szCs w:val="28"/>
          <w:rtl w:val="true"/>
          <w:lang w:bidi="fa-IR"/>
        </w:rPr>
        <w:t>و أمّا محلّ النزاع من جهة المجبور و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خصوص ما إذا کان ذلک المجبور و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بالخصوص و من باب الظنون الخاصّة، و أمّا إذا کان اعتباره بالعموم و من باب الظنّ المطلق فلا کلام و لا خلاف فی انجباره و رجحانه بمطلق الظنّ</w:t>
      </w:r>
      <w:r>
        <w:rPr>
          <w:rFonts w:eastAsia="IRNazanin" w:cs="IRNazanin"/>
          <w:color w:val="111111"/>
          <w:sz w:val="28"/>
          <w:szCs w:val="28"/>
          <w:rtl w:val="true"/>
          <w:lang w:bidi="fa-IR"/>
        </w:rPr>
        <w:t>.</w:t>
      </w:r>
    </w:p>
    <w:p>
      <w:pPr>
        <w:pStyle w:val="Heading5"/>
        <w:numPr>
          <w:ilvl w:val="4"/>
          <w:numId w:val="1"/>
        </w:numPr>
        <w:rPr/>
      </w:pPr>
      <w:bookmarkStart w:id="601" w:name="__RefHeading___Toc2646738_3224264995"/>
      <w:bookmarkStart w:id="602" w:name="_Toc240"/>
      <w:bookmarkEnd w:id="601"/>
      <w:r>
        <w:rPr>
          <w:rtl w:val="true"/>
        </w:rPr>
        <w:t>[</w:t>
      </w:r>
      <w:r>
        <w:rPr>
          <w:rtl w:val="true"/>
        </w:rPr>
        <w:t>الفرق بین المرجّح و المؤیّد و الجابر و الموهن</w:t>
      </w:r>
      <w:r>
        <w:rPr>
          <w:rtl w:val="true"/>
        </w:rPr>
        <w:t>]</w:t>
      </w:r>
      <w:bookmarkEnd w:id="602"/>
    </w:p>
    <w:p>
      <w:pPr>
        <w:pStyle w:val="BookText"/>
        <w:rPr/>
      </w:pPr>
      <w:r>
        <w:rPr>
          <w:rFonts w:ascii="IRNazanin" w:hAnsi="IRNazanin" w:eastAsia="IRNazanin"/>
          <w:color w:val="111111"/>
          <w:sz w:val="28"/>
          <w:sz w:val="28"/>
          <w:szCs w:val="28"/>
          <w:rtl w:val="true"/>
          <w:lang w:bidi="fa-IR"/>
        </w:rPr>
        <w:t>و أمّا الفرق بین المرجّح و المؤیّد و الجابر و الموهن فالنسبة بین موردها و إن کان عموما من وجه و أمکن اجتماعها فی محلّ واحد إلّا أنّ بین أنفسها تباین کلّی، لأنّ حیث المرجّحیة ناظر إلی تقدیم أحد الدلیلین المتعارضین علی الآخر، و حیث المؤیّدیة ناظر إلی موافقة الدلیل و تقویته مع الإغماض عن ثبوت معارض له و عدمه، فضلا عن تقدیمه علی معارضه، و حیث الجابریة ناظر إلی تکمیل نقص الدلیل بضعف سنده أو دلالته، و حیث الموهنیة عکس ذلک، أعنی تنقیص کمال الدلیل، فالحیثیات مختلفة و إن أمکن اجتماعها فی مورد واحد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شقوق محلّ النزاع فهی أنّ الظنّ الغیر القائم علی حجّیته دلیل مطلقا لا یخلو إمّا أن یکون مرجّحا أو مؤیّدا أو جابرا أو موهنا، و علی کلّ من الصور الأربعة إمّا أن یکون مما قام علی عدم حجّیته دلیل کالظنّ القیاسی و الاستحسان و المصالح المرسلة، أو مما لم یقم علی حجّیته و لا علی عدم حجّیته دلیل کالشهرة و الاستقراء و الأولویة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حجّیتها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w:t>
      </w:r>
      <w:bookmarkStart w:id="603" w:name="pg12856_162651"/>
    </w:p>
    <w:p>
      <w:pPr>
        <w:pStyle w:val="BookText"/>
        <w:rPr/>
      </w:pPr>
      <w:bookmarkEnd w:id="603"/>
      <w:r>
        <w:rPr>
          <w:rFonts w:ascii="IRNazanin" w:hAnsi="IRNazanin" w:eastAsia="IRNazanin"/>
          <w:color w:val="111111"/>
          <w:sz w:val="28"/>
          <w:sz w:val="28"/>
          <w:szCs w:val="28"/>
          <w:rtl w:val="true"/>
          <w:lang w:bidi="fa-IR"/>
        </w:rPr>
        <w:t>من الصور الثمانیة إمّا أن یتعلق ذلک الظنّ المفروض بسند الدلیل أو دلالته أو بمضمونه الخارج الموافق له فی المضمون، ثمّ الظنّ المتعلق بسند الدلیل إمّا أن یحصل من الأمر المتصل بالسند کعدالة الراوی و وثاقته، أو من الأمر المنفصل عنه کشهرة روایته، و کذا المتعلق بالدلیل إمّا أن یتصل بنفسه کوقوع الأمر عقیب توهم الحظر فی الانصراف إلی الإباحة، أو ینفصل عنه کشهرة القول بظهوره فی معنی من المعانی، فترتقی الأقسام إلی أربعین قسما</w:t>
      </w:r>
      <w:r>
        <w:rPr>
          <w:rFonts w:eastAsia="IRNazanin" w:cs="IRNazanin"/>
          <w:color w:val="111111"/>
          <w:sz w:val="28"/>
          <w:szCs w:val="28"/>
          <w:rtl w:val="true"/>
          <w:lang w:bidi="fa-IR"/>
        </w:rPr>
        <w:t>.</w:t>
      </w:r>
    </w:p>
    <w:p>
      <w:pPr>
        <w:pStyle w:val="Heading5"/>
        <w:numPr>
          <w:ilvl w:val="4"/>
          <w:numId w:val="1"/>
        </w:numPr>
        <w:rPr/>
      </w:pPr>
      <w:bookmarkStart w:id="604" w:name="__RefHeading___Toc2646740_3224264995"/>
      <w:bookmarkStart w:id="605" w:name="_Toc241"/>
      <w:bookmarkEnd w:id="604"/>
      <w:r>
        <w:rPr>
          <w:rtl w:val="true"/>
        </w:rPr>
        <w:t>[</w:t>
      </w:r>
      <w:r>
        <w:rPr>
          <w:rtl w:val="true"/>
        </w:rPr>
        <w:t>ابتناء مرجّحیة الظنّ أو جابریّته علی القول باعتبار الأخبار من باب الظنّ الفعلی</w:t>
      </w:r>
      <w:r>
        <w:rPr>
          <w:rtl w:val="true"/>
        </w:rPr>
        <w:t>]</w:t>
      </w:r>
      <w:bookmarkEnd w:id="605"/>
    </w:p>
    <w:p>
      <w:pPr>
        <w:pStyle w:val="BookText"/>
        <w:rPr/>
      </w:pPr>
      <w:r>
        <w:rPr>
          <w:rFonts w:ascii="IRNazanin" w:hAnsi="IRNazanin" w:eastAsia="IRNazanin"/>
          <w:color w:val="111111"/>
          <w:sz w:val="28"/>
          <w:sz w:val="28"/>
          <w:szCs w:val="28"/>
          <w:rtl w:val="true"/>
          <w:lang w:bidi="fa-IR"/>
        </w:rPr>
        <w:t>ثمّ إنّه لما کان مرجّحیة الظنّ أو جابریته مبنیا علی القول باعتبار الأخبار من باب الظنّ الفعلی لا التعبد الصرف 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الحشویة و لا علی القول بعدم اعتبارها مطلقا و لا علی القول باعتبارها مع صفات فی الراوی کالعدالة و الوثاقة و الصداقة لا فی الروایة کمظنون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تشخیص هذا المبنی لیتحقّق تفریع الجابریة و المرجّحیة علیه و إن کنّا قد شخصناه سابقا فی باب حجّیة الأخبار بأبلغ وجه</w:t>
      </w:r>
      <w:r>
        <w:rPr>
          <w:rFonts w:eastAsia="IRNazanin" w:cs="IRNazanin"/>
          <w:color w:val="111111"/>
          <w:sz w:val="28"/>
          <w:szCs w:val="28"/>
          <w:rtl w:val="true"/>
          <w:lang w:bidi="fa-IR"/>
        </w:rPr>
        <w:t>.</w:t>
      </w:r>
    </w:p>
    <w:p>
      <w:pPr>
        <w:pStyle w:val="Heading5"/>
        <w:numPr>
          <w:ilvl w:val="4"/>
          <w:numId w:val="1"/>
        </w:numPr>
        <w:rPr/>
      </w:pPr>
      <w:bookmarkStart w:id="606" w:name="__RefHeading___Toc2646742_3224264995"/>
      <w:bookmarkStart w:id="607" w:name="_Toc242"/>
      <w:bookmarkEnd w:id="606"/>
      <w:r>
        <w:rPr>
          <w:rtl w:val="true"/>
        </w:rPr>
        <w:t>[</w:t>
      </w:r>
      <w:r>
        <w:rPr>
          <w:rtl w:val="true"/>
        </w:rPr>
        <w:t>الأقوال فی اعتبار خبر الواحد</w:t>
      </w:r>
      <w:r>
        <w:rPr>
          <w:rtl w:val="true"/>
        </w:rPr>
        <w:t>]</w:t>
      </w:r>
      <w:bookmarkEnd w:id="607"/>
    </w:p>
    <w:p>
      <w:pPr>
        <w:pStyle w:val="BookText"/>
        <w:rPr/>
      </w:pPr>
      <w:r>
        <w:rPr>
          <w:rFonts w:ascii="IRNazanin" w:hAnsi="IRNazanin" w:eastAsia="IRNazanin"/>
          <w:color w:val="111111"/>
          <w:sz w:val="28"/>
          <w:sz w:val="28"/>
          <w:szCs w:val="28"/>
          <w:rtl w:val="true"/>
          <w:lang w:bidi="fa-IR"/>
        </w:rPr>
        <w:t>فنقول فی تفصیله ارتجالا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اعتبار خبر الآحاد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بعضهم القول بعدم اعتبار خبر الآحاد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معتبریه، فعن المعالم</w:t>
      </w:r>
      <w:r>
        <w:rPr>
          <w:rStyle w:val="FootnoteAnchor"/>
          <w:rtl w:val="true"/>
        </w:rPr>
        <w:footnoteReference w:id="184"/>
      </w:r>
      <w:r>
        <w:rPr>
          <w:rFonts w:ascii="IRNazanin" w:hAnsi="IRNazanin" w:eastAsia="IRNazanin"/>
          <w:color w:val="111111"/>
          <w:sz w:val="28"/>
          <w:sz w:val="28"/>
          <w:szCs w:val="28"/>
          <w:rtl w:val="true"/>
          <w:lang w:bidi="fa-IR"/>
        </w:rPr>
        <w:t>القول بتخصیص حجّیة الآحاد بخبر العدل الواقعی، أو من أخبر العدلان بعدالته، و هو المعبّر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بالصحیح الأعلائی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عنه إلی إلحاق خبر من عدّله بعض أهل الرجال، و هو المعبّر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بالصحیح المشهوری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ثالث التعدّی عنه أیضا إلی إلحاق خبر الحسن، أعنی الإمامی الممدوح</w:t>
      </w:r>
      <w:r>
        <w:rPr>
          <w:rFonts w:eastAsia="IRNazanin" w:cs="IRNazanin"/>
          <w:color w:val="111111"/>
          <w:sz w:val="28"/>
          <w:szCs w:val="28"/>
          <w:rtl w:val="true"/>
          <w:lang w:bidi="fa-IR"/>
        </w:rPr>
        <w:t xml:space="preserve">. </w:t>
      </w:r>
      <w:bookmarkStart w:id="608" w:name="pg12856_162652"/>
    </w:p>
    <w:p>
      <w:pPr>
        <w:pStyle w:val="BookText"/>
        <w:rPr/>
      </w:pPr>
      <w:bookmarkEnd w:id="608"/>
      <w:r>
        <w:rPr>
          <w:rFonts w:ascii="IRNazanin" w:hAnsi="IRNazanin" w:eastAsia="IRNazanin"/>
          <w:color w:val="111111"/>
          <w:sz w:val="28"/>
          <w:sz w:val="28"/>
          <w:szCs w:val="28"/>
          <w:rtl w:val="true"/>
          <w:lang w:bidi="fa-IR"/>
        </w:rPr>
        <w:t>و عن رابع کالماتن قدّس سرّه التخصیص بالموثّق المفید للظنّ الاطمئنانی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خامس التعدّی عن ذلک إلی إلحاق مطلق خبر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المشهور التعدّی عن ذلک أیضا إلی إلحاق الضعیف المنجبر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التفاصیل التی فصّلنا الکلام فی وجوهها بما لا مزید علیه فی بحث حجّیة الأخبار إلی أن عیّنّا و برهنّا قوّة قول المشهور من اعتبار مطلق مظنون الصدور و لو بالظنّ المضمونی؛ و ذلک لأنّ المعلوم علی کلّ من له ذوق سلیم و فهم مستقیم أنّ اعتبار الشارع روایة الموثّق و المأمون و الصادق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موثق و لأنّه أمین</w:t>
      </w:r>
      <w:r>
        <w:rPr>
          <w:rFonts w:eastAsia="Amiri" w:cs="Amiri" w:ascii="Amiri" w:hAnsi="Amiri"/>
          <w:color w:val="111111"/>
          <w:sz w:val="28"/>
          <w:szCs w:val="28"/>
          <w:rtl w:val="true"/>
          <w:lang w:bidi="ar-SA"/>
        </w:rPr>
        <w:t>»</w:t>
      </w:r>
      <w:r>
        <w:rPr>
          <w:rStyle w:val="FootnoteAnchor"/>
          <w:rtl w:val="true"/>
        </w:rPr>
        <w:footnoteReference w:id="186"/>
      </w:r>
    </w:p>
    <w:p>
      <w:pPr>
        <w:pStyle w:val="Heading5"/>
        <w:numPr>
          <w:ilvl w:val="4"/>
          <w:numId w:val="1"/>
        </w:numPr>
        <w:rPr/>
      </w:pPr>
      <w:bookmarkStart w:id="609" w:name="__RefHeading___Toc2646744_3224264995"/>
      <w:bookmarkStart w:id="610" w:name="_Toc243"/>
      <w:bookmarkEnd w:id="609"/>
      <w:r>
        <w:rPr>
          <w:rtl w:val="true"/>
        </w:rPr>
        <w:t>[</w:t>
      </w:r>
      <w:r>
        <w:rPr>
          <w:rtl w:val="true"/>
        </w:rPr>
        <w:t>اعتبار مطلق مظنون الصدور من الاخبار، و انّ العبرة بصفة الروایة لا الراوی</w:t>
      </w:r>
      <w:r>
        <w:rPr>
          <w:rtl w:val="true"/>
        </w:rPr>
        <w:t>]</w:t>
      </w:r>
      <w:bookmarkEnd w:id="610"/>
    </w:p>
    <w:p>
      <w:pPr>
        <w:pStyle w:val="BookText"/>
        <w:rPr/>
      </w:pPr>
      <w:r>
        <w:rPr>
          <w:rFonts w:ascii="IRNazanin" w:hAnsi="IRNazanin" w:eastAsia="IRNazanin"/>
          <w:color w:val="111111"/>
          <w:sz w:val="28"/>
          <w:sz w:val="28"/>
          <w:szCs w:val="28"/>
          <w:rtl w:val="true"/>
          <w:lang w:bidi="fa-IR"/>
        </w:rPr>
        <w:t>لیس لمحض التعبّد بصفة الوثاقة و الصداقة و إن لم یقرّب جهة الصدور إلی الواقع، أعنی لیست العلّة هی محبوبیة ذلک الراوی المتصف بتلک الصفات و إن لم تقرّب الروایة إلی الواقع و مبغوضیة العاری عن تلک الصفات و إن قرّب روایته إلی الواقع، بل إنّما هو لأجل غلبة إیصال تلک الصفات إلی الظنّ بصدور الروایة و موافقتها الواقع، نظیر ما لو أمر المولی عبده بشراء کلّ متاع من سوقه، فإنّ من المعلوم أنّه لأجل التوصل إلی ما هو الغالب من أرخصیة کلّ متاع فی سوقه، و أضبطیة قیمته فی سوقه، و الآمنیة من الغبن فیه، لا لأجل التعبّد بسوق ذلک المتاع و مبغوضه سوق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ممّا ذکر عدم العبرة فی حجّیة الخبر بصفات الراوی بل العبرة إنّما هو بصفة الروایة و انحصار تلک الصفة فی الظنّ بالصدور</w:t>
      </w:r>
      <w:r>
        <w:rPr>
          <w:rFonts w:eastAsia="IRNazanin" w:cs="IRNazanin"/>
          <w:color w:val="111111"/>
          <w:sz w:val="28"/>
          <w:szCs w:val="28"/>
          <w:rtl w:val="true"/>
          <w:lang w:bidi="fa-IR"/>
        </w:rPr>
        <w:t>.</w:t>
      </w:r>
    </w:p>
    <w:p>
      <w:pPr>
        <w:pStyle w:val="Heading5"/>
        <w:numPr>
          <w:ilvl w:val="4"/>
          <w:numId w:val="1"/>
        </w:numPr>
        <w:rPr/>
      </w:pPr>
      <w:bookmarkStart w:id="611" w:name="__RefHeading___Toc2646746_3224264995"/>
      <w:bookmarkStart w:id="612" w:name="_Toc244"/>
      <w:bookmarkEnd w:id="611"/>
      <w:r>
        <w:rPr>
          <w:rtl w:val="true"/>
        </w:rPr>
        <w:t>[</w:t>
      </w:r>
      <w:r>
        <w:rPr>
          <w:rtl w:val="true"/>
        </w:rPr>
        <w:t>مناقشة مع الماتن فی هذا المجال</w:t>
      </w:r>
      <w:r>
        <w:rPr>
          <w:rtl w:val="true"/>
        </w:rPr>
        <w:t>]</w:t>
      </w:r>
      <w:bookmarkEnd w:id="6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أورد الماتن</w:t>
      </w:r>
      <w:r>
        <w:rPr>
          <w:rStyle w:val="FootnoteAnchor"/>
          <w:rtl w:val="true"/>
        </w:rPr>
        <w:footnoteReference w:id="187"/>
      </w:r>
      <w:r>
        <w:rPr>
          <w:rFonts w:ascii="IRNazanin" w:hAnsi="IRNazanin" w:eastAsia="IRNazanin"/>
          <w:color w:val="111111"/>
          <w:sz w:val="28"/>
          <w:sz w:val="28"/>
          <w:szCs w:val="28"/>
          <w:rtl w:val="true"/>
          <w:lang w:bidi="fa-IR"/>
        </w:rPr>
        <w:t xml:space="preserve">هنا علی ذلک نقضا بدعوی الشهرة علی عدم اعتبار خبر الموثّق و لو أفاد الظنّ بالصدور، و علی عدم اعتبار الضعیف المعتضد </w:t>
      </w:r>
      <w:bookmarkStart w:id="613" w:name="pg12856_162653"/>
    </w:p>
    <w:p>
      <w:pPr>
        <w:pStyle w:val="BookText"/>
        <w:rPr/>
      </w:pPr>
      <w:bookmarkEnd w:id="613"/>
      <w:r>
        <w:rPr>
          <w:rFonts w:ascii="IRNazanin" w:hAnsi="IRNazanin" w:eastAsia="IRNazanin"/>
          <w:color w:val="111111"/>
          <w:sz w:val="28"/>
          <w:sz w:val="28"/>
          <w:szCs w:val="28"/>
          <w:rtl w:val="true"/>
          <w:lang w:bidi="fa-IR"/>
        </w:rPr>
        <w:t>بالاستقراء و الأولویة الظنّیة، و علی عدم اعتبار خبر الفاسق المتحرّز عن الکذب نظرا إلی أنّ خبر الفاسق المتحرز لا یقتحم فی العمل به عاقل حتی یحتاج إلی المنع منه بآیة النبأ</w:t>
      </w:r>
      <w:r>
        <w:rPr>
          <w:rStyle w:val="FootnoteAnchor"/>
          <w:rtl w:val="true"/>
        </w:rPr>
        <w:footnoteReference w:id="188"/>
      </w:r>
      <w:r>
        <w:rPr>
          <w:rFonts w:ascii="Amiri" w:hAnsi="Amiri" w:eastAsia="Amiri" w:cs="Amiri"/>
          <w:color w:val="111111"/>
          <w:sz w:val="28"/>
          <w:sz w:val="28"/>
          <w:szCs w:val="28"/>
          <w:rtl w:val="true"/>
          <w:lang w:bidi="ar-SA"/>
        </w:rPr>
        <w:t>فمندفع بنقوضها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الشهرة علی عدم اعتبار الموثّق، و أنّه مجرد دعوی لا بیّنة علیه، بل البیّنة علی خلافه</w:t>
      </w:r>
      <w:r>
        <w:rPr>
          <w:rFonts w:eastAsia="IRNazanin" w:cs="IRNazanin"/>
          <w:color w:val="111111"/>
          <w:sz w:val="28"/>
          <w:szCs w:val="28"/>
          <w:rtl w:val="true"/>
          <w:lang w:bidi="fa-IR"/>
        </w:rPr>
        <w:t>.</w:t>
      </w:r>
    </w:p>
    <w:p>
      <w:pPr>
        <w:pStyle w:val="Heading5"/>
        <w:numPr>
          <w:ilvl w:val="4"/>
          <w:numId w:val="1"/>
        </w:numPr>
        <w:rPr/>
      </w:pPr>
      <w:bookmarkStart w:id="614" w:name="__RefHeading___Toc2646748_3224264995"/>
      <w:bookmarkStart w:id="615" w:name="_Toc245"/>
      <w:bookmarkEnd w:id="614"/>
      <w:r>
        <w:rPr>
          <w:rtl w:val="true"/>
        </w:rPr>
        <w:t>[</w:t>
      </w:r>
      <w:r>
        <w:rPr>
          <w:rtl w:val="true"/>
        </w:rPr>
        <w:t>عدم الملازمة بین موافقة المظنون للواقع و صدور اللفظ عن الواقع</w:t>
      </w:r>
      <w:r>
        <w:rPr>
          <w:rtl w:val="true"/>
        </w:rPr>
        <w:t>]</w:t>
      </w:r>
      <w:bookmarkEnd w:id="615"/>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عدم اعتبارهم الضعیف المعتضد بالاستقراء و الأولویة لو سلّم فإنّما هو من جهة عدم استلزام موافقة الاستقراء و الأولویة الخبر للظنّ بصدوره، کعدم استلزام الشهرة المضمونیة له، فإنّ غایة ثمرة الاستقراء و الأولویة و غیرهما من الامور الموافقة للخبر هو إفادة الظنّ بموافقة مضمون الخبر للواقع، و لا ملازمة بین موافقة مضمونه الواقع و صدور ألفاظه عن الواقع، بخلاف الشهرة السندیة و غیرها مما یلازم الظنّ بصدور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اعتبارهم الضعیف الموافق للاستقراء و الأولویة لو سلّم إنّما هو لأجل عدم إفادة الاستقراء و الأولویة الظنّ بالصدور، لا من جهة عدم الاکتفاء بمظنون الصدور علی تقدیر حصول الظنّ بالصدور</w:t>
      </w:r>
      <w:r>
        <w:rPr>
          <w:rFonts w:eastAsia="IRNazanin" w:cs="IRNazanin"/>
          <w:color w:val="111111"/>
          <w:sz w:val="28"/>
          <w:szCs w:val="28"/>
          <w:rtl w:val="true"/>
          <w:lang w:bidi="fa-IR"/>
        </w:rPr>
        <w:t>.</w:t>
      </w:r>
    </w:p>
    <w:p>
      <w:pPr>
        <w:pStyle w:val="Heading5"/>
        <w:numPr>
          <w:ilvl w:val="4"/>
          <w:numId w:val="1"/>
        </w:numPr>
        <w:rPr/>
      </w:pPr>
      <w:bookmarkStart w:id="616" w:name="__RefHeading___Toc2646750_3224264995"/>
      <w:bookmarkStart w:id="617" w:name="_Toc246"/>
      <w:bookmarkEnd w:id="616"/>
      <w:r>
        <w:rPr>
          <w:rtl w:val="true"/>
        </w:rPr>
        <w:t>[</w:t>
      </w:r>
      <w:r>
        <w:rPr>
          <w:rtl w:val="true"/>
        </w:rPr>
        <w:t>قبول خبر الفاسق إن أفاد الظنّ المستقر</w:t>
      </w:r>
      <w:r>
        <w:rPr>
          <w:rtl w:val="true"/>
        </w:rPr>
        <w:t>]</w:t>
      </w:r>
      <w:bookmarkEnd w:id="61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إن أراد من عدم اعتبار خبر الفاسق و إن أفاد الظنّ عدم اعتبار خبر الفاسق المفید للظن البدوی، الذی یتسارع إلیه الطباع غالبا بمجرد سماعه سیما طباع الأراجیف فمسلّم، لکنه لا ینقض المطلوب کما زعم، و إن ارید منه عدم اعتبار خبر الفاسق و إن أفاد الظنّ المستقرّ الغیر الزائل بالتأمل فممنوع جدّا؛ فإنّ الممنوع منه بنص آیة النبأ هو القسم الأول من خبر الفاسق لا الثانی، و مجرد إفادته الظنّ فی بادئ الرأی و تسارع الأراجیف إلی قبوله کاف فی وجه المنع وجهته</w:t>
      </w:r>
      <w:r>
        <w:rPr>
          <w:rFonts w:eastAsia="IRNazanin" w:cs="IRNazanin"/>
          <w:color w:val="111111"/>
          <w:sz w:val="28"/>
          <w:szCs w:val="28"/>
          <w:rtl w:val="true"/>
          <w:lang w:bidi="fa-IR"/>
        </w:rPr>
        <w:t xml:space="preserve">. </w:t>
      </w:r>
      <w:bookmarkStart w:id="618" w:name="pg12856_162654"/>
    </w:p>
    <w:p>
      <w:pPr>
        <w:pStyle w:val="Heading5"/>
        <w:numPr>
          <w:ilvl w:val="4"/>
          <w:numId w:val="1"/>
        </w:numPr>
        <w:rPr/>
      </w:pPr>
      <w:bookmarkStart w:id="619" w:name="__RefHeading___Toc2646752_3224264995"/>
      <w:bookmarkStart w:id="620" w:name="_Toc247"/>
      <w:bookmarkEnd w:id="618"/>
      <w:bookmarkEnd w:id="619"/>
      <w:r>
        <w:rPr>
          <w:rtl w:val="true"/>
        </w:rPr>
        <w:t>[</w:t>
      </w:r>
      <w:r>
        <w:rPr>
          <w:rtl w:val="true"/>
        </w:rPr>
        <w:t>تحقیق الکلام فی جبر سند الروایة بالظنّ غیر المعتبر</w:t>
      </w:r>
      <w:r>
        <w:rPr>
          <w:rtl w:val="true"/>
        </w:rPr>
        <w:t>]</w:t>
      </w:r>
      <w:bookmarkEnd w:id="620"/>
    </w:p>
    <w:p>
      <w:pPr>
        <w:pStyle w:val="BookText"/>
        <w:rPr/>
      </w:pPr>
      <w:r>
        <w:rPr>
          <w:rFonts w:ascii="IRNazanin" w:hAnsi="IRNazanin" w:eastAsia="IRNazanin"/>
          <w:color w:val="111111"/>
          <w:sz w:val="28"/>
          <w:sz w:val="28"/>
          <w:szCs w:val="28"/>
          <w:rtl w:val="true"/>
          <w:lang w:bidi="fa-IR"/>
        </w:rPr>
        <w:t>و إذ قد تشخّص مبنی النزاع و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اعتبار الأخبار من باب الظنّ بالصدور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فلنرجع إلی أصل النزاع و قطع الخصومة فی ضمن مقامات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بالظنّ الغیر المعتبر،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اعتباره إمّا من جهة دخوله تحت عموم أصالة حرمة العمل بالظنّ، و إمّا من جهة ورود النهی عنه بالخصوص کالقیاس</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 فلا ینبغی التأمل فی جبره ضعف سند الأخبار بأقسامه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المسند و المرسل و المقطوع و المعلّق دون الموقوف، لعدم تحقّق خبریته حتی یتفرع علیه الجابریة، و ذلک لوجود المقتضی و عدم المانع، أمّا وجود المقتضی فهو إطلاق ما دلّ علی اعتبار مظنون الصدور من الآیات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المانع فلأنّ المانع من جبره لیس سوی توهم عدم اعتباره مستقلّا لدخوله تحت عموم أصالة حرمة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مندفع؛ بوضوح کون العمل إنّما هو بالمجبور و هو الخبر لا بالجابر له و هو الظنّ، و أمّا توقف العمل بالخبر علی وجود الظنّ الجابر له بحیث ینتفی العمل به بانتفائه فإنّما هو من لوازم العمل بعموم دلیل توقف اعتبار الخبر علی وجود الظنّ الجابر له، لا من لوازم العمل بنفس الظنّ الجابر و لا بکلّ من الجابر و المجبور حتی ینافی فرض دخول الجابر تحت عموم أصالة حرمة العمل بالظنّ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الظنّ بالسند مستفادا من نفس السند کوثاقة راویه و صداقته</w:t>
      </w:r>
      <w:r>
        <w:rPr>
          <w:rFonts w:eastAsia="IRNazanin" w:cs="IRNazanin"/>
          <w:color w:val="111111"/>
          <w:sz w:val="28"/>
          <w:szCs w:val="28"/>
          <w:rtl w:val="true"/>
          <w:lang w:bidi="fa-IR"/>
        </w:rPr>
        <w:t>.</w:t>
      </w:r>
    </w:p>
    <w:p>
      <w:pPr>
        <w:pStyle w:val="Heading5"/>
        <w:numPr>
          <w:ilvl w:val="4"/>
          <w:numId w:val="1"/>
        </w:numPr>
        <w:rPr/>
      </w:pPr>
      <w:bookmarkStart w:id="621" w:name="__RefHeading___Toc2646754_3224264995"/>
      <w:bookmarkStart w:id="622" w:name="_Toc248"/>
      <w:bookmarkEnd w:id="621"/>
      <w:r>
        <w:rPr>
          <w:rtl w:val="true"/>
        </w:rPr>
        <w:t>[</w:t>
      </w:r>
      <w:r>
        <w:rPr>
          <w:rtl w:val="true"/>
        </w:rPr>
        <w:t>جبر السند بالشهرة</w:t>
      </w:r>
      <w:r>
        <w:rPr>
          <w:rtl w:val="true"/>
        </w:rPr>
        <w:t>]</w:t>
      </w:r>
      <w:bookmarkEnd w:id="6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إذا استفید من الخارج کالشهرة فقد احتمل الماتن</w:t>
      </w:r>
      <w:r>
        <w:rPr>
          <w:rStyle w:val="FootnoteAnchor"/>
          <w:rtl w:val="true"/>
        </w:rPr>
        <w:footnoteReference w:id="190"/>
      </w:r>
      <w:r>
        <w:rPr>
          <w:rFonts w:ascii="IRNazanin" w:hAnsi="IRNazanin" w:eastAsia="IRNazanin"/>
          <w:color w:val="111111"/>
          <w:sz w:val="28"/>
          <w:sz w:val="28"/>
          <w:szCs w:val="28"/>
          <w:rtl w:val="true"/>
          <w:lang w:bidi="fa-IR"/>
        </w:rPr>
        <w:t>قدّس سرّه عدم جبره استظهارا من أدلّة حجّیة مظنون الصدور حجّیة المظنون صدوره من نفس السند کالوثاقة و الأمانة، لا من الخارج عن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یدفعه إطلاق الأدلّة و فحواها، </w:t>
      </w:r>
      <w:bookmarkStart w:id="623" w:name="pg12856_162655"/>
    </w:p>
    <w:p>
      <w:pPr>
        <w:pStyle w:val="BookText"/>
        <w:rPr/>
      </w:pPr>
      <w:bookmarkEnd w:id="623"/>
      <w:r>
        <w:rPr>
          <w:rFonts w:ascii="IRNazanin" w:hAnsi="IRNazanin" w:eastAsia="IRNazanin"/>
          <w:color w:val="111111"/>
          <w:sz w:val="28"/>
          <w:sz w:val="28"/>
          <w:szCs w:val="28"/>
          <w:rtl w:val="true"/>
          <w:lang w:bidi="fa-IR"/>
        </w:rPr>
        <w:t>مضافا إلی عدم التفاوت و عدم الفرق، بل و أولویة الظنّ الحاصل من شهرة السند بصدوره من الظنّ الحاصل من مجرد وثاقة الراوی بصدور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الظنّ الجابر متعلقا بنفس السند الضعیف، کالشهرة الروایتیة المستند فتوی المشهور إلی العمل بتلک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 کالشهرة الفتوائیة الموافقة مضمونها للروایة الضعیفة من دون استنادهم العمل إلی نفس الروایة ففی جابریتها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الملازمة بین الظنّ بموافقة مضمون الروایة للواقع، و بین الظنّ بصدورها فی الواقع فلا تجعل و لا تصیّر المفروض مشکوکیة صدوره بالضعف مظنون الصدور، لتعلّق الظنّ بأمر خارج عن الصدور فیلحق بالخارج، و من أنّ غلبة الصدق فی نوع الأخبار، و غلبة عدم الجعل فی خصوص صنف الأحکام الفرعیة من الأخبار، و غلبة عدم الداعی العقلائی فی خصوص شخص ما یوافق مضمونه المشهور إذا انضمّت إلی الخبر الضعیف سنده أجبرته و صیّرته مظنون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أظهر الوجهین و أقرب القولین عندنا، وفاقا لاستاذنا العلّامة، و خلافا للماتن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ینفتح سبیل لجبران أکثر الأخبار الضعاف المشهورة مضامینها و الفتوی علی وفقها و إن لم یستندوا إلی العمل بها</w:t>
      </w:r>
      <w:r>
        <w:rPr>
          <w:rFonts w:eastAsia="IRNazanin" w:cs="IRNazanin"/>
          <w:color w:val="111111"/>
          <w:sz w:val="28"/>
          <w:szCs w:val="28"/>
          <w:rtl w:val="true"/>
          <w:lang w:bidi="fa-IR"/>
        </w:rPr>
        <w:t>.</w:t>
      </w:r>
    </w:p>
    <w:p>
      <w:pPr>
        <w:pStyle w:val="Heading5"/>
        <w:numPr>
          <w:ilvl w:val="4"/>
          <w:numId w:val="1"/>
        </w:numPr>
        <w:rPr/>
      </w:pPr>
      <w:bookmarkStart w:id="624" w:name="__RefHeading___Toc2646756_3224264995"/>
      <w:bookmarkStart w:id="625" w:name="_Toc249"/>
      <w:bookmarkEnd w:id="624"/>
      <w:r>
        <w:rPr>
          <w:rtl w:val="true"/>
        </w:rPr>
        <w:t>[</w:t>
      </w:r>
      <w:r>
        <w:rPr>
          <w:rtl w:val="true"/>
        </w:rPr>
        <w:t>فقه الرضا علیه السلام</w:t>
      </w:r>
      <w:r>
        <w:rPr>
          <w:rtl w:val="true"/>
        </w:rPr>
        <w:t>]</w:t>
      </w:r>
      <w:bookmarkEnd w:id="62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فینجبر سنده علی ذلک بمعاضدتها للشهرة الفتوائیة عند الزاعمین ضعف سندها و انسداد سبیل جبرانها بغیر ذلک و إن کان زعمه من قصور الباع و قصر الذراع، کما لا یخفی علی اولی الأسماع، فإنّ مراجیل الرجال فی إحیاء الأموات لا إماتة الأحیاء و فی تعمیر الخراب لا تخریب 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هذا کلّه فی جابریة الظنّ الغیر المعتبر من جهة دخوله فی عموم أصالة </w:t>
      </w:r>
      <w:bookmarkStart w:id="626" w:name="pg12856_162656"/>
    </w:p>
    <w:p>
      <w:pPr>
        <w:pStyle w:val="BookText"/>
        <w:rPr/>
      </w:pPr>
      <w:bookmarkEnd w:id="626"/>
      <w:r>
        <w:rPr>
          <w:rFonts w:ascii="Amiri" w:hAnsi="Amiri" w:eastAsia="Amiri" w:cs="Amiri"/>
          <w:color w:val="111111"/>
          <w:sz w:val="28"/>
          <w:sz w:val="28"/>
          <w:szCs w:val="28"/>
          <w:rtl w:val="true"/>
          <w:lang w:bidi="ar-SA"/>
        </w:rPr>
        <w:t>حرمة العمل بالظنّ</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2646758_3224264995"/>
      <w:bookmarkStart w:id="628" w:name="_Toc250"/>
      <w:bookmarkEnd w:id="627"/>
      <w:r>
        <w:rPr>
          <w:rtl w:val="true"/>
        </w:rPr>
        <w:t>[</w:t>
      </w:r>
      <w:r>
        <w:rPr>
          <w:rtl w:val="true"/>
        </w:rPr>
        <w:t>جبر السند بالظنّ المنهیّ عن العمل به</w:t>
      </w:r>
      <w:r>
        <w:rPr>
          <w:rtl w:val="true"/>
        </w:rPr>
        <w:t>]</w:t>
      </w:r>
      <w:bookmarkEnd w:id="628"/>
    </w:p>
    <w:p>
      <w:pPr>
        <w:pStyle w:val="BookText"/>
        <w:rPr/>
      </w:pPr>
      <w:r>
        <w:rPr>
          <w:rFonts w:ascii="IRNazanin" w:hAnsi="IRNazanin" w:eastAsia="IRNazanin"/>
          <w:color w:val="111111"/>
          <w:sz w:val="28"/>
          <w:sz w:val="28"/>
          <w:szCs w:val="28"/>
          <w:rtl w:val="true"/>
          <w:lang w:bidi="fa-IR"/>
        </w:rPr>
        <w:t>و أمّا الظن الغیر المعتبر من جهة ورود النهی عنه بالخصوص فالأقرب أنّ حاله حال الأول فی الجابریة مطلقا، أو التفصیل بین الظنّ الداخلی و الخارجی، أو التفصیل بین السندی و المضمونی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فی المتن</w:t>
      </w:r>
      <w:r>
        <w:rPr>
          <w:rStyle w:val="FootnoteAnchor"/>
          <w:rtl w:val="true"/>
        </w:rPr>
        <w:footnoteReference w:id="192"/>
      </w:r>
      <w:r>
        <w:rPr>
          <w:rFonts w:ascii="IRNazanin" w:hAnsi="IRNazanin" w:eastAsia="IRNazanin"/>
          <w:color w:val="111111"/>
          <w:sz w:val="28"/>
          <w:sz w:val="28"/>
          <w:szCs w:val="28"/>
          <w:rtl w:val="true"/>
          <w:lang w:bidi="fa-IR"/>
        </w:rPr>
        <w:t>من اختیار جابریة القسم الأول فی الجملة و عدم جابریة القسم الثانی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ما اخترناه عدم الفرق بینهما من حیث وجود المقتضی و عدم المانع إلّا فی امور غیر 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اعتمد علیه الماتن</w:t>
      </w:r>
      <w:r>
        <w:rPr>
          <w:rStyle w:val="FootnoteAnchor"/>
          <w:rtl w:val="true"/>
        </w:rPr>
        <w:footnoteReference w:id="193"/>
      </w:r>
      <w:r>
        <w:rPr>
          <w:rFonts w:ascii="IRNazanin" w:hAnsi="IRNazanin" w:eastAsia="IRNazanin"/>
          <w:color w:val="111111"/>
          <w:sz w:val="28"/>
          <w:sz w:val="28"/>
          <w:szCs w:val="28"/>
          <w:rtl w:val="true"/>
          <w:lang w:bidi="fa-IR"/>
        </w:rPr>
        <w:t>من عموم ما دلّ علی عدم جواز الاعتناء به و استعماله فی الدین حتی علی وجه الجبر</w:t>
      </w:r>
      <w:r>
        <w:rPr>
          <w:rFonts w:eastAsia="IRNazanin" w:cs="IRNazanin"/>
          <w:color w:val="111111"/>
          <w:sz w:val="28"/>
          <w:szCs w:val="28"/>
          <w:rtl w:val="true"/>
          <w:lang w:bidi="fa-IR"/>
        </w:rPr>
        <w:t>.</w:t>
      </w:r>
    </w:p>
    <w:p>
      <w:pPr>
        <w:pStyle w:val="Heading5"/>
        <w:numPr>
          <w:ilvl w:val="4"/>
          <w:numId w:val="1"/>
        </w:numPr>
        <w:rPr/>
      </w:pPr>
      <w:bookmarkStart w:id="629" w:name="__RefHeading___Toc2646760_3224264995"/>
      <w:bookmarkStart w:id="630" w:name="_Toc251"/>
      <w:bookmarkEnd w:id="629"/>
      <w:r>
        <w:rPr>
          <w:rtl w:val="true"/>
        </w:rPr>
        <w:t>[</w:t>
      </w:r>
      <w:r>
        <w:rPr>
          <w:rtl w:val="true"/>
        </w:rPr>
        <w:t>الفرق بین القیاس و سائر الظنون</w:t>
      </w:r>
      <w:r>
        <w:rPr>
          <w:rtl w:val="true"/>
        </w:rPr>
        <w:t>]</w:t>
      </w:r>
      <w:bookmarkEnd w:id="630"/>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الفرق من هذه الجهة، لعدم قصور عموم أصالة حرمة العمل بالظنّ عن عموم حرمة العمل بظنّ بالخصوص کالقیاس، فکما أنّ الأول غیر مانع من جبر ما یندرج تحت عمومه کذلک الثانی غیر مانع من جبر ما یندرج تحت عمومه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لا فرق بین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w:t>
      </w:r>
      <w:r>
        <w:rPr>
          <w:rStyle w:val="FootnoteAnchor"/>
          <w:rtl w:val="true"/>
        </w:rPr>
        <w:footnoteReference w:id="194"/>
      </w:r>
      <w:r>
        <w:rPr>
          <w:rFonts w:ascii="IRNazanin" w:hAnsi="IRNazanin" w:eastAsia="IRNazanin"/>
          <w:color w:val="111111"/>
          <w:sz w:val="28"/>
          <w:sz w:val="28"/>
          <w:szCs w:val="28"/>
          <w:rtl w:val="true"/>
          <w:lang w:bidi="fa-IR"/>
        </w:rPr>
        <w:t>و بین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العموم لأنّ عموم المنع إنّما هو فی الظنّ فی مقابل القطع و القیاس فی مقابل النصّ، لا المکمل له، و بالنسبة إلی العمل بنفسه لا العمل بالمجبور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العموم لکنه معارض بعموم حجّیة المجبور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فی الجبر بالثانی نوع استعمال و عمل به بخلاف الجبر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 أیضا بما منعنا به هذه الدعوی فی الجبر بالأول من أنّ العمل إنّما </w:t>
      </w:r>
      <w:bookmarkStart w:id="631" w:name="pg12856_162657"/>
    </w:p>
    <w:p>
      <w:pPr>
        <w:pStyle w:val="BookText"/>
        <w:rPr/>
      </w:pPr>
      <w:bookmarkEnd w:id="631"/>
      <w:r>
        <w:rPr>
          <w:rFonts w:ascii="IRNazanin" w:hAnsi="IRNazanin" w:eastAsia="IRNazanin"/>
          <w:color w:val="111111"/>
          <w:sz w:val="28"/>
          <w:sz w:val="28"/>
          <w:szCs w:val="28"/>
          <w:rtl w:val="true"/>
          <w:lang w:bidi="fa-IR"/>
        </w:rPr>
        <w:t>هو بالمجبور، و بعموم أدلّة اشتراط الظنّ فی اعتبار المجبور لا بالجابر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حکومة عموم ما یمنع بظنّ بالخصوص علی عموم أدلّة اشتراط الظنّ فی اعتبار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عموم ما یمنع من العمل بالقیاس لو کان حاکما علی عموم أدلّة اشتراط الظنّ فی اعتبار الخبر لکان عموم أصالة حرمة العمل بمطلق الظنّ أیضا حاکما علی عموم أدلّة اشتراط الظنّ فی الخبر، لعدم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المستفاد من تعلیلات المنع من القیاس هو عدم إفادة القیاس الظنّ العادی حتی یجبر به الخبر، و هو الفارق بینه و بین الظنّ المندرج تحت عموم أصالة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عدم إفادة القیاس الظنّ مطلقا، إلّا القیاس فی مقابل النصّ الذی هو دأب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 إفادة القیاس الظنّ خرج عن محلّ النزاع فی جبره لأنّ النزاع إنّما هو فی جبره علی تقدیر إفادته الظنّ، و أمّا ما لا یفید الظنّ فلا نزاع فی عدم جبره و إن کان شهرة فضلا عن کونه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الظاهر من أدلّة حجّیة الخبر حجّیة المظنون صدوره بنفسه کخبر العادل و نحوه، لا حجّیة مظنون الصدور مطلقا و لو حصل الظنّ بصدوره من الخارج، کالاعتضاد بالقیاس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بإطلاق أدلّة حجّیة المظنون صدوره و لو کان الظنّ بصدوره من الخارج کشهرة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کلّه فی بیان جبر أقسام الظنّ بالسند بأقسامه الأربعة لأقسامه الأربعة</w:t>
      </w:r>
      <w:r>
        <w:rPr>
          <w:rFonts w:eastAsia="IRNazanin" w:cs="IRNazanin"/>
          <w:color w:val="111111"/>
          <w:sz w:val="28"/>
          <w:szCs w:val="28"/>
          <w:rtl w:val="true"/>
          <w:lang w:bidi="fa-IR"/>
        </w:rPr>
        <w:t>.</w:t>
      </w:r>
    </w:p>
    <w:p>
      <w:pPr>
        <w:pStyle w:val="Heading5"/>
        <w:numPr>
          <w:ilvl w:val="4"/>
          <w:numId w:val="1"/>
        </w:numPr>
        <w:rPr/>
      </w:pPr>
      <w:bookmarkStart w:id="632" w:name="__RefHeading___Toc2646762_3224264995"/>
      <w:bookmarkStart w:id="633" w:name="_Toc252"/>
      <w:bookmarkEnd w:id="632"/>
      <w:r>
        <w:rPr>
          <w:rtl w:val="true"/>
        </w:rPr>
        <w:t>[</w:t>
      </w:r>
      <w:r>
        <w:rPr>
          <w:rtl w:val="true"/>
        </w:rPr>
        <w:t>فی جبر ضعف الدلالة</w:t>
      </w:r>
      <w:r>
        <w:rPr>
          <w:rtl w:val="true"/>
        </w:rPr>
        <w:t>]</w:t>
      </w:r>
      <w:bookmarkEnd w:id="6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الظنّ بالدلالة فهو و إن ضعّف الماتن قدّس سرّه انجبارها به مطلقا و إن استند </w:t>
      </w:r>
      <w:bookmarkStart w:id="634" w:name="pg12856_162658"/>
    </w:p>
    <w:p>
      <w:pPr>
        <w:pStyle w:val="BookText"/>
        <w:rPr/>
      </w:pPr>
      <w:bookmarkEnd w:id="634"/>
      <w:r>
        <w:rPr>
          <w:rFonts w:ascii="IRNazanin" w:hAnsi="IRNazanin" w:eastAsia="IRNazanin"/>
          <w:color w:val="111111"/>
          <w:sz w:val="28"/>
          <w:sz w:val="28"/>
          <w:szCs w:val="28"/>
          <w:rtl w:val="true"/>
          <w:lang w:bidi="fa-IR"/>
        </w:rPr>
        <w:t>إلی فهم الأصحاب</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الأقوی عدم الفرق من حیث وجود المقتضی و عدم المانع من صحّة الجبر بین الظنّ بالسند و الظنّ بالدلالة المستند إلی فهم الأصحاب، لأنّ هذا الظنّ کاشف ظنّی عن قرینة علی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Style w:val="FootnoteAnchor"/>
          <w:rtl w:val="true"/>
        </w:rPr>
        <w:footnoteReference w:id="197"/>
      </w:r>
      <w:r>
        <w:rPr>
          <w:rFonts w:ascii="IRNazanin" w:hAnsi="IRNazanin" w:eastAsia="IRNazanin"/>
          <w:color w:val="111111"/>
          <w:sz w:val="28"/>
          <w:sz w:val="28"/>
          <w:szCs w:val="28"/>
          <w:rtl w:val="true"/>
          <w:lang w:bidi="fa-IR"/>
        </w:rPr>
        <w:t>الماتن الفرق بین الظنّ بالظهور، و بین الظنّ بالمراد من الألفاظ فی اعتبار الأول دون الثانی تحکّم بحت، بل کما جری دیدن العرف و العقلاء من ابتداء خلقة آدم إلی یومنا هذا علی الرجوع فی تشخیص ظهور الألفاظ المادیّة إلی مطلق الظنّ الحاصل من فهم اللغویین، و الهیئة إلی مطلق الظنّ الحاصل من قول الصرفیة و النحویة و البیانیة و الأصولیة من دون نکیر، کذلک جری دیدنهم فی تشخیص المراد من الألفاظ إلی مطلق الظنّ الحاصل من قول اللغویة أو النحویة و الصرفیة من غیر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فرق بین الظنون الاجتهادیة المعمولة فی النحو و الصرف و البیان و الاصول و اللغة لتشخیص مثل کون الأمر المطلق للوجوب، و الواقع عقیب الحظر للإباحة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الظنون الحاصلة من فهم الأصحاب بکون الأمر بزیارة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للندب، و بقراءة الدعاء عند الهلال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تری من نفسک الفرق بین الظنّ الحاصل من فهم الرجل الفاسق العامیّ کصاحب القاموس بکون المراد من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وجه الأرض أو التراب، و بین الظنّ الحاصل من فهم العلّامة و أمثاله من الأعلام بکون المراد منه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اعتبار فهم الأول من جهة کونه من أهل الخبرة فالثانی من أخبر أهل الخبرة</w:t>
      </w:r>
      <w:r>
        <w:rPr>
          <w:rFonts w:eastAsia="IRNazanin" w:cs="IRNazanin"/>
          <w:color w:val="111111"/>
          <w:sz w:val="28"/>
          <w:szCs w:val="28"/>
          <w:rtl w:val="true"/>
          <w:lang w:bidi="fa-IR"/>
        </w:rPr>
        <w:t>.</w:t>
      </w:r>
    </w:p>
    <w:p>
      <w:pPr>
        <w:pStyle w:val="Heading5"/>
        <w:numPr>
          <w:ilvl w:val="4"/>
          <w:numId w:val="1"/>
        </w:numPr>
        <w:rPr/>
      </w:pPr>
      <w:bookmarkStart w:id="635" w:name="__RefHeading___Toc2646764_3224264995"/>
      <w:bookmarkStart w:id="636" w:name="_Toc253"/>
      <w:bookmarkEnd w:id="635"/>
      <w:r>
        <w:rPr>
          <w:rtl w:val="true"/>
        </w:rPr>
        <w:t>[</w:t>
      </w:r>
      <w:r>
        <w:rPr>
          <w:rtl w:val="true"/>
        </w:rPr>
        <w:t>منع استناد فهم اللغویّ إلی الحسّ</w:t>
      </w:r>
      <w:r>
        <w:rPr>
          <w:rtl w:val="true"/>
        </w:rPr>
        <w:t>]</w:t>
      </w:r>
      <w:bookmarkEnd w:id="6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من جهة استناد فهمه إلی الحسّ دون الاجتهاد فهو ممنوع، </w:t>
      </w:r>
      <w:bookmarkStart w:id="637" w:name="pg12856_162659"/>
    </w:p>
    <w:p>
      <w:pPr>
        <w:pStyle w:val="Heading5"/>
        <w:numPr>
          <w:ilvl w:val="4"/>
          <w:numId w:val="1"/>
        </w:numPr>
        <w:rPr/>
      </w:pPr>
      <w:bookmarkStart w:id="638" w:name="__RefHeading___Toc2646766_3224264995"/>
      <w:bookmarkStart w:id="639" w:name="_Toc254"/>
      <w:bookmarkEnd w:id="637"/>
      <w:bookmarkEnd w:id="638"/>
      <w:r>
        <w:rPr>
          <w:rtl w:val="true"/>
        </w:rPr>
        <w:t>[</w:t>
      </w:r>
      <w:r>
        <w:rPr>
          <w:rtl w:val="true"/>
        </w:rPr>
        <w:t>عدم الفرق بین الظنّ الحاصل من الحدس و الحاصل من الحسّ</w:t>
      </w:r>
      <w:r>
        <w:rPr>
          <w:rtl w:val="true"/>
        </w:rPr>
        <w:t>]</w:t>
      </w:r>
      <w:bookmarkEnd w:id="639"/>
    </w:p>
    <w:p>
      <w:pPr>
        <w:pStyle w:val="BookText"/>
        <w:rPr/>
      </w:pPr>
      <w:r>
        <w:rPr>
          <w:rFonts w:ascii="IRNazanin" w:hAnsi="IRNazanin" w:eastAsia="IRNazanin"/>
          <w:color w:val="111111"/>
          <w:sz w:val="28"/>
          <w:sz w:val="28"/>
          <w:szCs w:val="28"/>
          <w:rtl w:val="true"/>
          <w:lang w:bidi="fa-IR"/>
        </w:rPr>
        <w:t>و علی تسلیمه فالثانی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التنزّل فأیّ فرق بین الظنّ الحاصل من الحدس و الحسّ مع اشتراکهما فی الحصول من المبادئ الحسّیة، و علی تقدیر عدم الاشتراک أیضا أیّ فرق بینهما؟ و توهّم الفرق بینهما بکثرة الخطأ فی الحدس دون الحسّ مدفوع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باعتبارهم جمیع العلوم المدوّنة المستندة إلی الحدس کالطب و الاصول و الکلام و المنطق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کثرة الخطأ فیها لم یبلغ حدّا یمنع من مجری أصالة عدم الخطأ و الغفلة، کما لم یبلغ فی الحسیّات إلی حدّ یمنع من مجراه کیف و الخطأ فی الحسیّات أکثر من الخطأ فی الحدسیات أ لا تری التباس الحسّ بأعمال الشعبدة من التخییلات و الأخذ بالعیون و غیرها من أسباب الالتباس علی الحسّ، مثل راکب السفینة یتخیّل نفسه ساکنا و الشط متحرّکا، و الرائی بالمنظرة یتخیّل الصغیر کبیرا و البعید قریبا،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جهة استناد الظنّ الأول إلی نفس اللفظ فهو منقوض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الظنون الحاصلة من أصالة عدم النقل و عدم الاشتراک، و من تشابه الأزمان و المقایسة و الغلبة و المناسبة و أمثال ذلک کلّها ظنون خارجة، فیلزم من عدم اعتبار الخارج عدم اعتبارها 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 المدار فی حجّیة الظنّ بالمراد علی الاستناد إلی حاقّ اللفظ دون الخارج فلم لم یناقش أحد من السلف بهذا التفصیل فی شی‌ء من کتبهم علی أحد من المستدلّین و المستمسکین بالظنّ الحاصل من الخارج بالمراد؟</w:t>
      </w:r>
    </w:p>
    <w:p>
      <w:pPr>
        <w:pStyle w:val="BookText"/>
        <w:rPr/>
      </w:pPr>
      <w:r>
        <w:rPr>
          <w:rFonts w:ascii="IRNazanin" w:hAnsi="IRNazanin" w:eastAsia="IRNazanin"/>
          <w:color w:val="111111"/>
          <w:sz w:val="28"/>
          <w:sz w:val="28"/>
          <w:szCs w:val="28"/>
          <w:rtl w:val="true"/>
          <w:lang w:bidi="fa-IR"/>
        </w:rPr>
        <w:t>بل لو کان المدار علی هذا التفصیل لشاع و ذاع حتی طرق الأسماع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من جهة أنّ الظنّ بالمراد المستند إلی حاقّ اللفظ متیقّن الاعتبار بخلاف الخارج فمضافا إلی انتقاضه بما تقدّم، مطالب ببیان وجه تیقّنه، فإن کان من جهة تسالم اعتباره فی ما بینهم علی وجه الوفاق و عدم ظهور الخلاف فهو </w:t>
      </w:r>
      <w:bookmarkStart w:id="640" w:name="pg12856_162660"/>
    </w:p>
    <w:p>
      <w:pPr>
        <w:pStyle w:val="BookText"/>
        <w:rPr/>
      </w:pPr>
      <w:bookmarkEnd w:id="640"/>
      <w:r>
        <w:rPr>
          <w:rFonts w:ascii="IRNazanin" w:hAnsi="IRNazanin" w:eastAsia="IRNazanin"/>
          <w:color w:val="111111"/>
          <w:sz w:val="28"/>
          <w:sz w:val="28"/>
          <w:szCs w:val="28"/>
          <w:rtl w:val="true"/>
          <w:lang w:bidi="fa-IR"/>
        </w:rPr>
        <w:t>ممنوع؛ لوجود الخلاف فی کلیهما أما تذکر مخالفة المصنف فی اعتبار قول اللغوی</w:t>
      </w:r>
      <w:r>
        <w:rPr>
          <w:rStyle w:val="FootnoteAnchor"/>
          <w:rtl w:val="true"/>
        </w:rPr>
        <w:footnoteReference w:id="198"/>
      </w:r>
      <w:r>
        <w:rPr>
          <w:rFonts w:ascii="IRNazanin" w:hAnsi="IRNazanin" w:eastAsia="IRNazanin"/>
          <w:color w:val="111111"/>
          <w:sz w:val="28"/>
          <w:sz w:val="28"/>
          <w:szCs w:val="28"/>
          <w:rtl w:val="true"/>
          <w:lang w:bidi="fa-IR"/>
        </w:rPr>
        <w:t>تبعا لغیره فی ما تقدّم و اعتباره العلم فی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جهة أنّ الظن بالمراد من حاقّ اللفظ ظنّ بقرینة الأمر الموجود بخلاف الظنّ به من الخارج، فإنّه ظنّ بوجود القرینة فالفرق مسلّم، إلّا أنّه غیر فارق عقلا و لا عرفا، إذ أیّ فرق بین الظنّ بقرینیة الموجود قطعا و الظنّ بوجود القرینة الثابت قرینتها قطعا، فإن اعتبر الظنّ فلیعتبر فی کلیهما، و إلّا فلیسقط فی کلیهما</w:t>
      </w:r>
      <w:r>
        <w:rPr>
          <w:rFonts w:eastAsia="IRNazanin" w:cs="IRNazanin"/>
          <w:color w:val="111111"/>
          <w:sz w:val="28"/>
          <w:szCs w:val="28"/>
          <w:rtl w:val="true"/>
          <w:lang w:bidi="fa-IR"/>
        </w:rPr>
        <w:t>.</w:t>
      </w:r>
    </w:p>
    <w:p>
      <w:pPr>
        <w:pStyle w:val="Heading5"/>
        <w:numPr>
          <w:ilvl w:val="4"/>
          <w:numId w:val="1"/>
        </w:numPr>
        <w:rPr/>
      </w:pPr>
      <w:bookmarkStart w:id="641" w:name="__RefHeading___Toc2646768_3224264995"/>
      <w:bookmarkStart w:id="642" w:name="_Toc255"/>
      <w:bookmarkEnd w:id="641"/>
      <w:r>
        <w:rPr>
          <w:rtl w:val="true"/>
        </w:rPr>
        <w:t>[</w:t>
      </w:r>
      <w:r>
        <w:rPr>
          <w:rtl w:val="true"/>
        </w:rPr>
        <w:t>فی انّ الظنّ غیر المعتبر موهن</w:t>
      </w:r>
      <w:r>
        <w:rPr>
          <w:rtl w:val="true"/>
        </w:rPr>
        <w:t>]</w:t>
      </w:r>
      <w:bookmarkEnd w:id="642"/>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الظنّ الغیر المعتبر موهنا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موهنیّته مبنیّا علی تشخیص کون المقابل له من الأمارات المعتبرة من باب الظنّ الفعلی أو النوعی المقیّد بعدم الظنّ بالخلاف لا من باب النوعی أو التعبّد المطلقین فلا بدّ من تشخیص هذا المبنی لیتحقّق تفریع الموهنیة علیه، و قد أشبعنا الکلام فی تحقیق هذا المبنی فی ما سبق کرارا و مرارا فلا نطیل بالإعادة</w:t>
      </w:r>
      <w:r>
        <w:rPr>
          <w:rFonts w:eastAsia="IRNazanin" w:cs="IRNazanin"/>
          <w:color w:val="111111"/>
          <w:sz w:val="28"/>
          <w:szCs w:val="28"/>
          <w:rtl w:val="true"/>
          <w:lang w:bidi="fa-IR"/>
        </w:rPr>
        <w:t>.</w:t>
      </w:r>
    </w:p>
    <w:p>
      <w:pPr>
        <w:pStyle w:val="Heading5"/>
        <w:numPr>
          <w:ilvl w:val="4"/>
          <w:numId w:val="1"/>
        </w:numPr>
        <w:rPr/>
      </w:pPr>
      <w:bookmarkStart w:id="643" w:name="__RefHeading___Toc2646770_3224264995"/>
      <w:bookmarkStart w:id="644" w:name="_Toc256"/>
      <w:bookmarkEnd w:id="643"/>
      <w:r>
        <w:rPr>
          <w:rtl w:val="true"/>
        </w:rPr>
        <w:t>[</w:t>
      </w:r>
      <w:r>
        <w:rPr>
          <w:rtl w:val="true"/>
        </w:rPr>
        <w:t>اعتبار سند الأخبار و دلالتها من باب الظنّ الفعلی</w:t>
      </w:r>
      <w:r>
        <w:rPr>
          <w:rtl w:val="true"/>
        </w:rPr>
        <w:t>]</w:t>
      </w:r>
      <w:bookmarkEnd w:id="644"/>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کلّ من سند الأخبار و من دلالتها من باب الظنّ الفعلیّ فضلا عن التقیید بعدم وجود الظنّ بالخلاف، لأنّه المتیقّن من أدلّة لبیّة اعتبارهما من الإجماع و بناء العرف و العقلاء، و لأنّه منصرف سائر أدلّة لفظیة اعتبارهما من الإطلاقات، و علی ذلک یتفرّع موهنیة الظنّ الغیر المعتبر لکلّ من سند الأخبار، و من ظواهر الألفاظ المقابلة له</w:t>
      </w:r>
      <w:r>
        <w:rPr>
          <w:rFonts w:eastAsia="IRNazanin" w:cs="IRNazanin"/>
          <w:color w:val="111111"/>
          <w:sz w:val="28"/>
          <w:szCs w:val="28"/>
          <w:rtl w:val="true"/>
          <w:lang w:bidi="fa-IR"/>
        </w:rPr>
        <w:t>.</w:t>
      </w:r>
    </w:p>
    <w:p>
      <w:pPr>
        <w:pStyle w:val="Heading5"/>
        <w:numPr>
          <w:ilvl w:val="4"/>
          <w:numId w:val="1"/>
        </w:numPr>
        <w:rPr/>
      </w:pPr>
      <w:bookmarkStart w:id="645" w:name="__RefHeading___Toc2646772_3224264995"/>
      <w:bookmarkStart w:id="646" w:name="_Toc257"/>
      <w:bookmarkEnd w:id="645"/>
      <w:r>
        <w:rPr>
          <w:rtl w:val="true"/>
        </w:rPr>
        <w:t>[</w:t>
      </w:r>
      <w:r>
        <w:rPr>
          <w:rtl w:val="true"/>
        </w:rPr>
        <w:t>احتمال اعتبار الامارة فی الموضوعات من باب الظنّ النوعی</w:t>
      </w:r>
      <w:r>
        <w:rPr>
          <w:rtl w:val="true"/>
        </w:rPr>
        <w:t>]</w:t>
      </w:r>
      <w:bookmarkEnd w:id="64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نأبی من اعتبار الأمارات المعمولة فی الموضوعات کالید و السوق من باب الظنّ النوعی فلا یوهنها الظنّ الغیر المعتبر القائم علی خلافها فضلا عن عدم حصول الظنّ الفعلی منها</w:t>
      </w:r>
      <w:r>
        <w:rPr>
          <w:rFonts w:eastAsia="IRNazanin" w:cs="IRNazanin"/>
          <w:color w:val="111111"/>
          <w:sz w:val="28"/>
          <w:szCs w:val="28"/>
          <w:rtl w:val="true"/>
          <w:lang w:bidi="fa-IR"/>
        </w:rPr>
        <w:t xml:space="preserve">. </w:t>
      </w:r>
      <w:bookmarkStart w:id="647" w:name="pg12856_162661"/>
    </w:p>
    <w:p>
      <w:pPr>
        <w:pStyle w:val="Heading5"/>
        <w:numPr>
          <w:ilvl w:val="4"/>
          <w:numId w:val="1"/>
        </w:numPr>
        <w:rPr/>
      </w:pPr>
      <w:bookmarkStart w:id="648" w:name="__RefHeading___Toc2646774_3224264995"/>
      <w:bookmarkStart w:id="649" w:name="_Toc258"/>
      <w:bookmarkEnd w:id="647"/>
      <w:bookmarkEnd w:id="648"/>
      <w:r>
        <w:rPr>
          <w:rtl w:val="true"/>
        </w:rPr>
        <w:t>[</w:t>
      </w:r>
      <w:r>
        <w:rPr>
          <w:rtl w:val="true"/>
        </w:rPr>
        <w:t>المانع الداخلی علی خلاف ما اعتبر من باب الظنّ النوعی</w:t>
      </w:r>
      <w:r>
        <w:rPr>
          <w:rtl w:val="true"/>
        </w:rPr>
        <w:t>]</w:t>
      </w:r>
      <w:bookmarkEnd w:id="649"/>
    </w:p>
    <w:p>
      <w:pPr>
        <w:pStyle w:val="BookText"/>
        <w:rPr/>
      </w:pPr>
      <w:r>
        <w:rPr>
          <w:rFonts w:ascii="IRNazanin" w:hAnsi="IRNazanin" w:eastAsia="IRNazanin"/>
          <w:color w:val="111111"/>
          <w:sz w:val="28"/>
          <w:sz w:val="28"/>
          <w:szCs w:val="28"/>
          <w:rtl w:val="true"/>
          <w:lang w:bidi="fa-IR"/>
        </w:rPr>
        <w:t>و لکن لا یخفی أنّ الغیر القادح فی اعتبار ما یعتبر من باب الظنّ النوعی إنّما هو الموانع الخارجیة المفیدة للشکّ أو الظنّ بالخلاف، و أمّا المانع الداخلی کمعارضته بمثله فهو قادح فی اعتباره مطلقا إلّا علی اعتباره من باب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تری المرجع فی تعارض الیدین و نحوه من الأمارات المعتبرة من باب الظنّ النوعی إنّما هو إلی التساقط و الرجوع إلی الأصل أو العموم المشروط اعتباره بعدمهما، لا إلی التخییر کما فی تزاحم الحقّین و إنقاذ الغریقین، و ذلک لأنّ المعتبر من باب الظنّ النوعی معناه إناطة اعتباره بغلبة إیصال نوعه لو خلّی و طبعه إلی الواقع، و من الممتنع غلبة ذلک الإیصال فی النوع المعارض بمثله لاستلزامه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فیتفرّع علی ما ذکرنا موهنیّة الظنّ الغیر المعتبر لکلّ ما یقابله من السند أو الدلالة مطلقا و لو کان ذلک الظنّ الغیر المعتبر غیر معتبر من جهة النهی عنه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یتفرّع علی اعتبار الأخبار سندا و دلالة من باب الظنّ الفعلی جبر الظنّ الغیر المعتبر سندها و دلالتها مطلقا و لو کان الجابر ممّا نهی عنه بالخصوص کالقیاس، إلّا إذا استفدنا من النهی عنه کونه غالب المخالفة للواقع، و کون الظنّ الحاصل منه بالواقع من الظنون البدویّة الحاصلة من الأسباب الغیر العادیة فلا یجبر و لا یوهن و لا یرجّح، بل ینعکس أمره فیؤثر الوهن فی مقام الجبر و الجبر فی مقام الوهن، أعنی یفید وهن ما یوافقه و جبر ما یخالفه من المسانید أو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یؤیّد ما ذکرنا الروایة المتقدمة عن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2856_162662"/>
    </w:p>
    <w:p>
      <w:pPr>
        <w:pStyle w:val="Heading5"/>
        <w:numPr>
          <w:ilvl w:val="4"/>
          <w:numId w:val="1"/>
        </w:numPr>
        <w:rPr/>
      </w:pPr>
      <w:bookmarkStart w:id="651" w:name="__RefHeading___Toc2646776_3224264995"/>
      <w:bookmarkStart w:id="652" w:name="_Toc259"/>
      <w:bookmarkEnd w:id="650"/>
      <w:bookmarkEnd w:id="651"/>
      <w:r>
        <w:rPr>
          <w:rtl w:val="true"/>
        </w:rPr>
        <w:t>[</w:t>
      </w:r>
      <w:r>
        <w:rPr>
          <w:rtl w:val="true"/>
        </w:rPr>
        <w:t>عدم حجّیة القیاس فی مقابل النصّ</w:t>
      </w:r>
      <w:r>
        <w:rPr>
          <w:rtl w:val="true"/>
        </w:rPr>
        <w:t>]</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التأیید؛ لأنّ ردع الإمام علیه السّلام إنّما هو من جهة إعماله القیاس فی ردّ سند الروایة المعتبرة و تکذیبه رأسا، لا من جهة ردّ ظهوره بالتأویل، کما هو المدّعی، فالروایة حینئذ دالّة علی المنع من حجّیة القیاس و موهنیته فی مقابل النصّ، کما هو الخاصّ بدأب العامّة، لا عدم اعتباره فی مقابل ما یشترط اعتباره بالظنّ کما هو المدّعی</w:t>
      </w:r>
      <w:r>
        <w:rPr>
          <w:rFonts w:eastAsia="IRNazanin" w:cs="IRNazanin"/>
          <w:color w:val="111111"/>
          <w:sz w:val="28"/>
          <w:szCs w:val="28"/>
          <w:rtl w:val="true"/>
          <w:lang w:bidi="fa-IR"/>
        </w:rPr>
        <w:t>.</w:t>
      </w:r>
    </w:p>
    <w:p>
      <w:pPr>
        <w:pStyle w:val="Heading5"/>
        <w:numPr>
          <w:ilvl w:val="4"/>
          <w:numId w:val="1"/>
        </w:numPr>
        <w:rPr/>
      </w:pPr>
      <w:bookmarkStart w:id="653" w:name="__RefHeading___Toc2646778_3224264995"/>
      <w:bookmarkStart w:id="654" w:name="_Toc260"/>
      <w:bookmarkEnd w:id="653"/>
      <w:r>
        <w:rPr>
          <w:rtl w:val="true"/>
        </w:rPr>
        <w:t>[</w:t>
      </w:r>
      <w:r>
        <w:rPr>
          <w:rtl w:val="true"/>
        </w:rPr>
        <w:t>ترجیح أحد المتعارضین سندا و دلالة بالظنّ غیر المعتبر</w:t>
      </w:r>
      <w:r>
        <w:rPr>
          <w:rtl w:val="true"/>
        </w:rPr>
        <w:t>]</w:t>
      </w:r>
      <w:bookmarkEnd w:id="654"/>
    </w:p>
    <w:p>
      <w:pPr>
        <w:pStyle w:val="BookText"/>
        <w:rPr/>
      </w:pPr>
      <w:r>
        <w:rPr>
          <w:rFonts w:ascii="IRNazanin" w:hAnsi="IRNazanin" w:eastAsia="IRNazanin"/>
          <w:color w:val="111111"/>
          <w:sz w:val="28"/>
          <w:sz w:val="28"/>
          <w:szCs w:val="28"/>
          <w:rtl w:val="true"/>
          <w:lang w:bidi="fa-IR"/>
        </w:rPr>
        <w:t>و أمّا المقام الثالث ففی ترجیح أحد المتعارضین سندا و دلالة علی مثله بالظنّ الغیر المعتبر، و هو مبنیّ علی جواز الترجیح بمطلق ما یوجد فی أحد المتعارضین مزیة ظنّیة لیست فی الطرف الآخر و لو کانت من الظنون الغیر المعتبرة من جهة نهی الشارع کالقیاس، إلّا إذا استفید من النهی کونه من جهة غلبة مخالفته الواقع</w:t>
      </w:r>
      <w:r>
        <w:rPr>
          <w:rFonts w:eastAsia="IRNazanin" w:cs="IRNazanin"/>
          <w:color w:val="111111"/>
          <w:sz w:val="28"/>
          <w:szCs w:val="28"/>
          <w:rtl w:val="true"/>
          <w:lang w:bidi="fa-IR"/>
        </w:rPr>
        <w:t>.</w:t>
      </w:r>
    </w:p>
    <w:p>
      <w:pPr>
        <w:pStyle w:val="Heading5"/>
        <w:numPr>
          <w:ilvl w:val="4"/>
          <w:numId w:val="1"/>
        </w:numPr>
        <w:rPr/>
      </w:pPr>
      <w:bookmarkStart w:id="655" w:name="__RefHeading___Toc2646780_3224264995"/>
      <w:bookmarkStart w:id="656" w:name="_Toc261"/>
      <w:bookmarkEnd w:id="655"/>
      <w:r>
        <w:rPr>
          <w:rtl w:val="true"/>
        </w:rPr>
        <w:t>[</w:t>
      </w:r>
      <w:r>
        <w:rPr>
          <w:rtl w:val="true"/>
        </w:rPr>
        <w:t>الترجیح بمطلق المزیّة فی أحد المتعارضین</w:t>
      </w:r>
      <w:r>
        <w:rPr>
          <w:rtl w:val="true"/>
        </w:rPr>
        <w:t>]</w:t>
      </w:r>
      <w:bookmarkEnd w:id="656"/>
    </w:p>
    <w:p>
      <w:pPr>
        <w:pStyle w:val="BookText"/>
        <w:rPr/>
      </w:pPr>
      <w:r>
        <w:rPr>
          <w:rFonts w:ascii="IRNazanin" w:hAnsi="IRNazanin" w:eastAsia="IRNazanin"/>
          <w:color w:val="111111"/>
          <w:sz w:val="28"/>
          <w:sz w:val="28"/>
          <w:szCs w:val="28"/>
          <w:rtl w:val="true"/>
          <w:lang w:bidi="fa-IR"/>
        </w:rPr>
        <w:t>و الدلیل علی صحّة هذا المبنی مضافا إلی نقل الإجماع و استظهار شیخنا العلّامة إیّاه و ظهور اختلاف الأخبار العلاجیة و تعارضها علی وجه لا یکاد یمکن الجمع بینهما إلّا بالحمل علی المثل و إرادة الترجیح بمطلق مزیة ظنّیة فی أحد المتعارضین لیست فی الآخر المختلف حصول تلک المزیة الظنّیة باختلاف الموارد و المقامات فهی الباعثة لاختلاف أخبار العلاج</w:t>
      </w:r>
      <w:r>
        <w:rPr>
          <w:rFonts w:eastAsia="IRNazanin" w:cs="IRNazanin"/>
          <w:color w:val="111111"/>
          <w:sz w:val="28"/>
          <w:szCs w:val="28"/>
          <w:rtl w:val="true"/>
          <w:lang w:bidi="fa-IR"/>
        </w:rPr>
        <w:t>.</w:t>
      </w:r>
    </w:p>
    <w:p>
      <w:pPr>
        <w:pStyle w:val="Heading5"/>
        <w:numPr>
          <w:ilvl w:val="4"/>
          <w:numId w:val="1"/>
        </w:numPr>
        <w:rPr/>
      </w:pPr>
      <w:bookmarkStart w:id="657" w:name="__RefHeading___Toc2646782_3224264995"/>
      <w:bookmarkStart w:id="658" w:name="_Toc262"/>
      <w:bookmarkEnd w:id="657"/>
      <w:r>
        <w:rPr>
          <w:rtl w:val="true"/>
        </w:rPr>
        <w:t>[</w:t>
      </w:r>
      <w:r>
        <w:rPr>
          <w:rtl w:val="true"/>
        </w:rPr>
        <w:t>الجبر و الوهن و الترجیح و التأیید بالظنّ غیر المعتبر</w:t>
      </w:r>
      <w:r>
        <w:rPr>
          <w:rtl w:val="true"/>
        </w:rPr>
        <w:t>]</w:t>
      </w:r>
      <w:bookmarkEnd w:id="65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ممّا ذکرنا من تصحیح المبانی المذکورة صحّة الجبر و الوهن و الترجیح، بل التأیید أیضا بکلّ من الظنون الغیر المعتبرة مطلقا و لو کان عدم اعتبارها من جهة النهی عنها بالخصوص کالقیاس، إلّا إذا استفید من أدلّة المنع من القیاس کونه من جهة غلبة مخالفته الواقع لیکون الظنّ الحاصل منه من الظنون البدویّة الحاصلة من الأسباب الغیر العادیة، فلا یؤثّر شیئا من الجبر و الوهن و الترجیح بل یؤثّر العکس فی المراتب الثلاث بل الأربع، أعنی یؤثّر الوهن فی ما یوافقه و الجبر و الترجیح و التأیید فی ما یخالفه من المسانید </w:t>
      </w:r>
      <w:bookmarkStart w:id="659" w:name="pg12856_162663"/>
    </w:p>
    <w:p>
      <w:pPr>
        <w:pStyle w:val="BookText"/>
        <w:rPr/>
      </w:pPr>
      <w:bookmarkEnd w:id="659"/>
      <w:r>
        <w:rPr>
          <w:rFonts w:ascii="IRNazanin" w:hAnsi="IRNazanin" w:eastAsia="IRNazanin"/>
          <w:color w:val="111111"/>
          <w:sz w:val="28"/>
          <w:sz w:val="28"/>
          <w:szCs w:val="28"/>
          <w:rtl w:val="true"/>
          <w:lang w:bidi="fa-IR"/>
        </w:rPr>
        <w:t>و الدلالات</w:t>
      </w:r>
      <w:r>
        <w:rPr>
          <w:rFonts w:eastAsia="IRNazanin" w:cs="IRNazanin"/>
          <w:color w:val="111111"/>
          <w:sz w:val="28"/>
          <w:szCs w:val="28"/>
          <w:rtl w:val="true"/>
          <w:lang w:bidi="fa-IR"/>
        </w:rPr>
        <w:t>.</w:t>
      </w:r>
    </w:p>
    <w:p>
      <w:pPr>
        <w:pStyle w:val="Heading5"/>
        <w:numPr>
          <w:ilvl w:val="4"/>
          <w:numId w:val="1"/>
        </w:numPr>
        <w:rPr/>
      </w:pPr>
      <w:bookmarkStart w:id="660" w:name="__RefHeading___Toc2646784_3224264995"/>
      <w:bookmarkStart w:id="661" w:name="_Toc263"/>
      <w:bookmarkEnd w:id="660"/>
      <w:r>
        <w:rPr>
          <w:rtl w:val="true"/>
        </w:rPr>
        <w:t>[</w:t>
      </w:r>
      <w:r>
        <w:rPr>
          <w:rtl w:val="true"/>
        </w:rPr>
        <w:t>المنع عن القیاس لیس لمفسدة ذاتیة</w:t>
      </w:r>
      <w:r>
        <w:rPr>
          <w:rtl w:val="true"/>
        </w:rPr>
        <w:t>]</w:t>
      </w:r>
      <w:bookmarkEnd w:id="661"/>
    </w:p>
    <w:p>
      <w:pPr>
        <w:pStyle w:val="BookText"/>
        <w:rPr/>
      </w:pPr>
      <w:r>
        <w:rPr>
          <w:rFonts w:ascii="IRNazanin" w:hAnsi="IRNazanin" w:eastAsia="IRNazanin"/>
          <w:color w:val="111111"/>
          <w:sz w:val="28"/>
          <w:sz w:val="28"/>
          <w:szCs w:val="28"/>
          <w:rtl w:val="true"/>
          <w:lang w:bidi="fa-IR"/>
        </w:rPr>
        <w:t>و لکن الشأن کلّ الشأن فی استفادة ذلک من أدلّة المنع من القیاس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غلبة مخالفة مطلق القیاس للواقع فخلاف الوجدان و العیان، کیف و من المعلوم علی کلّ متتبع خبیر أن أکثر أحکامنا المستفادة من ظواهر الکتاب و السنّة موافقة للقیاس و الاستحسان و الاعتبارات العقلیة، بل و کذا أکثر أحکام العامّة المستفادة من القیاس و الاستحسان و المصالح المرسلة أیضا موافقة للواقع الذی بأیدینا من ظواهر الکتاب و السنّة، و علی ذلک فلا بدّ و أن یکون النهی عن القیاس لیس لأجل مفسدة ذاتیة فیه، بل إمّا لأجل مصلحة عرضیة من قبیل المصالح المختلفة بالوجوه و الاعتبارات، و هو التمیّز عن دأب المخالفین و التخلّف عن مسلک المعاندین للدین القویم و إمّا لأجل اختصاص مفسدته الذاتیة بخصوص ما علیه دأب العامّة من القیاس فی مقابل القطعیات من قول خلفاء اللّه دون القیاس المعمول به فی مقابل الوهمیات، کما هو دأب من یعمل بالقیاس من الخاصّة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فیثبت للقیاس کلّ ما یثبت لغیره من الجبر و الوهن و الترجیح و التأیید وفاقا عن الإشارات و القوانین و مفاتیح السیّد</w:t>
      </w:r>
      <w:r>
        <w:rPr>
          <w:rStyle w:val="FootnoteAnchor"/>
          <w:rtl w:val="true"/>
        </w:rPr>
        <w:footnoteReference w:id="200"/>
      </w:r>
      <w:r>
        <w:rPr>
          <w:rFonts w:ascii="IRNazanin" w:hAnsi="IRNazanin" w:eastAsia="IRNazanin"/>
          <w:color w:val="111111"/>
          <w:sz w:val="28"/>
          <w:sz w:val="28"/>
          <w:szCs w:val="28"/>
          <w:rtl w:val="true"/>
          <w:lang w:bidi="fa-IR"/>
        </w:rPr>
        <w:t xml:space="preserve">و غیرها، و لما اعترف به شیخنا العلّامة أیضا و إن استظهر بعد الاعتراف الإجماع علی خلافه من استمرار السیرة علی عدم ملاحظة القیاس فی مورد من الموارد الفقهیة و عدم الاعتناء به فی الکتب الاصولیة، فلو کان له أثر شرعیّ و لو فی الوهن لوجب التعرّض لإمکانه فی الاصول و البحث و التفتیش عن وجوده فی کلّ مورد من موارد الفروع، لأنّ الفحص عن الموهن کالفحص عن المعارض واجب و قد </w:t>
      </w:r>
      <w:bookmarkStart w:id="662" w:name="pg12856_162664"/>
    </w:p>
    <w:p>
      <w:pPr>
        <w:pStyle w:val="BookText"/>
        <w:rPr/>
      </w:pPr>
      <w:bookmarkEnd w:id="662"/>
      <w:r>
        <w:rPr>
          <w:rFonts w:ascii="IRNazanin" w:hAnsi="IRNazanin" w:eastAsia="IRNazanin"/>
          <w:color w:val="111111"/>
          <w:sz w:val="28"/>
          <w:sz w:val="28"/>
          <w:szCs w:val="28"/>
          <w:rtl w:val="true"/>
          <w:lang w:bidi="fa-IR"/>
        </w:rPr>
        <w:t>ترکه أصحابنا فی الاصول و الفروع، و هو الإجماع المستظهر للماتن</w:t>
      </w:r>
      <w:r>
        <w:rPr>
          <w:rStyle w:val="FootnoteAnchor"/>
          <w:rtl w:val="true"/>
        </w:rPr>
        <w:footnoteReference w:id="201"/>
      </w:r>
      <w:r>
        <w:rPr>
          <w:rFonts w:ascii="IRNazanin" w:hAnsi="IRNazanin" w:eastAsia="IRNazanin"/>
          <w:color w:val="111111"/>
          <w:sz w:val="28"/>
          <w:sz w:val="28"/>
          <w:szCs w:val="28"/>
          <w:rtl w:val="true"/>
          <w:lang w:bidi="fa-IR"/>
        </w:rPr>
        <w:t>و شیخنا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ما لا یخفی من النقض و الإبرام، فإنّ معقد السیرة و الإجماع إنّما هو علی عدم ملاحظة القیاس دلیلا مستقلا برأسه فی عرض الکتاب و السنّة و فی مقابل القطعیّات منقول الأئمة کما علیه دأب العامّة، و أمّا العمل به فی طول قول الأئمة و عند اعوازها فی مقابل الوهمیات فلا سیرة و لا إجماع علی خلافه إن لم یکونا علی وفقه، کیف</w:t>
      </w:r>
    </w:p>
    <w:p>
      <w:pPr>
        <w:pStyle w:val="Heading5"/>
        <w:numPr>
          <w:ilvl w:val="4"/>
          <w:numId w:val="1"/>
        </w:numPr>
        <w:rPr/>
      </w:pPr>
      <w:bookmarkStart w:id="663" w:name="__RefHeading___Toc2646786_3224264995"/>
      <w:bookmarkStart w:id="664" w:name="_Toc264"/>
      <w:bookmarkEnd w:id="663"/>
      <w:r>
        <w:rPr>
          <w:rtl w:val="true"/>
        </w:rPr>
        <w:t>[</w:t>
      </w:r>
      <w:r>
        <w:rPr>
          <w:rtl w:val="true"/>
        </w:rPr>
        <w:t>عمل جماعة من الأصحاب بالقیاس</w:t>
      </w:r>
      <w:r>
        <w:rPr>
          <w:rtl w:val="true"/>
        </w:rPr>
        <w:t>]</w:t>
      </w:r>
      <w:bookmarkEnd w:id="664"/>
    </w:p>
    <w:p>
      <w:pPr>
        <w:pStyle w:val="BookText"/>
        <w:rPr/>
      </w:pPr>
      <w:r>
        <w:rPr>
          <w:rFonts w:ascii="IRNazanin" w:hAnsi="IRNazanin" w:eastAsia="IRNazanin"/>
          <w:color w:val="111111"/>
          <w:sz w:val="28"/>
          <w:sz w:val="28"/>
          <w:szCs w:val="28"/>
          <w:rtl w:val="true"/>
          <w:lang w:bidi="fa-IR"/>
        </w:rPr>
        <w:t>و قد عمل بهذا النحو من القیاس جماعة من مؤسّسی مذهب الإمامیة و أساطینهم کالاسکافی و العمانی و القمّی و غیرهم ممن یقف المتتبع علی مذهبهم فی الفروع و لم یحضرنی شیئا من کتب المؤسّسین کالمبسوط و نحوه حتی اخرج منه ما لا یخفی من الفروع و الفتاوی التی لیس لها وجه سوی القیاس و الاستحسان و المصالح المرسلة و الاعتبارات العقلیة بالمعنی الأخصّ، أعنی فی مقابل الوهم عند اعوزاز النصوص، لا مطلقا التی لم یعبّروا عنها أصلا و إن عبروا عنها باتّحاد المناط و نحوه، مما یوهم غیرها تحرزا عن ملابسة العامّة و مسلکهم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و تنزّلنا عن ذلک کلّه فمعقد السیرة و الإجماع المستظهر إنّما هو العمل بالقیاس مستقلا لا العمل بما یجبره القیاس أو یرجّحه، کیف و ممن نسب إلیه الجبر و الترجیح و الوهن بالقیاس المحقّق القمّی و السیّد الطباطبائی فی المفاتیح</w:t>
      </w:r>
      <w:r>
        <w:rPr>
          <w:rStyle w:val="FootnoteAnchor"/>
          <w:rtl w:val="true"/>
        </w:rPr>
        <w:footnoteReference w:id="202"/>
      </w:r>
      <w:r>
        <w:rPr>
          <w:rFonts w:ascii="IRNazanin" w:hAnsi="IRNazanin" w:eastAsia="IRNazanin"/>
          <w:color w:val="111111"/>
          <w:sz w:val="28"/>
          <w:sz w:val="28"/>
          <w:szCs w:val="28"/>
          <w:rtl w:val="true"/>
          <w:lang w:bidi="fa-IR"/>
        </w:rPr>
        <w:t>و الفاضل الکرباسی فی الإشارات و غیرهم من المشایخ و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وضوح أنّ جزئیة الخبر إنّما هو بالنسبة إلی الظنّ </w:t>
      </w:r>
      <w:bookmarkStart w:id="665" w:name="pg12856_162665"/>
    </w:p>
    <w:p>
      <w:pPr>
        <w:pStyle w:val="BookText"/>
        <w:rPr/>
      </w:pPr>
      <w:bookmarkEnd w:id="665"/>
      <w:r>
        <w:rPr>
          <w:rFonts w:ascii="IRNazanin" w:hAnsi="IRNazanin" w:eastAsia="IRNazanin"/>
          <w:color w:val="111111"/>
          <w:sz w:val="28"/>
          <w:sz w:val="28"/>
          <w:szCs w:val="28"/>
          <w:rtl w:val="true"/>
          <w:lang w:bidi="fa-IR"/>
        </w:rPr>
        <w:t>الشأنی، و أمّا بالنّسبة إلی الظنّ الفعلی المفروض فالقیاس تمام المقتضی، و الخبر المعارض من مقدّماته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کنصب السلّم للصعود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الداخلیة کالتدرّج له حتی یکون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الترجیح به فی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666" w:name="__RefHeading___Toc2646788_3224264995"/>
      <w:bookmarkStart w:id="667" w:name="_Toc265"/>
      <w:bookmarkEnd w:id="666"/>
      <w:r>
        <w:rPr>
          <w:rtl w:val="true"/>
        </w:rPr>
        <w:t>[</w:t>
      </w:r>
      <w:r>
        <w:rPr>
          <w:rtl w:val="true"/>
        </w:rPr>
        <w:t>بناء العام علی الخاص فی المتعارضین بالعموم و الخصوص المطلق</w:t>
      </w:r>
      <w:r>
        <w:rPr>
          <w:rtl w:val="true"/>
        </w:rPr>
        <w:t>]</w:t>
      </w:r>
      <w:bookmarkEnd w:id="6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المتعارضان فی الدلالة إمّا نصّان کالمتباینین، أو ظاهران کالعامّین من وجه، أو مختلفان کالأعمّ و الأخصّ المطلق و کذا المطلق و المقیّد، و الثانی إمّا نوعیان أو شخصیان شطرا کان الظنّ للدلیل أو شرطا، و النوعی إمّا مطلق، أو مقیّد بعدم الظنّ علی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أخر ما فی هامش بعض المتون من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المتعارضان بالعموم و الخصوص المطلق فلا إشکال و لا خلاف فی بناء العامّ علی الخاصّ تقدیما للنصّ علی الظاهر، نعم إن کان کلام و إشکال فإنّما هو فی کیفیة بناء العامّ علی الخاصّ هل هو من باب التخصیص، أو النسخ حسبما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المطلق و المقیّد فکذلک بعد إحراز اتحاد التکلیف منهما فی الإلزامیات، حملا للظاهر علی الأظهر، خلافا للکرمانی من تطلیقه المقیّد دون تقییده المطلق حسبما قرّر فی محلّه</w:t>
      </w:r>
      <w:r>
        <w:rPr>
          <w:rFonts w:eastAsia="IRNazanin" w:cs="IRNazanin"/>
          <w:color w:val="111111"/>
          <w:sz w:val="28"/>
          <w:szCs w:val="28"/>
          <w:rtl w:val="true"/>
          <w:lang w:bidi="fa-IR"/>
        </w:rPr>
        <w:t>.</w:t>
      </w:r>
    </w:p>
    <w:p>
      <w:pPr>
        <w:pStyle w:val="Heading5"/>
        <w:numPr>
          <w:ilvl w:val="4"/>
          <w:numId w:val="1"/>
        </w:numPr>
        <w:rPr/>
      </w:pPr>
      <w:bookmarkStart w:id="668" w:name="__RefHeading___Toc2646790_3224264995"/>
      <w:bookmarkStart w:id="669" w:name="_Toc266"/>
      <w:bookmarkEnd w:id="668"/>
      <w:r>
        <w:rPr>
          <w:rtl w:val="true"/>
        </w:rPr>
        <w:t>[</w:t>
      </w:r>
      <w:r>
        <w:rPr>
          <w:rtl w:val="true"/>
        </w:rPr>
        <w:t>حکم تعارض العامّین من وجه</w:t>
      </w:r>
      <w:r>
        <w:rPr>
          <w:rtl w:val="true"/>
        </w:rPr>
        <w:t>]</w:t>
      </w:r>
      <w:bookmarkEnd w:id="669"/>
    </w:p>
    <w:p>
      <w:pPr>
        <w:pStyle w:val="BookText"/>
        <w:rPr/>
      </w:pPr>
      <w:r>
        <w:rPr>
          <w:rFonts w:ascii="IRNazanin" w:hAnsi="IRNazanin" w:eastAsia="IRNazanin"/>
          <w:color w:val="111111"/>
          <w:sz w:val="28"/>
          <w:sz w:val="28"/>
          <w:szCs w:val="28"/>
          <w:rtl w:val="true"/>
          <w:lang w:bidi="fa-IR"/>
        </w:rPr>
        <w:t>و أمّا العامّین من وجه فما کان منهما أقلّ أفرادا من الآخر، أو آب من التخصیص بواسطة عموم حکمته عقلا أو تعلیله شرعا، أو استهجان تخصیصه عرفا للزوم تخصیصه بالأکثر و نحوه فهو فی حکم الأخصّ المطلق فی تقدیمه علی معارضه و ترجیحه علیه عرفا من غیر خلاف و لا إشکال؛ لأنّ مرجّحه مرجّح داخلی لا خارجی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الإشکال و الخلاف فی ترجیح ما یکون منهما مرجّحه مرجّح </w:t>
      </w:r>
    </w:p>
    <w:p>
      <w:pPr>
        <w:pStyle w:val="BookText"/>
        <w:rPr/>
      </w:pPr>
      <w:r>
        <w:rPr>
          <w:rFonts w:ascii="IRNazanin" w:hAnsi="IRNazanin" w:eastAsia="IRNazanin"/>
          <w:color w:val="111111"/>
          <w:sz w:val="28"/>
          <w:sz w:val="28"/>
          <w:szCs w:val="28"/>
          <w:rtl w:val="true"/>
          <w:lang w:bidi="fa-IR"/>
        </w:rPr>
        <w:t>خارجی ظنّی لم یقم علی حجّیته دلیل، کالاستقراء و الشهرة و الأولویة حیث اختلف فی الترجیح به و عدمه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فیه أیضا عدم الخلاف و الإشکال فی الترجیح به علی القول المشهور المنصور من اعتبار ظواهر الألفاظ من باب الظنّ الفعلی، بل و علی القول باعتبارها من باب الظنّ النوعی، أو التعبّد المقیّدین بعدم الظنّ بالخلاف و إن کان مرجعه إلی إسقاط المخالف عن الحجّیة لا إلی ترجیح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و لا خلاف فی عدم الترجیح به علی القولین الآخرین، أعنی قولی اعتبارها من باب الظنّ النوعی أو التعبّد 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الإشکال و الخلاف إنّما هو فی ما لو لم یوجد ذلک الظنّ مع أحد المتعارضین العامّین من وجه أو وجد و لکن لم نبن علی الترجیح به، بأن بنینا علی اعتبار ظواهر الألفاظ من باب الظنّ النوعی أو التعبد المطلقین فهل المرجع فی مادّة اجتماع تعارض العامّین من وجه حینئذ إلی التخییر علی تقدیر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انقاذ الغریقین 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التساقط و الرجوع إلی عموم أو أصل یکون حجّیته مشروطا بعدم وجودهما علی تقدیر الظنّ النوعی، کما فی تعارض الیدین و نحوه مما یعتبر من باب الظنّ النوعی، أو المرجع أولا إلی المرجّحات السندیة کالأعدلیة و الأصدقیة و نحوهما و بعد انتفائها فإلی ما ذکر من التخییر علی تقدیر التعبّد، و الأصل علی التقدیر الآخر کما فی المتن</w:t>
      </w:r>
      <w:r>
        <w:rPr>
          <w:rStyle w:val="FootnoteAnchor"/>
          <w:rtl w:val="true"/>
        </w:rPr>
        <w:footnoteReference w:id="203"/>
      </w:r>
      <w:r>
        <w:rPr>
          <w:rFonts w:ascii="IRNazanin" w:hAnsi="IRNazanin" w:eastAsia="IRNazanin"/>
          <w:color w:val="111111"/>
          <w:sz w:val="28"/>
          <w:sz w:val="28"/>
          <w:szCs w:val="28"/>
          <w:rtl w:val="true"/>
          <w:lang w:bidi="fa-IR"/>
        </w:rPr>
        <w:t>وجهان، أقربهما بالقواعد و الاصول الأول، لا الثانی؛ لمنافاته القواعد من جهتین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استلزامه التفکیک بین اعتبار سند واحد فی مادّة الافتراق و عدم اعتباره فی مادّة الاجتماع، و الحال أنّ السند الواحد إن کان معتبرا اعتبر </w:t>
      </w:r>
    </w:p>
    <w:p>
      <w:pPr>
        <w:pStyle w:val="BookText"/>
        <w:rPr/>
      </w:pPr>
      <w:r>
        <w:rPr>
          <w:rFonts w:ascii="IRNazanin" w:hAnsi="IRNazanin" w:eastAsia="IRNazanin"/>
          <w:color w:val="111111"/>
          <w:sz w:val="28"/>
          <w:sz w:val="28"/>
          <w:szCs w:val="28"/>
          <w:rtl w:val="true"/>
          <w:lang w:bidi="fa-IR"/>
        </w:rPr>
        <w:t>مطلقا و إلّا لم یعتبر مطلقا، فالتفکیک فی اعتبار سند واحد فی مادّة افتراقه عن المعارض و عدم اعتباره فی مادّة اجتماعه معه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التفکیک بین اللازم و الملزوم فی الشرعیات 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عزیزا إلّا أنّه مع ندوره بالغایة و النهایة و اختصاص وجوده بالموضوعات الشرعیة لا الأحکام الشرعیة لا یلتزم به إلّا بدلیل مخرج، و المفروض انتفائه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المرجّحات السندیة بالنسبة إلی إجمال الدلالة الناشئ من تعارض العامّین من وجه و العلم الإجمالی بتضمّن أحدهما مخصّصیة الآخر کالحجر فی جنب الإنسان لا ینفع وجودها نقص الإجمال و لا عدمها ازدیاد الإجمال بعد فرض الفراغ عن اعتبار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أدلّة إعمال المرجّحات السندیة من الأعدلیة و الأوثقیة و غیرهما قاض بالرجوع إلیها فی تعارض السندین و فی تعارض الدلالتین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أدلّة إعمال المرجّحات السندیة فی تعارض الدلالتین معارض بعموم أدلّة حجّیة سندی الدلالتین المتعارضتین، و تحکیم الأول علی الثانی لیس بأولی من العکس بعد فرض أنّهما عامّین من وجه، و عدم المرجّح لتحکیم عموم إعمال المرجّحات السندیة علی عموم حجّیة السندین، بل المرجّح مع العکس، أعنی تحکیم عموم حجّیة السندین علی عموم إعمال المرجّحات؛ و ذلک لأنّ إحراز السند مقدّم طبعا و رتبة علی إحراز الکیفیات العارضة لها کتقدم المعروض علی الأعراض، فینبغی تقدّم عموم أدلّة اعتباره علی عموم أدلّة إعمال المرجّحات فی حال تعارضه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إعمال المرجّحات أخصّ من عموم حجّیة السند مطلقا لا من وجه، لأنّ مورد إعمال المرجّحات إنّما هو مورد التعارض فیقدّم عمومه </w:t>
      </w:r>
      <w:bookmarkStart w:id="670" w:name="pg12856_162668"/>
    </w:p>
    <w:p>
      <w:pPr>
        <w:pStyle w:val="BookText"/>
        <w:rPr/>
      </w:pPr>
      <w:bookmarkEnd w:id="670"/>
      <w:r>
        <w:rPr>
          <w:rFonts w:ascii="IRNazanin" w:hAnsi="IRNazanin" w:eastAsia="IRNazanin"/>
          <w:color w:val="111111"/>
          <w:sz w:val="28"/>
          <w:sz w:val="28"/>
          <w:szCs w:val="28"/>
          <w:rtl w:val="true"/>
          <w:lang w:bidi="fa-IR"/>
        </w:rPr>
        <w:t>الشامل لتعارض السندین و تعارض الدلالتین علی عموم حجّیة السند الشامل لمورد لتعارض و عدم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أدلّة حجّیة السند لیس من جهة شمول حال التعارض و عدم التعارض فقط حتی یقدّم علیه عموم إعمال المرجّحات بل هو من جهة اخری، أعنی من جهة شمول حجّیته لحال تعارض سنده بسند آخر، أو دلالته بدلالة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مقتضی القاعدة کون المرجع فی تعارض العمومین من وجه بعد فقد المرجّحات الدلالتیة ذاتا أو اعتبارا إنّما هو إلی ما یوجد فی موردهما من أصل أو عموم یکون حجّیته مشروطا بعدم وجودهما، لا إلی المرجّحات السندیة إلّا بدلیل تعبّدی مخرج کالإجماع، الذی ادّعاه الماتن</w:t>
      </w:r>
      <w:r>
        <w:rPr>
          <w:rStyle w:val="FootnoteAnchor"/>
          <w:rtl w:val="true"/>
        </w:rPr>
        <w:footnoteReference w:id="204"/>
      </w:r>
      <w:r>
        <w:rPr>
          <w:rFonts w:ascii="IRNazanin" w:hAnsi="IRNazanin" w:eastAsia="IRNazanin"/>
          <w:color w:val="111111"/>
          <w:sz w:val="28"/>
          <w:sz w:val="28"/>
          <w:szCs w:val="28"/>
          <w:rtl w:val="true"/>
          <w:lang w:bidi="fa-IR"/>
        </w:rPr>
        <w:t>فی محلّه من باب التعادل و التراجیح</w:t>
      </w:r>
      <w:r>
        <w:rPr>
          <w:rFonts w:eastAsia="IRNazanin" w:cs="IRNazanin"/>
          <w:color w:val="111111"/>
          <w:sz w:val="28"/>
          <w:szCs w:val="28"/>
          <w:rtl w:val="true"/>
          <w:lang w:bidi="fa-IR"/>
        </w:rPr>
        <w:t>.</w:t>
      </w:r>
    </w:p>
    <w:p>
      <w:pPr>
        <w:pStyle w:val="Heading5"/>
        <w:numPr>
          <w:ilvl w:val="4"/>
          <w:numId w:val="1"/>
        </w:numPr>
        <w:rPr/>
      </w:pPr>
      <w:bookmarkStart w:id="671" w:name="__RefHeading___Toc2646792_3224264995"/>
      <w:bookmarkStart w:id="672" w:name="_Toc267"/>
      <w:bookmarkEnd w:id="671"/>
      <w:r>
        <w:rPr>
          <w:rtl w:val="true"/>
        </w:rPr>
        <w:t>[</w:t>
      </w:r>
      <w:r>
        <w:rPr>
          <w:rtl w:val="true"/>
        </w:rPr>
        <w:t>حکم تعارض المتباینین</w:t>
      </w:r>
      <w:r>
        <w:rPr>
          <w:rtl w:val="true"/>
        </w:rPr>
        <w:t>]</w:t>
      </w:r>
      <w:bookmarkEnd w:id="672"/>
    </w:p>
    <w:p>
      <w:pPr>
        <w:pStyle w:val="BookText"/>
        <w:rPr/>
      </w:pPr>
      <w:r>
        <w:rPr>
          <w:rFonts w:ascii="IRNazanin" w:hAnsi="IRNazanin" w:eastAsia="IRNazanin"/>
          <w:color w:val="111111"/>
          <w:sz w:val="28"/>
          <w:sz w:val="28"/>
          <w:szCs w:val="28"/>
          <w:rtl w:val="true"/>
          <w:lang w:bidi="fa-IR"/>
        </w:rPr>
        <w:t>و أمّا المتباینین دلالة کتعارض ظهور الأمر فی وجوب شی‌ء مع ظهور النهی فی تحریمه، فإن وجد مع أحدهما مرجّح و لو ظنّی من الظنون الغیر المعتبرة بالأصالة و قلنا باعتبار ظواهر الألفاظ من باب الظنّ الفعلی أو السببیة المقیّدة بعدم الظنّ بالخلاف قدّم صاحب تلک الضمیمة علی غیره و إن کان تقدیمه علیه من باب سقوط المقدّم علیه عن الحجّیة لا الترجیح</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بأن لم یوجد مرجّح ظنّی أو وجد و لم یعتبر ظواهر الألفاظ من باب الظنّ الفعلی أو السببیة المقیّدة فإن قلنا بأولویة الجمع مهما أمکن من الطرح و لو کان الجمع عقلیا کما عن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فی العوالی</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بینهما، و إلّا بأن منعنا أولویته نظرا إلی استلزامه العمل بالرأی مضافا إلی استلزامه طرح ظهور </w:t>
      </w:r>
    </w:p>
    <w:p>
      <w:pPr>
        <w:pStyle w:val="BookText"/>
        <w:rPr/>
      </w:pPr>
      <w:r>
        <w:rPr>
          <w:rFonts w:ascii="IRNazanin" w:hAnsi="IRNazanin" w:eastAsia="IRNazanin"/>
          <w:color w:val="111111"/>
          <w:sz w:val="28"/>
          <w:sz w:val="28"/>
          <w:szCs w:val="28"/>
          <w:rtl w:val="true"/>
          <w:lang w:bidi="fa-IR"/>
        </w:rPr>
        <w:t>کلا المتعارضین فکیف یکون أولی من طرح أحدهما و العمل بالآخر، فإن قلنا باعتبار الأخبار من باب الموضوعیة کان مقتضی الأصل الأوّلی هو التخییر، و إلّا بأن قلنا باعتبارها من باب الکاشفیة و الطریقیة کان المرجع إلی المرجّحات السندیة، و مع فقدها فمقتضی الأصل الأوّلی التساقط و الرجوع إلی ما یوجد فی مورد المتعارضین من أصل أو عموم یکون حجّیته مشروطا بعدم وجودهما، و مقتضی الأصل الثانوی الوارد علی ذلک الأصل الأولی هو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ما لو أمکن الجمع العرفی بحمل المتعارضین علی أقرب المجازات الشائعة المحکّم عرفا عند تعذّر الحقیقة، کحمل الأمر علی الإباحة، و النهی المعارض له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یقدّم ذلک الجمع العرفی علی إعمال المرجّحات السندیة کما علیه الشهید الثانی و غیره، أم لا یقدم بل یبنی علی إعمال المرجّحات السندیة، کما لو لم یمکن ذلک الجمع إلّا بتجوّز بعید و استهجان طرید، کما علیه جماعة؟ وجهان بل قولان، أظهرهما الثانی، لإطلاق أدلّة إعمال المرجّحات السندیة فی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إطلاقها لزم إعمالها حتی فی المتعارضین بالعموم و الخصوص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ممنوعة و القیاس مع الفارق، لأنّ تعارض العامّ و الخاصّ تعارض بدوی لا یشمله إطلاق التعارض الذی هو مورد إعمال المرجّحات السندیة، لأن مجرد ورود الخاصّ بنفسه قرینة عرفیة علی صرف العامّ إلیه بخلاف المتباینین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تنزّلنا و سلّمنا عدم الفرق بین تعارض المتباینین و العامّ و الخاصّ المطلق فی الاندراج تحت إطلاق التعارض الذی هو مورد إعمال المرجّحات </w:t>
      </w:r>
      <w:bookmarkStart w:id="673" w:name="pg12856_162670"/>
    </w:p>
    <w:p>
      <w:pPr>
        <w:pStyle w:val="BookText"/>
        <w:rPr/>
      </w:pPr>
      <w:bookmarkEnd w:id="673"/>
      <w:r>
        <w:rPr>
          <w:rFonts w:ascii="IRNazanin" w:hAnsi="IRNazanin" w:eastAsia="IRNazanin"/>
          <w:color w:val="111111"/>
          <w:sz w:val="28"/>
          <w:sz w:val="28"/>
          <w:szCs w:val="28"/>
          <w:rtl w:val="true"/>
          <w:lang w:bidi="fa-IR"/>
        </w:rPr>
        <w:t>السندیة، فخروج العامّ و الخاصّ المطلق عن تحت ذلک بالإجماع لا یلزم خروج الفرد الآخر عنه، لما تقدّم فی محلّه من حجّیة العامّ المخصّص فی الباقی</w:t>
      </w:r>
      <w:r>
        <w:rPr>
          <w:rFonts w:eastAsia="IRNazanin" w:cs="IRNazanin"/>
          <w:color w:val="111111"/>
          <w:sz w:val="28"/>
          <w:szCs w:val="28"/>
          <w:rtl w:val="true"/>
          <w:lang w:bidi="fa-IR"/>
        </w:rPr>
        <w:t>.</w:t>
      </w:r>
    </w:p>
    <w:p>
      <w:pPr>
        <w:pStyle w:val="Heading5"/>
        <w:numPr>
          <w:ilvl w:val="4"/>
          <w:numId w:val="1"/>
        </w:numPr>
        <w:rPr/>
      </w:pPr>
      <w:bookmarkStart w:id="674" w:name="__RefHeading___Toc2646794_3224264995"/>
      <w:bookmarkStart w:id="675" w:name="_Toc268"/>
      <w:bookmarkEnd w:id="674"/>
      <w:r>
        <w:rPr>
          <w:rtl w:val="true"/>
        </w:rPr>
        <w:t>[</w:t>
      </w:r>
      <w:r>
        <w:rPr>
          <w:rtl w:val="true"/>
        </w:rPr>
        <w:t>المتباینان من الکتاب</w:t>
      </w:r>
      <w:r>
        <w:rPr>
          <w:rtl w:val="true"/>
        </w:rPr>
        <w:t>]</w:t>
      </w:r>
      <w:bookmarkEnd w:id="675"/>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إطلاق أدلّة إعمال المرجّحات السندیة فی المتباینین الممکن حملهما علی اقرب المجازات لزم إعمالها فی ما لو کان تلک المتباینان من الکتاب أیضا، إذ لا فرق بین الأمر و النهی المتعارضین من السنّة و الکتاب سوی کون الأول مظنون الصدور و الثانی مقطوع الصدور، و هو غیر فارق بعد فرض حجّیة المظنون، فکما تحملهما علی أقرب المجازات فی الکتاب فکذا ینبغی أن تحملهما علیه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لنا منع الملازمة بإبداء الفرق بینهما لکن لا بمجرّد کون الکتاب مقطوع الصدور و السنّة مظنون الصدور حتی یقال بأنّه غیر فارق بعد فرض حجّیة المظنون، و لا من جهة أنّه لو لم نجمع الأمر و النهی المتعارضین من الکتاب بالحمل علی أقرب المجازات لزم طرح السند المقطوع به بخلاف ما لو لم نجمع المتعارضین من السنّة فإنّه لا یلزم ذلک حتی یمنع الملازمة بإمکان الجمع بین سندی مقطوع الصدور و حمل مدلولیهما علی الإجمال إذ لا ملازمة بین جمع السندین و جمع مدلولیهما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منع الملازمة و إبداء الفرق إنّما هو من جهتین أخریین</w:t>
      </w:r>
      <w:r>
        <w:rPr>
          <w:rFonts w:eastAsia="IRNazanin" w:cs="IRNazanin"/>
          <w:color w:val="111111"/>
          <w:sz w:val="28"/>
          <w:szCs w:val="28"/>
          <w:rtl w:val="true"/>
          <w:lang w:bidi="fa-IR"/>
        </w:rPr>
        <w:t>:</w:t>
      </w:r>
    </w:p>
    <w:p>
      <w:pPr>
        <w:pStyle w:val="Heading5"/>
        <w:numPr>
          <w:ilvl w:val="4"/>
          <w:numId w:val="1"/>
        </w:numPr>
        <w:rPr/>
      </w:pPr>
      <w:bookmarkStart w:id="676" w:name="__RefHeading___Toc2646796_3224264995"/>
      <w:bookmarkStart w:id="677" w:name="_Toc269"/>
      <w:bookmarkEnd w:id="676"/>
      <w:r>
        <w:rPr>
          <w:rtl w:val="true"/>
        </w:rPr>
        <w:t>[</w:t>
      </w:r>
      <w:r>
        <w:rPr>
          <w:rtl w:val="true"/>
        </w:rPr>
        <w:t>اختصاص اعمال المرجّحات بمظنون الصدور</w:t>
      </w:r>
      <w:r>
        <w:rPr>
          <w:rtl w:val="true"/>
        </w:rPr>
        <w:t>]</w:t>
      </w:r>
      <w:bookmarkEnd w:id="677"/>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مورد إعمال المرجّحات بمظنون الصدور، فلا ینهض إطلاق إعمالها إلی مقطوعی الصدور بخلاف مظنونی الصدور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الجمع بحمل کلّ من الأمر و النهی المتعارضین علی أقرب مجازاته إنّما هو فرع إحراز عدم إرادة الحقیقة فی شی‌ء منها، المختصّ إحرازه بمقطوعی الصدور دون مظنونیه، و ذلک لأنّ تعذر إرادة الحقیقة فی کلاهما و إن کان مشترکا بین مقطوعی الصدور و مظنونیه إلّا أنّ تعذر إرادتها فی شی‌ء </w:t>
      </w:r>
      <w:bookmarkStart w:id="678" w:name="pg12856_162671"/>
    </w:p>
    <w:p>
      <w:pPr>
        <w:pStyle w:val="BookText"/>
        <w:rPr/>
      </w:pPr>
      <w:bookmarkEnd w:id="678"/>
      <w:r>
        <w:rPr>
          <w:rFonts w:ascii="IRNazanin" w:hAnsi="IRNazanin" w:eastAsia="IRNazanin"/>
          <w:color w:val="111111"/>
          <w:sz w:val="28"/>
          <w:sz w:val="28"/>
          <w:szCs w:val="28"/>
          <w:rtl w:val="true"/>
          <w:lang w:bidi="fa-IR"/>
        </w:rPr>
        <w:t>منهما مختصّا بمقطوعیه دون مظنونیه، نظرا إلی أنّ عدم إرادتها فی أحدهما دون الآخر فی مقطوعی الصدور ترجیح بلا مرجح قبیح یقتضی البناء علی عدم إرادتها فی شی‌ء منهما بعد تعذر عدم إرادتها فی کلاهما، و فی مظنونیه لیس ترجیح بلا مرجح حتی یقتضی نفی إرادتها فی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جدّا؛ فإنّ هذا الفرق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العامّین من وجه و أشباهه</w:t>
      </w:r>
      <w:r>
        <w:rPr>
          <w:rFonts w:eastAsia="IRNazanin" w:cs="IRNazanin"/>
          <w:color w:val="111111"/>
          <w:sz w:val="28"/>
          <w:szCs w:val="28"/>
          <w:rtl w:val="true"/>
          <w:lang w:bidi="fa-IR"/>
        </w:rPr>
        <w:t>».</w:t>
      </w:r>
    </w:p>
    <w:p>
      <w:pPr>
        <w:pStyle w:val="Heading5"/>
        <w:numPr>
          <w:ilvl w:val="4"/>
          <w:numId w:val="1"/>
        </w:numPr>
        <w:rPr/>
      </w:pPr>
      <w:bookmarkStart w:id="679" w:name="__RefHeading___Toc2646798_3224264995"/>
      <w:bookmarkStart w:id="680" w:name="_Toc270"/>
      <w:bookmarkEnd w:id="679"/>
      <w:r>
        <w:rPr>
          <w:rtl w:val="true"/>
        </w:rPr>
        <w:t>[</w:t>
      </w:r>
      <w:r>
        <w:rPr>
          <w:rtl w:val="true"/>
        </w:rPr>
        <w:t>ما یشبه العامّین من وجه</w:t>
      </w:r>
      <w:r>
        <w:rPr>
          <w:rtl w:val="true"/>
        </w:rPr>
        <w:t>]</w:t>
      </w:r>
      <w:bookmarkEnd w:id="6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العامّین من وجه کلّ متعارضین فی الظهور بحیث یتوقّف الجمع بینهما علی شاهد واحد کالعامّین من وجه، کتعارض ظهور الأمر بغسل الجمعة فی الوجوب مع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الاستحباب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بینهما کالجمع بین العامّین من وجه یتوقّف علی شاهد واحد یؤوّل أحد الظهورین إلی الآخر بخلاف المتباینین کتعارض الأمر و النهی، فإنّ الجمع بینهما یتوقّف علی شاهدین أحدهما صرف الأمر عن ظاهر الوجوب إلی الإباحة، و الآخر صرف النهی عن ظاهر الحرمة إلی الکراهة، و هذا هو وجه الشبه و الفرق الحکمی بین العامّین من وجه و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یخرج عن کونه مرجّحا، بل یصیر سببا لسقوط ظهور المقابل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الوجهین کالفرق بین یوسف أحسن أخوته، بمعنی ذی حسن منهم، أو ذی مزیة حسنة علی حسنهم، علی وجه أفعل التفضیل المستلزم لوجود الفضل فی المفضول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من هذا إذا قلنا باشتراط حجّیة الظواهر بحصول الظنّ منها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الأولویة أن سقوط المخالف للظنّ من المتعارضین علی الأول </w:t>
      </w:r>
      <w:bookmarkStart w:id="681" w:name="pg12856_162672"/>
    </w:p>
    <w:p>
      <w:pPr>
        <w:pStyle w:val="BookText"/>
        <w:rPr/>
      </w:pPr>
      <w:bookmarkEnd w:id="681"/>
      <w:r>
        <w:rPr>
          <w:rFonts w:ascii="IRNazanin" w:hAnsi="IRNazanin" w:eastAsia="IRNazanin"/>
          <w:color w:val="111111"/>
          <w:sz w:val="28"/>
          <w:sz w:val="28"/>
          <w:szCs w:val="28"/>
          <w:rtl w:val="true"/>
          <w:lang w:bidi="fa-IR"/>
        </w:rPr>
        <w:t>من باب وجود المانع، و علی الثانی من باب عدم المقتضی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 سخیف جدّا، و الأول بعید</w:t>
      </w:r>
      <w:r>
        <w:rPr>
          <w:rFonts w:eastAsia="IRNazanin" w:cs="IRNazanin"/>
          <w:color w:val="111111"/>
          <w:sz w:val="28"/>
          <w:szCs w:val="28"/>
          <w:rtl w:val="true"/>
          <w:lang w:bidi="fa-IR"/>
        </w:rPr>
        <w:t>».</w:t>
      </w:r>
    </w:p>
    <w:p>
      <w:pPr>
        <w:pStyle w:val="Heading5"/>
        <w:numPr>
          <w:ilvl w:val="4"/>
          <w:numId w:val="1"/>
        </w:numPr>
        <w:rPr/>
      </w:pPr>
      <w:bookmarkStart w:id="682" w:name="__RefHeading___Toc2646800_3224264995"/>
      <w:bookmarkStart w:id="683" w:name="_Toc271"/>
      <w:bookmarkEnd w:id="682"/>
      <w:r>
        <w:rPr>
          <w:rtl w:val="true"/>
        </w:rPr>
        <w:t>[</w:t>
      </w:r>
      <w:r>
        <w:rPr>
          <w:rtl w:val="true"/>
        </w:rPr>
        <w:t>منع البعد عن القول بحجّیة الظواهر مشروطا بحصول الظنّ</w:t>
      </w:r>
      <w:r>
        <w:rPr>
          <w:rtl w:val="true"/>
        </w:rPr>
        <w:t>]</w:t>
      </w:r>
      <w:bookmarkEnd w:id="6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فیه من منع السخافة و البعد، بعد فرض الشکّ فی مقتضی الأدلّة اللبّیة من الإجماع و بناء العرف و العقلاء، فی کیفیة حجّیة الظواهر و کمّیتها، و کون الأصل فی ما خالفه الاقتصار علی المتیقن الأیقن، فالأیقن من أفرادها و هو الظهور المظنون الظهوریة من نفسه، و دونه المظنون من الخارج و دونه المقیّد بعدم الظنّ بخلافه، و دونه المظنون بالظنّ الشأنی، و دونه التعبّد بالظهور من باب الموضوعیة لا الکاشفیة،</w:t>
      </w:r>
    </w:p>
    <w:p>
      <w:pPr>
        <w:pStyle w:val="Heading5"/>
        <w:numPr>
          <w:ilvl w:val="4"/>
          <w:numId w:val="1"/>
        </w:numPr>
        <w:rPr/>
      </w:pPr>
      <w:bookmarkStart w:id="684" w:name="__RefHeading___Toc2646802_3224264995"/>
      <w:bookmarkStart w:id="685" w:name="_Toc272"/>
      <w:bookmarkEnd w:id="684"/>
      <w:r>
        <w:rPr>
          <w:rtl w:val="true"/>
        </w:rPr>
        <w:t>[</w:t>
      </w:r>
      <w:r>
        <w:rPr>
          <w:rtl w:val="true"/>
        </w:rPr>
        <w:t>انحصار دلیل حجّیة الظواهر فی الأدلّة اللبّیة</w:t>
      </w:r>
      <w:r>
        <w:rPr>
          <w:rtl w:val="true"/>
        </w:rPr>
        <w:t>]</w:t>
      </w:r>
      <w:bookmarkEnd w:id="685"/>
    </w:p>
    <w:p>
      <w:pPr>
        <w:pStyle w:val="BookText"/>
        <w:rPr/>
      </w:pPr>
      <w:r>
        <w:rPr>
          <w:rFonts w:ascii="IRNazanin" w:hAnsi="IRNazanin" w:eastAsia="IRNazanin"/>
          <w:color w:val="111111"/>
          <w:sz w:val="28"/>
          <w:sz w:val="28"/>
          <w:szCs w:val="28"/>
          <w:rtl w:val="true"/>
          <w:lang w:bidi="fa-IR"/>
        </w:rPr>
        <w:t>و من البیّن أن دلیل حجّیة الظواهر المذکورة منحصر فی ما عرفت فی الأدلّة اللبّیة التی لا عموم فیها و لا إطلاق، و أنّ الأصل فی ما خالف الأصل الاقتصار علی الأیقن فالأیقن لا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فالمتّجه حینئذ الرجوع فی المسألة بعد الفراغ من المرجّحات من حیث السند، أو من حیث الصدور تقیّة، أو لبیان الواقع إلی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ارجاع المسألة إلی کلّ من المرجّحات السندیة أولا، و إلی أصالة الطهارة بالخصوص ثانیا تأمّل؛ بل منع أمّا مرجعیة المرجّحات الصدوریة و جهة الصدور فی ما نحن فیه من المتعارضین من وجه فلمنافاته القواعد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استلزامه التفکیک بین اعتبار سند واحد فی مادّة الافتراق، و عدم اعتباره فی مادّة الاجتماع، و الحال أنّ السند الواحد إن کان معتبرا اعتبر مطلقا، و إلّا لم یعتبر مطلقا، فالتفکیک فی اعتبار سند واحد فی مادّة افتراقه عن المعارض و عدم اعتباره فی مادّة اجتماعه معه خلاف القاعدة</w:t>
      </w:r>
      <w:r>
        <w:rPr>
          <w:rFonts w:eastAsia="IRNazanin" w:cs="IRNazanin"/>
          <w:color w:val="111111"/>
          <w:sz w:val="28"/>
          <w:szCs w:val="28"/>
          <w:rtl w:val="true"/>
          <w:lang w:bidi="fa-IR"/>
        </w:rPr>
        <w:t>.</w:t>
      </w:r>
    </w:p>
    <w:p>
      <w:pPr>
        <w:pStyle w:val="Heading5"/>
        <w:numPr>
          <w:ilvl w:val="4"/>
          <w:numId w:val="1"/>
        </w:numPr>
        <w:rPr/>
      </w:pPr>
      <w:bookmarkStart w:id="686" w:name="__RefHeading___Toc2646804_3224264995"/>
      <w:bookmarkStart w:id="687" w:name="_Toc273"/>
      <w:bookmarkEnd w:id="686"/>
      <w:r>
        <w:rPr>
          <w:rtl w:val="true"/>
        </w:rPr>
        <w:t>[</w:t>
      </w:r>
      <w:r>
        <w:rPr>
          <w:rtl w:val="true"/>
        </w:rPr>
        <w:t>المرجّحات السندیة لا تأثیر لها بالنسبة إلی إجمال الدلالة بسبب تعارض العامّین من وجه و نحوه</w:t>
      </w:r>
      <w:r>
        <w:rPr>
          <w:rtl w:val="true"/>
        </w:rPr>
        <w:t>]</w:t>
      </w:r>
      <w:bookmarkEnd w:id="6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المرجّحات السندیة بالنسبة إلی إجمال الدلالة الناشئ من تعارض العامّین من وجه و العلم الإجمالی بتضمّن أحدهما مخصّصیة الآخر، </w:t>
      </w:r>
      <w:bookmarkStart w:id="688" w:name="pg12856_162673"/>
    </w:p>
    <w:p>
      <w:pPr>
        <w:pStyle w:val="BookText"/>
        <w:rPr/>
      </w:pPr>
      <w:bookmarkEnd w:id="688"/>
      <w:r>
        <w:rPr>
          <w:rFonts w:ascii="IRNazanin" w:hAnsi="IRNazanin" w:eastAsia="IRNazanin"/>
          <w:color w:val="111111"/>
          <w:sz w:val="28"/>
          <w:sz w:val="28"/>
          <w:szCs w:val="28"/>
          <w:rtl w:val="true"/>
          <w:lang w:bidi="fa-IR"/>
        </w:rPr>
        <w:t>کالحجر فی جنب الإنسان لا ینفع وجودها نقص الإجمال، و لا عدمها ازدیاد الإجمال بعد فرض الفراغ عن اعتبار سندها، حسبما تقدّم تفصیله فی الترجیح الدلالتی منّا آنفا</w:t>
      </w:r>
      <w:r>
        <w:rPr>
          <w:rFonts w:eastAsia="IRNazanin" w:cs="IRNazanin"/>
          <w:color w:val="111111"/>
          <w:sz w:val="28"/>
          <w:szCs w:val="28"/>
          <w:rtl w:val="true"/>
          <w:lang w:bidi="fa-IR"/>
        </w:rPr>
        <w:t>.</w:t>
      </w:r>
    </w:p>
    <w:p>
      <w:pPr>
        <w:pStyle w:val="Heading5"/>
        <w:numPr>
          <w:ilvl w:val="4"/>
          <w:numId w:val="1"/>
        </w:numPr>
        <w:rPr/>
      </w:pPr>
      <w:bookmarkStart w:id="689" w:name="__RefHeading___Toc2646806_3224264995"/>
      <w:bookmarkStart w:id="690" w:name="_Toc274"/>
      <w:bookmarkEnd w:id="689"/>
      <w:r>
        <w:rPr>
          <w:rtl w:val="true"/>
        </w:rPr>
        <w:t>[</w:t>
      </w:r>
      <w:r>
        <w:rPr>
          <w:rtl w:val="true"/>
        </w:rPr>
        <w:t>مناقشة فی کلام الماتن فی خرء طیر غیر مأکول</w:t>
      </w:r>
      <w:r>
        <w:rPr>
          <w:rtl w:val="true"/>
        </w:rPr>
        <w:t>]</w:t>
      </w:r>
      <w:bookmarkEnd w:id="690"/>
    </w:p>
    <w:p>
      <w:pPr>
        <w:pStyle w:val="BookText"/>
        <w:rPr/>
      </w:pPr>
      <w:r>
        <w:rPr>
          <w:rFonts w:ascii="IRNazanin" w:hAnsi="IRNazanin" w:eastAsia="IRNazanin"/>
          <w:color w:val="111111"/>
          <w:sz w:val="28"/>
          <w:sz w:val="28"/>
          <w:szCs w:val="28"/>
          <w:rtl w:val="true"/>
          <w:lang w:bidi="fa-IR"/>
        </w:rPr>
        <w:t xml:space="preserve">و أمّا مرجعیة أصل الطهارة بعد فرض عدم المرجّح الصدوری فی تعارض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مع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بخرء الطیر</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فلابتنائه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الظواهر من باب الکاشفیة، و أمّا علی التعبّد و الموضوعیة و لو بحسب النصّ فالمرجع بعد فقد المرجّح الصدوری إلی التخییر کما فی تزاحم الغریقین فی الإنقاذ لا إلی الأصل کتعارض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الأصل فی الشبهات التحریمیة الحکمیة الطهارة و الإباحة و البراءة، و أمّا علی أصالة الحظر فیها کما عن الشیخ</w:t>
      </w:r>
      <w:r>
        <w:rPr>
          <w:rStyle w:val="FootnoteAnchor"/>
          <w:rtl w:val="true"/>
        </w:rPr>
        <w:footnoteReference w:id="208"/>
      </w:r>
      <w:r>
        <w:rPr>
          <w:rFonts w:ascii="IRNazanin" w:hAnsi="IRNazanin" w:eastAsia="IRNazanin"/>
          <w:color w:val="111111"/>
          <w:sz w:val="28"/>
          <w:sz w:val="28"/>
          <w:szCs w:val="28"/>
          <w:rtl w:val="true"/>
          <w:lang w:bidi="fa-IR"/>
        </w:rPr>
        <w:t>و جلّ الأخباریة فالأصل الحرمة و الاحتیاط</w:t>
      </w:r>
      <w:r>
        <w:rPr>
          <w:rStyle w:val="FootnoteAnchor"/>
          <w:rtl w:val="true"/>
        </w:rPr>
        <w:footnoteReference w:id="209"/>
      </w:r>
      <w:r>
        <w:rPr>
          <w:rFonts w:ascii="IRNazanin" w:hAnsi="IRNazanin" w:eastAsia="IRNazanin"/>
          <w:color w:val="111111"/>
          <w:sz w:val="28"/>
          <w:sz w:val="28"/>
          <w:szCs w:val="28"/>
          <w:rtl w:val="true"/>
          <w:lang w:bidi="fa-IR"/>
        </w:rPr>
        <w:t>کما سیخبر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الدلیل المخیّر فی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الدلیل المخیّر للعمل بالمتعارضین بموجب الظهور حاکما علی أصالة الاحتیاط و أدلة الاحتیاط فی الحکم الفرعی، بل و علی الاستصحاب الموافق لأحد المتعارضین إلّا أنّه کما هو حاکم علی الاصول فی الحکم الفرعی کذلک حاکم علی ما قرّرت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الأخذ بالمتیقن فی المسألة </w:t>
      </w:r>
      <w:bookmarkStart w:id="691" w:name="pg12856_162674"/>
    </w:p>
    <w:p>
      <w:pPr>
        <w:pStyle w:val="BookText"/>
        <w:rPr/>
      </w:pPr>
      <w:bookmarkEnd w:id="691"/>
      <w:r>
        <w:rPr>
          <w:rFonts w:ascii="IRNazanin" w:hAnsi="IRNazanin" w:eastAsia="IRNazanin"/>
          <w:color w:val="111111"/>
          <w:sz w:val="28"/>
          <w:sz w:val="28"/>
          <w:szCs w:val="28"/>
          <w:rtl w:val="true"/>
          <w:lang w:bidi="fa-IR"/>
        </w:rPr>
        <w:t>الاصولیة التی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فالترجیح بها یدلّ علی أنّ العبرة بالأقربیة من أیّ سبب حصلت</w:t>
      </w:r>
      <w:r>
        <w:rPr>
          <w:rFonts w:eastAsia="IRNazanin" w:cs="IRNazanin"/>
          <w:color w:val="111111"/>
          <w:sz w:val="28"/>
          <w:szCs w:val="28"/>
          <w:rtl w:val="true"/>
          <w:lang w:bidi="fa-IR"/>
        </w:rPr>
        <w:t>».</w:t>
      </w:r>
    </w:p>
    <w:p>
      <w:pPr>
        <w:pStyle w:val="Heading5"/>
        <w:numPr>
          <w:ilvl w:val="4"/>
          <w:numId w:val="1"/>
        </w:numPr>
        <w:rPr/>
      </w:pPr>
      <w:bookmarkStart w:id="692" w:name="__RefHeading___Toc2646808_3224264995"/>
      <w:bookmarkStart w:id="693" w:name="_Toc275"/>
      <w:bookmarkEnd w:id="692"/>
      <w:r>
        <w:rPr>
          <w:rtl w:val="true"/>
        </w:rPr>
        <w:t>[</w:t>
      </w:r>
      <w:r>
        <w:rPr>
          <w:rtl w:val="true"/>
        </w:rPr>
        <w:t>الردّ علی الترجیح بمطلق الأقربیة من أیّ سبب حصلت</w:t>
      </w:r>
      <w:r>
        <w:rPr>
          <w:rtl w:val="true"/>
        </w:rPr>
        <w:t>]</w:t>
      </w:r>
      <w:bookmarkEnd w:id="6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إناطة المرجّحیة فی ما ذکر بمطلق الأقربیة علّة مستنبطة، لا منصوصة حتی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کون العبرة بالأقربیة الداخلیة الحاصلة من سبب داخلی، کالأعدلیة و الأصدقیة و الأوثقیة، لا مطلق الأقربیة الحاصلة من الموافقة الاتفاقیة لمضمون أمارة خارجیة غیر معتبرة، کشهرة أو أولویة مضمونیة غیر معتبرة، و إذا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کثیر من المرجّحات الراجعة إلی وجود احتمال فی أحدهما مفقود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694" w:name="__RefHeading___Toc2646810_3224264995"/>
      <w:bookmarkStart w:id="695" w:name="_Toc276"/>
      <w:bookmarkEnd w:id="694"/>
      <w:r>
        <w:rPr>
          <w:rtl w:val="true"/>
        </w:rPr>
        <w:t>[</w:t>
      </w:r>
      <w:r>
        <w:rPr>
          <w:rtl w:val="true"/>
        </w:rPr>
        <w:t>تفسیر أمر الماتن بالتدبّر بعد إلحاقه کثیر من المرجّحات بما دلّ علی الترجیح بمطلق الظنّ بالأقربیة و المزیّة</w:t>
      </w:r>
      <w:r>
        <w:rPr>
          <w:rtl w:val="true"/>
        </w:rPr>
        <w:t>]</w:t>
      </w:r>
      <w:bookmarkEnd w:id="6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أنّه إن کان تشبیه کثیر من المرجّحات الأخر بخصوص ما دلّ علی الترجیح بمطلق الظن بالأقربیة و المزیة بواسطة عموم العلّة المنصوصة فمن المعلوم أنّ هذا الوجه من الشبه خاصّ بخصوص الترجیح بالشهرة أو مخالفة العامّة، دون غیرهما من سائر المرجّحات المنصوصة فضلا عن 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وجه الشبه و تشبیه کثیر من المرجّحات الأخر بعموم ما دلّ علی الترجیح بمثل الأعدلیة و الأصدقیة و إن لم یعلّل بعموم الأقربیة و المزیة بل کان ذلک علّة مستنبطة فمن المعلوم عدم اختصاص التشبیه فی ما ذکر بالکثیر من المرجّحات بل یعمّ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الفرق بین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696" w:name="__RefHeading___Toc2646812_3224264995"/>
      <w:bookmarkStart w:id="697" w:name="_Toc277"/>
      <w:bookmarkEnd w:id="696"/>
      <w:r>
        <w:rPr>
          <w:rtl w:val="true"/>
        </w:rPr>
        <w:t>[</w:t>
      </w:r>
      <w:r>
        <w:rPr>
          <w:rtl w:val="true"/>
        </w:rPr>
        <w:t>منع الفرق بین أبعدیة المخالف للعامة عن التقیة و أقربیة المخالف للعامة إلی الواقع</w:t>
      </w:r>
      <w:r>
        <w:rPr>
          <w:rtl w:val="true"/>
        </w:rPr>
        <w:t>]</w:t>
      </w:r>
      <w:bookmarkEnd w:id="69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یفهم الفرق بینهما لا اسما و لا حکما، أمّا اسما فلأنّ أبعدیة المخالف للعامّة عن التقیة إنّما هو عین أقربیته إلی الواقع، و الکاشف عن وجه </w:t>
      </w:r>
    </w:p>
    <w:p>
      <w:pPr>
        <w:pStyle w:val="BookText"/>
        <w:rPr/>
      </w:pPr>
      <w:r>
        <w:rPr>
          <w:rFonts w:ascii="IRNazanin" w:hAnsi="IRNazanin" w:eastAsia="IRNazanin"/>
          <w:color w:val="111111"/>
          <w:sz w:val="28"/>
          <w:sz w:val="28"/>
          <w:szCs w:val="28"/>
          <w:rtl w:val="true"/>
          <w:lang w:bidi="fa-IR"/>
        </w:rPr>
        <w:t>الصدور عین الکاشف عن الواقع، فلا یکاد یفهم الفرق بینهما إلّا من حیث العبارة، و أمّا حکما فلأنّه و إن سلّم الفرق المذکور إلّا أنّه لا یجدی الفرق بینهما حکما، من حیث استناد الأول إلی العلّة المستنبطة و الثانی إلی العلّة المنصوصة کما زعم، بل الوجهین کلاهما مستندین و مندرجین فی العلّة المنصوصة و من أفرادها، لأنّ الفرق المذکور علی تقدیر تسلیمه غیر فارق فی فردیة العموم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هنا تمّ المقال و بلغ الکمال اقتبسناه و استفدناه فی شرح المجلّد الأول من کتاب فرائد الاصول، و یتلوه شرح البقیة علی النهج المقبول بحول اللّه و قوّته فی جمادی الأولی من شهور سنة الألف و المائتین بعد السبعة و التسعین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98" w:name="pg12856_162676"/>
    </w:p>
    <w:p>
      <w:pPr>
        <w:pStyle w:val="BookText"/>
        <w:rPr/>
      </w:pPr>
      <w:bookmarkEnd w:id="698"/>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699" w:name="__RefHeading___Toc2646814_3224264995"/>
      <w:bookmarkStart w:id="700" w:name="_Toc278"/>
      <w:bookmarkEnd w:id="699"/>
      <w:r>
        <w:rPr>
          <w:rtl w:val="true"/>
        </w:rPr>
        <w:t>[</w:t>
      </w:r>
      <w:r>
        <w:rPr>
          <w:rtl w:val="true"/>
        </w:rPr>
        <w:t>مباحث الشک</w:t>
      </w:r>
      <w:r>
        <w:rPr>
          <w:rtl w:val="true"/>
        </w:rPr>
        <w:t>]</w:t>
      </w:r>
      <w:bookmarkEnd w:id="700"/>
    </w:p>
    <w:p>
      <w:pPr>
        <w:pStyle w:val="Heading3"/>
        <w:numPr>
          <w:ilvl w:val="2"/>
          <w:numId w:val="1"/>
        </w:numPr>
        <w:rPr/>
      </w:pPr>
      <w:bookmarkStart w:id="701" w:name="__RefHeading___Toc2646816_3224264995"/>
      <w:bookmarkStart w:id="702" w:name="_Toc279"/>
      <w:bookmarkEnd w:id="701"/>
      <w:r>
        <w:rPr>
          <w:rtl w:val="true"/>
        </w:rPr>
        <w:t>[</w:t>
      </w:r>
      <w:r>
        <w:rPr>
          <w:rtl w:val="true"/>
        </w:rPr>
        <w:t>الکلام فی الأدلّة العقلیة</w:t>
      </w:r>
      <w:r>
        <w:rPr>
          <w:rtl w:val="true"/>
        </w:rPr>
        <w:t>]</w:t>
      </w:r>
      <w:bookmarkEnd w:id="702"/>
    </w:p>
    <w:p>
      <w:pPr>
        <w:pStyle w:val="Heading4"/>
        <w:numPr>
          <w:ilvl w:val="3"/>
          <w:numId w:val="1"/>
        </w:numPr>
        <w:rPr/>
      </w:pPr>
      <w:bookmarkStart w:id="703" w:name="__RefHeading___Toc2646818_3224264995"/>
      <w:bookmarkStart w:id="704" w:name="_Toc280"/>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الکلام فی الأدلة العقلیة، و بیان حکم العقل من الحجّیة و الملازمة و عدمهما، و قبل الخوض ینبغی تعریف العقل و بیان تقسیمه و أقسامه</w:t>
      </w:r>
      <w:r>
        <w:rPr>
          <w:rFonts w:eastAsia="IRNazanin" w:cs="IRNazanin"/>
          <w:color w:val="111111"/>
          <w:sz w:val="28"/>
          <w:szCs w:val="28"/>
          <w:rtl w:val="true"/>
          <w:lang w:bidi="fa-IR"/>
        </w:rPr>
        <w:t>.</w:t>
      </w:r>
    </w:p>
    <w:p>
      <w:pPr>
        <w:pStyle w:val="Heading4"/>
        <w:numPr>
          <w:ilvl w:val="3"/>
          <w:numId w:val="1"/>
        </w:numPr>
        <w:rPr/>
      </w:pPr>
      <w:bookmarkStart w:id="705" w:name="__RefHeading___Toc2646820_3224264995"/>
      <w:bookmarkStart w:id="706" w:name="_Toc281"/>
      <w:bookmarkEnd w:id="705"/>
      <w:r>
        <w:rPr>
          <w:rtl w:val="true"/>
        </w:rPr>
        <w:t>[</w:t>
      </w:r>
      <w:r>
        <w:rPr>
          <w:rtl w:val="true"/>
        </w:rPr>
        <w:t>دلیل العقل و أقسامه</w:t>
      </w:r>
      <w:r>
        <w:rPr>
          <w:rtl w:val="true"/>
        </w:rPr>
        <w:t>]</w:t>
      </w:r>
      <w:bookmarkEnd w:id="706"/>
    </w:p>
    <w:p>
      <w:pPr>
        <w:pStyle w:val="BookText"/>
        <w:rPr/>
      </w:pPr>
      <w:r>
        <w:rPr>
          <w:rFonts w:ascii="IRNazanin" w:hAnsi="IRNazanin" w:eastAsia="IRNazanin"/>
          <w:color w:val="111111"/>
          <w:sz w:val="28"/>
          <w:sz w:val="28"/>
          <w:szCs w:val="28"/>
          <w:rtl w:val="true"/>
          <w:lang w:bidi="fa-IR"/>
        </w:rPr>
        <w:t>فنقول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علی ما قاله جماعة منهم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یتوصّل به إلی الحکم الشرعی، و ینتقل من العلم بالحکم العقلی إلی العلم بالحکم الشرعی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قسّموه إلی ما یستقلّ به العقل و یحکم به من دون وساطة خطاب الشرع، و إلی ما لا یستقلّ و لا یحکم به إلا بواسطة خطاب الشرع، ثمّ عدّوا من القسم الأول قبح الظلم و حسن الإحسان و وجوب قضاء الدین و ردّ الودیعة، و من القسم الثانی الاستلزامات کوجوب مقدّمة الواجب و حرمة ضدّه و استحالة اجتماع الأمر و النهی و استصحاب الحال و نحوها من سائر الاستلزامات، بل و المفاهیم العرفیة کمفهوم الشرط و القید، بل و عن الفاضل التونی إلحاق الاستلزامات الشرعیة بها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قصّرت أفطرت و کلّما أفطرت قصّرت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2646822_3224264995"/>
      <w:bookmarkStart w:id="708" w:name="_Toc282"/>
      <w:bookmarkEnd w:id="707"/>
      <w:r>
        <w:rPr>
          <w:rtl w:val="true"/>
        </w:rPr>
        <w:t>[</w:t>
      </w:r>
      <w:r>
        <w:rPr>
          <w:rtl w:val="true"/>
        </w:rPr>
        <w:t>النظر فی تعریف حکم العقل و تقسیمه و أقسامه</w:t>
      </w:r>
      <w:r>
        <w:rPr>
          <w:rtl w:val="true"/>
        </w:rPr>
        <w:t>]</w:t>
      </w:r>
      <w:bookmarkEnd w:id="708"/>
    </w:p>
    <w:p>
      <w:pPr>
        <w:pStyle w:val="BookText"/>
        <w:rPr/>
      </w:pPr>
      <w:r>
        <w:rPr>
          <w:rFonts w:ascii="IRNazanin" w:hAnsi="IRNazanin" w:eastAsia="IRNazanin"/>
          <w:color w:val="111111"/>
          <w:sz w:val="28"/>
          <w:sz w:val="28"/>
          <w:szCs w:val="28"/>
          <w:rtl w:val="true"/>
          <w:lang w:bidi="fa-IR"/>
        </w:rPr>
        <w:t>و لکن لنا فی کلّ من تعریف حکم العقل و تقسیمه و أقسامه نظر</w:t>
      </w:r>
      <w:r>
        <w:rPr>
          <w:rFonts w:eastAsia="IRNazanin" w:cs="IRNazanin"/>
          <w:color w:val="111111"/>
          <w:sz w:val="28"/>
          <w:szCs w:val="28"/>
          <w:rtl w:val="true"/>
          <w:lang w:bidi="fa-IR"/>
        </w:rPr>
        <w:t>.</w:t>
      </w:r>
    </w:p>
    <w:p>
      <w:pPr>
        <w:pStyle w:val="Heading4"/>
        <w:numPr>
          <w:ilvl w:val="3"/>
          <w:numId w:val="1"/>
        </w:numPr>
        <w:rPr/>
      </w:pPr>
      <w:bookmarkStart w:id="709" w:name="__RefHeading___Toc2646824_3224264995"/>
      <w:bookmarkStart w:id="710" w:name="_Toc283"/>
      <w:bookmarkEnd w:id="709"/>
      <w:r>
        <w:rPr>
          <w:rtl w:val="true"/>
        </w:rPr>
        <w:t>[</w:t>
      </w:r>
      <w:r>
        <w:rPr>
          <w:rtl w:val="true"/>
        </w:rPr>
        <w:t>الدلیل فی اصطلاح الاصولیین</w:t>
      </w:r>
      <w:r>
        <w:rPr>
          <w:rtl w:val="true"/>
        </w:rPr>
        <w:t>]</w:t>
      </w:r>
      <w:bookmarkEnd w:id="7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فی تعریفه من النظر فهو أنّ الدلیل فی اصطلاح الأصولیین هو ما </w:t>
      </w:r>
    </w:p>
    <w:p>
      <w:pPr>
        <w:pStyle w:val="BookText"/>
        <w:rPr/>
      </w:pPr>
      <w:r>
        <w:rPr>
          <w:rFonts w:ascii="IRNazanin" w:hAnsi="IRNazanin" w:eastAsia="IRNazanin"/>
          <w:color w:val="111111"/>
          <w:sz w:val="28"/>
          <w:sz w:val="28"/>
          <w:szCs w:val="28"/>
          <w:rtl w:val="true"/>
          <w:lang w:bidi="fa-IR"/>
        </w:rPr>
        <w:t xml:space="preserve">یمکن التوصل به إلی مطلوب خبری، و المراد من الوصول أعمّ من المرکّبات من القضایا و من المفردات التی یمکن التوصّل بالنظر الصحیح فیها إلی المطلوب الخبری سواء کانت قضیة واحدة أو غیرها، فالعالم عند الاصولیین دلیل علی إثبات الصانع، و عند المنطقیین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 و کلّ حادث له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تری الاصولیین یریدون بالأدلّة الفقهیة الکتاب و السنّة و الإجماع و العقل، فإمکان التوصل و إن کان ظاهره شأنیة التوصّل کالمفردات، فیخرج بقید الإمکان ما له فعلیة التوصل کالقضایا المرکّبة، إلّا أنّ الأظهر المصرّح به فی حاشیة القوانین کون المراد من الإمکان ما قابل الاستحالة ممّا لا یستحیل التوصل به، فیدخل فی تعریف الدلیل الدلیل المغفول عنه و إن لم یکن فیه فعلیة التوصل و لا الشأنیة القریبة، فلا یشترط شأنیة التوصل حتی یخرج الفعلی، و لا فعلیته حتی یخرج الشأنی و قید الخبری لإخراج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وجه العدول فی تعریف دلیل العقل عن عموم إمکان التوصّل المصرّح به إلی حصول نفس التوصل المستلزم لإخراج الدلیل الشأنی فضلا عن الشأنی البعید شأنیته المقابل للاستحالة کالمغفول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تقسیمه من النظر فلأنّ الاستلزامات التی هی أقوی أمثلة القسم الثانی کوجوب مقدمة الواجب و حرمة ضدّه و امتناع اجتماع الأمر و النهی و استصحاب الحال کلّها من القسم الأول، الذی یحکم به العقل من دون توسط خطاب الشرع، نظرا إلی بداهة حکم العقل بوجوب مقدّمة الواجب کلّیة و حرمة ضدّه کلیة و امتناع اجتماع الأمر و النهی و استصحاب الحال من دون توسّط خطاب، بل و مع فرض عدم وجود خطاب أصلا فما وجه تقسیم حکم العقل بقسمین بعد رجوع الثانی إلی الأول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أقسامه من النظر فلإدخالهم المفاهیم فی غیر المستقلّ من الأدلّة العقلیة مع أنّها من الاستلزامات العرفیة و الالتزامات البیّنة بالمعنی الأخصّ </w:t>
      </w:r>
    </w:p>
    <w:p>
      <w:pPr>
        <w:pStyle w:val="BookText"/>
        <w:rPr/>
      </w:pPr>
      <w:r>
        <w:rPr>
          <w:rFonts w:ascii="IRNazanin" w:hAnsi="IRNazanin" w:eastAsia="IRNazanin"/>
          <w:color w:val="111111"/>
          <w:sz w:val="28"/>
          <w:sz w:val="28"/>
          <w:szCs w:val="28"/>
          <w:rtl w:val="true"/>
          <w:lang w:bidi="fa-IR"/>
        </w:rPr>
        <w:t>المعدودة من عداد الدلالات اللفظیة الخارجة عن قسمی الأدلّة العقلیة، کما یشهد به الاستناد فیها إلی التبادر و الاستقراء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من إدخال المفاهیم فیها إدخال الاستلزامات الشرعیة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قصّرت أفطرت، و کلّما أفطرت قصّرت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الاعتذار عن أخصّیّة الحدّ بواسطة تجریده عن قید الإمکان بأنّه مسوق لشرح الاسم و امتیاز المسمّی عمّا عداه فی الجملة لا بالجملة، فهو من التقریبات اللفظیة لا من التحدیدات الحقیقیة، فکأنّه فی مقام امتیاز دلیل العقل عن النقل عند الفراغ عن سائر قیوده و فصوله، و ما کان من المعرّفات کذلک جاز تعریفه بالأخصّ کما جاز بالأعمّ، بل و بالمبائن فی جمیع الفنون، أ لا تری تعریف الصرفیین الثلاثی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کان علی ثلاثة أحرف، لمجرّد امتیازه عن الرباعی مع عدم انتقاضه بشمول الاسم لانطواء قید الفعلیة فیه، و تعریف الفقهاء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الإیجاب و القبول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امتیازه عن الصلح و الإجارة مع عدم انتقاضه بمباینة المسمّی، فضلا عن عمومه و 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سائر التعریفات المسوقة لمجرد امتیاز المعرّف عن بعض مشارکاته المفروغ امتیازه عن سائر مشارکاته و المطوی فیها سائر قیود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یبتنی ما تراه من کثرة التعریفات المتداولة و المتعارفة فی جمیع الفنون و العلوم بالأخصّ و الأعمّ و المباین علی وجه لا یکاد یسلم شیئا منها عن شی‌ء، فلا یخفی صحّة هذا المبنی و ما یبتنی علیه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یمکن الجواب عن الإشکال الثانی بأنّ ما یستقل بحکمه العقل من دون توسط خطاب الشرع من الاستلزامات هو کلّی وجوب مقدّمة الواجب و حرمة ضدّه، و اجتماع الأمر و النهی، و استصحاب الحال علی وجه الفرض </w:t>
      </w:r>
      <w:bookmarkStart w:id="711" w:name="pg12856_162679"/>
    </w:p>
    <w:p>
      <w:pPr>
        <w:pStyle w:val="BookText"/>
        <w:rPr/>
      </w:pPr>
      <w:bookmarkEnd w:id="711"/>
      <w:r>
        <w:rPr>
          <w:rFonts w:ascii="IRNazanin" w:hAnsi="IRNazanin" w:eastAsia="IRNazanin"/>
          <w:color w:val="111111"/>
          <w:sz w:val="28"/>
          <w:sz w:val="28"/>
          <w:szCs w:val="28"/>
          <w:rtl w:val="true"/>
          <w:lang w:bidi="fa-IR"/>
        </w:rPr>
        <w:t>و التعلیق الغیر النافع للفقیه فی مقام فعلیة الفتوی و التنجیز، و أمّا النافع للفقیه فی الموارد الجزئیة المحتاجة إلی فعلیة الفتوی فیها و الحکم التنجیزی بوجوب المقدّمة و حرمة الضدّ و امتناع اجتماع الأمر و النهی و استصحاب الحال فی الموارد الجزئیة فیتوقف علی توسط خطاب الشرع البتّة، و تحقق الوقوع فی المفروض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یمکن الجواب أیضا عن إشکال دخول المفاهیم فی مدالیل العقل بتوسط خطاب الشرع بأنّ دخولها فی المدالیل اللفظیة إنّما هو بالنظر إلی دلالة اللفظ علی ملزومها و منطوقها الدالّ علی أصل التعلیق و الربط بین الشیئین، و أمّا دلالة ذلک الملزوم و المنطوق علی الربط و تعلیق شی‌ء علی شی‌ء علی الانتفاء عند الانتفاء فإنّما هو بحکم العقل بعد توسط خطاب الشرع، و هو المنطوق و الملزوم اللفظی کما لا یخفی</w:t>
      </w:r>
      <w:r>
        <w:rPr>
          <w:rFonts w:eastAsia="IRNazanin" w:cs="IRNazanin"/>
          <w:color w:val="111111"/>
          <w:sz w:val="28"/>
          <w:szCs w:val="28"/>
          <w:rtl w:val="true"/>
          <w:lang w:bidi="fa-IR"/>
        </w:rPr>
        <w:t>.</w:t>
      </w:r>
    </w:p>
    <w:p>
      <w:pPr>
        <w:pStyle w:val="Heading4"/>
        <w:numPr>
          <w:ilvl w:val="3"/>
          <w:numId w:val="1"/>
        </w:numPr>
        <w:rPr/>
      </w:pPr>
      <w:bookmarkStart w:id="712" w:name="__RefHeading___Toc2646826_3224264995"/>
      <w:bookmarkStart w:id="713" w:name="_Toc284"/>
      <w:bookmarkEnd w:id="712"/>
      <w:r>
        <w:rPr>
          <w:rtl w:val="true"/>
        </w:rPr>
        <w:t>[</w:t>
      </w:r>
      <w:r>
        <w:rPr>
          <w:rtl w:val="true"/>
        </w:rPr>
        <w:t>وجه إطلاق العقلی علی کلا قسمی دلیل العقل</w:t>
      </w:r>
      <w:r>
        <w:rPr>
          <w:rtl w:val="true"/>
        </w:rPr>
        <w:t>]</w:t>
      </w:r>
      <w:bookmarkEnd w:id="713"/>
    </w:p>
    <w:p>
      <w:pPr>
        <w:pStyle w:val="BookText"/>
        <w:rPr/>
      </w:pPr>
      <w:r>
        <w:rPr>
          <w:rFonts w:ascii="IRNazanin" w:hAnsi="IRNazanin" w:eastAsia="IRNazanin"/>
          <w:color w:val="111111"/>
          <w:sz w:val="28"/>
          <w:sz w:val="28"/>
          <w:szCs w:val="28"/>
          <w:rtl w:val="true"/>
          <w:lang w:bidi="fa-IR"/>
        </w:rPr>
        <w:t>ثمّ إنّ إطلاق العقلی علی کلّ من قسمیه المستقلّ الغیر المحتاج إلی توسط خطاب الشرع و الغیر المستقلّ المحتاج إلیه هل هو علی وجه 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کالعین فی النابعة و الباکیة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علی وجه الاشتراک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کالعالم فی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و الأصل الثانی لا الأول، لأصالة عدم النقل و الاشتراک</w:t>
      </w:r>
      <w:r>
        <w:rPr>
          <w:rFonts w:eastAsia="IRNazanin" w:cs="IRNazanin"/>
          <w:color w:val="111111"/>
          <w:sz w:val="28"/>
          <w:szCs w:val="28"/>
          <w:rtl w:val="true"/>
          <w:lang w:bidi="fa-IR"/>
        </w:rPr>
        <w:t>.</w:t>
      </w:r>
    </w:p>
    <w:p>
      <w:pPr>
        <w:pStyle w:val="Heading4"/>
        <w:numPr>
          <w:ilvl w:val="3"/>
          <w:numId w:val="1"/>
        </w:numPr>
        <w:rPr/>
      </w:pPr>
      <w:bookmarkStart w:id="714" w:name="__RefHeading___Toc2646828_3224264995"/>
      <w:bookmarkStart w:id="715" w:name="_Toc285"/>
      <w:bookmarkEnd w:id="714"/>
      <w:r>
        <w:rPr>
          <w:rtl w:val="true"/>
        </w:rPr>
        <w:t>[</w:t>
      </w:r>
      <w:r>
        <w:rPr>
          <w:rtl w:val="true"/>
        </w:rPr>
        <w:t>المراد من العقل هنا و فی اشتراط التکلیف به</w:t>
      </w:r>
      <w:r>
        <w:rPr>
          <w:rtl w:val="true"/>
        </w:rPr>
        <w:t>]</w:t>
      </w:r>
      <w:bookmarkEnd w:id="715"/>
    </w:p>
    <w:p>
      <w:pPr>
        <w:pStyle w:val="BookText"/>
        <w:rPr/>
      </w:pPr>
      <w:r>
        <w:rPr>
          <w:rFonts w:ascii="IRNazanin" w:hAnsi="IRNazanin" w:eastAsia="IRNazanin"/>
          <w:color w:val="111111"/>
          <w:sz w:val="28"/>
          <w:sz w:val="28"/>
          <w:szCs w:val="28"/>
          <w:rtl w:val="true"/>
          <w:lang w:bidi="fa-IR"/>
        </w:rPr>
        <w:t>ثمّ المراد من العقل فی محلّ الکلام و فی اشتراط التکلیف و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هل هو عقل العقل بالهیولی، أو بالملکة، أو بالفعل، أو العقل المستفاد، أظهرها الثانی</w:t>
      </w:r>
      <w:r>
        <w:rPr>
          <w:rFonts w:eastAsia="IRNazanin" w:cs="IRNazanin"/>
          <w:color w:val="111111"/>
          <w:sz w:val="28"/>
          <w:szCs w:val="28"/>
          <w:rtl w:val="true"/>
          <w:lang w:bidi="fa-IR"/>
        </w:rPr>
        <w:t>.</w:t>
      </w:r>
    </w:p>
    <w:p>
      <w:pPr>
        <w:pStyle w:val="Heading4"/>
        <w:numPr>
          <w:ilvl w:val="3"/>
          <w:numId w:val="1"/>
        </w:numPr>
        <w:rPr/>
      </w:pPr>
      <w:bookmarkStart w:id="716" w:name="__RefHeading___Toc2646830_3224264995"/>
      <w:bookmarkStart w:id="717" w:name="_Toc286"/>
      <w:bookmarkEnd w:id="716"/>
      <w:r>
        <w:rPr>
          <w:rtl w:val="true"/>
        </w:rPr>
        <w:t>[</w:t>
      </w:r>
      <w:r>
        <w:rPr>
          <w:rtl w:val="true"/>
        </w:rPr>
        <w:t>مراتب الاتّصاف بصفة العقل</w:t>
      </w:r>
      <w:r>
        <w:rPr>
          <w:rtl w:val="true"/>
        </w:rPr>
        <w:t>]</w:t>
      </w:r>
      <w:bookmarkEnd w:id="7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اتصاف العاقل بصفة العقل کاتصاف الکاتب بصفة الکتابة له مراتب و اعتبارات أول مرتبة صدق الکاتب هو مرتبة انعقاد نطفته باعتبار القابلیة البعیدة فی مقابل ما لیس له تلک القابلیة من الحیوانات فیسمّی الکاتب بهذا </w:t>
      </w:r>
    </w:p>
    <w:p>
      <w:pPr>
        <w:pStyle w:val="BookText"/>
        <w:rPr/>
      </w:pPr>
      <w:r>
        <w:rPr>
          <w:rFonts w:ascii="IRNazanin" w:hAnsi="IRNazanin" w:eastAsia="IRNazanin"/>
          <w:color w:val="111111"/>
          <w:sz w:val="28"/>
          <w:sz w:val="28"/>
          <w:szCs w:val="28"/>
          <w:rtl w:val="true"/>
          <w:lang w:bidi="fa-IR"/>
        </w:rPr>
        <w:t>الاعتبار فی اصطلاح الحکماء کاتبا بالهیولی، و یتلو هذه المرتبة قابلیته القریبة إلی الفعل و یسمّی بهذا الاعتبار فی اصطلاح الحکماء کاتبا بالملکة، و یتلو هذه المرتبة مرتبة تحصیل الکتابة و تصدیرها منه و یسمّی بهذا الاعتبار فی هذه المرتبة کاتبا بالفعل، و یتلو هذه المرتبة مرتبة حصول الکتابة و صدورها منه علی وجه الکثرة و الغلبة الموجبة للمهارة فی الوصف و یسمّی بهذا الاعتبار فی هذه المرتبة کاتبا بالمستفاد کذلک العاقل له مرتبة لا یدرک فیها حسن الأشیاء و قبحها کما قبل التمییز و یسمّی فی هذه المرتبة عاقلا بالهیولی و یتلو هذه المرتبة مرتبة یدرک فیها الحسن و القبح کما بعد التمییز و یسمّی فی هذه المرتبة عاقلا بالملکة، و یتلوه مرتبة ترتیبه المقدّمات الضروریة الموصلة إلی المطلوب و یسمّی فی هذه المرتبة عاقلا بالفعل، و یتلوه مرتبة استنتاج النتیجة و حصولها علی وجه الغلبة و الکثرة الموجبة لمهارته و حذاقته و یسمّی فی هذه المرتبة عاقلا بالمستفاد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العاقل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هو حکم عقلیّ یتوصّل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التکلیف العقل، و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العاقل بالملکة دون الهیولی لعدم تلبّسه بالعقل بعد، و دون الفعلی فضلا عن المستفاد، و ذلک لأنّ العاقل کالعالم مما یعتبر فی تلبّسه الملکة لا الفعل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الدلیل المرکّب من القضایا إمّا أن یکون الصغری و الکبری منه کلاهما عقلیین أو نقلیین أو مختلفین، و لا إشکال فی تسمیة الدلیل المرکّب من العقلیین عقلیا، کما لا إشکال فی تسمیة المرکّب من النقلیین نقلیا، إنّما الإشکال فی تسمیة المرکّب من المختلفین بالعقلی أو بالنقلی أو بکلاهما باعتبارین، فباعتبار أحد مقدّمتیه عقلیا، و باعتبار الاخری نقلیا وجوه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الإشکال إنّما یتوجه علی ما هو المصطلح عند المنطقیین من </w:t>
      </w:r>
      <w:bookmarkStart w:id="718" w:name="pg12856_162681"/>
    </w:p>
    <w:p>
      <w:pPr>
        <w:pStyle w:val="BookText"/>
        <w:rPr/>
      </w:pPr>
      <w:bookmarkEnd w:id="718"/>
      <w:r>
        <w:rPr>
          <w:rFonts w:ascii="IRNazanin" w:hAnsi="IRNazanin" w:eastAsia="IRNazanin"/>
          <w:color w:val="111111"/>
          <w:sz w:val="28"/>
          <w:sz w:val="28"/>
          <w:szCs w:val="28"/>
          <w:rtl w:val="true"/>
          <w:lang w:bidi="fa-IR"/>
        </w:rPr>
        <w:t>اعتبارهم فی الدلیل الترکیب من مجموع الصغری و الکبری، و أمّا علی مصطلح الاصولیین من صدق الدلیل علی المفرد أیضا فالعبرة فی العقلیة و النقلیة علی کلّ من الصغری و الکبری بنفسه، و علی ذلک یسمّی المرکّب من المختلفین بالعقلی و النقلی معا حقیقة لا اعتبارا لتعدّد الدلیل حینئذ بالحقیقة، لا بمجرد الاعتبار فلا یخفی</w:t>
      </w:r>
      <w:r>
        <w:rPr>
          <w:rFonts w:eastAsia="IRNazanin" w:cs="IRNazanin"/>
          <w:color w:val="111111"/>
          <w:sz w:val="28"/>
          <w:szCs w:val="28"/>
          <w:rtl w:val="true"/>
          <w:lang w:bidi="fa-IR"/>
        </w:rPr>
        <w:t>.</w:t>
      </w:r>
    </w:p>
    <w:p>
      <w:pPr>
        <w:pStyle w:val="Heading4"/>
        <w:numPr>
          <w:ilvl w:val="3"/>
          <w:numId w:val="1"/>
        </w:numPr>
        <w:rPr/>
      </w:pPr>
      <w:bookmarkStart w:id="719" w:name="__RefHeading___Toc2646832_3224264995"/>
      <w:bookmarkStart w:id="720" w:name="_Toc287"/>
      <w:bookmarkEnd w:id="719"/>
      <w:r>
        <w:rPr>
          <w:rtl w:val="true"/>
        </w:rPr>
        <w:t>[</w:t>
      </w:r>
      <w:r>
        <w:rPr>
          <w:rtl w:val="true"/>
        </w:rPr>
        <w:t>وجه عدم تسمیة أصالة البراءة المستندة إلی قبح العقاب بلا بیان حکما</w:t>
      </w:r>
      <w:r>
        <w:rPr>
          <w:rtl w:val="true"/>
        </w:rPr>
        <w:t>]</w:t>
      </w:r>
      <w:bookmarkEnd w:id="720"/>
    </w:p>
    <w:p>
      <w:pPr>
        <w:pStyle w:val="BookText"/>
        <w:rPr/>
      </w:pPr>
      <w:r>
        <w:rPr>
          <w:rFonts w:ascii="IRNazanin" w:hAnsi="IRNazanin" w:eastAsia="IRNazanin"/>
          <w:color w:val="111111"/>
          <w:sz w:val="28"/>
          <w:sz w:val="28"/>
          <w:szCs w:val="28"/>
          <w:rtl w:val="true"/>
          <w:lang w:bidi="fa-IR"/>
        </w:rPr>
        <w:t>ثمّ إنّ من جملة أقسام العقل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المستندة إلی قبح العقاب بلا بیان، و أمّا عدم عدّها من الأحکام العقلیة فناظر إلی تعریف الحکم بخطاب اللّه المتعلّق بأفعال المکلفین من حیث الاقتضاء و التخییر، فلا یشمل نفی الحکم و لا مشاحة فیه</w:t>
      </w:r>
      <w:r>
        <w:rPr>
          <w:rFonts w:eastAsia="IRNazanin" w:cs="IRNazanin"/>
          <w:color w:val="111111"/>
          <w:sz w:val="28"/>
          <w:szCs w:val="28"/>
          <w:rtl w:val="true"/>
          <w:lang w:bidi="fa-IR"/>
        </w:rPr>
        <w:t>.</w:t>
      </w:r>
    </w:p>
    <w:p>
      <w:pPr>
        <w:pStyle w:val="Heading4"/>
        <w:numPr>
          <w:ilvl w:val="3"/>
          <w:numId w:val="1"/>
        </w:numPr>
        <w:rPr/>
      </w:pPr>
      <w:bookmarkStart w:id="721" w:name="__RefHeading___Toc2646834_3224264995"/>
      <w:bookmarkStart w:id="722" w:name="_Toc288"/>
      <w:bookmarkEnd w:id="721"/>
      <w:r>
        <w:rPr>
          <w:rtl w:val="true"/>
        </w:rPr>
        <w:t>[</w:t>
      </w:r>
      <w:r>
        <w:rPr>
          <w:rtl w:val="true"/>
        </w:rPr>
        <w:t>أصل الإباحة دلیل عقلی</w:t>
      </w:r>
      <w:r>
        <w:rPr>
          <w:rtl w:val="true"/>
        </w:rPr>
        <w:t>]</w:t>
      </w:r>
      <w:bookmarkEnd w:id="722"/>
    </w:p>
    <w:p>
      <w:pPr>
        <w:pStyle w:val="BookText"/>
        <w:rPr/>
      </w:pPr>
      <w:r>
        <w:rPr>
          <w:rFonts w:ascii="IRNazanin" w:hAnsi="IRNazanin" w:eastAsia="IRNazanin"/>
          <w:color w:val="111111"/>
          <w:sz w:val="28"/>
          <w:sz w:val="28"/>
          <w:szCs w:val="28"/>
          <w:rtl w:val="true"/>
          <w:lang w:bidi="fa-IR"/>
        </w:rPr>
        <w:t>و من جملة الأدلّة العقلیة أصالة الإباحة، کما صرّح غیر واحد من الفحول بأنّ إباحة الأشیاء النافعة الخالیة عن أمارة المضرّة، کشمّ الریاحین من مستقلّات العقل نظرا إلی أنّ العقل یستقلّ من شاهد حال و نحوه باستحالة مؤاخذة المولی عبده، أو استبعاد مؤاخذته جدّا علی الاستنفاع بالأشیاء النافعة الخالیة عن أمارة المضرّة به و لا بالمولی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لم یعدّه من الأدلّة العقلیة فلعلّه من جهة توهم رجوعه إلی أصالة البراءة النافیة للحکم لا المثبتة له</w:t>
      </w:r>
      <w:r>
        <w:rPr>
          <w:rFonts w:eastAsia="IRNazanin" w:cs="IRNazanin"/>
          <w:color w:val="111111"/>
          <w:sz w:val="28"/>
          <w:szCs w:val="28"/>
          <w:rtl w:val="true"/>
          <w:lang w:bidi="fa-IR"/>
        </w:rPr>
        <w:t>.</w:t>
      </w:r>
    </w:p>
    <w:p>
      <w:pPr>
        <w:pStyle w:val="Heading4"/>
        <w:numPr>
          <w:ilvl w:val="3"/>
          <w:numId w:val="1"/>
        </w:numPr>
        <w:rPr/>
      </w:pPr>
      <w:bookmarkStart w:id="723" w:name="__RefHeading___Toc2646836_3224264995"/>
      <w:bookmarkStart w:id="724" w:name="_Toc289"/>
      <w:bookmarkEnd w:id="723"/>
      <w:r>
        <w:rPr>
          <w:rtl w:val="true"/>
        </w:rPr>
        <w:t>[</w:t>
      </w:r>
      <w:r>
        <w:rPr>
          <w:rtl w:val="true"/>
        </w:rPr>
        <w:t>افتراق أصل الإباحة عن أصل البراءة</w:t>
      </w:r>
      <w:r>
        <w:rPr>
          <w:rtl w:val="true"/>
        </w:rPr>
        <w:t>]</w:t>
      </w:r>
      <w:bookmarkEnd w:id="72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بأنّهما و إن اتحدا من حیث جریان کلّ منهما فی الشکّ فی الحکم و فی الشکّ فی الموضوع، إلّا أنّهما یفترقان من حیث إنّ مضمون أدلّة البراءة من قبح العقاب بلا بیان و حدیث الرفع</w:t>
      </w:r>
      <w:r>
        <w:rPr>
          <w:rStyle w:val="FootnoteAnchor"/>
          <w:rtl w:val="true"/>
        </w:rPr>
        <w:footnoteReference w:id="216"/>
      </w:r>
      <w:r>
        <w:rPr>
          <w:rFonts w:ascii="IRNazanin" w:hAnsi="IRNazanin" w:eastAsia="IRNazanin"/>
          <w:color w:val="111111"/>
          <w:sz w:val="28"/>
          <w:sz w:val="28"/>
          <w:szCs w:val="28"/>
          <w:rtl w:val="true"/>
          <w:lang w:bidi="fa-IR"/>
        </w:rPr>
        <w:t>و الوضع</w:t>
      </w:r>
      <w:r>
        <w:rPr>
          <w:rStyle w:val="FootnoteAnchor"/>
          <w:rtl w:val="true"/>
        </w:rPr>
        <w:footnoteReference w:id="217"/>
      </w:r>
      <w:r>
        <w:rPr>
          <w:rFonts w:ascii="IRNazanin" w:hAnsi="IRNazanin" w:eastAsia="IRNazanin"/>
          <w:color w:val="111111"/>
          <w:sz w:val="28"/>
          <w:sz w:val="28"/>
          <w:szCs w:val="28"/>
          <w:rtl w:val="true"/>
          <w:lang w:bidi="fa-IR"/>
        </w:rPr>
        <w:t>هو نفی العقاب، دون إنشاء الحکم، بخلاف مضمون أدلّة الإباحة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18"/>
      </w:r>
      <w:bookmarkStart w:id="725" w:name="pg12856_162682"/>
    </w:p>
    <w:p>
      <w:pPr>
        <w:pStyle w:val="BookText"/>
        <w:rPr/>
      </w:pPr>
      <w:bookmarkEnd w:id="72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2646838_3224264995"/>
      <w:bookmarkStart w:id="727" w:name="_Toc290"/>
      <w:bookmarkEnd w:id="726"/>
      <w:r>
        <w:rPr>
          <w:rtl w:val="true"/>
        </w:rPr>
        <w:t>[</w:t>
      </w:r>
      <w:r>
        <w:rPr>
          <w:rtl w:val="true"/>
        </w:rPr>
        <w:t>مستند أصل الإباحة</w:t>
      </w:r>
      <w:r>
        <w:rPr>
          <w:rtl w:val="true"/>
        </w:rPr>
        <w:t>]</w:t>
      </w:r>
      <w:bookmarkEnd w:id="727"/>
    </w:p>
    <w:p>
      <w:pPr>
        <w:pStyle w:val="BookText"/>
        <w:rPr/>
      </w:pPr>
      <w:r>
        <w:rPr>
          <w:rFonts w:ascii="IRNazanin" w:hAnsi="IRNazanin" w:eastAsia="IRNazanin"/>
          <w:color w:val="111111"/>
          <w:sz w:val="28"/>
          <w:sz w:val="28"/>
          <w:szCs w:val="28"/>
          <w:rtl w:val="true"/>
          <w:lang w:bidi="fa-IR"/>
        </w:rPr>
        <w:t>و باختلاف مستندها لمستند البراءة حیث إنّ مستند البراءة هو قبح العقاب بلا بیان، و مستند أصالة الإباحة هو استحالة العقل من شاهد حال و نحوه مؤاخذة المولی عبده أو استبعاده جدّا مؤاخذته علی استنفاعه بالأشیاء النافعة الخالیة عن أمارة المضرّة به و لا بالمولی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من جهة توهم استناد مأخذ الإباحة إلی مجرد الظنّ و هو استبعاد مؤاخذة المولی عبده علی الاستنفاع بالأشیاء النافعة الخالیة عن أمارة المضرّة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مأخذه إلی استحالة العقل المؤاخذة من شاهد حال و نحوه، لا إلی مجرّد الاستبعاد</w:t>
      </w:r>
      <w:r>
        <w:rPr>
          <w:rFonts w:eastAsia="IRNazanin" w:cs="IRNazanin"/>
          <w:color w:val="111111"/>
          <w:sz w:val="28"/>
          <w:szCs w:val="28"/>
          <w:rtl w:val="true"/>
          <w:lang w:bidi="fa-IR"/>
        </w:rPr>
        <w:t>.</w:t>
      </w:r>
    </w:p>
    <w:p>
      <w:pPr>
        <w:pStyle w:val="Heading4"/>
        <w:numPr>
          <w:ilvl w:val="3"/>
          <w:numId w:val="1"/>
        </w:numPr>
        <w:rPr/>
      </w:pPr>
      <w:bookmarkStart w:id="728" w:name="__RefHeading___Toc2646840_3224264995"/>
      <w:bookmarkStart w:id="729" w:name="_Toc291"/>
      <w:bookmarkEnd w:id="728"/>
      <w:r>
        <w:rPr>
          <w:rtl w:val="true"/>
        </w:rPr>
        <w:t>[</w:t>
      </w:r>
      <w:r>
        <w:rPr>
          <w:rtl w:val="true"/>
        </w:rPr>
        <w:t>انقسام دلیل العقل إلی قطعی و ظنّی</w:t>
      </w:r>
      <w:r>
        <w:rPr>
          <w:rtl w:val="true"/>
        </w:rPr>
        <w:t>]</w:t>
      </w:r>
      <w:bookmarkEnd w:id="729"/>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استناده إلی مجرد الاستبعاد لکن لا یخرجه ذلک عن الدلیل العقلی، إذ الدلیل العقلی کسائر الأدلّة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ظنّی، فالظنّی من العقلی أیضا مندرج فی العقلی و إن کان کلام فهو فی حجّیة الظنّی من العقلی لا فی عقلیته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من جهة توهم استناد مأخذها إلی مجرد الأدلّة النقلیة،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تعلم الحرام بعینه</w:t>
      </w:r>
      <w:r>
        <w:rPr>
          <w:rFonts w:eastAsia="IRNazanin" w:cs="IRNazanin"/>
          <w:color w:val="111111"/>
          <w:sz w:val="28"/>
          <w:szCs w:val="28"/>
          <w:rtl w:val="true"/>
          <w:lang w:bidi="fa-IR"/>
        </w:rPr>
        <w:t>».</w:t>
      </w:r>
    </w:p>
    <w:p>
      <w:pPr>
        <w:pStyle w:val="Heading4"/>
        <w:numPr>
          <w:ilvl w:val="3"/>
          <w:numId w:val="1"/>
        </w:numPr>
        <w:rPr/>
      </w:pPr>
      <w:bookmarkStart w:id="730" w:name="__RefHeading___Toc2646842_3224264995"/>
      <w:bookmarkStart w:id="731" w:name="_Toc292"/>
      <w:bookmarkEnd w:id="730"/>
      <w:r>
        <w:rPr>
          <w:rtl w:val="true"/>
        </w:rPr>
        <w:t>[</w:t>
      </w:r>
      <w:r>
        <w:rPr>
          <w:rtl w:val="true"/>
        </w:rPr>
        <w:t>أعمّیة مورد أصل الإباحة الشرعیة بالنسبة للعقلیة منها</w:t>
      </w:r>
      <w:r>
        <w:rPr>
          <w:rtl w:val="true"/>
        </w:rPr>
        <w:t>]</w:t>
      </w:r>
      <w:bookmarkEnd w:id="731"/>
    </w:p>
    <w:p>
      <w:pPr>
        <w:pStyle w:val="BookText"/>
        <w:rPr/>
      </w:pPr>
      <w:r>
        <w:rPr>
          <w:rFonts w:ascii="IRNazanin" w:hAnsi="IRNazanin" w:eastAsia="IRNazanin"/>
          <w:color w:val="111111"/>
          <w:sz w:val="28"/>
          <w:sz w:val="28"/>
          <w:szCs w:val="28"/>
          <w:rtl w:val="true"/>
          <w:lang w:bidi="fa-IR"/>
        </w:rPr>
        <w:t>و یضعف بأنّ المستند إلی الأدلّة السمعیة إنّما هو الإباحة الشرعیة التی یعمّ موردها الأشیاء النافعة کشمّ الطیب و الغیر النافعة کشرب التتن، لا الإباحة العقلیة المنحصر موردها بالأشیاء النافعة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لعلّه من جهة اقتصار نظرهم إلی جزئیات عنوانه الکلّی التی لا یستقلّ بها العقل، کشمّ الورد و أکل الفاکهة و غیرها من جزئیاته التی لا یستقلّ العقل </w:t>
      </w:r>
      <w:bookmarkStart w:id="732" w:name="pg12856_162683"/>
    </w:p>
    <w:p>
      <w:pPr>
        <w:pStyle w:val="BookText"/>
        <w:rPr/>
      </w:pPr>
      <w:bookmarkEnd w:id="732"/>
      <w:r>
        <w:rPr>
          <w:rFonts w:ascii="IRNazanin" w:hAnsi="IRNazanin" w:eastAsia="IRNazanin"/>
          <w:color w:val="111111"/>
          <w:sz w:val="28"/>
          <w:sz w:val="28"/>
          <w:szCs w:val="28"/>
          <w:rtl w:val="true"/>
          <w:lang w:bidi="fa-IR"/>
        </w:rPr>
        <w:t>بإباحتها من حیث الخصوص، و إلّا فإباحة عنوانها الکلّی و هو الشی‌ء النافع الخالی عن أمارة المضرّة مما یستقلّ بإباحته العقل من غیر وساطة خطاب الشرع</w:t>
      </w:r>
      <w:r>
        <w:rPr>
          <w:rFonts w:eastAsia="IRNazanin" w:cs="IRNazanin"/>
          <w:color w:val="111111"/>
          <w:sz w:val="28"/>
          <w:szCs w:val="28"/>
          <w:rtl w:val="true"/>
          <w:lang w:bidi="fa-IR"/>
        </w:rPr>
        <w:t>.</w:t>
      </w:r>
    </w:p>
    <w:p>
      <w:pPr>
        <w:pStyle w:val="Heading4"/>
        <w:numPr>
          <w:ilvl w:val="3"/>
          <w:numId w:val="1"/>
        </w:numPr>
        <w:rPr/>
      </w:pPr>
      <w:bookmarkStart w:id="733" w:name="__RefHeading___Toc2646844_3224264995"/>
      <w:bookmarkStart w:id="734" w:name="_Toc293"/>
      <w:bookmarkEnd w:id="733"/>
      <w:r>
        <w:rPr>
          <w:rtl w:val="true"/>
        </w:rPr>
        <w:t>[</w:t>
      </w:r>
      <w:r>
        <w:rPr>
          <w:rtl w:val="true"/>
        </w:rPr>
        <w:t>القول باعتبار الاستصحاب و الید و السوق بحکم العقل</w:t>
      </w:r>
      <w:r>
        <w:rPr>
          <w:rtl w:val="true"/>
        </w:rPr>
        <w:t>]</w:t>
      </w:r>
      <w:bookmarkEnd w:id="734"/>
    </w:p>
    <w:p>
      <w:pPr>
        <w:pStyle w:val="BookText"/>
        <w:rPr/>
      </w:pPr>
      <w:r>
        <w:rPr>
          <w:rFonts w:ascii="IRNazanin" w:hAnsi="IRNazanin" w:eastAsia="IRNazanin"/>
          <w:color w:val="111111"/>
          <w:sz w:val="28"/>
          <w:sz w:val="28"/>
          <w:szCs w:val="28"/>
          <w:rtl w:val="true"/>
          <w:lang w:bidi="fa-IR"/>
        </w:rPr>
        <w:t>و من جملة 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الاستصحاب و الید و السوق، علی القول بأنّ اعتبارها الشارع لیس من باب الجعل و التنزیل بل إنّما هو من باب البیان لحکم العقل باعتبارها من جهة أنّ قوام نظم العالم و أساس عیش بنی آدم علیه، فإنّ هذا النوع من الظنّ أیضا من الجبلیّات المقهور علیها الطبع غیر قابل للجعل، لا إثباتا و لا نفیا</w:t>
      </w:r>
      <w:r>
        <w:rPr>
          <w:rFonts w:eastAsia="IRNazanin" w:cs="IRNazanin"/>
          <w:color w:val="111111"/>
          <w:sz w:val="28"/>
          <w:szCs w:val="28"/>
          <w:rtl w:val="true"/>
          <w:lang w:bidi="fa-IR"/>
        </w:rPr>
        <w:t>.</w:t>
      </w:r>
    </w:p>
    <w:p>
      <w:pPr>
        <w:pStyle w:val="Heading4"/>
        <w:numPr>
          <w:ilvl w:val="3"/>
          <w:numId w:val="1"/>
        </w:numPr>
        <w:rPr/>
      </w:pPr>
      <w:bookmarkStart w:id="735" w:name="__RefHeading___Toc2646846_3224264995"/>
      <w:bookmarkStart w:id="736" w:name="_Toc294"/>
      <w:bookmarkEnd w:id="735"/>
      <w:r>
        <w:rPr>
          <w:rtl w:val="true"/>
        </w:rPr>
        <w:t>[</w:t>
      </w:r>
      <w:r>
        <w:rPr>
          <w:rtl w:val="true"/>
        </w:rPr>
        <w:t>حجّیة إدراک العقل غیر المستقل</w:t>
      </w:r>
      <w:r>
        <w:rPr>
          <w:rtl w:val="true"/>
        </w:rPr>
        <w:t>]</w:t>
      </w:r>
      <w:bookmarkEnd w:id="736"/>
    </w:p>
    <w:p>
      <w:pPr>
        <w:pStyle w:val="BookText"/>
        <w:rPr/>
      </w:pPr>
      <w:r>
        <w:rPr>
          <w:rFonts w:ascii="IRNazanin" w:hAnsi="IRNazanin" w:eastAsia="IRNazanin"/>
          <w:color w:val="111111"/>
          <w:sz w:val="28"/>
          <w:sz w:val="28"/>
          <w:szCs w:val="28"/>
          <w:rtl w:val="true"/>
          <w:lang w:bidi="fa-IR"/>
        </w:rPr>
        <w:t>ثمّ إنّه لا إشکال و لا خلاف فی إدراک العقل الغیر المستقلّ للملازمات العقلیة، بل و المفاهیم العرفیة علی وجه، بل و الملازمات الشرعیة علی قول، و لا فی حجّیة تلک المدرکات لذلک العقل، کما لا إشکال و لا خلاف أیضا فی إدراک العقل المستقلّ فی الجملة و لا فی حجّیته فی الجملة، و إنّما الإشکال و الخلاف فی إدراکه بالجملة، و حجّیته بالجملة</w:t>
      </w:r>
      <w:r>
        <w:rPr>
          <w:rFonts w:eastAsia="IRNazanin" w:cs="IRNazanin"/>
          <w:color w:val="111111"/>
          <w:sz w:val="28"/>
          <w:szCs w:val="28"/>
          <w:rtl w:val="true"/>
          <w:lang w:bidi="fa-IR"/>
        </w:rPr>
        <w:t>.</w:t>
      </w:r>
    </w:p>
    <w:p>
      <w:pPr>
        <w:pStyle w:val="Heading4"/>
        <w:numPr>
          <w:ilvl w:val="3"/>
          <w:numId w:val="1"/>
        </w:numPr>
        <w:rPr/>
      </w:pPr>
      <w:bookmarkStart w:id="737" w:name="__RefHeading___Toc2646848_3224264995"/>
      <w:bookmarkStart w:id="738" w:name="_Toc295"/>
      <w:bookmarkEnd w:id="737"/>
      <w:r>
        <w:rPr>
          <w:rtl w:val="true"/>
        </w:rPr>
        <w:t>[</w:t>
      </w:r>
      <w:r>
        <w:rPr>
          <w:rtl w:val="true"/>
        </w:rPr>
        <w:t>أقسام إدراک العقل المستقل</w:t>
      </w:r>
      <w:r>
        <w:rPr>
          <w:rtl w:val="true"/>
        </w:rPr>
        <w:t>]</w:t>
      </w:r>
      <w:bookmarkEnd w:id="738"/>
    </w:p>
    <w:p>
      <w:pPr>
        <w:pStyle w:val="BookText"/>
        <w:rPr/>
      </w:pPr>
      <w:r>
        <w:rPr>
          <w:rFonts w:ascii="IRNazanin" w:hAnsi="IRNazanin" w:eastAsia="IRNazanin"/>
          <w:color w:val="111111"/>
          <w:sz w:val="28"/>
          <w:sz w:val="28"/>
          <w:szCs w:val="28"/>
          <w:rtl w:val="true"/>
          <w:lang w:bidi="fa-IR"/>
        </w:rPr>
        <w:t>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یدرک بالعقل المستقلّ إمّا فطری کوجود الصانع للمصنوعات و ذی الظلّ لکلّ ظلّ و نحوها من فطریات العقل الخالی عن شوائب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بدیهی کالکلّ أعظم من الجزء، و الضدّان لا یجتمعان، و نحوهما من بدیهیات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حسّی کإدراک ما یوافق الطبع مثل حسن صفاء اللؤلؤ، و ما یخالفه کقبح قذارة القذر، أو ما یقرب إلیه فی الرجوع إلی المبادئ الحسّیة کمشاهدة المعجزة برأی العین و سماع الکلام بالمشافهة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من هذه الأقسام إمّا أن یکون إدراکه علی وجه القطع أو الظن، و علی کلّ منها إمّا أن یکون حجّة، أو غیر حجّة</w:t>
      </w:r>
      <w:r>
        <w:rPr>
          <w:rFonts w:eastAsia="IRNazanin" w:cs="IRNazanin"/>
          <w:color w:val="111111"/>
          <w:sz w:val="28"/>
          <w:szCs w:val="28"/>
          <w:rtl w:val="true"/>
          <w:lang w:bidi="fa-IR"/>
        </w:rPr>
        <w:t xml:space="preserve">. </w:t>
      </w:r>
      <w:bookmarkStart w:id="739" w:name="pg12856_162684"/>
    </w:p>
    <w:p>
      <w:pPr>
        <w:pStyle w:val="Heading4"/>
        <w:numPr>
          <w:ilvl w:val="3"/>
          <w:numId w:val="1"/>
        </w:numPr>
        <w:rPr/>
      </w:pPr>
      <w:bookmarkStart w:id="740" w:name="__RefHeading___Toc2646850_3224264995"/>
      <w:bookmarkStart w:id="741" w:name="_Toc296"/>
      <w:bookmarkEnd w:id="739"/>
      <w:bookmarkEnd w:id="740"/>
      <w:r>
        <w:rPr>
          <w:rtl w:val="true"/>
        </w:rPr>
        <w:t>[</w:t>
      </w:r>
      <w:r>
        <w:rPr>
          <w:rtl w:val="true"/>
        </w:rPr>
        <w:t>عدم الخلاف فی بعض إدراکات العقل المستقل</w:t>
      </w:r>
      <w:r>
        <w:rPr>
          <w:rtl w:val="true"/>
        </w:rPr>
        <w:t>]</w:t>
      </w:r>
      <w:bookmarkEnd w:id="741"/>
    </w:p>
    <w:p>
      <w:pPr>
        <w:pStyle w:val="BookText"/>
        <w:rPr/>
      </w:pPr>
      <w:r>
        <w:rPr>
          <w:rFonts w:ascii="IRNazanin" w:hAnsi="IRNazanin" w:eastAsia="IRNazanin"/>
          <w:color w:val="111111"/>
          <w:sz w:val="28"/>
          <w:sz w:val="28"/>
          <w:szCs w:val="28"/>
          <w:rtl w:val="true"/>
          <w:lang w:bidi="fa-IR"/>
        </w:rPr>
        <w:t>و التحقیق فی هذا التقسیم أنّه لا إشکال و لا خلاف فی إدراک العقل المستقلّ فطریاته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کوجود الصانع للمصنوعات و ذی الظلّ لکلّ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بدیهیاته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 أعظم من الجزء و الضدّان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حسیاته کصفاء اللؤلؤ و قذارة القذر و لا فی حجیة هذه المدرکات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لا فی إدراکه الحسن و القبح بمعنی الحرج و اللاحرج فی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إدراکه الحسن و القبح بمعنی موافقة الطبع و مخالفته کحسن صفاء اللؤلؤ و قبح قذارة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إدراکه الحسن و القبح بمعنی موافقة غرض المولی و مخالفته، کحسن التصدّی لأغراض المولی و قبح التعرض لنقض أغراضه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إدراکه الحسن و القبح بمعنی الکمال و النقص الفاعل، أعنی استحقاق المدح و الذّم من حیث حسن سریرة الفاعل و خبثها، کدنوّ النفس و نقصه بالتجرّی علی المولی، و علوّ النفس و کماله بالانقیاد له، إذ لا مجال لإنکار الحسن و القبح بشی‌ء من هذه المعانی الأربعة</w:t>
      </w:r>
      <w:r>
        <w:rPr>
          <w:rFonts w:eastAsia="IRNazanin" w:cs="IRNazanin"/>
          <w:color w:val="111111"/>
          <w:sz w:val="28"/>
          <w:szCs w:val="28"/>
          <w:rtl w:val="true"/>
          <w:lang w:bidi="fa-IR"/>
        </w:rPr>
        <w:t>.</w:t>
      </w:r>
    </w:p>
    <w:p>
      <w:pPr>
        <w:pStyle w:val="Heading4"/>
        <w:numPr>
          <w:ilvl w:val="3"/>
          <w:numId w:val="1"/>
        </w:numPr>
        <w:rPr/>
      </w:pPr>
      <w:bookmarkStart w:id="742" w:name="__RefHeading___Toc2646852_3224264995"/>
      <w:bookmarkStart w:id="743" w:name="_Toc297"/>
      <w:bookmarkEnd w:id="742"/>
      <w:r>
        <w:rPr>
          <w:rtl w:val="true"/>
        </w:rPr>
        <w:t>[</w:t>
      </w:r>
      <w:r>
        <w:rPr>
          <w:rtl w:val="true"/>
        </w:rPr>
        <w:t>الخلاف فی إدراک العقل للحسن و القبح بمعنی الثواب و العقاب علی الفعل</w:t>
      </w:r>
      <w:r>
        <w:rPr>
          <w:rtl w:val="true"/>
        </w:rPr>
        <w:t>]</w:t>
      </w:r>
      <w:bookmarkEnd w:id="743"/>
    </w:p>
    <w:p>
      <w:pPr>
        <w:pStyle w:val="BookText"/>
        <w:rPr/>
      </w:pPr>
      <w:r>
        <w:rPr>
          <w:rFonts w:ascii="IRNazanin" w:hAnsi="IRNazanin" w:eastAsia="IRNazanin"/>
          <w:color w:val="111111"/>
          <w:sz w:val="28"/>
          <w:sz w:val="28"/>
          <w:szCs w:val="28"/>
          <w:rtl w:val="true"/>
          <w:lang w:bidi="fa-IR"/>
        </w:rPr>
        <w:t>إنّما الإشکال و الخلاف بیننا و بین الأشاعرة فی إدراکه الحسن و القبح بمعنی الثواب و العقاب علی الفعل،</w:t>
      </w:r>
    </w:p>
    <w:p>
      <w:pPr>
        <w:pStyle w:val="Heading4"/>
        <w:numPr>
          <w:ilvl w:val="3"/>
          <w:numId w:val="1"/>
        </w:numPr>
        <w:rPr/>
      </w:pPr>
      <w:bookmarkStart w:id="744" w:name="__RefHeading___Toc2646854_3224264995"/>
      <w:bookmarkStart w:id="745" w:name="_Toc298"/>
      <w:bookmarkEnd w:id="744"/>
      <w:r>
        <w:rPr>
          <w:rtl w:val="true"/>
        </w:rPr>
        <w:t>[</w:t>
      </w:r>
      <w:r>
        <w:rPr>
          <w:rtl w:val="true"/>
        </w:rPr>
        <w:t>بیان دعوی الأشاعرة</w:t>
      </w:r>
      <w:r>
        <w:rPr>
          <w:rtl w:val="true"/>
        </w:rPr>
        <w:t>]</w:t>
      </w:r>
      <w:bookmarkEnd w:id="74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فالأشاعرة لا تنکر قبح الظلم و حسن الإحسان بمعنی الحرج و اللاحرج، و لا بمعنی مخالفة الطبع و ملائمته، و لا بمعنی مخالفة الغرض و موافقته، و لا بمعنی النقص و الکمال أعنی خبث الفاعل و حسنه، و إنّما إنکارهم و نزاعهم معنی فی إدراکه المدح و الذمّ علی الفعل، بمعنی إدراکه استحقاق الثواب و العقاب علی الأشیاء، فإنّه و إن نسب بعض الأفاضل إلیهم إنکار إدراک العقل فوق ذلک المعنی من معانی الحسن و القبح العقلیین، رافعا لاستبعاد ذلک بأنّه لیس بأعظم من قولهم بإمکان أن لا یدرک الحس و النظر من کلّ حاذق النظر صفوف المقاتلین بین یدیه و إن جری عادة اللّه تعالی بإراءته و إمکان أن یدرک الحس و النظر من کلّ من هو فی المشرق دبیب النملة الموجودة فی </w:t>
      </w:r>
      <w:bookmarkStart w:id="746" w:name="pg12856_162685"/>
    </w:p>
    <w:p>
      <w:pPr>
        <w:pStyle w:val="BookText"/>
        <w:rPr/>
      </w:pPr>
      <w:bookmarkEnd w:id="746"/>
      <w:r>
        <w:rPr>
          <w:rFonts w:ascii="IRNazanin" w:hAnsi="IRNazanin" w:eastAsia="IRNazanin"/>
          <w:color w:val="111111"/>
          <w:sz w:val="28"/>
          <w:sz w:val="28"/>
          <w:szCs w:val="28"/>
          <w:rtl w:val="true"/>
          <w:lang w:bidi="fa-IR"/>
        </w:rPr>
        <w:t>المغرب فی اللیلة الظلماء علی الصخرة الصماء، و إن جری عادته تعالی بعدم إراءته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المصرّح به فی کلماتهم انحصار محلّ النزاع فی خصوص إدراک العقل الحسن و القبح فی الأشیاء، بمعنی استحقاق العقاب و الثواب علیهما فلاحظ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بعضهم عبّر عن محلّ النزاع بأنّه هل العقل یدرک الحسن و القبح بمعنی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الآخر عبّر بأنّه هل العقل یدرک المدح و الذمّ، ثمّ فسّر المدح بجزاء الخیر و الذمّ بجزاء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الآخر عبّر بأنّه هل العقل یدرک المدح و الذمّ فی حکم اللّه، و هو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تعبیراتهم التی لم یحضرنی الآن مظانّها الصریحة فی أنّ نزاعهم فی إدراک العقل المدح و الذمّ بمعنی الثواب و العقاب، بل ظاهر بعضهم عدم الفرق بین المدح و الذمّ و الثواب و العقاب إلّا فی العاجل و الآجل أو فی القول و الفعل، حیث إنّ الثواب و العقاب جزاء بالفعل، و المدح و الذمّ جزاء بالقول، و إلّا فکلّ منهما جزاء العمل لا صفة العامل،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المدح و الذمّ یکونان بالقول کالثناء و الشتم، و بالفعل کالقیام إجلالا و الإعراض إهانة، و بالترک کترک جواب الشاتم و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مما ذکرنا أنّه لا نزاع فی إدراک العقل الحسن و القبح بمعنی الحرج و اللاحرج، و لا بمعنی ملائمة الطبع و مخالفته، و لا بمعنی موافقة الغرض و مخالفته، و لا بمعنی کمال النفس و نقصه، لعدم المجال لإنکار شی‌ء من تلک المعانی الأربعة</w:t>
      </w:r>
      <w:r>
        <w:rPr>
          <w:rFonts w:eastAsia="IRNazanin" w:cs="IRNazanin"/>
          <w:color w:val="111111"/>
          <w:sz w:val="28"/>
          <w:szCs w:val="28"/>
          <w:rtl w:val="true"/>
          <w:lang w:bidi="fa-IR"/>
        </w:rPr>
        <w:t>.</w:t>
      </w:r>
    </w:p>
    <w:p>
      <w:pPr>
        <w:pStyle w:val="Heading4"/>
        <w:numPr>
          <w:ilvl w:val="3"/>
          <w:numId w:val="1"/>
        </w:numPr>
        <w:rPr/>
      </w:pPr>
      <w:bookmarkStart w:id="747" w:name="__RefHeading___Toc2646856_3224264995"/>
      <w:bookmarkStart w:id="748" w:name="_Toc299"/>
      <w:bookmarkEnd w:id="747"/>
      <w:r>
        <w:rPr>
          <w:rtl w:val="true"/>
        </w:rPr>
        <w:t>[</w:t>
      </w:r>
      <w:r>
        <w:rPr>
          <w:rtl w:val="true"/>
        </w:rPr>
        <w:t>موارد نزاع الأشاعرة فی إدراک العقل للحسن و القبح</w:t>
      </w:r>
      <w:r>
        <w:rPr>
          <w:rtl w:val="true"/>
        </w:rPr>
        <w:t>]</w:t>
      </w:r>
      <w:bookmarkEnd w:id="74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النزاع فی معنی بل معانی أخر</w:t>
      </w:r>
      <w:r>
        <w:rPr>
          <w:rFonts w:eastAsia="IRNazanin" w:cs="IRNazanin"/>
          <w:color w:val="111111"/>
          <w:sz w:val="28"/>
          <w:szCs w:val="28"/>
          <w:rtl w:val="true"/>
          <w:lang w:bidi="fa-IR"/>
        </w:rPr>
        <w:t xml:space="preserve">: </w:t>
      </w:r>
      <w:bookmarkStart w:id="749" w:name="pg12856_162686"/>
    </w:p>
    <w:p>
      <w:pPr>
        <w:pStyle w:val="BookText"/>
        <w:rPr/>
      </w:pPr>
      <w:bookmarkEnd w:id="749"/>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إدراک العقل الحسن و القبح بمعنی الثواب و العقاب حیث أنکره الأشاعرة فی قبالنا، و مرادهم من إنکار إدراکه الثواب و العقاب لیس بمعنی السلب بانتفاء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یتوهّم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السلب بانتفاء الموضوع، أعنی إنکار أن یکون لأفعال العباد بالذات أو بالوجوه و الاعتبار حسنا أو قبحا ملزما، لاستحقاق الثواب و العقاب علیها قبل تعلّق غرض المولی بها فعلا أو ترکا حتی یدرکهما العقل، لا إنکار إدراکهما العقل و تسلیم ثبوتهما فی نفس الأمر قبل عروض غرض المولی بطلبهما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إنکارهم الحسن و القبح الملازمین للثواب و العقاب مستند إلی عدم وجودهما، لا عدم إدراکهما العقل بعد الوجود</w:t>
      </w:r>
      <w:r>
        <w:rPr>
          <w:rFonts w:eastAsia="IRNazanin" w:cs="IRNazanin"/>
          <w:color w:val="111111"/>
          <w:sz w:val="28"/>
          <w:szCs w:val="28"/>
          <w:rtl w:val="true"/>
          <w:lang w:bidi="fa-IR"/>
        </w:rPr>
        <w:t>.</w:t>
      </w:r>
    </w:p>
    <w:p>
      <w:pPr>
        <w:pStyle w:val="Heading4"/>
        <w:numPr>
          <w:ilvl w:val="3"/>
          <w:numId w:val="1"/>
        </w:numPr>
        <w:rPr/>
      </w:pPr>
      <w:bookmarkStart w:id="750" w:name="__RefHeading___Toc2646858_3224264995"/>
      <w:bookmarkStart w:id="751" w:name="_Toc300"/>
      <w:bookmarkEnd w:id="750"/>
      <w:r>
        <w:rPr>
          <w:rtl w:val="true"/>
        </w:rPr>
        <w:t>[</w:t>
      </w:r>
      <w:r>
        <w:rPr>
          <w:rtl w:val="true"/>
        </w:rPr>
        <w:t>مذهب الاخباریة فی إدراک العقل للحسن و القبح</w:t>
      </w:r>
      <w:r>
        <w:rPr>
          <w:rtl w:val="true"/>
        </w:rPr>
        <w:t>]</w:t>
      </w:r>
      <w:bookmarkEnd w:id="751"/>
    </w:p>
    <w:p>
      <w:pPr>
        <w:pStyle w:val="BookText"/>
        <w:rPr/>
      </w:pPr>
      <w:r>
        <w:rPr>
          <w:rFonts w:ascii="IRNazanin" w:hAnsi="IRNazanin" w:eastAsia="IRNazanin"/>
          <w:color w:val="111111"/>
          <w:sz w:val="28"/>
          <w:sz w:val="28"/>
          <w:szCs w:val="28"/>
          <w:rtl w:val="true"/>
          <w:lang w:bidi="fa-IR"/>
        </w:rPr>
        <w:t>و ثانیهما ما عن الأخباریة</w:t>
      </w:r>
      <w:r>
        <w:rPr>
          <w:rStyle w:val="FootnoteAnchor"/>
          <w:rtl w:val="true"/>
        </w:rPr>
        <w:footnoteReference w:id="220"/>
      </w:r>
      <w:r>
        <w:rPr>
          <w:rFonts w:ascii="IRNazanin" w:hAnsi="IRNazanin" w:eastAsia="IRNazanin"/>
          <w:color w:val="111111"/>
          <w:sz w:val="28"/>
          <w:sz w:val="28"/>
          <w:szCs w:val="28"/>
          <w:rtl w:val="true"/>
          <w:lang w:bidi="fa-IR"/>
        </w:rPr>
        <w:t>و بعض الأشاعرة من إنکار إدراک العقل الحسن و القبح بمعنی الثواب و العقاب، و هو و إن اتّحد مع الوجه الأول فی رجوع کلیهما إلی النزاع الصغروی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إنکار إدراک العقل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یفترق عن الأول فی استناد الإنکار إلی انتفاء الإدراک، لا انتفاء المدرک، یعنی إلی السلب بانتفاء المحمول لا الموضوع، و لهذا علّلوا الإنکار بأنّ عقولنا مشوبة لا فطریة حتی تدرک المدرکات الموجودة علی ما هی علیها واقعا من الحسن و القبح الواقعیین، و لم یثبت فی العمل بهذا العقل ما ثبت فی العمل بالنقل من المؤمّن و ضمان درک ما یتّفق أحیانا من المخالفة للواقع حتی یجوز العمل به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کلام الأخباریة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بعدم حجّیة کلّ ما یحتمل من الطرق الخطأ فی سلوکه و عدم إیصاله إلی الواقع المفروض مطلوبیته إلّا أن یضمن الشرع صور مخالفته الواقع و قناعته بقدر ما یوافقه عن قدر ما یخالفه، کما ضمن ذلک فی الأدلّة و الأمارات الظنّیة التی اعتبرها أو یکون احتمال مخالفته </w:t>
      </w:r>
      <w:bookmarkStart w:id="752" w:name="pg12856_162687"/>
    </w:p>
    <w:p>
      <w:pPr>
        <w:pStyle w:val="BookText"/>
        <w:rPr/>
      </w:pPr>
      <w:bookmarkEnd w:id="752"/>
      <w:r>
        <w:rPr>
          <w:rFonts w:ascii="IRNazanin" w:hAnsi="IRNazanin" w:eastAsia="IRNazanin"/>
          <w:color w:val="111111"/>
          <w:sz w:val="28"/>
          <w:sz w:val="28"/>
          <w:szCs w:val="28"/>
          <w:rtl w:val="true"/>
          <w:lang w:bidi="fa-IR"/>
        </w:rPr>
        <w:t>مجرّد فرض لا وقوع له أصلا، کالعقل الفطری الخالی عن شوائب الأوهام المثبت لوجود الصانع للمصنوعات و ذی الظلّ لکلّ ظلّ، أو احتمالا غیر عقلائی کبدیهیات العقل و ضروریاته من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الاعتناء باحتمال مخالفته مستلزما للعسر و الحرج و سدّ أبواب المعاد و المعاش و الخروج عن ربقة التکالیف الفرعیة و الأصلیة، و سدّ أبواب ثبوت الشرائع و الأدیان و رسالة الرسل و نبوة الأنبیاء، و غیر ذلک مما یوجب القطع بعدم رضا العقل و الشرع به و بالاعتناء بما یستلزمه، کاحتمال الخلاف فی المحسوسات العقلیة و ما یقرب إلیها فی الرجوع إلی المبادئ الحسّیة کمشاهدة المعجزة برأی العین و سماع الکلام بالمشافهة، و أمّا ما عدا ذلک من العقول النظریة المشوبة بشوائب الأوهام فلا مضمن و لا مؤمّن من درک ما یتفق فیه من المخالفة للواقع حتی یکون حجّة و ملازما للحکم الشرعی</w:t>
      </w:r>
      <w:r>
        <w:rPr>
          <w:rFonts w:eastAsia="IRNazanin" w:cs="IRNazanin"/>
          <w:color w:val="111111"/>
          <w:sz w:val="28"/>
          <w:szCs w:val="28"/>
          <w:rtl w:val="true"/>
          <w:lang w:bidi="fa-IR"/>
        </w:rPr>
        <w:t>.</w:t>
      </w:r>
    </w:p>
    <w:p>
      <w:pPr>
        <w:pStyle w:val="Heading4"/>
        <w:numPr>
          <w:ilvl w:val="3"/>
          <w:numId w:val="1"/>
        </w:numPr>
        <w:rPr/>
      </w:pPr>
      <w:bookmarkStart w:id="753" w:name="__RefHeading___Toc2646860_3224264995"/>
      <w:bookmarkStart w:id="754" w:name="_Toc301"/>
      <w:bookmarkEnd w:id="753"/>
      <w:r>
        <w:rPr>
          <w:rtl w:val="true"/>
        </w:rPr>
        <w:t>[</w:t>
      </w:r>
      <w:r>
        <w:rPr>
          <w:rtl w:val="true"/>
        </w:rPr>
        <w:t>الرأی المنسوب إلی السیّد الصدر فی الوافیة فی هذا الباب</w:t>
      </w:r>
      <w:r>
        <w:rPr>
          <w:rtl w:val="true"/>
        </w:rPr>
        <w:t>]</w:t>
      </w:r>
      <w:bookmarkEnd w:id="75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السیّد الصدر فی شرح الوافیة</w:t>
      </w:r>
      <w:r>
        <w:rPr>
          <w:rStyle w:val="FootnoteAnchor"/>
          <w:rtl w:val="true"/>
        </w:rPr>
        <w:footnoteReference w:id="221"/>
      </w:r>
      <w:r>
        <w:rPr>
          <w:rFonts w:ascii="IRNazanin" w:hAnsi="IRNazanin" w:eastAsia="IRNazanin"/>
          <w:color w:val="111111"/>
          <w:sz w:val="28"/>
          <w:sz w:val="28"/>
          <w:szCs w:val="28"/>
          <w:rtl w:val="true"/>
          <w:lang w:bidi="fa-IR"/>
        </w:rPr>
        <w:t>تبعا للزرکشی من منع ملازمة حکم العقل لحکم الشرع</w:t>
      </w:r>
      <w:r>
        <w:rPr>
          <w:rStyle w:val="FootnoteAnchor"/>
          <w:rtl w:val="true"/>
        </w:rPr>
        <w:footnoteReference w:id="222"/>
      </w:r>
      <w:r>
        <w:rPr>
          <w:rFonts w:ascii="IRNazanin" w:hAnsi="IRNazanin" w:eastAsia="IRNazanin"/>
          <w:color w:val="111111"/>
          <w:sz w:val="28"/>
          <w:sz w:val="28"/>
          <w:szCs w:val="28"/>
          <w:rtl w:val="true"/>
          <w:lang w:bidi="fa-IR"/>
        </w:rPr>
        <w:t>، لکن لا لما علیه الأشعریة من عدم تبعیة أحکام الشرع للحسن و القبح العقلیین و أنّ الحسن و القبح العقلیین تابعة لأحکام الشرع و متفرعة علیها، بل لدعوی أنّ الأحکام الشرعیة و إن کانت تابعة للحسن و القبح العقلیین، و إدراک العقل الحسن المنوط به الثواب و القبح المنوط به العقاب، إلّا أن من خصائص ألطافه الواجبة علیه تعالی عدم ترتّبه استحقاق الثواب و العقاب علی ما یدرکه العقل العاری من غیر استمداد النقل، و عدم إناطته الثواب و العقاب بمجرّد العلم بحسن شی‌ء أو قبحه واقعا من غیر أن یضیف إلیه تأکید الخطاب بلسان النبی صلی اللّه علیه و آله و الأئمة الأحباب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w:t>
      </w:r>
      <w:bookmarkStart w:id="755" w:name="pg12856_162688"/>
    </w:p>
    <w:p>
      <w:pPr>
        <w:pStyle w:val="BookText"/>
        <w:rPr/>
      </w:pPr>
      <w:bookmarkEnd w:id="755"/>
      <w:r>
        <w:rPr>
          <w:rFonts w:ascii="Amiri" w:hAnsi="Amiri" w:eastAsia="Amiri" w:cs="Amiri"/>
          <w:color w:val="111111"/>
          <w:sz w:val="28"/>
          <w:sz w:val="28"/>
          <w:szCs w:val="28"/>
          <w:rtl w:val="true"/>
          <w:lang w:bidi="ar-SA"/>
        </w:rPr>
        <w:t>نَبْعَثَ رَسُولًا</w:t>
      </w:r>
      <w:r>
        <w:rPr>
          <w:rStyle w:val="FootnoteAnchor"/>
          <w:rtl w:val="true"/>
        </w:rPr>
        <w:footnoteReference w:id="223"/>
      </w:r>
      <w:r>
        <w:rPr>
          <w:rFonts w:ascii="IRNazanin" w:hAnsi="IRNazanin" w:eastAsia="IRNazanin"/>
          <w:color w:val="111111"/>
          <w:sz w:val="28"/>
          <w:sz w:val="28"/>
          <w:szCs w:val="28"/>
          <w:rtl w:val="true"/>
          <w:lang w:bidi="fa-IR"/>
        </w:rPr>
        <w:t>و سائر الأخبار الدالّة علی عدم قبول شی‌ء من الممدوحات العقلیة ما لم یکن بدلالة ولیّ اللّه تعالی</w:t>
      </w:r>
      <w:r>
        <w:rPr>
          <w:rFonts w:eastAsia="IRNazanin" w:cs="IRNazanin"/>
          <w:color w:val="111111"/>
          <w:sz w:val="28"/>
          <w:szCs w:val="28"/>
          <w:rtl w:val="true"/>
          <w:lang w:bidi="fa-IR"/>
        </w:rPr>
        <w:t>.</w:t>
      </w:r>
    </w:p>
    <w:p>
      <w:pPr>
        <w:pStyle w:val="Heading4"/>
        <w:numPr>
          <w:ilvl w:val="3"/>
          <w:numId w:val="1"/>
        </w:numPr>
        <w:rPr/>
      </w:pPr>
      <w:bookmarkStart w:id="756" w:name="__RefHeading___Toc2646862_3224264995"/>
      <w:bookmarkStart w:id="757" w:name="_Toc302"/>
      <w:bookmarkEnd w:id="756"/>
      <w:r>
        <w:rPr>
          <w:rtl w:val="true"/>
        </w:rPr>
        <w:t>[</w:t>
      </w:r>
      <w:r>
        <w:rPr>
          <w:rtl w:val="true"/>
        </w:rPr>
        <w:t>القول بعدم ملازمة حکم العقل لحکم الشرع لإمکان المعارضة بین الملاکات فی الواقع</w:t>
      </w:r>
      <w:r>
        <w:rPr>
          <w:rtl w:val="true"/>
        </w:rPr>
        <w:t>]</w:t>
      </w:r>
      <w:bookmarkEnd w:id="757"/>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الفصول من منع ملازمة حکم العقل للشرع</w:t>
      </w:r>
      <w:r>
        <w:rPr>
          <w:rStyle w:val="FootnoteAnchor"/>
          <w:rtl w:val="true"/>
        </w:rPr>
        <w:footnoteReference w:id="224"/>
      </w:r>
      <w:r>
        <w:rPr>
          <w:rFonts w:ascii="IRNazanin" w:hAnsi="IRNazanin" w:eastAsia="IRNazanin"/>
          <w:color w:val="111111"/>
          <w:sz w:val="28"/>
          <w:sz w:val="28"/>
          <w:szCs w:val="28"/>
          <w:rtl w:val="true"/>
          <w:lang w:bidi="fa-IR"/>
        </w:rPr>
        <w:t xml:space="preserve">، لکن لا لمنع إدراک العقل الحسن و القبح العقلیین بأحد وجهیه من السلب بانتفاء الموضوع أو المحمول، و لا لإناطة الحکم الشرعی بخصوص النقل بأحد وجهیه من جهة تجویز خلاء الواقعة عن الحکم الشرعی رأسا لا موافقا و لا مخالفا لیرجع إلی منع الملازمة من طرف العقل للشرع دون العکس، أو من جهة تجویز حکم الشرع بخلاف ما حکم به العقل لیرجع إلی منع الملازمة من الطرفین، بل إنّما هو من جهة إمکان معارضة حسن الفعل بقبح التکلیف به کموارد التقیة و قبحه بحسن التکلیف به کالأوامر الابتلائیة،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لوقوعه شرعا أعنی وقوع المعارضة و المزاحمة المانعة من الملازمة بین حسن الفعل و قبحه، و بین وقوع التکلیف علی حسبه و مقتضاه فی الموارد الستّة التی ذکرها الفصول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أوامر التقیة، و الأوامر الابتلائیة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2646864_3224264995"/>
      <w:bookmarkStart w:id="759" w:name="_Toc303"/>
      <w:bookmarkEnd w:id="758"/>
      <w:r>
        <w:rPr>
          <w:rtl w:val="true"/>
        </w:rPr>
        <w:t>[</w:t>
      </w:r>
      <w:r>
        <w:rPr>
          <w:rtl w:val="true"/>
        </w:rPr>
        <w:t>خلاصة الوجوه للقول بعدم الملازمة</w:t>
      </w:r>
      <w:r>
        <w:rPr>
          <w:rtl w:val="true"/>
        </w:rPr>
        <w:t>]</w:t>
      </w:r>
      <w:bookmarkEnd w:id="759"/>
    </w:p>
    <w:p>
      <w:pPr>
        <w:pStyle w:val="BookText"/>
        <w:rPr/>
      </w:pPr>
      <w:r>
        <w:rPr>
          <w:rFonts w:ascii="IRNazanin" w:hAnsi="IRNazanin" w:eastAsia="IRNazanin"/>
          <w:color w:val="111111"/>
          <w:sz w:val="28"/>
          <w:sz w:val="28"/>
          <w:szCs w:val="28"/>
          <w:rtl w:val="true"/>
          <w:lang w:bidi="fa-IR"/>
        </w:rPr>
        <w:t>فتلخّص ممّا ذکرنا أنّ منع ملازمة حکم العقل للشرع فی محلّ النزاع، إمّا أن یکون من جهة منع إدراک العقل للحسن و القبح العقلیین بأحد وجهی المنع، أعنی من باب السلب بانتفاء الموضوع کأکثر الأشاعرة، أو من باب السلب بانتفاء المحمول کبعض الأشاعرة و الأخباریة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من جهة إناطة الأحکام الشرعیة بخصوص النقل بأحد وجهیه، أعنی من جهة إمکان خلاء بعض الوقائع الحاکم فیها العقل بحکم عن الحکم الشرعی، أو من جهة إمکان مخالفة الشرع لما حکم به العقل بأحد وجهیه، أعنی من جهة </w:t>
      </w:r>
      <w:bookmarkStart w:id="760" w:name="pg12856_162689"/>
    </w:p>
    <w:p>
      <w:pPr>
        <w:pStyle w:val="BookText"/>
        <w:rPr/>
      </w:pPr>
      <w:bookmarkEnd w:id="760"/>
      <w:r>
        <w:rPr>
          <w:rFonts w:ascii="Amiri" w:hAnsi="Amiri" w:eastAsia="Amiri" w:cs="Amiri"/>
          <w:color w:val="111111"/>
          <w:sz w:val="28"/>
          <w:sz w:val="28"/>
          <w:szCs w:val="28"/>
          <w:rtl w:val="true"/>
          <w:lang w:bidi="ar-SA"/>
        </w:rPr>
        <w:t>قصور عقولنا النظریة المشوبة بشوائب الأوهام، أو من جهة إمکان عفو الشارع عن العقوبة و المؤاخذة بمحض العقل ما لم یؤکّده بدلیل النقل لطفا و عفوا منه علی العباد، کما زعمه الأخباریة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من جهة معارضة حسن الفعل بقبح التکلیف به کموارد التقیة أو قبح الفعل بحسن التکلیف به کالأوامر الامتحانیة و الابتلائیة، کما زعمه الفصول فی منعه الملازمة الواقعیة بین حکم العقل و الشرع</w:t>
      </w:r>
      <w:r>
        <w:rPr>
          <w:rStyle w:val="FootnoteAnchor"/>
          <w:rtl w:val="true"/>
        </w:rPr>
        <w:footnoteReference w:id="227"/>
      </w:r>
      <w:r>
        <w:rPr>
          <w:rFonts w:ascii="Amiri" w:hAnsi="Amiri" w:eastAsia="Amiri" w:cs="Amiri"/>
          <w:color w:val="111111"/>
          <w:sz w:val="28"/>
          <w:sz w:val="28"/>
          <w:szCs w:val="28"/>
          <w:rtl w:val="true"/>
          <w:lang w:bidi="ar-SA"/>
        </w:rPr>
        <w:t>و إن سلّم الملازمة بینهما بحسب الظاهر، أعنی بعموم أُحِلَّ لَکُمُ الطَّیِّباتُ</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الخبائث</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 و عموم إِنَّ اللَّهَ یَأْمُرُ بِالْعَدْلِ وَ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یَنْهی عَنِ الْفَحْشاءِ وَ الْمُنْکَرِ</w:t>
      </w:r>
      <w:r>
        <w:rPr>
          <w:rStyle w:val="FootnoteAnchor"/>
          <w:rtl w:val="true"/>
        </w:rPr>
        <w:footnoteReference w:id="230"/>
      </w:r>
      <w:r>
        <w:rPr>
          <w:rFonts w:ascii="IRNazanin" w:hAnsi="IRNazanin" w:eastAsia="IRNazanin"/>
          <w:color w:val="111111"/>
          <w:sz w:val="28"/>
          <w:sz w:val="28"/>
          <w:szCs w:val="28"/>
          <w:rtl w:val="true"/>
          <w:lang w:bidi="fa-IR"/>
        </w:rPr>
        <w:t>إلی غیر ذلک من العمومات و الإطلاقات و بأصالة عدم المعارضة و المزاحمة الموجبة، لعدم الملازمة</w:t>
      </w:r>
      <w:r>
        <w:rPr>
          <w:rFonts w:eastAsia="IRNazanin" w:cs="IRNazanin"/>
          <w:color w:val="111111"/>
          <w:sz w:val="28"/>
          <w:szCs w:val="28"/>
          <w:rtl w:val="true"/>
          <w:lang w:bidi="fa-IR"/>
        </w:rPr>
        <w:t>.</w:t>
      </w:r>
    </w:p>
    <w:p>
      <w:pPr>
        <w:pStyle w:val="Heading4"/>
        <w:numPr>
          <w:ilvl w:val="3"/>
          <w:numId w:val="1"/>
        </w:numPr>
        <w:rPr/>
      </w:pPr>
      <w:bookmarkStart w:id="761" w:name="__RefHeading___Toc2646866_3224264995"/>
      <w:bookmarkStart w:id="762" w:name="_Toc304"/>
      <w:bookmarkEnd w:id="761"/>
      <w:r>
        <w:rPr>
          <w:rtl w:val="true"/>
        </w:rPr>
        <w:t>[</w:t>
      </w:r>
      <w:r>
        <w:rPr>
          <w:rtl w:val="true"/>
        </w:rPr>
        <w:t>محلّ النزاع من الوجوه المذکورة فی منع الملازمة</w:t>
      </w:r>
      <w:r>
        <w:rPr>
          <w:rtl w:val="true"/>
        </w:rPr>
        <w:t>]</w:t>
      </w:r>
      <w:bookmarkEnd w:id="762"/>
    </w:p>
    <w:p>
      <w:pPr>
        <w:pStyle w:val="BookText"/>
        <w:rPr/>
      </w:pPr>
      <w:r>
        <w:rPr>
          <w:rFonts w:ascii="IRNazanin" w:hAnsi="IRNazanin" w:eastAsia="IRNazanin"/>
          <w:color w:val="111111"/>
          <w:sz w:val="28"/>
          <w:sz w:val="28"/>
          <w:szCs w:val="28"/>
          <w:rtl w:val="true"/>
          <w:lang w:bidi="fa-IR"/>
        </w:rPr>
        <w:t>و إذ قد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الملازمة بأیّ جهة من الجهات المذکورة و إن کان محلّا للنزاع إلّا أنّ منعها من جهة قصور عقولنا لیس محلّا للنزاع فی هذه المسألة، و إنّما هو محلّ للنزاع فی حجّیة القطع و التفصیل بین قطع القطّاع الحاصل من الأسباب الغیر العادیة و غیره، و إنّما النزاع فی هذه المسألة فی ملازمة حکم العقل للشرع من إحدی الجهات الأخر المذکورة من حیث إنّه عقل الکلّ حتی عقل الأنبیاء، لا من حیث إنّه عقلنا حتی یعتریه جهة القصور و العدم</w:t>
      </w:r>
      <w:r>
        <w:rPr>
          <w:rFonts w:eastAsia="IRNazanin" w:cs="IRNazanin"/>
          <w:color w:val="111111"/>
          <w:sz w:val="28"/>
          <w:szCs w:val="28"/>
          <w:rtl w:val="true"/>
          <w:lang w:bidi="fa-IR"/>
        </w:rPr>
        <w:t>.</w:t>
      </w:r>
    </w:p>
    <w:p>
      <w:pPr>
        <w:pStyle w:val="Heading4"/>
        <w:numPr>
          <w:ilvl w:val="3"/>
          <w:numId w:val="1"/>
        </w:numPr>
        <w:rPr/>
      </w:pPr>
      <w:bookmarkStart w:id="763" w:name="__RefHeading___Toc2646868_3224264995"/>
      <w:bookmarkStart w:id="764" w:name="_Toc305"/>
      <w:bookmarkEnd w:id="763"/>
      <w:r>
        <w:rPr>
          <w:rtl w:val="true"/>
        </w:rPr>
        <w:t>[</w:t>
      </w:r>
      <w:r>
        <w:rPr>
          <w:rtl w:val="true"/>
        </w:rPr>
        <w:t>حجّة الأقوال فی المسألة</w:t>
      </w:r>
      <w:r>
        <w:rPr>
          <w:rtl w:val="true"/>
        </w:rPr>
        <w:t>]</w:t>
      </w:r>
      <w:bookmarkEnd w:id="76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تشخّص تحریر محلّ النزاع فی المسألة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حجّة کلّ من </w:t>
      </w:r>
      <w:bookmarkStart w:id="765" w:name="pg12856_162690"/>
    </w:p>
    <w:p>
      <w:pPr>
        <w:pStyle w:val="BookText"/>
        <w:rPr/>
      </w:pPr>
      <w:bookmarkEnd w:id="765"/>
      <w:r>
        <w:rPr>
          <w:rFonts w:ascii="IRNazanin" w:hAnsi="IRNazanin" w:eastAsia="IRNazanin"/>
          <w:color w:val="111111"/>
          <w:sz w:val="28"/>
          <w:sz w:val="28"/>
          <w:szCs w:val="28"/>
          <w:rtl w:val="true"/>
          <w:lang w:bidi="fa-IR"/>
        </w:rPr>
        <w:t>مثبتی الملازمة و عدمها</w:t>
      </w:r>
      <w:r>
        <w:rPr>
          <w:rFonts w:eastAsia="IRNazanin" w:cs="IRNazanin"/>
          <w:color w:val="111111"/>
          <w:sz w:val="28"/>
          <w:szCs w:val="28"/>
          <w:rtl w:val="true"/>
          <w:lang w:bidi="fa-IR"/>
        </w:rPr>
        <w:t>.</w:t>
      </w:r>
    </w:p>
    <w:p>
      <w:pPr>
        <w:pStyle w:val="Heading4"/>
        <w:numPr>
          <w:ilvl w:val="3"/>
          <w:numId w:val="1"/>
        </w:numPr>
        <w:rPr/>
      </w:pPr>
      <w:bookmarkStart w:id="766" w:name="__RefHeading___Toc2646870_3224264995"/>
      <w:bookmarkStart w:id="767" w:name="_Toc306"/>
      <w:bookmarkEnd w:id="766"/>
      <w:r>
        <w:rPr>
          <w:rtl w:val="true"/>
        </w:rPr>
        <w:t>[</w:t>
      </w:r>
      <w:r>
        <w:rPr>
          <w:rtl w:val="true"/>
        </w:rPr>
        <w:t>حجّة القول بعدم الملازمة</w:t>
      </w:r>
      <w:r>
        <w:rPr>
          <w:rtl w:val="true"/>
        </w:rPr>
        <w:t>]</w:t>
      </w:r>
      <w:bookmarkEnd w:id="767"/>
    </w:p>
    <w:p>
      <w:pPr>
        <w:pStyle w:val="BookText"/>
        <w:rPr/>
      </w:pPr>
      <w:r>
        <w:rPr>
          <w:rFonts w:ascii="IRNazanin" w:hAnsi="IRNazanin" w:eastAsia="IRNazanin"/>
          <w:color w:val="111111"/>
          <w:sz w:val="28"/>
          <w:sz w:val="28"/>
          <w:szCs w:val="28"/>
          <w:rtl w:val="true"/>
          <w:lang w:bidi="fa-IR"/>
        </w:rPr>
        <w:t>أمّا من الجهة الاولی، أعنی من جهة منع إدراک العقل الحسن و القبح العقلیین من باب السلب بانتفاء الموضوع، کما هو مذهب الأشاعرة فوجوه تصدّی الفصول لتفصیلها بما فیه الکفایة؛ بل الغنیة لمن راجع</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الجهة الثانیة، أعنی منع إدراک العقل الحسن و القبح من باب السلب بانتفاء المحمول کما هو مذهب الأخباریة فلهم علیه مقدّمتان کبروی و صغروی</w:t>
      </w:r>
      <w:r>
        <w:rPr>
          <w:rFonts w:eastAsia="IRNazanin" w:cs="IRNazanin"/>
          <w:color w:val="111111"/>
          <w:sz w:val="28"/>
          <w:szCs w:val="28"/>
          <w:rtl w:val="true"/>
          <w:lang w:bidi="fa-IR"/>
        </w:rPr>
        <w:t>:</w:t>
      </w:r>
    </w:p>
    <w:p>
      <w:pPr>
        <w:pStyle w:val="Heading4"/>
        <w:numPr>
          <w:ilvl w:val="3"/>
          <w:numId w:val="1"/>
        </w:numPr>
        <w:rPr/>
      </w:pPr>
      <w:bookmarkStart w:id="768" w:name="__RefHeading___Toc2646872_3224264995"/>
      <w:bookmarkStart w:id="769" w:name="_Toc307"/>
      <w:bookmarkEnd w:id="768"/>
      <w:r>
        <w:rPr>
          <w:rtl w:val="true"/>
        </w:rPr>
        <w:t>[</w:t>
      </w:r>
      <w:r>
        <w:rPr>
          <w:rtl w:val="true"/>
        </w:rPr>
        <w:t>عدم حجّیة ما یحتمل الخطأ من الطرق</w:t>
      </w:r>
      <w:r>
        <w:rPr>
          <w:rtl w:val="true"/>
        </w:rPr>
        <w:t>]</w:t>
      </w:r>
      <w:bookmarkEnd w:id="769"/>
    </w:p>
    <w:p>
      <w:pPr>
        <w:pStyle w:val="BookText"/>
        <w:rPr/>
      </w:pPr>
      <w:r>
        <w:rPr>
          <w:rFonts w:ascii="IRNazanin" w:hAnsi="IRNazanin" w:eastAsia="IRNazanin"/>
          <w:color w:val="111111"/>
          <w:sz w:val="28"/>
          <w:sz w:val="28"/>
          <w:szCs w:val="28"/>
          <w:rtl w:val="true"/>
          <w:lang w:bidi="fa-IR"/>
        </w:rPr>
        <w:t>أمّا مقدّمتهم الکبرویة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عدم حجّیة کلّما یحتمل من الطرق الخطأ فی سلوکه و عدم إیصاله إلی الواقع المفروض مطلوبیته، إلّا أن یضمن الشرع صور مخالفته الواقع و قناعته بقدر ما یوافقه عن قدر ما یخالفه، کما ضمن ذلک فی الأدلّة و الأمارات الظنّیة التی اعتبرها،</w:t>
      </w:r>
    </w:p>
    <w:p>
      <w:pPr>
        <w:pStyle w:val="Heading4"/>
        <w:numPr>
          <w:ilvl w:val="3"/>
          <w:numId w:val="1"/>
        </w:numPr>
        <w:rPr/>
      </w:pPr>
      <w:bookmarkStart w:id="770" w:name="__RefHeading___Toc2646874_3224264995"/>
      <w:bookmarkStart w:id="771" w:name="_Toc308"/>
      <w:bookmarkEnd w:id="770"/>
      <w:r>
        <w:rPr>
          <w:rtl w:val="true"/>
        </w:rPr>
        <w:t>[</w:t>
      </w:r>
      <w:r>
        <w:rPr>
          <w:rtl w:val="true"/>
        </w:rPr>
        <w:t>عدم احتمال الخطأ فی العقل الفطری إلّا فرضا</w:t>
      </w:r>
      <w:r>
        <w:rPr>
          <w:rtl w:val="true"/>
        </w:rPr>
        <w:t>]</w:t>
      </w:r>
      <w:bookmarkEnd w:id="771"/>
    </w:p>
    <w:p>
      <w:pPr>
        <w:pStyle w:val="BookText"/>
        <w:rPr/>
      </w:pPr>
      <w:r>
        <w:rPr>
          <w:rFonts w:ascii="IRNazanin" w:hAnsi="IRNazanin" w:eastAsia="IRNazanin"/>
          <w:color w:val="111111"/>
          <w:sz w:val="28"/>
          <w:sz w:val="28"/>
          <w:szCs w:val="28"/>
          <w:rtl w:val="true"/>
          <w:lang w:bidi="fa-IR"/>
        </w:rPr>
        <w:t>أو یکون احتمال مخالفته مجرّد فرض لا وقوع له أصلا کالعقل الفطری الخالی عن شوائب الأوهام المثبت لوجود الصانع للمصنوعات و ذی الظلّ لکلّ ظلّ،</w:t>
      </w:r>
    </w:p>
    <w:p>
      <w:pPr>
        <w:pStyle w:val="Heading4"/>
        <w:numPr>
          <w:ilvl w:val="3"/>
          <w:numId w:val="1"/>
        </w:numPr>
        <w:rPr/>
      </w:pPr>
      <w:bookmarkStart w:id="772" w:name="__RefHeading___Toc2646876_3224264995"/>
      <w:bookmarkStart w:id="773" w:name="_Toc309"/>
      <w:bookmarkEnd w:id="772"/>
      <w:r>
        <w:rPr>
          <w:rtl w:val="true"/>
        </w:rPr>
        <w:t>[</w:t>
      </w:r>
      <w:r>
        <w:rPr>
          <w:rtl w:val="true"/>
        </w:rPr>
        <w:t>حجیّة ما کان احتمال الخلاف فیه غیر عقلائی</w:t>
      </w:r>
      <w:r>
        <w:rPr>
          <w:rtl w:val="true"/>
        </w:rPr>
        <w:t>]</w:t>
      </w:r>
      <w:bookmarkEnd w:id="773"/>
    </w:p>
    <w:p>
      <w:pPr>
        <w:pStyle w:val="BookText"/>
        <w:rPr/>
      </w:pPr>
      <w:r>
        <w:rPr>
          <w:rFonts w:ascii="IRNazanin" w:hAnsi="IRNazanin" w:eastAsia="IRNazanin"/>
          <w:color w:val="111111"/>
          <w:sz w:val="28"/>
          <w:sz w:val="28"/>
          <w:szCs w:val="28"/>
          <w:rtl w:val="true"/>
          <w:lang w:bidi="fa-IR"/>
        </w:rPr>
        <w:t>أو احتمالا غیر عقلائی کبدیهیات العقل و ضروریاته من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74" w:name="__RefHeading___Toc2646878_3224264995"/>
      <w:bookmarkStart w:id="775" w:name="_Toc310"/>
      <w:bookmarkEnd w:id="774"/>
      <w:r>
        <w:rPr>
          <w:rtl w:val="true"/>
        </w:rPr>
        <w:t>[</w:t>
      </w:r>
      <w:r>
        <w:rPr>
          <w:rtl w:val="true"/>
        </w:rPr>
        <w:t>حجّیة ما کان الاعتناء باحتمال المخالفة فیه مستلزما للعسر و الحرج و ما نحوه</w:t>
      </w:r>
      <w:r>
        <w:rPr>
          <w:rtl w:val="true"/>
        </w:rPr>
        <w:t>]</w:t>
      </w:r>
      <w:bookmarkEnd w:id="77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الاعتناء باحتمال مخالفته مستلزما للعسر و الحرج و سدّ أبواب المعاد و المعاش و الخروج عن ربقة التکالیف الفرعیة و الأصلیة و سدّ أبواب ثبوت الشرائع و الأدیان و رسالة الرسل و نبوّة الأنبیاء، و غیر ذلک مما یوجب القطع بعدم رضا العقل و الشرع به و بالاعتناء بما یستلزمه، کاحتمال الخلاف فی المحسوسات العقلیة و ما یقرب إلیها فی الرجوع إلی المبادئ الحسّیة، کمشاهدة المعجزة برأی العین و سماع الکلام بالمشافهة</w:t>
      </w:r>
      <w:r>
        <w:rPr>
          <w:rFonts w:eastAsia="IRNazanin" w:cs="IRNazanin"/>
          <w:color w:val="111111"/>
          <w:sz w:val="28"/>
          <w:szCs w:val="28"/>
          <w:rtl w:val="true"/>
          <w:lang w:bidi="fa-IR"/>
        </w:rPr>
        <w:t xml:space="preserve">. </w:t>
      </w:r>
      <w:bookmarkStart w:id="776" w:name="pg12856_162691"/>
    </w:p>
    <w:p>
      <w:pPr>
        <w:pStyle w:val="BookText"/>
        <w:rPr/>
      </w:pPr>
      <w:bookmarkEnd w:id="776"/>
      <w:r>
        <w:rPr>
          <w:rFonts w:ascii="IRNazanin" w:hAnsi="IRNazanin" w:eastAsia="IRNazanin"/>
          <w:color w:val="111111"/>
          <w:sz w:val="28"/>
          <w:sz w:val="28"/>
          <w:szCs w:val="28"/>
          <w:rtl w:val="true"/>
          <w:lang w:bidi="fa-IR"/>
        </w:rPr>
        <w:t>و أمّا مقدّمتهم الصغرویة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إحدی دعویین</w:t>
      </w:r>
      <w:r>
        <w:rPr>
          <w:rFonts w:eastAsia="IRNazanin" w:cs="IRNazanin"/>
          <w:color w:val="111111"/>
          <w:sz w:val="28"/>
          <w:szCs w:val="28"/>
          <w:rtl w:val="true"/>
          <w:lang w:bidi="fa-IR"/>
        </w:rPr>
        <w:t>.</w:t>
      </w:r>
    </w:p>
    <w:p>
      <w:pPr>
        <w:pStyle w:val="Heading4"/>
        <w:numPr>
          <w:ilvl w:val="3"/>
          <w:numId w:val="1"/>
        </w:numPr>
        <w:rPr/>
      </w:pPr>
      <w:bookmarkStart w:id="777" w:name="__RefHeading___Toc2646880_3224264995"/>
      <w:bookmarkStart w:id="778" w:name="_Toc311"/>
      <w:bookmarkEnd w:id="777"/>
      <w:r>
        <w:rPr>
          <w:rtl w:val="true"/>
        </w:rPr>
        <w:t>[</w:t>
      </w:r>
      <w:r>
        <w:rPr>
          <w:rtl w:val="true"/>
        </w:rPr>
        <w:t>دعوی عدم الأمن من الخلاف فی القطع الحاصل من المقدّمات العقلیّة النظریّة</w:t>
      </w:r>
      <w:r>
        <w:rPr>
          <w:rtl w:val="true"/>
        </w:rPr>
        <w:t>]</w:t>
      </w:r>
      <w:bookmarkEnd w:id="778"/>
    </w:p>
    <w:p>
      <w:pPr>
        <w:pStyle w:val="BookText"/>
        <w:rPr/>
      </w:pPr>
      <w:r>
        <w:rPr>
          <w:rFonts w:ascii="IRNazanin" w:hAnsi="IRNazanin" w:eastAsia="IRNazanin"/>
          <w:color w:val="111111"/>
          <w:sz w:val="28"/>
          <w:sz w:val="28"/>
          <w:szCs w:val="28"/>
          <w:rtl w:val="true"/>
          <w:lang w:bidi="fa-IR"/>
        </w:rPr>
        <w:t>إمّا دعوی أنّ القطع الحاصل من المقدّمات العقلیة النظریة غیر مأمون من احتمال الخلاف، و لا من درک ما یترتّب علی ذلک الخلاف من المفاسد و العقوبة بکفالة المعصوم و ضمانته، درکه</w:t>
      </w:r>
    </w:p>
    <w:p>
      <w:pPr>
        <w:pStyle w:val="Heading4"/>
        <w:numPr>
          <w:ilvl w:val="3"/>
          <w:numId w:val="1"/>
        </w:numPr>
        <w:rPr/>
      </w:pPr>
      <w:bookmarkStart w:id="779" w:name="__RefHeading___Toc2646882_3224264995"/>
      <w:bookmarkStart w:id="780" w:name="_Toc312"/>
      <w:bookmarkEnd w:id="779"/>
      <w:r>
        <w:rPr>
          <w:rtl w:val="true"/>
        </w:rPr>
        <w:t>[</w:t>
      </w:r>
      <w:r>
        <w:rPr>
          <w:rtl w:val="true"/>
        </w:rPr>
        <w:t>احتمال الخلاف فی ما یحصل من أخبار الکتب الأربعة أو الاصول الأربعمائة غیر عقلائی</w:t>
      </w:r>
      <w:r>
        <w:rPr>
          <w:rtl w:val="true"/>
        </w:rPr>
        <w:t>]</w:t>
      </w:r>
      <w:bookmarkEnd w:id="780"/>
    </w:p>
    <w:p>
      <w:pPr>
        <w:pStyle w:val="BookText"/>
        <w:rPr/>
      </w:pPr>
      <w:r>
        <w:rPr>
          <w:rFonts w:ascii="IRNazanin" w:hAnsi="IRNazanin" w:eastAsia="IRNazanin"/>
          <w:color w:val="111111"/>
          <w:sz w:val="28"/>
          <w:sz w:val="28"/>
          <w:szCs w:val="28"/>
          <w:rtl w:val="true"/>
          <w:lang w:bidi="fa-IR"/>
        </w:rPr>
        <w:t>بخلاف ما یحصل من أخبار الکتب الأربعة، بل مطلق الاصول الأربعمائة، فإنّ احتمال الخلاف فیها عند أکثرهم ملحق بالاحتمالات الغیر العقلائیة، للوجوه التی أقاموها علی ذلک من کثرة الوثوق برواتها و جامعیها و شدّة تورّعهم فی الاحتیاط و التقوی و حرصهم علی اتقان ضبطها، و غیر ذلک مما ادّعوا قضاء العادة من ملاحظته القطع بصدور جمیع ما فی الکتب الأربعة و صحّتها، و نفی احتمال الخلاف فیها و خروجه عن الاحتمالات العقلائیة، کخروج احتمال عدم إصابة السماع و الحسّ فیها عن الاحتمالات العقلائیة لو سمعت مشافهة من غیر واسطة</w:t>
      </w:r>
      <w:r>
        <w:rPr>
          <w:rFonts w:eastAsia="IRNazanin" w:cs="IRNazanin"/>
          <w:color w:val="111111"/>
          <w:sz w:val="28"/>
          <w:szCs w:val="28"/>
          <w:rtl w:val="true"/>
          <w:lang w:bidi="fa-IR"/>
        </w:rPr>
        <w:t>.</w:t>
      </w:r>
    </w:p>
    <w:p>
      <w:pPr>
        <w:pStyle w:val="Heading4"/>
        <w:numPr>
          <w:ilvl w:val="3"/>
          <w:numId w:val="1"/>
        </w:numPr>
        <w:rPr/>
      </w:pPr>
      <w:bookmarkStart w:id="781" w:name="__RefHeading___Toc2646884_3224264995"/>
      <w:bookmarkStart w:id="782" w:name="_Toc313"/>
      <w:bookmarkEnd w:id="781"/>
      <w:r>
        <w:rPr>
          <w:rtl w:val="true"/>
        </w:rPr>
        <w:t>[</w:t>
      </w:r>
      <w:r>
        <w:rPr>
          <w:rtl w:val="true"/>
        </w:rPr>
        <w:t>دعوی ضمان درک ما یترتّب علی الخلاف المترتّب من سلوک الأخبار</w:t>
      </w:r>
      <w:r>
        <w:rPr>
          <w:rtl w:val="true"/>
        </w:rPr>
        <w:t>]</w:t>
      </w:r>
      <w:bookmarkEnd w:id="782"/>
    </w:p>
    <w:p>
      <w:pPr>
        <w:pStyle w:val="BookText"/>
        <w:rPr/>
      </w:pPr>
      <w:r>
        <w:rPr>
          <w:rFonts w:ascii="IRNazanin" w:hAnsi="IRNazanin" w:eastAsia="IRNazanin"/>
          <w:color w:val="111111"/>
          <w:sz w:val="28"/>
          <w:sz w:val="28"/>
          <w:szCs w:val="28"/>
          <w:rtl w:val="true"/>
          <w:lang w:bidi="fa-IR"/>
        </w:rPr>
        <w:t>و إمّا دعوی أنّ احتمال الخلاف فیها و إن لم یلحق بالاحتمال الغیر العقلائی إلّا أنّ المعصومین علیهم السّلام ضمنوا لدرک ما یترتّب علی الخلاف المتفق من سلوک طرق أخبارهم و آثارهم بواسطة الإعراض عن سلوک طرق أعدائهم و الرکون إلی مفاسد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الأقیسة و مستحسنات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لتنصیصهم فی عدّة من الأخبار بمثل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اللّه بغیر سماع من صادق فهو کذا و کذا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ما یقرب من 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مستند الأخباریة فی منع الملازمة</w:t>
      </w:r>
      <w:r>
        <w:rPr>
          <w:rFonts w:eastAsia="IRNazanin" w:cs="IRNazanin"/>
          <w:color w:val="111111"/>
          <w:sz w:val="28"/>
          <w:szCs w:val="28"/>
          <w:rtl w:val="true"/>
          <w:lang w:bidi="fa-IR"/>
        </w:rPr>
        <w:t>.</w:t>
      </w:r>
    </w:p>
    <w:p>
      <w:pPr>
        <w:pStyle w:val="Heading4"/>
        <w:numPr>
          <w:ilvl w:val="3"/>
          <w:numId w:val="1"/>
        </w:numPr>
        <w:rPr/>
      </w:pPr>
      <w:bookmarkStart w:id="783" w:name="__RefHeading___Toc2646886_3224264995"/>
      <w:bookmarkStart w:id="784" w:name="_Toc314"/>
      <w:bookmarkEnd w:id="783"/>
      <w:r>
        <w:rPr>
          <w:rtl w:val="true"/>
        </w:rPr>
        <w:t>[</w:t>
      </w:r>
      <w:r>
        <w:rPr>
          <w:rtl w:val="true"/>
        </w:rPr>
        <w:t>تسلیم کبری المانعین من الملازمة</w:t>
      </w:r>
      <w:r>
        <w:rPr>
          <w:rtl w:val="true"/>
        </w:rPr>
        <w:t>]</w:t>
      </w:r>
      <w:bookmarkEnd w:id="7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مقدّمتهم الکبرویة فمما لا کلام فیها بیننا و بینهم، و لیس لنا فی قباله کلام ینافیه بوجه من الوجوه،</w:t>
      </w:r>
    </w:p>
    <w:p>
      <w:pPr>
        <w:pStyle w:val="Heading4"/>
        <w:numPr>
          <w:ilvl w:val="3"/>
          <w:numId w:val="1"/>
        </w:numPr>
        <w:rPr/>
      </w:pPr>
      <w:bookmarkStart w:id="785" w:name="__RefHeading___Toc2646888_3224264995"/>
      <w:bookmarkStart w:id="786" w:name="_Toc315"/>
      <w:bookmarkEnd w:id="785"/>
      <w:r>
        <w:rPr>
          <w:rtl w:val="true"/>
        </w:rPr>
        <w:t>[</w:t>
      </w:r>
      <w:r>
        <w:rPr>
          <w:rtl w:val="true"/>
        </w:rPr>
        <w:t>قول العامة بالتصویب و تبعیة الأحکام الظنّیات العقل و مستحسنات أوهامهم</w:t>
      </w:r>
      <w:r>
        <w:rPr>
          <w:rtl w:val="true"/>
        </w:rPr>
        <w:t>]</w:t>
      </w:r>
      <w:bookmarkEnd w:id="78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للعامّة فی قباله ما ینافیه من القول بالتصویب و تبعیة الأحکام الواقعیة لظنّیات العقل و مستحسنات أوهامهم الفاسدة و عدم إثبات واقع لها سوی ما یحدثه آرائهم الباطلة، فکلامهم الکبروی إذن کلام </w:t>
      </w:r>
      <w:bookmarkStart w:id="787" w:name="pg12856_162692"/>
    </w:p>
    <w:p>
      <w:pPr>
        <w:pStyle w:val="BookText"/>
        <w:rPr/>
      </w:pPr>
      <w:bookmarkEnd w:id="787"/>
      <w:r>
        <w:rPr>
          <w:rFonts w:ascii="IRNazanin" w:hAnsi="IRNazanin" w:eastAsia="IRNazanin"/>
          <w:color w:val="111111"/>
          <w:sz w:val="28"/>
          <w:sz w:val="28"/>
          <w:szCs w:val="28"/>
          <w:rtl w:val="true"/>
          <w:lang w:bidi="fa-IR"/>
        </w:rPr>
        <w:t>ینبغی أن یکون فی قبال المصوّبة من العامّة، لا فی قبالنا معاشر المخطّئة من أهل الصواب</w:t>
      </w:r>
      <w:r>
        <w:rPr>
          <w:rFonts w:eastAsia="IRNazanin" w:cs="IRNazanin"/>
          <w:color w:val="111111"/>
          <w:sz w:val="28"/>
          <w:szCs w:val="28"/>
          <w:rtl w:val="true"/>
          <w:lang w:bidi="fa-IR"/>
        </w:rPr>
        <w:t>.</w:t>
      </w:r>
    </w:p>
    <w:p>
      <w:pPr>
        <w:pStyle w:val="Heading4"/>
        <w:numPr>
          <w:ilvl w:val="3"/>
          <w:numId w:val="1"/>
        </w:numPr>
        <w:rPr/>
      </w:pPr>
      <w:bookmarkStart w:id="788" w:name="__RefHeading___Toc2646890_3224264995"/>
      <w:bookmarkStart w:id="789" w:name="_Toc316"/>
      <w:bookmarkEnd w:id="788"/>
      <w:r>
        <w:rPr>
          <w:rtl w:val="true"/>
        </w:rPr>
        <w:t>[</w:t>
      </w:r>
      <w:r>
        <w:rPr>
          <w:rtl w:val="true"/>
        </w:rPr>
        <w:t>المنع من الفرق بین قطعیات العقل النظری و بین قطعیات النقل الوصوی</w:t>
      </w:r>
      <w:r>
        <w:rPr>
          <w:rtl w:val="true"/>
        </w:rPr>
        <w:t>]</w:t>
      </w:r>
      <w:bookmarkEnd w:id="789"/>
    </w:p>
    <w:p>
      <w:pPr>
        <w:pStyle w:val="BookText"/>
        <w:rPr/>
      </w:pPr>
      <w:r>
        <w:rPr>
          <w:rFonts w:ascii="IRNazanin" w:hAnsi="IRNazanin" w:eastAsia="IRNazanin"/>
          <w:color w:val="111111"/>
          <w:sz w:val="28"/>
          <w:sz w:val="28"/>
          <w:szCs w:val="28"/>
          <w:rtl w:val="true"/>
          <w:lang w:bidi="fa-IR"/>
        </w:rPr>
        <w:t>و أمّا مقدّمتهم الصغرویة المبتنیة علی دعوی الفرق بین قطعیات العقل النظری فی حکمهم بعدم حجّیتها لمحض احتمال مخالفتها الواقع و عدم إیصالها الید، و بین قطعیات النقل الوصوی فی حکمهم بحجّیتها استنادا إلی إلحاق احتمال مخالفتها الواقع بالاحتمالات الغیر العقلائیة، کما هو مستند أکثرهم، أو إلی دعوی اختصاص الضمانة و کفالة المعصوم بها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الفرق باختصاص النقل دون العقل بإلحاق احتمال مخالفة الواقع بالاحتمال الغیر العقلائی أو اختصاص النقل دون العقل أیضا بالضمانة و کفایة ما لا یصادف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منع الفرق الأول فلضرورة أنّ دعوی عدم احتمال مخالفة النقلیات الواقع احتمالا عقلائیا لیس بأولی من دعوی عدم احتمال مخالفة العقلیات الواقع احتمالا عقلائیا إن لم یکن العکس أولی</w:t>
      </w:r>
      <w:r>
        <w:rPr>
          <w:rFonts w:eastAsia="IRNazanin" w:cs="IRNazanin"/>
          <w:color w:val="111111"/>
          <w:sz w:val="28"/>
          <w:szCs w:val="28"/>
          <w:rtl w:val="true"/>
          <w:lang w:bidi="fa-IR"/>
        </w:rPr>
        <w:t>.</w:t>
      </w:r>
    </w:p>
    <w:p>
      <w:pPr>
        <w:pStyle w:val="Heading4"/>
        <w:numPr>
          <w:ilvl w:val="3"/>
          <w:numId w:val="1"/>
        </w:numPr>
        <w:rPr/>
      </w:pPr>
      <w:bookmarkStart w:id="790" w:name="__RefHeading___Toc2646892_3224264995"/>
      <w:bookmarkStart w:id="791" w:name="_Toc317"/>
      <w:bookmarkEnd w:id="790"/>
      <w:r>
        <w:rPr>
          <w:rtl w:val="true"/>
        </w:rPr>
        <w:t>[</w:t>
      </w:r>
      <w:r>
        <w:rPr>
          <w:rtl w:val="true"/>
        </w:rPr>
        <w:t>منع مدخلیة توسّط تبلیغ الحجّة فی وجوب إطاعة حکم اللّه</w:t>
      </w:r>
      <w:r>
        <w:rPr>
          <w:rtl w:val="true"/>
        </w:rPr>
        <w:t>]</w:t>
      </w:r>
      <w:bookmarkEnd w:id="791"/>
    </w:p>
    <w:p>
      <w:pPr>
        <w:pStyle w:val="BookText"/>
        <w:rPr/>
      </w:pPr>
      <w:r>
        <w:rPr>
          <w:rFonts w:ascii="IRNazanin" w:hAnsi="IRNazanin" w:eastAsia="IRNazanin"/>
          <w:color w:val="111111"/>
          <w:sz w:val="28"/>
          <w:sz w:val="28"/>
          <w:szCs w:val="28"/>
          <w:rtl w:val="true"/>
          <w:lang w:bidi="fa-IR"/>
        </w:rPr>
        <w:t>و أمّا وجه منع الفرق الثانی فلما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مدخلیة توسّط تبلیغ الحجّة فی وجوب إطاعة حکم اللّه تعالی، کیف و العقل بعد ما عرف أنّ اللّه تعالی لا یرضی بترک الشی‌ء الفلانی و علم بوجوب إطاعة اللّه لم یحتج ذلک إلی توسّط مبلّغ</w:t>
      </w:r>
      <w:r>
        <w:rPr>
          <w:rFonts w:eastAsia="IRNazanin" w:cs="IRNazanin"/>
          <w:color w:val="111111"/>
          <w:sz w:val="28"/>
          <w:szCs w:val="28"/>
          <w:rtl w:val="true"/>
          <w:lang w:bidi="fa-IR"/>
        </w:rPr>
        <w:t>.</w:t>
      </w:r>
    </w:p>
    <w:p>
      <w:pPr>
        <w:pStyle w:val="Heading4"/>
        <w:numPr>
          <w:ilvl w:val="3"/>
          <w:numId w:val="1"/>
        </w:numPr>
        <w:rPr/>
      </w:pPr>
      <w:bookmarkStart w:id="792" w:name="__RefHeading___Toc2646894_3224264995"/>
      <w:bookmarkStart w:id="793" w:name="_Toc318"/>
      <w:bookmarkEnd w:id="792"/>
      <w:r>
        <w:rPr>
          <w:rtl w:val="true"/>
        </w:rPr>
        <w:t>[</w:t>
      </w:r>
      <w:r>
        <w:rPr>
          <w:rtl w:val="true"/>
        </w:rPr>
        <w:t>محمل قوله علیه السلام</w:t>
      </w:r>
      <w:r>
        <w:rPr>
          <w:rtl w:val="true"/>
        </w:rPr>
        <w:t>: «</w:t>
      </w:r>
      <w:r>
        <w:rPr>
          <w:rtl w:val="true"/>
        </w:rPr>
        <w:t>دین اللّه لا یصاب بالعقول</w:t>
      </w:r>
      <w:r>
        <w:rPr>
          <w:rtl w:val="true"/>
        </w:rPr>
        <w:t>»]</w:t>
      </w:r>
      <w:bookmarkEnd w:id="79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استفادة ذلک من الأخبار ممنوعة؛ فإنّ المقصود من أمثال الخبر المذکور عدم جواز الاستبداد بالأحکام الشرعیة بالعقول الناقصة الظنّیة علی ما کان متعارفا فی ذلک الزمان من العمل بالأقیسة و الاستحسانات، و إلّا فإدراک العقل البدیهی لحکم شرعی نظری فی غایة الندرة، بل لا نعرف وجوده، فلا ینبغی الاهتمام به فی هذه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ذکرنا یحمل ما ورد من أنّ </w:t>
      </w:r>
      <w:bookmarkStart w:id="794" w:name="pg12856_162693"/>
    </w:p>
    <w:p>
      <w:pPr>
        <w:pStyle w:val="BookText"/>
        <w:rPr/>
      </w:pPr>
      <w:bookmarkEnd w:id="7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لا یصاب بالعقول</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2646896_3224264995"/>
      <w:bookmarkStart w:id="796" w:name="_Toc319"/>
      <w:bookmarkEnd w:id="795"/>
      <w:r>
        <w:rPr>
          <w:rtl w:val="true"/>
        </w:rPr>
        <w:t>[</w:t>
      </w:r>
      <w:r>
        <w:rPr>
          <w:rtl w:val="true"/>
        </w:rPr>
        <w:t>إمکان الکشف عن الحکم الشرعی بواسطة الحکم العقلی</w:t>
      </w:r>
      <w:r>
        <w:rPr>
          <w:rtl w:val="true"/>
        </w:rPr>
        <w:t>]</w:t>
      </w:r>
      <w:bookmarkEnd w:id="796"/>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مدخلیة تبلیغ الحجّة فی وجوب الإطاعة لکنّا إذا علمنا إجمالا بأنّ حکم الواقعة الفلانیة لعموم الابتلاء بها قد صدر یقینا من الحجّة مضافا إلی ما ورد من قوله فی خطبة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شی‌ء یقرّبکم إلی الجنّة و یباعدکم عن النار إلّا أمرتکم به، و ما من شی‌ء یقرّبکم إلی النار و یباعدکم عن الجنّة إلّا و قد نهیتکم عنه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ثمّ أدرکنا ذلک الحکم إمّا بالعقل المستقلّ، و إمّا بواسطة مقدّمة عقلیة یجزم من ذلک بأنّ ما استکشفناه بعقولنا صادر عن الحجّة علیه السّلام فیکون الإطاعة بواسطة الحجّة، إلی آخر ما فی أوائل الفرائد فی ردّ المانعین من إطلاق حجّیة القطع من الأخباریة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2646898_3224264995"/>
      <w:bookmarkStart w:id="798" w:name="_Toc320"/>
      <w:bookmarkEnd w:id="797"/>
      <w:r>
        <w:rPr>
          <w:rtl w:val="true"/>
        </w:rPr>
        <w:t>[</w:t>
      </w:r>
      <w:r>
        <w:rPr>
          <w:rtl w:val="true"/>
        </w:rPr>
        <w:t>دراسة دعوی إناطة الأحکام الشرعیة بخصوص النقل</w:t>
      </w:r>
      <w:r>
        <w:rPr>
          <w:rtl w:val="true"/>
        </w:rPr>
        <w:t>]</w:t>
      </w:r>
      <w:bookmarkEnd w:id="798"/>
    </w:p>
    <w:p>
      <w:pPr>
        <w:pStyle w:val="BookText"/>
        <w:rPr/>
      </w:pPr>
      <w:r>
        <w:rPr>
          <w:rFonts w:ascii="IRNazanin" w:hAnsi="IRNazanin" w:eastAsia="IRNazanin"/>
          <w:color w:val="111111"/>
          <w:sz w:val="28"/>
          <w:sz w:val="28"/>
          <w:szCs w:val="28"/>
          <w:rtl w:val="true"/>
          <w:lang w:bidi="fa-IR"/>
        </w:rPr>
        <w:t xml:space="preserve">و أمّا منع الملازمة من جهة إناطة الأحکام الشرعیة بخصوص النقل بأحد وجهیه، أعنی من جهة إمکان الخلاء، أو من جهة قصور عقولنا النظریة المشوبة بشوائب الأوهام عن إدراک الواقع فلعلّه الجمود علی ظاهر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علیکم أن تقولوا بشی‌ء ما لم تسمعوه منّا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رجلا قام لیله و صام نهاره و حجّ دهره و تصدّق بجمیع ماله و لم یعرف ولایة ولیّ اللّه فیکون أعماله بدلالته فیوالیه ما کان له علی اللّه الثواب</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اللّه بغیر سماع من صادق فهو کذا و کذا</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الواجب علینا هو امتثال أحکام اللّه تعالی التی بلّغها حججه علیهم السّلام، فکلّ حکم لم یکن الحجّة واسطة فی تبلیغه لم</w:t>
      </w:r>
      <w:bookmarkStart w:id="799" w:name="pg12856_162694"/>
    </w:p>
    <w:p>
      <w:pPr>
        <w:pStyle w:val="BookText"/>
        <w:rPr/>
      </w:pPr>
      <w:bookmarkEnd w:id="799"/>
      <w:r>
        <w:rPr>
          <w:rFonts w:ascii="IRNazanin" w:hAnsi="IRNazanin" w:eastAsia="IRNazanin"/>
          <w:color w:val="111111"/>
          <w:sz w:val="28"/>
          <w:sz w:val="28"/>
          <w:szCs w:val="28"/>
          <w:rtl w:val="true"/>
          <w:lang w:bidi="fa-IR"/>
        </w:rPr>
        <w:t xml:space="preserve">یجب امتثاله، بل یکون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فإنّ معنی سکوته عنه عدم أمر أولیائه تبلیغه، و حینئذ فالحکم المنکشف بغیر واسطة الحجّة ملغی فی نظر الشارع و إن کان مطابقا للواقع، کما یشهد به تصریح الإمام علیه السّلام بنفی الثواب علی التصدّق بجمیع المال مع القطع بکونه محبوبا و مرضیا عند اللّه</w:t>
      </w:r>
      <w:r>
        <w:rPr>
          <w:rFonts w:eastAsia="IRNazanin" w:cs="IRNazanin"/>
          <w:color w:val="111111"/>
          <w:sz w:val="28"/>
          <w:szCs w:val="28"/>
          <w:rtl w:val="true"/>
          <w:lang w:bidi="fa-IR"/>
        </w:rPr>
        <w:t>.</w:t>
      </w:r>
    </w:p>
    <w:p>
      <w:pPr>
        <w:pStyle w:val="Heading4"/>
        <w:numPr>
          <w:ilvl w:val="3"/>
          <w:numId w:val="1"/>
        </w:numPr>
        <w:rPr/>
      </w:pPr>
      <w:bookmarkStart w:id="800" w:name="__RefHeading___Toc2646900_3224264995"/>
      <w:bookmarkStart w:id="801" w:name="_Toc321"/>
      <w:bookmarkEnd w:id="800"/>
      <w:r>
        <w:rPr>
          <w:rtl w:val="true"/>
        </w:rPr>
        <w:t>[</w:t>
      </w:r>
      <w:r>
        <w:rPr>
          <w:rtl w:val="true"/>
        </w:rPr>
        <w:t>إشارة إلی ندرة إدراک العقل البدیهی لحکم شرعی نظری</w:t>
      </w:r>
      <w:r>
        <w:rPr>
          <w:rtl w:val="true"/>
        </w:rPr>
        <w:t>]</w:t>
      </w:r>
      <w:bookmarkEnd w:id="801"/>
    </w:p>
    <w:p>
      <w:pPr>
        <w:pStyle w:val="BookText"/>
        <w:rPr/>
      </w:pPr>
      <w:r>
        <w:rPr>
          <w:rFonts w:ascii="IRNazanin" w:hAnsi="IRNazanin" w:eastAsia="IRNazanin"/>
          <w:color w:val="111111"/>
          <w:sz w:val="28"/>
          <w:sz w:val="28"/>
          <w:szCs w:val="28"/>
          <w:rtl w:val="true"/>
          <w:lang w:bidi="fa-IR"/>
        </w:rPr>
        <w:t>و قد اجیب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أمثال الخبر المذکور عدم جواز الاستبداد بالأحکام الشرعیة بالعقول الناقصة الظنّیة علی ما کان متعارفا فی ذلک الزمان من العمل بالأقیسة و الاستحسانات، و إلّا فإدراک العقل البدیهی لحکم شرعی نظری فی غایة الندرة، بل لا نعرف وجوده، فلا ینبغی الاهتمام به فی هذه الأخبار الکثیرة</w:t>
      </w:r>
      <w:r>
        <w:rPr>
          <w:rStyle w:val="FootnoteAnchor"/>
          <w:rtl w:val="true"/>
        </w:rPr>
        <w:footnoteReference w:id="240"/>
      </w:r>
      <w:r>
        <w:rPr>
          <w:rFonts w:ascii="IRNazanin" w:hAnsi="IRNazanin" w:eastAsia="IRNazanin"/>
          <w:color w:val="111111"/>
          <w:sz w:val="28"/>
          <w:sz w:val="28"/>
          <w:szCs w:val="28"/>
          <w:rtl w:val="true"/>
          <w:lang w:bidi="fa-IR"/>
        </w:rPr>
        <w:t>إلی آخر ما فی أوائل الفرائد من تفصیل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الملازمة من سائر الجهات الباقیة فیوهمه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241"/>
      </w:r>
      <w:r>
        <w:rPr>
          <w:rFonts w:ascii="Amiri" w:hAnsi="Amiri" w:eastAsia="Amiri" w:cs="Amiri"/>
          <w:color w:val="111111"/>
          <w:sz w:val="28"/>
          <w:sz w:val="28"/>
          <w:szCs w:val="28"/>
          <w:rtl w:val="true"/>
          <w:lang w:bidi="ar-SA"/>
        </w:rPr>
        <w:t>و لا یُکَلِّفُ اللَّهُ نَفْساً إِلَّا ما آتاها</w:t>
      </w:r>
      <w:r>
        <w:rPr>
          <w:rStyle w:val="FootnoteAnchor"/>
          <w:rtl w:val="true"/>
        </w:rPr>
        <w:footnoteReference w:id="242"/>
      </w:r>
      <w:r>
        <w:rPr>
          <w:rFonts w:ascii="Amiri" w:hAnsi="Amiri" w:eastAsia="Amiri" w:cs="Amiri"/>
          <w:color w:val="111111"/>
          <w:sz w:val="28"/>
          <w:sz w:val="28"/>
          <w:szCs w:val="28"/>
          <w:rtl w:val="true"/>
          <w:lang w:bidi="ar-SA"/>
        </w:rPr>
        <w:t>و کذا الأخبار الدالّة علی أن لا تکلیف إلّا بعد بعث الرسل لِیَهْلِکَ مَنْ هَلَکَ عَنْ بَیِّنَةٍ</w:t>
      </w:r>
      <w:r>
        <w:rPr>
          <w:rStyle w:val="FootnoteAnchor"/>
          <w:rtl w:val="true"/>
        </w:rPr>
        <w:footnoteReference w:id="243"/>
      </w:r>
      <w:r>
        <w:rPr>
          <w:rFonts w:ascii="IRNazanin" w:hAnsi="IRNazanin" w:eastAsia="IRNazanin"/>
          <w:color w:val="111111"/>
          <w:sz w:val="28"/>
          <w:sz w:val="28"/>
          <w:szCs w:val="28"/>
          <w:rtl w:val="true"/>
          <w:lang w:bidi="fa-IR"/>
        </w:rPr>
        <w:t>، إلی غیر ذلک من الوجوه المجاب عنها فی الفصول</w:t>
      </w:r>
      <w:r>
        <w:rPr>
          <w:rStyle w:val="FootnoteAnchor"/>
          <w:rtl w:val="true"/>
        </w:rPr>
        <w:footnoteReference w:id="244"/>
      </w:r>
      <w:r>
        <w:rPr>
          <w:rFonts w:ascii="IRNazanin" w:hAnsi="IRNazanin" w:eastAsia="IRNazanin"/>
          <w:color w:val="111111"/>
          <w:sz w:val="28"/>
          <w:sz w:val="28"/>
          <w:szCs w:val="28"/>
          <w:rtl w:val="true"/>
          <w:lang w:bidi="fa-IR"/>
        </w:rPr>
        <w:t>و القوانین</w:t>
      </w:r>
      <w:r>
        <w:rPr>
          <w:rStyle w:val="FootnoteAnchor"/>
          <w:rtl w:val="true"/>
        </w:rPr>
        <w:footnoteReference w:id="245"/>
      </w:r>
      <w:r>
        <w:rPr>
          <w:rFonts w:ascii="IRNazanin" w:hAnsi="IRNazanin" w:eastAsia="IRNazanin"/>
          <w:color w:val="111111"/>
          <w:sz w:val="28"/>
          <w:sz w:val="28"/>
          <w:szCs w:val="28"/>
          <w:rtl w:val="true"/>
          <w:lang w:bidi="fa-IR"/>
        </w:rPr>
        <w:t>بما فیه الکفایة بل الغنیة للمراجع</w:t>
      </w:r>
      <w:r>
        <w:rPr>
          <w:rFonts w:eastAsia="IRNazanin" w:cs="IRNazanin"/>
          <w:color w:val="111111"/>
          <w:sz w:val="28"/>
          <w:szCs w:val="28"/>
          <w:rtl w:val="true"/>
          <w:lang w:bidi="fa-IR"/>
        </w:rPr>
        <w:t>.</w:t>
      </w:r>
    </w:p>
    <w:p>
      <w:pPr>
        <w:pStyle w:val="Heading4"/>
        <w:numPr>
          <w:ilvl w:val="3"/>
          <w:numId w:val="1"/>
        </w:numPr>
        <w:rPr/>
      </w:pPr>
      <w:bookmarkStart w:id="802" w:name="__RefHeading___Toc2646902_3224264995"/>
      <w:bookmarkStart w:id="803" w:name="_Toc322"/>
      <w:bookmarkEnd w:id="802"/>
      <w:r>
        <w:rPr>
          <w:rtl w:val="true"/>
        </w:rPr>
        <w:t>[</w:t>
      </w:r>
      <w:r>
        <w:rPr>
          <w:rtl w:val="true"/>
        </w:rPr>
        <w:t>وجوه تصویر معنی الملازمة بین حکم العقل و الشرع</w:t>
      </w:r>
      <w:r>
        <w:rPr>
          <w:rtl w:val="true"/>
        </w:rPr>
        <w:t>]</w:t>
      </w:r>
      <w:bookmarkEnd w:id="803"/>
    </w:p>
    <w:p>
      <w:pPr>
        <w:pStyle w:val="BookText"/>
        <w:rPr/>
      </w:pPr>
      <w:r>
        <w:rPr>
          <w:rFonts w:ascii="IRNazanin" w:hAnsi="IRNazanin" w:eastAsia="IRNazanin"/>
          <w:color w:val="111111"/>
          <w:sz w:val="28"/>
          <w:sz w:val="28"/>
          <w:szCs w:val="28"/>
          <w:rtl w:val="true"/>
          <w:lang w:bidi="fa-IR"/>
        </w:rPr>
        <w:t>ثمّ إنّ معنی الملازمة و کون کلّما حکم به العقل حکم به الشرع و بالعکس یتصوّر علی وجوه ثلاثة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 حکمی العقل و الشرع و حاکمیهما متماثلان، فیکون </w:t>
      </w:r>
      <w:bookmarkStart w:id="804" w:name="pg12856_162695"/>
    </w:p>
    <w:p>
      <w:pPr>
        <w:pStyle w:val="BookText"/>
        <w:rPr/>
      </w:pPr>
      <w:bookmarkEnd w:id="804"/>
      <w:r>
        <w:rPr>
          <w:rFonts w:ascii="IRNazanin" w:hAnsi="IRNazanin" w:eastAsia="IRNazanin"/>
          <w:color w:val="111111"/>
          <w:sz w:val="28"/>
          <w:sz w:val="28"/>
          <w:szCs w:val="28"/>
          <w:rtl w:val="true"/>
          <w:lang w:bidi="fa-IR"/>
        </w:rPr>
        <w:t>معنی الملازمة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 یحکم به العقل یحکم بمثله الشرع، فیکون حکم العقل مثل حکم الشرع و بالعکس، و أنّ العقل أیضا مثل الشرع و بالعکس فی الحجّیة و وجوب الاتباع،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کالنبی فی الحجّیة و وجوب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 حکم به العقل یمضیه الشرع و کلّما حکم به الشرع یمضیه العقل، فیکون کلّ منهما غیر الآخر لا مثل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 حکم به العقل فهو عین ما حکم به الشرع و بالعکس، و أنّ العقل رسول باطن، کما أنّ الشرع رسول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المعانی الثلاثة رجوع الملازمة علی الأول إلی أنّ الحکمین موجودان بوجودین من قبیل التأسیس، و علی الثانی إلی أنّهما وجودان و الموجود واحد من قبیل التأکید و التصدیق، و علی الثالث إلی أنّهما متحدان بحسب الوجود و الموجود و إن اختلف الحاکمات بحسب الخارج، نظیر اتحاد ما یقوله اللسان لما انعقد علیه القلب و الجنان و إن اختلف بحسب الخارج الفاعلان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الملازمة و إن احتمل لکلّ من المعانی الثلاثة المذکورة إلّا أنّها بکلّ من المعنیین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المماثلة بین الحکمین أو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خلاف ظاهر تعبیرهم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 العینیة لا المماثلة و لا المغایرة بینهما، مضافا إلی اقتضاء المماثلة تعدّد آثارهما و خواصّهما و هو خلاف ظاهر آخر، فتعیّن إرادة المعنی الثالث، و هو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فإذا ضربت معانی الملازمة الثلاثة فی جهات الملازمة الستّ بلغت ثمانیة عشر وجها، قد عرفت السلیم من السقیم منها إجمالا</w:t>
      </w:r>
      <w:r>
        <w:rPr>
          <w:rFonts w:eastAsia="IRNazanin" w:cs="IRNazanin"/>
          <w:color w:val="111111"/>
          <w:sz w:val="28"/>
          <w:szCs w:val="28"/>
          <w:rtl w:val="true"/>
          <w:lang w:bidi="fa-IR"/>
        </w:rPr>
        <w:t>.</w:t>
      </w:r>
    </w:p>
    <w:p>
      <w:pPr>
        <w:pStyle w:val="Heading4"/>
        <w:numPr>
          <w:ilvl w:val="3"/>
          <w:numId w:val="1"/>
        </w:numPr>
        <w:rPr/>
      </w:pPr>
      <w:bookmarkStart w:id="805" w:name="__RefHeading___Toc2646904_3224264995"/>
      <w:bookmarkStart w:id="806" w:name="_Toc323"/>
      <w:bookmarkEnd w:id="805"/>
      <w:r>
        <w:rPr>
          <w:rtl w:val="true"/>
        </w:rPr>
        <w:t>[</w:t>
      </w:r>
      <w:r>
        <w:rPr>
          <w:rtl w:val="true"/>
        </w:rPr>
        <w:t>امور توهّم منع الملازمة</w:t>
      </w:r>
      <w:r>
        <w:rPr>
          <w:rtl w:val="true"/>
        </w:rPr>
        <w:t>]</w:t>
      </w:r>
      <w:bookmarkEnd w:id="806"/>
    </w:p>
    <w:p>
      <w:pPr>
        <w:pStyle w:val="BookText"/>
        <w:rPr/>
      </w:pPr>
      <w:r>
        <w:rPr>
          <w:rFonts w:ascii="IRNazanin" w:hAnsi="IRNazanin" w:eastAsia="IRNazanin"/>
          <w:color w:val="111111"/>
          <w:sz w:val="28"/>
          <w:sz w:val="28"/>
          <w:szCs w:val="28"/>
          <w:rtl w:val="true"/>
          <w:lang w:bidi="fa-IR"/>
        </w:rPr>
        <w:t>و قد یشکل الملازمة ببعض الجهات المذکورة امور توهم منع الملازمة</w:t>
      </w:r>
      <w:r>
        <w:rPr>
          <w:rFonts w:eastAsia="IRNazanin" w:cs="IRNazanin"/>
          <w:color w:val="111111"/>
          <w:sz w:val="28"/>
          <w:szCs w:val="28"/>
          <w:rtl w:val="true"/>
          <w:lang w:bidi="fa-IR"/>
        </w:rPr>
        <w:t>.</w:t>
      </w:r>
    </w:p>
    <w:p>
      <w:pPr>
        <w:pStyle w:val="Heading4"/>
        <w:numPr>
          <w:ilvl w:val="3"/>
          <w:numId w:val="1"/>
        </w:numPr>
        <w:rPr/>
      </w:pPr>
      <w:bookmarkStart w:id="807" w:name="__RefHeading___Toc2646906_3224264995"/>
      <w:bookmarkStart w:id="808" w:name="_Toc324"/>
      <w:bookmarkEnd w:id="807"/>
      <w:r>
        <w:rPr>
          <w:rtl w:val="true"/>
        </w:rPr>
        <w:t>[</w:t>
      </w:r>
      <w:r>
        <w:rPr>
          <w:rtl w:val="true"/>
        </w:rPr>
        <w:t>دلالة الألفاظ وضعیّة و رجحان وضع بعض الألفاظ لبعض المعانی بإرادة الواضع</w:t>
      </w:r>
      <w:r>
        <w:rPr>
          <w:rtl w:val="true"/>
        </w:rPr>
        <w:t>]</w:t>
      </w:r>
      <w:bookmarkEnd w:id="80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أکثر المحقّقین من أن دلالة الألفاظ وضعیة و أنّ إرادة الواضع مرجّحة لوضع بعض الألفاظ لبعض المعانی، لا أنّ المناسبات الذاتیة </w:t>
      </w:r>
      <w:bookmarkStart w:id="809" w:name="pg12856_162696"/>
    </w:p>
    <w:p>
      <w:pPr>
        <w:pStyle w:val="BookText"/>
        <w:rPr/>
      </w:pPr>
      <w:bookmarkEnd w:id="809"/>
      <w:r>
        <w:rPr>
          <w:rFonts w:ascii="IRNazanin" w:hAnsi="IRNazanin" w:eastAsia="IRNazanin"/>
          <w:color w:val="111111"/>
          <w:sz w:val="28"/>
          <w:sz w:val="28"/>
          <w:szCs w:val="28"/>
          <w:rtl w:val="true"/>
          <w:lang w:bidi="fa-IR"/>
        </w:rPr>
        <w:t>مرجّحة 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إذا کانت هی المرجّحة لوضع الألفاظ دون مناسباتها الذاتیة اللفظیة، فلم لا یکون هی المرجّحة أیضا لجعل الأحکام دون المصالح و المفاسد النفس الأمریة، و ما الفرق بین وضع الألفاظ و جعل الأحکام؟</w:t>
      </w:r>
    </w:p>
    <w:p>
      <w:pPr>
        <w:pStyle w:val="Heading4"/>
        <w:numPr>
          <w:ilvl w:val="3"/>
          <w:numId w:val="1"/>
        </w:numPr>
        <w:rPr/>
      </w:pPr>
      <w:bookmarkStart w:id="810" w:name="__RefHeading___Toc2646908_3224264995"/>
      <w:bookmarkStart w:id="811" w:name="_Toc325"/>
      <w:bookmarkEnd w:id="810"/>
      <w:r>
        <w:rPr>
          <w:rtl w:val="true"/>
        </w:rPr>
        <w:t>[</w:t>
      </w:r>
      <w:r>
        <w:rPr>
          <w:rtl w:val="true"/>
        </w:rPr>
        <w:t>دعوی استلزام الملازمة بین الحکمین سوق الأوامر الشرعیة لمجرّد النصح و الإرشاد</w:t>
      </w:r>
      <w:r>
        <w:rPr>
          <w:rtl w:val="true"/>
        </w:rPr>
        <w:t>]</w:t>
      </w:r>
      <w:bookmarkEnd w:id="811"/>
    </w:p>
    <w:p>
      <w:pPr>
        <w:pStyle w:val="BookText"/>
        <w:rPr/>
      </w:pPr>
      <w:r>
        <w:rPr>
          <w:rFonts w:ascii="IRNazanin" w:hAnsi="IRNazanin" w:eastAsia="IRNazanin"/>
          <w:color w:val="111111"/>
          <w:sz w:val="28"/>
          <w:sz w:val="28"/>
          <w:szCs w:val="28"/>
          <w:rtl w:val="true"/>
          <w:lang w:bidi="fa-IR"/>
        </w:rPr>
        <w:t>و من جملة الإشکالات الموهمة منع الملازمة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علی استحقاق الثواب علی موافقة أوامر الشرع و العقاب علی مخالفتها، و الحال أنّ مقتضی الملازمة و استتباع الأحکام الشرعیة المصالح و المفاسد النفس الأمریة الکامنة هو سوق الأوامر الشرعیة بأسرها لمجرّد النصح و الإرشاد إلی تحصیل مصالحها و الحذر عن مفاسدها، دون شی‌ء آخر وراء ذلک من ثواب أو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الإشکالات الموهمة منع الملازمة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اتفاقهم علی أنّ أفعال اللّه لیست معلّلة بالأغراض</w:t>
      </w:r>
      <w:r>
        <w:rPr>
          <w:rFonts w:eastAsia="IRNazanin" w:cs="IRNazanin"/>
          <w:color w:val="111111"/>
          <w:sz w:val="28"/>
          <w:szCs w:val="28"/>
          <w:rtl w:val="true"/>
          <w:lang w:bidi="fa-IR"/>
        </w:rPr>
        <w:t>.</w:t>
      </w:r>
    </w:p>
    <w:p>
      <w:pPr>
        <w:pStyle w:val="Heading4"/>
        <w:numPr>
          <w:ilvl w:val="3"/>
          <w:numId w:val="1"/>
        </w:numPr>
        <w:rPr/>
      </w:pPr>
      <w:bookmarkStart w:id="812" w:name="__RefHeading___Toc2646910_3224264995"/>
      <w:bookmarkStart w:id="813" w:name="_Toc326"/>
      <w:bookmarkEnd w:id="812"/>
      <w:r>
        <w:rPr>
          <w:rtl w:val="true"/>
        </w:rPr>
        <w:t>[</w:t>
      </w:r>
      <w:r>
        <w:rPr>
          <w:rtl w:val="true"/>
        </w:rPr>
        <w:t>ردّ الوجوه الموهمة لمنع الملازمة</w:t>
      </w:r>
      <w:r>
        <w:rPr>
          <w:rtl w:val="true"/>
        </w:rPr>
        <w:t>]</w:t>
      </w:r>
      <w:bookmarkEnd w:id="813"/>
    </w:p>
    <w:p>
      <w:pPr>
        <w:pStyle w:val="BookText"/>
        <w:rPr/>
      </w:pPr>
      <w:r>
        <w:rPr>
          <w:rFonts w:ascii="IRNazanin" w:hAnsi="IRNazanin" w:eastAsia="IRNazanin"/>
          <w:color w:val="111111"/>
          <w:sz w:val="28"/>
          <w:sz w:val="28"/>
          <w:szCs w:val="28"/>
          <w:rtl w:val="true"/>
          <w:lang w:bidi="fa-IR"/>
        </w:rPr>
        <w:t>و الجواب أمّا عن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ملازمة مرجّحیة الإرادة فی الأوضاع لمرجّحیتها فی جعل الأحکام، و الفارق الإجماع و النصوص علی تبعیة الأحکام للمصالح و المفاسد، دون تبعیة الأوضاع للمناسبات الذاتیة</w:t>
      </w:r>
      <w:r>
        <w:rPr>
          <w:rFonts w:eastAsia="IRNazanin" w:cs="IRNazanin"/>
          <w:color w:val="111111"/>
          <w:sz w:val="28"/>
          <w:szCs w:val="28"/>
          <w:rtl w:val="true"/>
          <w:lang w:bidi="fa-IR"/>
        </w:rPr>
        <w:t>.</w:t>
      </w:r>
    </w:p>
    <w:p>
      <w:pPr>
        <w:pStyle w:val="Heading4"/>
        <w:numPr>
          <w:ilvl w:val="3"/>
          <w:numId w:val="1"/>
        </w:numPr>
        <w:rPr/>
      </w:pPr>
      <w:bookmarkStart w:id="814" w:name="__RefHeading___Toc2646912_3224264995"/>
      <w:bookmarkStart w:id="815" w:name="_Toc327"/>
      <w:bookmarkEnd w:id="814"/>
      <w:r>
        <w:rPr>
          <w:rtl w:val="true"/>
        </w:rPr>
        <w:t>[</w:t>
      </w:r>
      <w:r>
        <w:rPr>
          <w:rtl w:val="true"/>
        </w:rPr>
        <w:t>إرادة الحکیم لا تکون إلّا عن مصلحة و مفسدة</w:t>
      </w:r>
      <w:r>
        <w:rPr>
          <w:rtl w:val="true"/>
        </w:rPr>
        <w:t>]</w:t>
      </w:r>
      <w:bookmarkEnd w:id="815"/>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الإرادة مرجّحة فی جعل الأحکام کما أنّها مرجّحة فی وضع الألفاظ إلّا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من الحکیم المرجّحة للشی‌ء لا یکون إلّا عن مصلحة و مفسدة کامنة، فضلا عن صدور الإرادة من أحکم الحاکمین، فالإرادة المرجّحة منه فی وضع الألفاظ و إن لم تکن عن مناسباتها الجلیّة المعلومة لنا إلّا أنّ الحکمة الباعثة للإرادة لا ینحصر فی مناسباتها الجلیّة</w:t>
      </w:r>
      <w:r>
        <w:rPr>
          <w:rFonts w:eastAsia="IRNazanin" w:cs="IRNazanin"/>
          <w:color w:val="111111"/>
          <w:sz w:val="28"/>
          <w:szCs w:val="28"/>
          <w:rtl w:val="true"/>
          <w:lang w:bidi="fa-IR"/>
        </w:rPr>
        <w:t>.</w:t>
      </w:r>
    </w:p>
    <w:p>
      <w:pPr>
        <w:pStyle w:val="Heading4"/>
        <w:numPr>
          <w:ilvl w:val="3"/>
          <w:numId w:val="1"/>
        </w:numPr>
        <w:rPr/>
      </w:pPr>
      <w:bookmarkStart w:id="816" w:name="__RefHeading___Toc2646914_3224264995"/>
      <w:bookmarkStart w:id="817" w:name="_Toc328"/>
      <w:bookmarkEnd w:id="816"/>
      <w:r>
        <w:rPr>
          <w:rtl w:val="true"/>
        </w:rPr>
        <w:t>[</w:t>
      </w:r>
      <w:r>
        <w:rPr>
          <w:rtl w:val="true"/>
        </w:rPr>
        <w:t>کشف الحکم الشرعی عن الملاک لا یستلزم إرشادیته و عدم استحقاق الثواب و العقاب علیه</w:t>
      </w:r>
      <w:r>
        <w:rPr>
          <w:rtl w:val="true"/>
        </w:rPr>
        <w:t>]</w:t>
      </w:r>
      <w:bookmarkEnd w:id="8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الثانی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ملازمة استکشاف الأحکام الشرعیة عن المصالح و المفاسد النفس الأمریة لإرشادیة الأوامر الشرعیة طرا، و عدم ترتّب استحقاق الثواب و العقاب علیها رأسا؛ لأنّ الثواب و العقاب من الحکیم لا یصدر إلّا عن مصلحة أو مفسدة واقعیة، لا عن تشهّیات نفسانیة فضلا عمن هو أحکم </w:t>
      </w:r>
      <w:bookmarkStart w:id="818" w:name="pg12856_162697"/>
    </w:p>
    <w:p>
      <w:pPr>
        <w:pStyle w:val="BookText"/>
        <w:rPr/>
      </w:pPr>
      <w:bookmarkEnd w:id="818"/>
      <w:r>
        <w:rPr>
          <w:rFonts w:ascii="IRNazanin" w:hAnsi="IRNazanin" w:eastAsia="IRNazanin"/>
          <w:color w:val="111111"/>
          <w:sz w:val="28"/>
          <w:sz w:val="28"/>
          <w:szCs w:val="28"/>
          <w:rtl w:val="true"/>
          <w:lang w:bidi="fa-IR"/>
        </w:rPr>
        <w:t>الحاکمین، فیکون الثواب و العقاب المترتب علی الأوامر الشرعیة أیضا من جملة المصالح و الألطاف الخفیة المقرّبة للطاعة و المبعّدة عن المعصیة</w:t>
      </w:r>
      <w:r>
        <w:rPr>
          <w:rFonts w:eastAsia="IRNazanin" w:cs="IRNazanin"/>
          <w:color w:val="111111"/>
          <w:sz w:val="28"/>
          <w:szCs w:val="28"/>
          <w:rtl w:val="true"/>
          <w:lang w:bidi="fa-IR"/>
        </w:rPr>
        <w:t>.</w:t>
      </w:r>
    </w:p>
    <w:p>
      <w:pPr>
        <w:pStyle w:val="Heading4"/>
        <w:numPr>
          <w:ilvl w:val="3"/>
          <w:numId w:val="1"/>
        </w:numPr>
        <w:rPr/>
      </w:pPr>
      <w:bookmarkStart w:id="819" w:name="__RefHeading___Toc2646916_3224264995"/>
      <w:bookmarkStart w:id="820" w:name="_Toc329"/>
      <w:bookmarkEnd w:id="819"/>
      <w:r>
        <w:rPr>
          <w:rtl w:val="true"/>
        </w:rPr>
        <w:t>[</w:t>
      </w:r>
      <w:r>
        <w:rPr>
          <w:rtl w:val="true"/>
        </w:rPr>
        <w:t>إرشادیة الأوامر الشرعیة إلی المصالح و المفاسد لا تنافی مولویتها من جهة أخری</w:t>
      </w:r>
      <w:r>
        <w:rPr>
          <w:rtl w:val="true"/>
        </w:rPr>
        <w:t>]</w:t>
      </w:r>
      <w:bookmarkEnd w:id="820"/>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الملازمة، لکن نمنع بطلان اللازم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إرشادیة جمیع الأوامر الشرعیة من جهة خاصّة لا تنافی مولویتها و ترتّب استحقاق الثواب و العقاب علیها من جهة اخری، فإنّ جهة الإرشاد و هو سوق الأمر بداعی النصح و إنفاع المأمور قد یجتمع مع جهة المولویة و هو سوق الأمر بداعی آخر فی مورد واحد و إن کان بین الجهتین تباین کلّی بحسب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الإشکال الثالث</w:t>
      </w:r>
      <w:r>
        <w:rPr>
          <w:rFonts w:eastAsia="IRNazanin" w:cs="IRNazanin"/>
          <w:color w:val="111111"/>
          <w:sz w:val="28"/>
          <w:szCs w:val="28"/>
          <w:rtl w:val="true"/>
          <w:lang w:bidi="fa-IR"/>
        </w:rPr>
        <w:t>.</w:t>
      </w:r>
    </w:p>
    <w:p>
      <w:pPr>
        <w:pStyle w:val="Heading4"/>
        <w:numPr>
          <w:ilvl w:val="3"/>
          <w:numId w:val="1"/>
        </w:numPr>
        <w:rPr/>
      </w:pPr>
      <w:bookmarkStart w:id="821" w:name="__RefHeading___Toc2646918_3224264995"/>
      <w:bookmarkStart w:id="822" w:name="_Toc330"/>
      <w:bookmarkEnd w:id="821"/>
      <w:r>
        <w:rPr>
          <w:rtl w:val="true"/>
        </w:rPr>
        <w:t>[</w:t>
      </w:r>
      <w:r>
        <w:rPr>
          <w:rtl w:val="true"/>
        </w:rPr>
        <w:t>أفعال اللّه معلّلة بالأغراض غیر العائدة إلی نفسه تعالی</w:t>
      </w:r>
      <w:r>
        <w:rPr>
          <w:rtl w:val="true"/>
        </w:rPr>
        <w:t>]</w:t>
      </w:r>
      <w:bookmarkEnd w:id="822"/>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اتفاق غیر الأشعری علی أنّ أفعال اللّه لیست معلّلة بالأغراض بل قد نقل عن غیر الأشعری القول بأنّ أفعاله تعالی معلّلة بالأغراض، یعنی ناشئة عن المصالح و المفاسد النفس الأمریة و الحکم الکامنة الواقعیة، لا عن مجرّد الاتفاقات الخارجیة، کما هو زعم بعض الأشعریة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الاتفاق علی أنّ أفعاله تعالی لیست معلّلة بالأغراض فإنّما المراد نفی الغرض العائد من أفعاله إلی نفسه المقدّسة، لا نفی مطلق الغرض و إن عاد إلی مصلحة خلقه</w:t>
      </w:r>
      <w:r>
        <w:rPr>
          <w:rFonts w:eastAsia="IRNazanin" w:cs="IRNazanin"/>
          <w:color w:val="111111"/>
          <w:sz w:val="28"/>
          <w:szCs w:val="28"/>
          <w:rtl w:val="true"/>
          <w:lang w:bidi="fa-IR"/>
        </w:rPr>
        <w:t>.</w:t>
      </w:r>
    </w:p>
    <w:p>
      <w:pPr>
        <w:pStyle w:val="Heading4"/>
        <w:numPr>
          <w:ilvl w:val="3"/>
          <w:numId w:val="1"/>
        </w:numPr>
        <w:rPr/>
      </w:pPr>
      <w:bookmarkStart w:id="823" w:name="__RefHeading___Toc2646920_3224264995"/>
      <w:bookmarkStart w:id="824" w:name="_Toc331"/>
      <w:bookmarkEnd w:id="823"/>
      <w:r>
        <w:rPr>
          <w:rtl w:val="true"/>
        </w:rPr>
        <w:t>[</w:t>
      </w:r>
      <w:r>
        <w:rPr>
          <w:rtl w:val="true"/>
        </w:rPr>
        <w:t>العلل الأربع فی أفعال المخلوقین</w:t>
      </w:r>
      <w:r>
        <w:rPr>
          <w:rtl w:val="true"/>
        </w:rPr>
        <w:t>]</w:t>
      </w:r>
      <w:bookmarkEnd w:id="824"/>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نفی الغرض فی أفعاله تعالی نفی العلّیة الغائیة فی أفعاله، و بیان أنّ أفعاله تعالی لیست کأفعال غیره فی احتیاجها إلی علل أربع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علّة فاعلیة، و علّة صوریة، و علّة مادّیة، و علّة غائیة راجعة إلی مصلحة الفاعل و نفعه، بل أفعاله تعالی لا محالة مستندة إلی ما عدا العلّة الغائیة من سائر العلل الاربع، لتنزّه أفعاله تعالی عن الغایة العائدة إلی نفسه نفعها، فإنّ اللّه غنیّ عن العالمین</w:t>
      </w:r>
      <w:r>
        <w:rPr>
          <w:rFonts w:eastAsia="IRNazanin" w:cs="IRNazanin"/>
          <w:color w:val="111111"/>
          <w:sz w:val="28"/>
          <w:szCs w:val="28"/>
          <w:rtl w:val="true"/>
          <w:lang w:bidi="fa-IR"/>
        </w:rPr>
        <w:t xml:space="preserve">. </w:t>
      </w:r>
      <w:bookmarkStart w:id="825" w:name="pg12856_162698"/>
    </w:p>
    <w:p>
      <w:pPr>
        <w:pStyle w:val="Heading3"/>
        <w:numPr>
          <w:ilvl w:val="2"/>
          <w:numId w:val="1"/>
        </w:numPr>
        <w:rPr/>
      </w:pPr>
      <w:bookmarkStart w:id="826" w:name="__RefHeading___Toc2646922_3224264995"/>
      <w:bookmarkStart w:id="827" w:name="_Toc332"/>
      <w:bookmarkEnd w:id="825"/>
      <w:bookmarkEnd w:id="826"/>
      <w:r>
        <w:rPr>
          <w:rtl w:val="true"/>
        </w:rPr>
        <w:t>[</w:t>
      </w:r>
      <w:r>
        <w:rPr>
          <w:rtl w:val="true"/>
        </w:rPr>
        <w:t>الکلام فی أصل البراءة</w:t>
      </w:r>
      <w:r>
        <w:rPr>
          <w:rtl w:val="true"/>
        </w:rPr>
        <w:t>]</w:t>
      </w:r>
      <w:bookmarkEnd w:id="827"/>
    </w:p>
    <w:p>
      <w:pPr>
        <w:pStyle w:val="Heading4"/>
        <w:numPr>
          <w:ilvl w:val="3"/>
          <w:numId w:val="1"/>
        </w:numPr>
        <w:rPr/>
      </w:pPr>
      <w:bookmarkStart w:id="828" w:name="__RefHeading___Toc2646924_3224264995"/>
      <w:bookmarkStart w:id="829" w:name="_Toc333"/>
      <w:bookmarkEnd w:id="828"/>
      <w:r>
        <w:rPr>
          <w:rtl w:val="true"/>
        </w:rPr>
        <w:t>اشارة</w:t>
      </w:r>
      <w:bookmarkEnd w:id="829"/>
    </w:p>
    <w:p>
      <w:pPr>
        <w:pStyle w:val="BookText"/>
        <w:rPr/>
      </w:pPr>
      <w:r>
        <w:rPr>
          <w:rFonts w:ascii="IRNazanin" w:hAnsi="IRNazanin" w:eastAsia="IRNazanin"/>
          <w:color w:val="111111"/>
          <w:sz w:val="28"/>
          <w:sz w:val="28"/>
          <w:szCs w:val="28"/>
          <w:rtl w:val="true"/>
          <w:lang w:bidi="fa-IR"/>
        </w:rPr>
        <w:t>بسم اللّه الرحمن الرحیم و الحمد للّه حمدا یدوم بالدوام، و صلّی اللّه علی محمد و آله خیر الأنام، ما دامت الاصول متقنة بالأحکام، و مشروحة بفهم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ساعدنا سواعد التوفیقات علی اختتام المجلّد الأوّل ممّا استفدناه من أستادنا الربّانیّ و أبینا الروحانی جعلنی اللّه فداه و علّقناه علی المقصدین الأوّلین من مقاصد کتاب فرائد اصول أستاد أساتیدنا الأعلام شرعت فی ارتسام المجلّد الثانی ممّا أستفیده منه دام ظلّه و أعلّقه علی سائر مقاصده الآتیة علی نهج التعلیقة و الشرح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الکلام فی أصل البراءة یقع فی بیان معانی الأصل و أقسامه، و فروق الأقسام و نسبها، و بیان المراد منها و من إضافة الأصل إلیها، و بیان أحکامها و مدارکها و کیفیة مفادها و اعتبارها، إلی غیر ذلک من تفاصیلها</w:t>
      </w:r>
      <w:r>
        <w:rPr>
          <w:rFonts w:eastAsia="IRNazanin" w:cs="IRNazanin"/>
          <w:color w:val="111111"/>
          <w:sz w:val="28"/>
          <w:szCs w:val="28"/>
          <w:rtl w:val="true"/>
          <w:lang w:bidi="fa-IR"/>
        </w:rPr>
        <w:t>.</w:t>
      </w:r>
    </w:p>
    <w:p>
      <w:pPr>
        <w:pStyle w:val="Heading4"/>
        <w:numPr>
          <w:ilvl w:val="3"/>
          <w:numId w:val="1"/>
        </w:numPr>
        <w:rPr/>
      </w:pPr>
      <w:bookmarkStart w:id="830" w:name="__RefHeading___Toc2646926_3224264995"/>
      <w:bookmarkStart w:id="831" w:name="_Toc334"/>
      <w:bookmarkEnd w:id="830"/>
      <w:r>
        <w:rPr>
          <w:rtl w:val="true"/>
        </w:rPr>
        <w:t>[</w:t>
      </w:r>
      <w:r>
        <w:rPr>
          <w:rtl w:val="true"/>
        </w:rPr>
        <w:t>معانی الأصل</w:t>
      </w:r>
      <w:r>
        <w:rPr>
          <w:rtl w:val="true"/>
        </w:rPr>
        <w:t>]</w:t>
      </w:r>
      <w:bookmarkEnd w:id="83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معانی الأصل فهی و إن أنهاها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الحرّ فی فوائده الطوسیّة</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أربعة عشر کالمبنی و المأخذ و المرجع و المستند و المطّرد و الغالب و الکتاب المعتمد، و منه قول أهل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حریز، و الاصول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الکتب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مرجع کلّها کما صرّح به غیر واحد</w:t>
      </w:r>
      <w:r>
        <w:rPr>
          <w:rStyle w:val="FootnoteAnchor"/>
          <w:rtl w:val="true"/>
        </w:rPr>
        <w:footnoteReference w:id="247"/>
      </w:r>
      <w:r>
        <w:rPr>
          <w:rFonts w:ascii="IRNazanin" w:hAnsi="IRNazanin" w:eastAsia="IRNazanin"/>
          <w:color w:val="111111"/>
          <w:sz w:val="28"/>
          <w:sz w:val="28"/>
          <w:szCs w:val="28"/>
          <w:rtl w:val="true"/>
          <w:lang w:bidi="fa-IR"/>
        </w:rPr>
        <w:t>إلی الأربعة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و القاعدة، و الاستصحاب، و الراجح، و ذلک لجری </w:t>
      </w:r>
      <w:bookmarkStart w:id="832" w:name="pg12856_162699"/>
    </w:p>
    <w:p>
      <w:pPr>
        <w:pStyle w:val="BookText"/>
        <w:rPr/>
      </w:pPr>
      <w:bookmarkEnd w:id="832"/>
      <w:r>
        <w:rPr>
          <w:rFonts w:ascii="IRNazanin" w:hAnsi="IRNazanin" w:eastAsia="IRNazanin"/>
          <w:color w:val="111111"/>
          <w:sz w:val="28"/>
          <w:sz w:val="28"/>
          <w:szCs w:val="28"/>
          <w:rtl w:val="true"/>
          <w:lang w:bidi="fa-IR"/>
        </w:rPr>
        <w:t xml:space="preserve">اصطلاحهم علی تسمیة مؤدّی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فی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بأصل البراءة، و مؤدّی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بالاستصحاب، و هکذا، فاقتصار الأصل علی الأربعة المتداولة دون الأنقص مستند إلی الاصطلاح و الوضع التعیّنی أو التعیینی و إلّا فکما أرجعوا ما عدا الأربعة من معانی الأصل إلی الأربعة کذلک أمکن إرجاع الأربعة إلی واحد منها لوجود الجامع القریب فیها و هو القاعدة أو الراجح، إلا أنّ الاصطلاح هو الفارق کما عن الضوابط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تمهید القواعد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الصالح لإرادته من لفظ الأصل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البراءة، فهو کلّ واحد من الأربعة أو الثلاثة الأخیرة أو الثانی أو الثالث أو الجمیع مع الإضمار و لا یصحّ مع عدم الإضمار</w:t>
      </w:r>
      <w:r>
        <w:rPr>
          <w:rFonts w:eastAsia="IRNazanin" w:cs="IRNazanin"/>
          <w:color w:val="111111"/>
          <w:sz w:val="28"/>
          <w:szCs w:val="28"/>
          <w:rtl w:val="true"/>
          <w:lang w:bidi="fa-IR"/>
        </w:rPr>
        <w:t>.</w:t>
      </w:r>
    </w:p>
    <w:p>
      <w:pPr>
        <w:pStyle w:val="Heading4"/>
        <w:numPr>
          <w:ilvl w:val="3"/>
          <w:numId w:val="1"/>
        </w:numPr>
        <w:rPr/>
      </w:pPr>
      <w:bookmarkStart w:id="833" w:name="__RefHeading___Toc2646928_3224264995"/>
      <w:bookmarkStart w:id="834" w:name="_Toc335"/>
      <w:bookmarkEnd w:id="833"/>
      <w:r>
        <w:rPr>
          <w:rtl w:val="true"/>
        </w:rPr>
        <w:t>[</w:t>
      </w:r>
      <w:r>
        <w:rPr>
          <w:rtl w:val="true"/>
        </w:rPr>
        <w:t>المراد من أصالة البراءة</w:t>
      </w:r>
      <w:r>
        <w:rPr>
          <w:rtl w:val="true"/>
        </w:rPr>
        <w:t>]</w:t>
      </w:r>
      <w:bookmarkEnd w:id="83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إضافة الأصل إلی البراءة إمّا بیانیة أو لامیّة أو ظرفیّة، و الظاهر کون الإضافة فی البیانی مجازا ضرورة أنّ الاضافة البیانیة تقتضی اتّحاد المضاف مع المضاف إلیه و ظاهر الاضافة التغایر، فاستعماله فی المتّحدین مجاز مضافا إلی عدم صلاحیته فی المقام لوضوح کون البراءة لیس دلیلا و لا قاعدة و لا استصحابا بل هی مؤدّی هذه الثلاثة، فتعیّن کون الاضافة علی أحد الوجهین الأخیرین فحینئذ یحتاج إلی إضمار ما هو متعلّق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اللام بحسب ما یناسب المقام، فیکون معنی أصل البراءة هو الدلیل المقتضی للبراءة أو الثابت فیها أو القاعدة المحرّرة لها أو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الأخیرین فتبیّن لا بدّیة الاضمار فی إضافة الأصل إلی البراءة و صلوح إرادة کلّ من معانی الأصل معه و إن اختلف مؤدّی العبارة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تقدیر أن یراد من الأصل فی أصل البراءة الدلیل، یکون عبارة عن نفس الروایات الدالّة علی البراءة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أن 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یکون عبارة عن الضابطة الکلّیّة المستفادة من تلک الروایات، لا نفس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إرادة الاستصحاب منه، یکون عبارة عن إبقاء ما کان علی ما کان المستفادة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تقدیر إرادة الراجح منه، یکون عبارة عن العلم أو الظنّ الحاصل من الأدلّة بحکم اللّه الظاهری إن عمّمنا الراجح للعلم 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قرّرنا صلوح أن یراد من الأصل فی أصل البراءة کل واحد من معانیه الأربعة إلّا أنّ فی القوانین بعد ما ذکر المعانی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 الثلاثة الأخیرة</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وجه عدم مناسبة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الفصول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بالأصل هنا القاعدة و جعل الإضافة بمعنی اللام أو فی، و وجه عدم مناسبة الدلیل بأن البراءة مدلول الدلیل لا نفسه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مصادرة لأنّا إن جعلنا الأصل بمعنی القاعدة یکون مدلول الدلیل، و أمّا إن جعلناه بمعنی الدلیل یکون نفسه، و نحن الآن بصدد تشخیص هذا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فالتحقیق تعیین کونه بمعنی القاعدة لکن لا لما ذکر، بل لما ذکرنا من أنّ اصطلاحهم فی الأصل ما لا یکون اعتباره من باب الکشف فإن کان المراد به الدلیل أعنی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الوجه أن یسمّوه دلیلا لأنّ الروایة کاشفة عن حکم اللّه الظاهری و اعتبارها أیضا من هذه الحیثیة، فحمل لفظ الأصل علی ما جری علیه اصطلاحهم أولی من حمله علی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فهو و إن حسن إرادته أیضا بل وقع دلیلا لإثبات البراءة کما سنذکره، و لکن قد عرفت أنّ الملحوظ فی الاستصحاب الحالة السابقة و هو غیر ملحوظ عند الاستدلال بالبراءة فلا یحسن إرادته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وقوعه دلیلا فلعلّه وقع علی فرض التنزّل کما جعلوا دلیل الانسداد فی حجّیة خبر الواحد رابع الأدلّة مع أنّ المقصود فی الاستدلال إثبات الظن الخاص لا الظنّ المطلق، مضافا إلی أنّ البراءة ممّا أجمع علی حجّیته بخلاف الاستصحاب فإنّه محلّ خلاف فکیف یمکن أن یکون مرادا من أصل البراءة؟</w:t>
      </w:r>
    </w:p>
    <w:p>
      <w:pPr>
        <w:pStyle w:val="BookText"/>
        <w:rPr/>
      </w:pPr>
      <w:r>
        <w:rPr>
          <w:rFonts w:ascii="IRNazanin" w:hAnsi="IRNazanin" w:eastAsia="IRNazanin"/>
          <w:color w:val="111111"/>
          <w:sz w:val="28"/>
          <w:sz w:val="28"/>
          <w:szCs w:val="28"/>
          <w:rtl w:val="true"/>
          <w:lang w:bidi="fa-IR"/>
        </w:rPr>
        <w:t>و أما عدم إرادة الراجح فلعلّه مقطوع به لأنّ الدلیل فی اصطلاحهم هو المثبت للعلم و ما یتکرّر به الوسط لا نفس العلم من غیر فرق فی ذلک بین الاجتهادی و الفقاهتی، و کیف کان فالمراد من الأصل علی أیّ من معانیه هو کلّ دلیل لم یکن المنظور فی حجّیته جهة الکشف و المرآتیة عن الواقع و إن کان کاشفا و مرآة عنه، و المراد من الدلیل ما کان المناط و المنظور فی حجّیته جهة الکاشفیة و المرآتیة عن الواقع، فإن کان مثبتا للحکم الشرعی اختصّ باسم الدلیل اصطلاحا و إن کان مثبتا للموضوع کالید و السوق اختص باسم الأمارة فیقال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أمارة الموضوعات،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الأحکام،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الموضوعات، کما لا یقال أمارة الأحکام اصطلاحا</w:t>
      </w:r>
      <w:r>
        <w:rPr>
          <w:rFonts w:eastAsia="IRNazanin" w:cs="IRNazanin"/>
          <w:color w:val="111111"/>
          <w:sz w:val="28"/>
          <w:szCs w:val="28"/>
          <w:rtl w:val="true"/>
          <w:lang w:bidi="fa-IR"/>
        </w:rPr>
        <w:t xml:space="preserve">. </w:t>
      </w:r>
      <w:bookmarkStart w:id="835" w:name="pg12856_162702"/>
    </w:p>
    <w:p>
      <w:pPr>
        <w:pStyle w:val="BookText"/>
        <w:rPr/>
      </w:pPr>
      <w:bookmarkEnd w:id="835"/>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یقیّد بالاجتهادی کما أن الأول قد سمّی بالدلیل مقیدا بالفقاهتی، و هذان القیدان اصطلاحان من الوحید البهبهانی لمناسبة مذکورة فی تعریف الفقه و الاجتهاد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2646930_3224264995"/>
      <w:bookmarkStart w:id="837" w:name="_Toc336"/>
      <w:bookmarkEnd w:id="836"/>
      <w:r>
        <w:rPr>
          <w:rtl w:val="true"/>
        </w:rPr>
        <w:t>[</w:t>
      </w:r>
      <w:r>
        <w:rPr>
          <w:rtl w:val="true"/>
        </w:rPr>
        <w:t>تعریف الفقه و تعریف الاجتهاد</w:t>
      </w:r>
      <w:r>
        <w:rPr>
          <w:rtl w:val="true"/>
        </w:rPr>
        <w:t>]</w:t>
      </w:r>
      <w:bookmarkEnd w:id="8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تعریف الفقه هو العلم بالأحکام الشرعیة الفرعیة و لو کانت واقعیة، و تعریف الاجتهاد هو استفراغ الوسع فی تحصیل الأحکام الشرعیة الواقعیة و لو ظنّا</w:t>
      </w:r>
      <w:r>
        <w:rPr>
          <w:rFonts w:eastAsia="IRNazanin" w:cs="IRNazanin"/>
          <w:color w:val="111111"/>
          <w:sz w:val="28"/>
          <w:szCs w:val="28"/>
          <w:rtl w:val="true"/>
          <w:lang w:bidi="fa-IR"/>
        </w:rPr>
        <w:t>.</w:t>
      </w:r>
    </w:p>
    <w:p>
      <w:pPr>
        <w:pStyle w:val="Heading4"/>
        <w:numPr>
          <w:ilvl w:val="3"/>
          <w:numId w:val="1"/>
        </w:numPr>
        <w:rPr/>
      </w:pPr>
      <w:bookmarkStart w:id="838" w:name="__RefHeading___Toc2646932_3224264995"/>
      <w:bookmarkStart w:id="839" w:name="_Toc337"/>
      <w:bookmarkEnd w:id="838"/>
      <w:r>
        <w:rPr>
          <w:rtl w:val="true"/>
        </w:rPr>
        <w:t>[</w:t>
      </w:r>
      <w:r>
        <w:rPr>
          <w:rtl w:val="true"/>
        </w:rPr>
        <w:t>الدلیل الفقاهتی و الدلیل الاجتهادی</w:t>
      </w:r>
      <w:r>
        <w:rPr>
          <w:rtl w:val="true"/>
        </w:rPr>
        <w:t>]</w:t>
      </w:r>
      <w:bookmarkEnd w:id="839"/>
    </w:p>
    <w:p>
      <w:pPr>
        <w:pStyle w:val="BookText"/>
        <w:rPr/>
      </w:pPr>
      <w:r>
        <w:rPr>
          <w:rFonts w:ascii="IRNazanin" w:hAnsi="IRNazanin" w:eastAsia="IRNazanin"/>
          <w:color w:val="111111"/>
          <w:sz w:val="28"/>
          <w:sz w:val="28"/>
          <w:szCs w:val="28"/>
          <w:rtl w:val="true"/>
          <w:lang w:bidi="fa-IR"/>
        </w:rPr>
        <w:t>فحینئذ کلّ دلیل یفید لعامله العلم بالحکم الفعلی العملی و لو کان واقعیا فهو دلیل فقاهتی، لإیراثه العلم بالحکم الفعلی العملی الذی کان مناطا لصدق تعریف الفقه، و کلّ دلیل یفید لعامله الوصول إلی الحکم الواقعی و لو بالظن فهو دلیل اجتهادی، لناظریته إلی الواقع المنظور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فالنسبة بین الدلیلین عموم من وجه لتصادقهما علی العلم بالواقع، و افتراق الفقاهتی عن الاجتهادی فی الأصل لعدم الوصول معه إلی الواقع و إن ثبت معه العلم بالحکم الظاهری، و افتراق الاجتهادی عن الفقاهتی فی الأدلّة الظنّیّة و الأمارات الغیر العلمیة للوصول معها إلی الواقع و لو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ظهر لک أن الاصول عقلیّة</w:t>
      </w:r>
      <w:r>
        <w:rPr>
          <w:rStyle w:val="FootnoteAnchor"/>
          <w:rtl w:val="true"/>
        </w:rPr>
        <w:footnoteReference w:id="255"/>
      </w:r>
      <w:r>
        <w:rPr>
          <w:rFonts w:ascii="IRNazanin" w:hAnsi="IRNazanin" w:eastAsia="IRNazanin"/>
          <w:color w:val="111111"/>
          <w:sz w:val="28"/>
          <w:sz w:val="28"/>
          <w:szCs w:val="28"/>
          <w:rtl w:val="true"/>
          <w:lang w:bidi="fa-IR"/>
        </w:rPr>
        <w:t>کانت أم شرعیة أدلّة فقاهیة لعدم النظر فیها إلی الواقع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الأدلّة فالعلمیّ منها قد عرفت اشتماله علی الجهتین، و أما الظنّی فمع قطع النظر عن أدلّة الحجّیة اجتهادی و مع ملاحظتها فهو کالدلیل العلمی، إن قلنا بأعمّیّة العلم المعتبر فی التعریف من العلم الوجدانی و الشرعی، و إلّا رجع إلی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العلم الدالّ علی حجّیة تلک الأدلّة و الأمارات ففی کونه فقاهیّا أو اجتهادیّا وجهان من کون مؤدّاه وجوب اتّباع هذا الظن فقاهی لعدم إیراثه العلم </w:t>
      </w:r>
      <w:bookmarkStart w:id="840" w:name="pg12856_162703"/>
    </w:p>
    <w:p>
      <w:pPr>
        <w:pStyle w:val="BookText"/>
        <w:rPr/>
      </w:pPr>
      <w:bookmarkEnd w:id="840"/>
      <w:r>
        <w:rPr>
          <w:rFonts w:ascii="IRNazanin" w:hAnsi="IRNazanin" w:eastAsia="IRNazanin"/>
          <w:color w:val="111111"/>
          <w:sz w:val="28"/>
          <w:sz w:val="28"/>
          <w:szCs w:val="28"/>
          <w:rtl w:val="true"/>
          <w:lang w:bidi="fa-IR"/>
        </w:rPr>
        <w:t>بالواقع، و من أنّ مفاده التنزیل و إراءة أنّ هذه المظنونات واقعیات فاجتهادی لصیرورته مورثا للعلم بالواقع و لو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حسن لأن العامل بخبر الواحد لا یعمل به لکونه شاکّا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زمان حصول العلم بمخالفة الخبر للواقع لا یجب بل لا یجوز العمل بهذا الدلیل الظنّی، فهذا دلیل علی أنّ الواجب اتّباع هذه الأدلّة حال الشکّ فیکون مفاده الحکم الظاهری الذی یکون معه الدلیل فقاهیا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بین ثبوت حکم حال الشکّ و بین ثبوت حکم إلی زمان حصول العلم، و المجدیّ لجعل الدلیل فقاهیا هو الأول لا الثانی، و لیس الثانی فی معنی الأول کما هو واضح، 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بیان الحکم الظاهری و الواقعی مفهوما و أسامی کلّ واحد منهما اصطلاحا</w:t>
      </w:r>
      <w:r>
        <w:rPr>
          <w:rFonts w:eastAsia="IRNazanin" w:cs="IRNazanin"/>
          <w:color w:val="111111"/>
          <w:sz w:val="28"/>
          <w:szCs w:val="28"/>
          <w:rtl w:val="true"/>
          <w:lang w:bidi="fa-IR"/>
        </w:rPr>
        <w:t>.</w:t>
      </w:r>
    </w:p>
    <w:p>
      <w:pPr>
        <w:pStyle w:val="Heading4"/>
        <w:numPr>
          <w:ilvl w:val="3"/>
          <w:numId w:val="1"/>
        </w:numPr>
        <w:rPr/>
      </w:pPr>
      <w:bookmarkStart w:id="841" w:name="__RefHeading___Toc2646934_3224264995"/>
      <w:bookmarkStart w:id="842" w:name="_Toc338"/>
      <w:bookmarkEnd w:id="841"/>
      <w:r>
        <w:rPr>
          <w:rtl w:val="true"/>
        </w:rPr>
        <w:t>[</w:t>
      </w:r>
      <w:r>
        <w:rPr>
          <w:rtl w:val="true"/>
        </w:rPr>
        <w:t>النسبة بین الأدلّة و الاصول</w:t>
      </w:r>
      <w:r>
        <w:rPr>
          <w:rtl w:val="true"/>
        </w:rPr>
        <w:t>]</w:t>
      </w:r>
      <w:bookmarkEnd w:id="842"/>
    </w:p>
    <w:p>
      <w:pPr>
        <w:pStyle w:val="BookText"/>
        <w:rPr/>
      </w:pPr>
      <w:r>
        <w:rPr>
          <w:rFonts w:ascii="IRNazanin" w:hAnsi="IRNazanin" w:eastAsia="IRNazanin"/>
          <w:color w:val="111111"/>
          <w:sz w:val="28"/>
          <w:sz w:val="28"/>
          <w:szCs w:val="28"/>
          <w:rtl w:val="true"/>
          <w:lang w:bidi="fa-IR"/>
        </w:rPr>
        <w:t>و أما النسبة بین الأصل و الدلیل ففیه خلاف، و لکن محلّ الخلاف إنّما هو فی نسبة الأدلّة الظنّیة مع الاصول الشرعیّة، و أمّا الأدلّة العلمیة فلا إشکال فی أن نسبتها الورود علی الاصول، کما لا إشکال فی ورود کلّ دلیل علی الاصول التی حجّیتها من باب العقل حسبما یستفاد من المتن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المحصّل من صدر کلام المتن إلی ذیله أن الأقوال و الوجوه فی محلّ النزاع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الدلیل واردا علی الأصل سواء کان علمیا أو ظنیا معتبرا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النسبة بینهما عموما من وجه و هو ظاهر کل من عارض الأصل بالدلیل أو رجّح الدلیل علی الأصل،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أدلّة الاصول کالبراءة مثلا البناء علی عدم التکلیف عند الشکّ فیه سواء قام مورده خبر أم لا، </w:t>
      </w:r>
      <w:bookmarkStart w:id="843" w:name="pg12856_162704"/>
    </w:p>
    <w:p>
      <w:pPr>
        <w:pStyle w:val="BookText"/>
        <w:rPr/>
      </w:pPr>
      <w:bookmarkEnd w:id="843"/>
      <w:r>
        <w:rPr>
          <w:rFonts w:ascii="IRNazanin" w:hAnsi="IRNazanin" w:eastAsia="IRNazanin"/>
          <w:color w:val="111111"/>
          <w:sz w:val="28"/>
          <w:sz w:val="28"/>
          <w:szCs w:val="28"/>
          <w:rtl w:val="true"/>
          <w:lang w:bidi="fa-IR"/>
        </w:rPr>
        <w:t>و ظاهر أدلّة الأخبار وجوب البناء علیها حال الشکّ سواء کان فی التکلیف أم لا،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النسبة عموما مطلقا علی أن یکون الدلیل أخصّ من الأصل،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النسبة و إن کان العموم من وجه إلّا أنّ العموم فی طرف الدلیل محلّ الاجماع فیلحق بالنصّ و یبقی طرف الآخر علی ظهوره فیحمل علی نصّ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قیام الاجماع علی هذا العموم لا یبقی عموم الآخر علی عمومه حتی یقع التعارض إلّا أن یکتفی فی المعارضة بصورة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هذا العموم من وجه ینقلب حکما إلی العموم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ظاهر کلّ من أطلق الخاصّ علی الدلیل و العام علی الأصل</w:t>
      </w:r>
      <w:r>
        <w:rPr>
          <w:rFonts w:eastAsia="IRNazanin" w:cs="IRNazanin"/>
          <w:color w:val="111111"/>
          <w:sz w:val="28"/>
          <w:szCs w:val="28"/>
          <w:rtl w:val="true"/>
          <w:lang w:bidi="fa-IR"/>
        </w:rPr>
        <w:t>.</w:t>
      </w:r>
    </w:p>
    <w:p>
      <w:pPr>
        <w:pStyle w:val="Heading4"/>
        <w:numPr>
          <w:ilvl w:val="3"/>
          <w:numId w:val="1"/>
        </w:numPr>
        <w:rPr/>
      </w:pPr>
      <w:bookmarkStart w:id="844" w:name="__RefHeading___Toc2646936_3224264995"/>
      <w:bookmarkStart w:id="845" w:name="_Toc339"/>
      <w:bookmarkEnd w:id="844"/>
      <w:r>
        <w:rPr>
          <w:rtl w:val="true"/>
        </w:rPr>
        <w:t>[</w:t>
      </w:r>
      <w:r>
        <w:rPr>
          <w:rtl w:val="true"/>
        </w:rPr>
        <w:t>الورود و الحکومة</w:t>
      </w:r>
      <w:r>
        <w:rPr>
          <w:rtl w:val="true"/>
        </w:rPr>
        <w:t>]</w:t>
      </w:r>
      <w:bookmarkEnd w:id="84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الدلیل علی الأصل و وجهه مبنیّ علی بیان الفرق بینه و بین الورود،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الوارد علی الآخر، هو کلّ دلیل مثبت لشی‌ء یکون الدلیل الآخر مغیّا به أو مقیّدا بعدمه أو ینتفی موضوع الآخر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فالعلم وقع غایة فی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قال فی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تعلم بقذارته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مشکوک الطهارة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الشکّ فی موضوع الحکم علی وجه ینتفی بوجود الدلیل العلمی علی النجاسة، فالدلیل العلمی وارد علی هذه الأدلّة الثلاثة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الحاکم کلّ دلیل یکون ناظرا و متعرّضا بمدلوله اللفظی إلی الدلیل الآخر مفسّرا لما أجمله، مبیّنا لما أهمله،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ثم قال فی کلام </w:t>
      </w:r>
      <w:bookmarkStart w:id="846" w:name="pg12856_162705"/>
    </w:p>
    <w:p>
      <w:pPr>
        <w:pStyle w:val="BookText"/>
        <w:rPr/>
      </w:pPr>
      <w:bookmarkEnd w:id="846"/>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الجعفری مثلا عالم،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بعالم، فیبیّن فی الأول أن المراد بالعالم الذی أخذ موضوعا فی الکلام الأول أعم من الجعفری فی حکم الآمر، و فی الثانی یبیّن أنّه أخصّ منه فی حکمه</w:t>
      </w:r>
      <w:r>
        <w:rPr>
          <w:rFonts w:eastAsia="IRNazanin" w:cs="IRNazanin"/>
          <w:color w:val="111111"/>
          <w:sz w:val="28"/>
          <w:szCs w:val="28"/>
          <w:rtl w:val="true"/>
          <w:lang w:bidi="fa-IR"/>
        </w:rPr>
        <w:t>.</w:t>
      </w:r>
    </w:p>
    <w:p>
      <w:pPr>
        <w:pStyle w:val="Heading4"/>
        <w:numPr>
          <w:ilvl w:val="3"/>
          <w:numId w:val="1"/>
        </w:numPr>
        <w:rPr/>
      </w:pPr>
      <w:bookmarkStart w:id="847" w:name="__RefHeading___Toc2646938_3224264995"/>
      <w:bookmarkStart w:id="848" w:name="_Toc340"/>
      <w:bookmarkEnd w:id="847"/>
      <w:r>
        <w:rPr>
          <w:rtl w:val="true"/>
        </w:rPr>
        <w:t>[</w:t>
      </w:r>
      <w:r>
        <w:rPr>
          <w:rtl w:val="true"/>
        </w:rPr>
        <w:t>مفاد أدلّة حجّیة الأدلّة الظنّیة</w:t>
      </w:r>
      <w:r>
        <w:rPr>
          <w:rtl w:val="true"/>
        </w:rPr>
        <w:t>]</w:t>
      </w:r>
      <w:bookmarkEnd w:id="848"/>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الظنیّة و إن لم تکن رافعا لموضوع الاصول لبقاء الشکّ معها إلا أنّ مفاد أدلّة حجّیتها کونها علما فی نظر الشارع، أو أن مؤدّاها واقع فلا یعتنی بالشکّ الموجود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ظهر بطلان الوجهین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فرضی التعارض و کون النسبة بین الأصل و الدلیل هو العموم المطلق أو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وجوب العمل بالأدلّة الظنّیة علی المکلّف لیس من جهة کونه شاکّا و الحکم الثابت بسببه لیس ثابتا للواقعة المشکوکة بل المکلّف یعمل علیه لکونه علما و کونه واقعا، بل ظهر فساد الأول أیضا و هو فرض الورود، و یمکن الجمع بینهما بأن الحکومة إنّما هو بین دلیلی اعتبار الأدلّة و الاصول، و الورود بین نفس الخبر مثلا مع الأصل ضرورة أنّه بعد أن بیّن الشارع أنّ العلم فی موضوع الاصول أعمّ من الشرعی و الوجدانی، أو الشکّ أخصّ من الوجود مع الخبر، یختصّ موضوع الاصول بغیر مورد الخبر،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فی التخییر بل کل أصل أخذ فی موضوعه عدم البیان یکون الظنّ بیانا، و الحکومة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بیان تنزیلی، فعلی هذا إن أخذ النسبة بین دلیلی الاعتبار فلا یخرج عن الحکومة فی الجمیع، و إن أخذ النسبة بین أنفسهما فلا یخرج عن الورود، فتدبّر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مراد المفصّل التفصیل بین الاصول الشرعیة و العقلیة فیقول بالحکومة فی الأولی و الورود فی الثانیة لأنّ موضوع حکم العقل عدم البیان، و الأدلّة الظنیّة بیان بجعل الشارع، و المراد بالبیان فی حکم العقل هو </w:t>
      </w:r>
      <w:bookmarkStart w:id="849" w:name="pg12856_162706"/>
    </w:p>
    <w:p>
      <w:pPr>
        <w:pStyle w:val="BookText"/>
        <w:rPr/>
      </w:pPr>
      <w:bookmarkEnd w:id="849"/>
      <w:r>
        <w:rPr>
          <w:rFonts w:ascii="IRNazanin" w:hAnsi="IRNazanin" w:eastAsia="IRNazanin"/>
          <w:color w:val="111111"/>
          <w:sz w:val="28"/>
          <w:sz w:val="28"/>
          <w:szCs w:val="28"/>
          <w:rtl w:val="true"/>
          <w:lang w:bidi="fa-IR"/>
        </w:rPr>
        <w:t>الأعم من ذلک فیکون ورودا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حسن قد أشار إلیه المصنّف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الأدلّة العقلیة</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850" w:name="__RefHeading___Toc2646940_3224264995"/>
      <w:bookmarkStart w:id="851" w:name="_Toc341"/>
      <w:bookmarkEnd w:id="850"/>
      <w:r>
        <w:rPr>
          <w:rtl w:val="true"/>
        </w:rPr>
        <w:t>[</w:t>
      </w:r>
      <w:r>
        <w:rPr>
          <w:rtl w:val="true"/>
        </w:rPr>
        <w:t>مختاره فی النسبة بین الأدلّة و الاصول</w:t>
      </w:r>
      <w:r>
        <w:rPr>
          <w:rtl w:val="true"/>
        </w:rPr>
        <w:t>]</w:t>
      </w:r>
      <w:bookmarkEnd w:id="851"/>
    </w:p>
    <w:p>
      <w:pPr>
        <w:pStyle w:val="BookText"/>
        <w:rPr/>
      </w:pPr>
      <w:r>
        <w:rPr>
          <w:rFonts w:ascii="IRNazanin" w:hAnsi="IRNazanin" w:eastAsia="IRNazanin"/>
          <w:color w:val="111111"/>
          <w:sz w:val="28"/>
          <w:sz w:val="28"/>
          <w:szCs w:val="28"/>
          <w:rtl w:val="true"/>
          <w:lang w:bidi="fa-IR"/>
        </w:rPr>
        <w:t>فظهر أنّ أصحّ الوجوه و الأقوال فی المقال هو الحکومة فی دلیلی الاعتبار و الورود فی نفس الأدلّة 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مراد القائل بالورود المطلق و الحکومة المطلقة فلیس تفصیلا و قولا سادسا فی المسألة، و هذا أیضا مراد المصنّف حیث قال فی أوّل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من تأخّر مرتبة الحکم الظاهری عن الحکم الواقعی لأجل تقیید موضوعه بالشکّ فی الحکم الواقعی یظهر لک وجه تقدیم الأدلّة علی الاصول لأنّ موضوع الاصول یرتفع بوجود الدلیل</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هذا الکلام ظاهر فی الورود، و أمّا قوله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أنّ دلیل تلک الامارة</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فظاهر فی حکومة أدلّة الحجّیة، فلا تهافت بین العبارتین بعد ما ذکرنا من أنّ مراده بالورود، ورود نفس الدلیل، و مراده بالحکومة کما هو نص کلامه الأخیر حکومة دلیل الاعتبار، هذا کلّه فی بیان نسبة الاصول مع الأدلّة</w:t>
      </w:r>
      <w:r>
        <w:rPr>
          <w:rFonts w:eastAsia="IRNazanin" w:cs="IRNazanin"/>
          <w:color w:val="111111"/>
          <w:sz w:val="28"/>
          <w:szCs w:val="28"/>
          <w:rtl w:val="true"/>
          <w:lang w:bidi="fa-IR"/>
        </w:rPr>
        <w:t>.</w:t>
      </w:r>
    </w:p>
    <w:p>
      <w:pPr>
        <w:pStyle w:val="Heading4"/>
        <w:numPr>
          <w:ilvl w:val="3"/>
          <w:numId w:val="1"/>
        </w:numPr>
        <w:rPr/>
      </w:pPr>
      <w:bookmarkStart w:id="852" w:name="__RefHeading___Toc2646942_3224264995"/>
      <w:bookmarkStart w:id="853" w:name="_Toc342"/>
      <w:bookmarkEnd w:id="852"/>
      <w:r>
        <w:rPr>
          <w:rtl w:val="true"/>
        </w:rPr>
        <w:t>[</w:t>
      </w:r>
      <w:r>
        <w:rPr>
          <w:rtl w:val="true"/>
        </w:rPr>
        <w:t>أقسام الاصول و الفرق بینها</w:t>
      </w:r>
      <w:r>
        <w:rPr>
          <w:rtl w:val="true"/>
        </w:rPr>
        <w:t>]</w:t>
      </w:r>
      <w:bookmarkEnd w:id="853"/>
    </w:p>
    <w:p>
      <w:pPr>
        <w:pStyle w:val="BookText"/>
        <w:rPr/>
      </w:pPr>
      <w:r>
        <w:rPr>
          <w:rFonts w:ascii="IRNazanin" w:hAnsi="IRNazanin" w:eastAsia="IRNazanin"/>
          <w:color w:val="111111"/>
          <w:sz w:val="28"/>
          <w:sz w:val="28"/>
          <w:szCs w:val="28"/>
          <w:rtl w:val="true"/>
          <w:lang w:bidi="fa-IR"/>
        </w:rPr>
        <w:t>و أما أقسام الاصول،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الجاری فی مسألة الشکّ فی التکلیف مطلقا أو فی الجملة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أصل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أصالة عدم الأکثر عند الشکّ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بالبحث هنا بیان الفرق بین هذه الاصول مفادا، و النسبة بینها موردا، و بیان ما هو الحجّة منها إذا اجتمع بعضها مع بعض أحیانا</w:t>
      </w:r>
      <w:r>
        <w:rPr>
          <w:rFonts w:eastAsia="IRNazanin" w:cs="IRNazanin"/>
          <w:color w:val="111111"/>
          <w:sz w:val="28"/>
          <w:szCs w:val="28"/>
          <w:rtl w:val="true"/>
          <w:lang w:bidi="fa-IR"/>
        </w:rPr>
        <w:t>.</w:t>
      </w:r>
    </w:p>
    <w:p>
      <w:pPr>
        <w:pStyle w:val="Heading4"/>
        <w:numPr>
          <w:ilvl w:val="3"/>
          <w:numId w:val="1"/>
        </w:numPr>
        <w:rPr/>
      </w:pPr>
      <w:bookmarkStart w:id="854" w:name="__RefHeading___Toc2646944_3224264995"/>
      <w:bookmarkStart w:id="855" w:name="_Toc343"/>
      <w:bookmarkEnd w:id="854"/>
      <w:r>
        <w:rPr>
          <w:rtl w:val="true"/>
        </w:rPr>
        <w:t>[</w:t>
      </w:r>
      <w:r>
        <w:rPr>
          <w:rtl w:val="true"/>
        </w:rPr>
        <w:t>الفرق بین أصل البراءة و استصحابها</w:t>
      </w:r>
      <w:r>
        <w:rPr>
          <w:rtl w:val="true"/>
        </w:rPr>
        <w:t>]</w:t>
      </w:r>
      <w:bookmarkEnd w:id="85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الأوّلین مفادا واضح، و أما موردا فیمکن القول </w:t>
      </w:r>
      <w:bookmarkStart w:id="856" w:name="pg12856_162707"/>
    </w:p>
    <w:p>
      <w:pPr>
        <w:pStyle w:val="BookText"/>
        <w:rPr/>
      </w:pPr>
      <w:bookmarkEnd w:id="856"/>
      <w:r>
        <w:rPr>
          <w:rFonts w:ascii="IRNazanin" w:hAnsi="IRNazanin" w:eastAsia="IRNazanin"/>
          <w:color w:val="111111"/>
          <w:sz w:val="28"/>
          <w:sz w:val="28"/>
          <w:szCs w:val="28"/>
          <w:rtl w:val="true"/>
          <w:lang w:bidi="fa-IR"/>
        </w:rPr>
        <w:t>بالتساوی و یمکن القول بأعمیّة أصل البراءة من استصحابها بناء علی أنّ التخییر فی الدوران بین المحظورین هو البراءة فیجری البراءة دون استصحابها ضرورة انقلاب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کلاهما حجة، أو الحجة هو الأصل دون الاستصحاب أو بالعکس؟ وجوه من أنّ البراءة إنما ینفع فی مقام رفع التنجّز و لا شک أنّ الشکّ فی أصل التکلیف کاف فی رفع التنجّز و لا یحتاج إلی استصحاب البراءة، و من أن البراءة لیس برافع للشک الذی علیه مدار الاستصحاب فهو جار مع جریان الأصل، و أما عدم الفائدة فلیس میزانا لجریان الاستصحاب و عدمه و لا لجریان الأدلّة و إلّا لزم عند اجتماع دلیلین عدم حجّیة أحدهما، و من إمکان القول بعدم حجّیة البراءة لزوال الشکّ الذی هو موضوع البراءة باستصحابها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أرید رفع موضوع الشکّ حقیقة فممنوع جدّا بالوجدان، و إن أرید رفع حکم الشکّ تعبدا و رفع موضوعه تنزیلا فلا مانع فی ذلک من حجّیة البراءة سوی عدم الحاجة التی لا مانعیّة فیها، فتبیّن أنّ الاجتماع غیر مانع من حجّیة المجتمعین من أصل البراءة و استصحابها</w:t>
      </w:r>
      <w:r>
        <w:rPr>
          <w:rFonts w:eastAsia="IRNazanin" w:cs="IRNazanin"/>
          <w:color w:val="111111"/>
          <w:sz w:val="28"/>
          <w:szCs w:val="28"/>
          <w:rtl w:val="true"/>
          <w:lang w:bidi="fa-IR"/>
        </w:rPr>
        <w:t>.</w:t>
      </w:r>
    </w:p>
    <w:p>
      <w:pPr>
        <w:pStyle w:val="Heading4"/>
        <w:numPr>
          <w:ilvl w:val="3"/>
          <w:numId w:val="1"/>
        </w:numPr>
        <w:rPr/>
      </w:pPr>
      <w:bookmarkStart w:id="857" w:name="__RefHeading___Toc2646946_3224264995"/>
      <w:bookmarkStart w:id="858" w:name="_Toc344"/>
      <w:bookmarkEnd w:id="857"/>
      <w:r>
        <w:rPr>
          <w:rtl w:val="true"/>
        </w:rPr>
        <w:t>[</w:t>
      </w:r>
      <w:r>
        <w:rPr>
          <w:rtl w:val="true"/>
        </w:rPr>
        <w:t>الفرق بین أصالة البراءة و أصالة العدم</w:t>
      </w:r>
      <w:r>
        <w:rPr>
          <w:rtl w:val="true"/>
        </w:rPr>
        <w:t>]</w:t>
      </w:r>
      <w:bookmarkEnd w:id="858"/>
    </w:p>
    <w:p>
      <w:pPr>
        <w:pStyle w:val="BookText"/>
        <w:rPr/>
      </w:pPr>
      <w:r>
        <w:rPr>
          <w:rFonts w:ascii="IRNazanin" w:hAnsi="IRNazanin" w:eastAsia="IRNazanin"/>
          <w:color w:val="111111"/>
          <w:sz w:val="28"/>
          <w:sz w:val="28"/>
          <w:szCs w:val="28"/>
          <w:rtl w:val="true"/>
          <w:lang w:bidi="fa-IR"/>
        </w:rPr>
        <w:t>و أما الفرق بین أصالة البراءة و 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للتکلیف ملاحظتان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تقرّره و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تعلّقه بالمکلّف</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الجهتین عدم توقّف الاولی منهما علی علم المکلف و لا علی جهله بل هی موجودة مع الحالین بخلاف الجهة الثانیة فإنه مشروط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فالشک فی وجود أصل التکلیف کاف لعدم تعلّقه بالمکلّف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ذکرنا أنّ فی مقام جریان أصل البراءة لا حاجة إلی استصحابها، فأصالة العدم ناظر إلی حیث الوجود و ناف لوجود الشی‌ء المشکوک فیه فهو نافع فی 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أصالة البراءة فناظر إلی حیث التنجّز فهو نافع للمرتبة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الفرق بینهما </w:t>
      </w:r>
      <w:bookmarkStart w:id="859" w:name="pg12856_162708"/>
    </w:p>
    <w:p>
      <w:pPr>
        <w:pStyle w:val="BookText"/>
        <w:rPr/>
      </w:pPr>
      <w:bookmarkEnd w:id="859"/>
      <w:r>
        <w:rPr>
          <w:rFonts w:ascii="IRNazanin" w:hAnsi="IRNazanin" w:eastAsia="IRNazanin"/>
          <w:color w:val="111111"/>
          <w:sz w:val="28"/>
          <w:sz w:val="28"/>
          <w:szCs w:val="28"/>
          <w:rtl w:val="true"/>
          <w:lang w:bidi="fa-IR"/>
        </w:rPr>
        <w:t>مفادا</w:t>
      </w:r>
      <w:r>
        <w:rPr>
          <w:rFonts w:eastAsia="IRNazanin" w:cs="IRNazanin"/>
          <w:color w:val="111111"/>
          <w:sz w:val="28"/>
          <w:szCs w:val="28"/>
          <w:rtl w:val="true"/>
          <w:lang w:bidi="fa-IR"/>
        </w:rPr>
        <w:t>.</w:t>
      </w:r>
    </w:p>
    <w:p>
      <w:pPr>
        <w:pStyle w:val="Heading4"/>
        <w:numPr>
          <w:ilvl w:val="3"/>
          <w:numId w:val="1"/>
        </w:numPr>
        <w:rPr/>
      </w:pPr>
      <w:bookmarkStart w:id="860" w:name="__RefHeading___Toc2646948_3224264995"/>
      <w:bookmarkStart w:id="861" w:name="_Toc345"/>
      <w:bookmarkEnd w:id="860"/>
      <w:r>
        <w:rPr>
          <w:rtl w:val="true"/>
        </w:rPr>
        <w:t>[</w:t>
      </w:r>
      <w:r>
        <w:rPr>
          <w:rtl w:val="true"/>
        </w:rPr>
        <w:t>مورد أصالة العدم و مورد أصالة البراءة</w:t>
      </w:r>
      <w:r>
        <w:rPr>
          <w:rtl w:val="true"/>
        </w:rPr>
        <w:t>]</w:t>
      </w:r>
      <w:bookmarkEnd w:id="861"/>
    </w:p>
    <w:p>
      <w:pPr>
        <w:pStyle w:val="BookText"/>
        <w:rPr/>
      </w:pPr>
      <w:r>
        <w:rPr>
          <w:rFonts w:ascii="IRNazanin" w:hAnsi="IRNazanin" w:eastAsia="IRNazanin"/>
          <w:color w:val="111111"/>
          <w:sz w:val="28"/>
          <w:sz w:val="28"/>
          <w:szCs w:val="28"/>
          <w:rtl w:val="true"/>
          <w:lang w:bidi="fa-IR"/>
        </w:rPr>
        <w:t>و أمّا موردا فأصالة العدم یجری فی التکلیفات و الوضعیات بل فی الموضوعات الخارجیة الجزئیة کموت زید و قتل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البراءة فلا یجری فی غیر التکلیفات فالنسبة 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 بناء علی أنه فی دوران الأمر بین الوجوب و الاستحباب یجری البراءة دون أصالة العدم، للعلم الإجمالی بانقلاب العدم الأزلی إلی الوجود فی ضمن الوجوب أو الندب و المفروض أنّ أصالة عدم الوجوب معارض بأصالة عدم الندب</w:t>
      </w:r>
      <w:r>
        <w:rPr>
          <w:rFonts w:eastAsia="IRNazanin" w:cs="IRNazanin"/>
          <w:color w:val="111111"/>
          <w:sz w:val="28"/>
          <w:szCs w:val="28"/>
          <w:rtl w:val="true"/>
          <w:lang w:bidi="fa-IR"/>
        </w:rPr>
        <w:t>.</w:t>
      </w:r>
    </w:p>
    <w:p>
      <w:pPr>
        <w:pStyle w:val="Heading4"/>
        <w:numPr>
          <w:ilvl w:val="3"/>
          <w:numId w:val="1"/>
        </w:numPr>
        <w:rPr/>
      </w:pPr>
      <w:bookmarkStart w:id="862" w:name="__RefHeading___Toc2646950_3224264995"/>
      <w:bookmarkStart w:id="863" w:name="_Toc346"/>
      <w:bookmarkEnd w:id="862"/>
      <w:r>
        <w:rPr>
          <w:rtl w:val="true"/>
        </w:rPr>
        <w:t>[</w:t>
      </w:r>
      <w:r>
        <w:rPr>
          <w:rtl w:val="true"/>
        </w:rPr>
        <w:t>المراد من استصحاب العدم</w:t>
      </w:r>
      <w:r>
        <w:rPr>
          <w:rtl w:val="true"/>
        </w:rPr>
        <w:t>]</w:t>
      </w:r>
      <w:bookmarkEnd w:id="863"/>
    </w:p>
    <w:p>
      <w:pPr>
        <w:pStyle w:val="BookText"/>
        <w:rPr/>
      </w:pPr>
      <w:r>
        <w:rPr>
          <w:rFonts w:ascii="IRNazanin" w:hAnsi="IRNazanin" w:eastAsia="IRNazanin"/>
          <w:color w:val="111111"/>
          <w:sz w:val="28"/>
          <w:sz w:val="28"/>
          <w:szCs w:val="28"/>
          <w:rtl w:val="true"/>
          <w:lang w:bidi="fa-IR"/>
        </w:rPr>
        <w:t>و یمکن المناقشة فیه بأنّ المراد بالعدم لیس عدم کلّ شی‌ء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انقلب وجودا، بل المراد عدم الإلزام و الکلفة الذی لا ینافیه الاستحباب، نعم لو قلنا بأن التخییر عند الدوران بین المحظورین أیضا براءة لا حکم آخر وراءها، بل هو من شئون البراءة، یکون النسبة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حجّیتهما أو حجّیة أحدهما فیعرف مما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المراد بأصالة العدم و استصحاب العدم واحد</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2646952_3224264995"/>
      <w:bookmarkStart w:id="865" w:name="_Toc347"/>
      <w:bookmarkEnd w:id="864"/>
      <w:r>
        <w:rPr>
          <w:rtl w:val="true"/>
        </w:rPr>
        <w:t>[</w:t>
      </w:r>
      <w:r>
        <w:rPr>
          <w:rtl w:val="true"/>
        </w:rPr>
        <w:t>الفرق بین أصالة البراءة و عدم الدلیل دلیل العدم</w:t>
      </w:r>
      <w:r>
        <w:rPr>
          <w:rtl w:val="true"/>
        </w:rPr>
        <w:t>]</w:t>
      </w:r>
      <w:bookmarkEnd w:id="865"/>
    </w:p>
    <w:p>
      <w:pPr>
        <w:pStyle w:val="BookText"/>
        <w:rPr/>
      </w:pPr>
      <w:r>
        <w:rPr>
          <w:rFonts w:ascii="IRNazanin" w:hAnsi="IRNazanin" w:eastAsia="IRNazanin"/>
          <w:color w:val="111111"/>
          <w:sz w:val="28"/>
          <w:sz w:val="28"/>
          <w:szCs w:val="28"/>
          <w:rtl w:val="true"/>
          <w:lang w:bidi="fa-IR"/>
        </w:rPr>
        <w:t>و أما الفرق بین أصالة البراءة و عدم الدلیل دلیل العدم فیتوقّف علی بیان محتملات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العبارة تحتمل لمعان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الحکم فی ما بأیدینا و بین أظهرنا دلیل علی عدم الحکم واقعا إما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الأخباریة</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الأصل فیما یعمّ به البلوی مفید للعلم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علما فی بعض المقامات و ظنا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أیضا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فی زمان دلیل علی عدم الحکم</w:t>
      </w:r>
      <w:r>
        <w:rPr>
          <w:rFonts w:eastAsia="IRNazanin" w:cs="IRNazanin"/>
          <w:color w:val="111111"/>
          <w:sz w:val="28"/>
          <w:szCs w:val="28"/>
          <w:rtl w:val="true"/>
          <w:lang w:bidi="fa-IR"/>
        </w:rPr>
        <w:t xml:space="preserve">. </w:t>
      </w:r>
      <w:bookmarkStart w:id="866" w:name="pg12856_162709"/>
    </w:p>
    <w:p>
      <w:pPr>
        <w:pStyle w:val="Heading4"/>
        <w:numPr>
          <w:ilvl w:val="3"/>
          <w:numId w:val="1"/>
        </w:numPr>
        <w:rPr/>
      </w:pPr>
      <w:bookmarkStart w:id="867" w:name="__RefHeading___Toc2646954_3224264995"/>
      <w:bookmarkStart w:id="868" w:name="_Toc348"/>
      <w:bookmarkEnd w:id="866"/>
      <w:bookmarkEnd w:id="867"/>
      <w:r>
        <w:rPr>
          <w:rtl w:val="true"/>
        </w:rPr>
        <w:t>[</w:t>
      </w:r>
      <w:r>
        <w:rPr>
          <w:rtl w:val="true"/>
        </w:rPr>
        <w:t>إشارة إلی ظاهر کلام صاحب القوانین فی أوّل البراءة</w:t>
      </w:r>
      <w:r>
        <w:rPr>
          <w:rtl w:val="true"/>
        </w:rPr>
        <w:t>]</w:t>
      </w:r>
      <w:bookmarkEnd w:id="86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فیما بأیدینا دلیل علی عدم الدلیل لتوفّر الدواعی علی نقله لو کان فیدلّ علی عدم الحکم بالالتزام کما انّ الأول یدلّ علی نفی الدلیل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الأوّلین یمکن أن یکون عدم الحکم الذی هو مؤدّی العبارة هو العدم الواقعی فحینئذ یکون عدم الدلیل دلیلا اجتهادیا کاشفا عن العدم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عدم ما فی مرحلة الظاهر بمعنی أن الشاکّ یترتّب علیه آثار العدم فیکون المراد أنّ عدم الدلیل دلیل علی عدم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منشؤه قبح العقاب بلا بیان، و هذا هو الظاهر من صدر کلام المحقّق القمّی</w:t>
      </w:r>
      <w:r>
        <w:rPr>
          <w:rStyle w:val="FootnoteAnchor"/>
          <w:rtl w:val="true"/>
        </w:rPr>
        <w:footnoteReference w:id="262"/>
      </w:r>
      <w:r>
        <w:rPr>
          <w:rFonts w:ascii="IRNazanin" w:hAnsi="IRNazanin" w:eastAsia="IRNazanin"/>
          <w:color w:val="111111"/>
          <w:sz w:val="28"/>
          <w:sz w:val="28"/>
          <w:szCs w:val="28"/>
          <w:rtl w:val="true"/>
          <w:lang w:bidi="fa-IR"/>
        </w:rPr>
        <w:t>فی أول البراءة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حینئذ هو الحکم العقلی القطعی الذی ذکرت فإسناد الدلیلیة إلی عدم الدلیل یکون بنحو من التسامح و المجاز، فلا یحمل علیه ظاهر الکلمات مع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فالاحتمالات ثلاثة لا رابع لها، و الظاهر الأولین بل الأول منهما کما لا یخفی علی المراجع إلی کلامهم فی المقام، بل اختصاص بعضهم ذلک بعام البلوی کالمنادی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ظهر الفرق بینهما حیث إنّ البراءة أصل، و هو 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 ورود الدلیل علی الأصل و عدم حجیة الأصل فی مورد الاجتماع مع الدلیل</w:t>
      </w:r>
      <w:r>
        <w:rPr>
          <w:rFonts w:eastAsia="IRNazanin" w:cs="IRNazanin"/>
          <w:color w:val="111111"/>
          <w:sz w:val="28"/>
          <w:szCs w:val="28"/>
          <w:rtl w:val="true"/>
          <w:lang w:bidi="fa-IR"/>
        </w:rPr>
        <w:t>.</w:t>
      </w:r>
    </w:p>
    <w:p>
      <w:pPr>
        <w:pStyle w:val="Heading4"/>
        <w:numPr>
          <w:ilvl w:val="3"/>
          <w:numId w:val="1"/>
        </w:numPr>
        <w:rPr/>
      </w:pPr>
      <w:bookmarkStart w:id="869" w:name="__RefHeading___Toc2646956_3224264995"/>
      <w:bookmarkStart w:id="870" w:name="_Toc349"/>
      <w:bookmarkEnd w:id="869"/>
      <w:r>
        <w:rPr>
          <w:rtl w:val="true"/>
        </w:rPr>
        <w:t>[</w:t>
      </w:r>
      <w:r>
        <w:rPr>
          <w:rtl w:val="true"/>
        </w:rPr>
        <w:t>النسبة بین أصل البراءة و بین عدم الدلیل دلیل العدم</w:t>
      </w:r>
      <w:r>
        <w:rPr>
          <w:rtl w:val="true"/>
        </w:rPr>
        <w:t>]</w:t>
      </w:r>
      <w:bookmarkEnd w:id="870"/>
    </w:p>
    <w:p>
      <w:pPr>
        <w:pStyle w:val="BookText"/>
        <w:rPr/>
      </w:pPr>
      <w:r>
        <w:rPr>
          <w:rFonts w:ascii="IRNazanin" w:hAnsi="IRNazanin" w:eastAsia="IRNazanin"/>
          <w:color w:val="111111"/>
          <w:sz w:val="28"/>
          <w:sz w:val="28"/>
          <w:szCs w:val="28"/>
          <w:rtl w:val="true"/>
          <w:lang w:bidi="fa-IR"/>
        </w:rPr>
        <w:t>أمّا النسبة بینهما فعموم مطلق ضرورة عدم جریان البراءة إلّا فی نفی التکلیف بخلاف ذلک، فإنّه جار فی التکلیفات و الوضعیّات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عموم من وجه لأنّ البراءة یجری فی الشبهات الخارجیة، دون عدم الدلیل فإنّه لا یجری إلّا فی الحکم عن الموضوعات العامّة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عدم الدلیل فی المسائل العامّة البلوی مفید للعلم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w:t>
      </w:r>
      <w:bookmarkStart w:id="871" w:name="pg12856_162710"/>
    </w:p>
    <w:p>
      <w:pPr>
        <w:pStyle w:val="BookText"/>
        <w:rPr/>
      </w:pPr>
      <w:bookmarkEnd w:id="871"/>
      <w:r>
        <w:rPr>
          <w:rFonts w:ascii="IRNazanin" w:hAnsi="IRNazanin" w:eastAsia="IRNazanin"/>
          <w:color w:val="111111"/>
          <w:sz w:val="28"/>
          <w:sz w:val="28"/>
          <w:szCs w:val="28"/>
          <w:rtl w:val="true"/>
          <w:lang w:bidi="fa-IR"/>
        </w:rPr>
        <w:t>غیرها فقد یفید الظن و قد لا یفیده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صورة عدم إفادته فلا إشکال فی عدم حجّیته، و أما فی صورة إفادته الظن فمبنیّ علی حجّیة الظن، فإن تمّ إجماع فهو و إلّا فمحل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فجریانه فی المسائل العامّة البلوی محلّ إجماع و لو لم یفد العلم</w:t>
      </w:r>
      <w:r>
        <w:rPr>
          <w:rFonts w:eastAsia="IRNazanin" w:cs="IRNazanin"/>
          <w:color w:val="111111"/>
          <w:sz w:val="28"/>
          <w:szCs w:val="28"/>
          <w:rtl w:val="true"/>
          <w:lang w:bidi="fa-IR"/>
        </w:rPr>
        <w:t>.</w:t>
      </w:r>
    </w:p>
    <w:p>
      <w:pPr>
        <w:pStyle w:val="Heading4"/>
        <w:numPr>
          <w:ilvl w:val="3"/>
          <w:numId w:val="1"/>
        </w:numPr>
        <w:rPr/>
      </w:pPr>
      <w:bookmarkStart w:id="872" w:name="__RefHeading___Toc2646958_3224264995"/>
      <w:bookmarkStart w:id="873" w:name="_Toc350"/>
      <w:bookmarkEnd w:id="872"/>
      <w:r>
        <w:rPr>
          <w:rtl w:val="true"/>
        </w:rPr>
        <w:t>[</w:t>
      </w:r>
      <w:r>
        <w:rPr>
          <w:rtl w:val="true"/>
        </w:rPr>
        <w:t>قولهم</w:t>
      </w:r>
      <w:r>
        <w:rPr>
          <w:rtl w:val="true"/>
        </w:rPr>
        <w:t>: «</w:t>
      </w:r>
      <w:r>
        <w:rPr>
          <w:rtl w:val="true"/>
        </w:rPr>
        <w:t>عدم الوجدان لا یدلّ علی عدم الوجود</w:t>
      </w:r>
      <w:r>
        <w:rPr>
          <w:rtl w:val="true"/>
        </w:rPr>
        <w:t>»]</w:t>
      </w:r>
      <w:bookmarkEnd w:id="873"/>
    </w:p>
    <w:p>
      <w:pPr>
        <w:pStyle w:val="BookText"/>
        <w:rPr/>
      </w:pPr>
      <w:r>
        <w:rPr>
          <w:rFonts w:ascii="IRNazanin" w:hAnsi="IRNazanin" w:eastAsia="IRNazanin"/>
          <w:color w:val="111111"/>
          <w:sz w:val="28"/>
          <w:sz w:val="28"/>
          <w:szCs w:val="28"/>
          <w:rtl w:val="true"/>
          <w:lang w:bidi="fa-IR"/>
        </w:rPr>
        <w:t>ثم إن معارضة هذا الدلیل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لو کان المراد بالدلیل المعنی الثالث دون الأوّلین، و قد عرفت ظهوره فی أحد الأوّلین بل خصوص الأوّل فلا یتمّ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مراد المعارض من عدم الدلالة إن کان عدمه حتی ظنّا فهو کذب، و إن کان عدمه علما فإنّما یتمّ لو کان المراد فی الدلیل الدلالة علما و إلّا لو کان عدمها الأعم أو خصوص الظن فلا یتمّ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المأخوذ فی الدلیل لیس عدم وجدان الدلیل، بل المراد عدم وجوده، فحینئذ تکون المعارضة مغالطة</w:t>
      </w:r>
      <w:r>
        <w:rPr>
          <w:rFonts w:eastAsia="IRNazanin" w:cs="IRNazanin"/>
          <w:color w:val="111111"/>
          <w:sz w:val="28"/>
          <w:szCs w:val="28"/>
          <w:rtl w:val="true"/>
          <w:lang w:bidi="fa-IR"/>
        </w:rPr>
        <w:t>.</w:t>
      </w:r>
    </w:p>
    <w:p>
      <w:pPr>
        <w:pStyle w:val="Heading4"/>
        <w:numPr>
          <w:ilvl w:val="3"/>
          <w:numId w:val="1"/>
        </w:numPr>
        <w:rPr/>
      </w:pPr>
      <w:bookmarkStart w:id="874" w:name="__RefHeading___Toc2646960_3224264995"/>
      <w:bookmarkStart w:id="875" w:name="_Toc351"/>
      <w:bookmarkEnd w:id="874"/>
      <w:r>
        <w:rPr>
          <w:rtl w:val="true"/>
        </w:rPr>
        <w:t>[</w:t>
      </w:r>
      <w:r>
        <w:rPr>
          <w:rtl w:val="true"/>
        </w:rPr>
        <w:t>أصالة عدم الأکثر</w:t>
      </w:r>
      <w:r>
        <w:rPr>
          <w:rtl w:val="true"/>
        </w:rPr>
        <w:t>]</w:t>
      </w:r>
      <w:bookmarkEnd w:id="875"/>
    </w:p>
    <w:p>
      <w:pPr>
        <w:pStyle w:val="BookText"/>
        <w:rPr/>
      </w:pPr>
      <w:r>
        <w:rPr>
          <w:rFonts w:ascii="IRNazanin" w:hAnsi="IRNazanin" w:eastAsia="IRNazanin"/>
          <w:color w:val="111111"/>
          <w:sz w:val="28"/>
          <w:sz w:val="28"/>
          <w:szCs w:val="28"/>
          <w:rtl w:val="true"/>
          <w:lang w:bidi="fa-IR"/>
        </w:rPr>
        <w:t>و أما أصالة عدم الأکثر فإن کان المراد به نفی التعلّق کما هو ظاهر بعض کالشیخ المصنّف فی الکتاب</w:t>
      </w:r>
      <w:r>
        <w:rPr>
          <w:rStyle w:val="FootnoteAnchor"/>
          <w:rtl w:val="true"/>
        </w:rPr>
        <w:footnoteReference w:id="263"/>
      </w:r>
      <w:r>
        <w:rPr>
          <w:rFonts w:ascii="IRNazanin" w:hAnsi="IRNazanin" w:eastAsia="IRNazanin"/>
          <w:color w:val="111111"/>
          <w:sz w:val="28"/>
          <w:sz w:val="28"/>
          <w:szCs w:val="28"/>
          <w:rtl w:val="true"/>
          <w:lang w:bidi="fa-IR"/>
        </w:rPr>
        <w:t>، فهو من شئون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به نفی الوجود فهو من شئون أصالة العدم، فلا یحسن عدّها قسیما لهذین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ممّا قرّرنا وجه الفرق بین أصالة العدم مع عدم الدلیل</w:t>
      </w:r>
      <w:r>
        <w:rPr>
          <w:rFonts w:eastAsia="IRNazanin" w:cs="IRNazanin"/>
          <w:color w:val="111111"/>
          <w:sz w:val="28"/>
          <w:szCs w:val="28"/>
          <w:rtl w:val="true"/>
          <w:lang w:bidi="fa-IR"/>
        </w:rPr>
        <w:t>.</w:t>
      </w:r>
    </w:p>
    <w:p>
      <w:pPr>
        <w:pStyle w:val="Heading4"/>
        <w:numPr>
          <w:ilvl w:val="3"/>
          <w:numId w:val="1"/>
        </w:numPr>
        <w:rPr/>
      </w:pPr>
      <w:bookmarkStart w:id="876" w:name="__RefHeading___Toc2646962_3224264995"/>
      <w:bookmarkStart w:id="877" w:name="_Toc352"/>
      <w:bookmarkEnd w:id="876"/>
      <w:r>
        <w:rPr>
          <w:rtl w:val="true"/>
        </w:rPr>
        <w:t>[</w:t>
      </w:r>
      <w:r>
        <w:rPr>
          <w:rtl w:val="true"/>
        </w:rPr>
        <w:t>الفرق بین البراءة العقلیة و الإباحة العقلیة</w:t>
      </w:r>
      <w:r>
        <w:rPr>
          <w:rtl w:val="true"/>
        </w:rPr>
        <w:t>]</w:t>
      </w:r>
      <w:bookmarkEnd w:id="877"/>
    </w:p>
    <w:p>
      <w:pPr>
        <w:pStyle w:val="BookText"/>
        <w:rPr/>
      </w:pPr>
      <w:r>
        <w:rPr>
          <w:rFonts w:ascii="IRNazanin" w:hAnsi="IRNazanin" w:eastAsia="IRNazanin"/>
          <w:color w:val="111111"/>
          <w:sz w:val="28"/>
          <w:sz w:val="28"/>
          <w:szCs w:val="28"/>
          <w:rtl w:val="true"/>
          <w:lang w:bidi="fa-IR"/>
        </w:rPr>
        <w:t>بقی الکلام فی بیان الفرق بین البراءة العقلیة و الاباحة العقلیة و ثمرة تعدّد النزاع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ذکروا للفرق بینهما وجوه أنهاها السید علی ما حکی عن ضوابطه</w:t>
      </w:r>
      <w:r>
        <w:rPr>
          <w:rStyle w:val="FootnoteAnchor"/>
          <w:rtl w:val="true"/>
        </w:rPr>
        <w:footnoteReference w:id="264"/>
      </w:r>
      <w:r>
        <w:rPr>
          <w:rFonts w:ascii="IRNazanin" w:hAnsi="IRNazanin" w:eastAsia="IRNazanin"/>
          <w:color w:val="111111"/>
          <w:sz w:val="28"/>
          <w:sz w:val="28"/>
          <w:szCs w:val="28"/>
          <w:rtl w:val="true"/>
          <w:lang w:bidi="fa-IR"/>
        </w:rPr>
        <w:t>إلی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تحقیق المرام یقتضی تفصیل الکلام و استیناف المقام </w:t>
      </w:r>
      <w:bookmarkStart w:id="878" w:name="pg12856_162711"/>
    </w:p>
    <w:p>
      <w:pPr>
        <w:pStyle w:val="BookText"/>
        <w:rPr/>
      </w:pPr>
      <w:bookmarkEnd w:id="878"/>
      <w:r>
        <w:rPr>
          <w:rFonts w:ascii="IRNazanin" w:hAnsi="IRNazanin" w:eastAsia="IRNazanin"/>
          <w:color w:val="111111"/>
          <w:sz w:val="28"/>
          <w:sz w:val="28"/>
          <w:szCs w:val="28"/>
          <w:rtl w:val="true"/>
          <w:lang w:bidi="fa-IR"/>
        </w:rPr>
        <w:t>فی أصل الاباحة علی وجه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الأدلّة العقلیة أصل الاباحة عند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اختلفوا فی حکم الأشیاء النافعة الخالیة عن أمارة المضرّة قبل ورود الشرع فالمنسوب فیه إلی الأکثر الاباحة، و إلی الأقلّ الحظر، و إلی الحاجبی</w:t>
      </w:r>
      <w:r>
        <w:rPr>
          <w:rStyle w:val="FootnoteAnchor"/>
          <w:rtl w:val="true"/>
        </w:rPr>
        <w:footnoteReference w:id="265"/>
      </w:r>
      <w:r>
        <w:rPr>
          <w:rFonts w:ascii="IRNazanin" w:hAnsi="IRNazanin" w:eastAsia="IRNazanin"/>
          <w:color w:val="111111"/>
          <w:sz w:val="28"/>
          <w:sz w:val="28"/>
          <w:szCs w:val="28"/>
          <w:rtl w:val="true"/>
          <w:lang w:bidi="fa-IR"/>
        </w:rPr>
        <w:t>عدم الحکم، و إلی شیخ الاشاعرة التوقف</w:t>
      </w:r>
      <w:r>
        <w:rPr>
          <w:rStyle w:val="FootnoteAnchor"/>
          <w:rtl w:val="true"/>
        </w:rPr>
        <w:footnoteReference w:id="266"/>
      </w:r>
      <w:r>
        <w:rPr>
          <w:rFonts w:ascii="IRNazanin" w:hAnsi="IRNazanin" w:eastAsia="IRNazanin"/>
          <w:color w:val="111111"/>
          <w:sz w:val="28"/>
          <w:sz w:val="28"/>
          <w:szCs w:val="28"/>
          <w:rtl w:val="true"/>
          <w:lang w:bidi="fa-IR"/>
        </w:rPr>
        <w:t>، و فسّر تارة بعدم العلم بالحکم فتربّع الأقوال، و اخری بعدم الحکم فترجع إلی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فقبل الخوض فی تحقیق المسألة و بیان الترجیح فیها ینبغی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فی تحریر محلّ النزاع و تفسیر المفردات المأخوذة فی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فی بیان ثمرة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فی تأسیس الأصل فی المسألة لو فرضنا الشکّ فی ترجیح المسألة أو فرضنا الشکّ فی تشخیص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فی بیان الفرق و النسبة بین أصالة الاباحة العقلیة و الشرعیة و أصل البراءة، فالکلام إذن فی مقامات</w:t>
      </w:r>
      <w:r>
        <w:rPr>
          <w:rFonts w:eastAsia="IRNazanin" w:cs="IRNazanin"/>
          <w:color w:val="111111"/>
          <w:sz w:val="28"/>
          <w:szCs w:val="28"/>
          <w:rtl w:val="true"/>
          <w:lang w:bidi="fa-IR"/>
        </w:rPr>
        <w:t>:</w:t>
      </w:r>
    </w:p>
    <w:p>
      <w:pPr>
        <w:pStyle w:val="Heading4"/>
        <w:numPr>
          <w:ilvl w:val="3"/>
          <w:numId w:val="1"/>
        </w:numPr>
        <w:rPr/>
      </w:pPr>
      <w:bookmarkStart w:id="879" w:name="__RefHeading___Toc2646964_3224264995"/>
      <w:bookmarkStart w:id="880" w:name="_Toc353"/>
      <w:bookmarkEnd w:id="879"/>
      <w:r>
        <w:rPr>
          <w:rtl w:val="true"/>
        </w:rPr>
        <w:t>[</w:t>
      </w:r>
      <w:r>
        <w:rPr>
          <w:rtl w:val="true"/>
        </w:rPr>
        <w:t>تحریر محلّ النزاع</w:t>
      </w:r>
      <w:r>
        <w:rPr>
          <w:rtl w:val="true"/>
        </w:rPr>
        <w:t>]</w:t>
      </w:r>
      <w:bookmarkEnd w:id="88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 و تحریره من حیث المفهوم و المصداق من جهات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نزاع القائلین بإدراک العقل فی الأشیاء و الحسن و القبح الذین بمعنی استحقاق فاعلها الثواب أو العقاب، فی أنّ الفعل الذی لا یدرک العقل حسنها و لا قبحها بالمعنی المتقدّم هل یدرک إباحتها أو حظرها، إنما هو فیما لا </w:t>
      </w:r>
    </w:p>
    <w:p>
      <w:pPr>
        <w:pStyle w:val="BookText"/>
        <w:rPr/>
      </w:pPr>
      <w:r>
        <w:rPr>
          <w:rFonts w:ascii="IRNazanin" w:hAnsi="IRNazanin" w:eastAsia="IRNazanin"/>
          <w:color w:val="111111"/>
          <w:sz w:val="28"/>
          <w:sz w:val="28"/>
          <w:szCs w:val="28"/>
          <w:rtl w:val="true"/>
          <w:lang w:bidi="fa-IR"/>
        </w:rPr>
        <w:t>یدرک العقل حسنه و لا قبحه، بمعنی أن لیس فیه من الوجوه المحسّنة و لا المقبّحة حتی یدرکه العقل، لا بمعنی أنه لا یحتمل فیه ذلک و لکن لا یدرکه العقل کما توهّمه بعض</w:t>
      </w:r>
      <w:r>
        <w:rPr>
          <w:rStyle w:val="FootnoteAnchor"/>
          <w:rtl w:val="true"/>
        </w:rPr>
        <w:footnoteReference w:id="267"/>
      </w:r>
      <w:r>
        <w:rPr>
          <w:rFonts w:ascii="IRNazanin" w:hAnsi="IRNazanin" w:eastAsia="IRNazanin"/>
          <w:color w:val="111111"/>
          <w:sz w:val="28"/>
          <w:sz w:val="28"/>
          <w:szCs w:val="28"/>
          <w:rtl w:val="true"/>
          <w:lang w:bidi="fa-IR"/>
        </w:rPr>
        <w:t>، بل نسب إلی ظاهر شارح الجواد حیث إنّه بعد ما ذکر أنّ بعض الأفعال ممّا یدرک العقل حسنها أو قبحها و قسّمها إلی الأحکام الخمسة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یدرک العقل فیه حسنا و لا قبحا فقد اختلفوا فی إباحتها و حظرها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علی ذلک صاحب الفصول</w:t>
      </w:r>
      <w:r>
        <w:rPr>
          <w:rStyle w:val="FootnoteAnchor"/>
          <w:rtl w:val="true"/>
        </w:rPr>
        <w:footnoteReference w:id="268"/>
      </w:r>
      <w:r>
        <w:rPr>
          <w:rFonts w:ascii="IRNazanin" w:hAnsi="IRNazanin" w:eastAsia="IRNazanin"/>
          <w:color w:val="111111"/>
          <w:sz w:val="28"/>
          <w:sz w:val="28"/>
          <w:szCs w:val="28"/>
          <w:rtl w:val="true"/>
          <w:lang w:bidi="fa-IR"/>
        </w:rPr>
        <w:t>بل نسبه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 هذا الکلام یقتضی أن یکون النزاع فی ما جهله العقل، فکأنّ العلماء بعد ما فرغوا عن معلومات العقل شرعوا فی بیان ما جهله العقل هل الحکم فیه الاباحة أو الحظر؟ و هذا غفلة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 إلی ما ذکرنا أنّ</w:t>
      </w:r>
      <w:r>
        <w:rPr>
          <w:rStyle w:val="FootnoteAnchor"/>
          <w:rtl w:val="true"/>
        </w:rPr>
        <w:footnoteReference w:id="269"/>
      </w:r>
      <w:r>
        <w:rPr>
          <w:rFonts w:ascii="IRNazanin" w:hAnsi="IRNazanin" w:eastAsia="IRNazanin"/>
          <w:color w:val="111111"/>
          <w:sz w:val="28"/>
          <w:sz w:val="28"/>
          <w:szCs w:val="28"/>
          <w:rtl w:val="true"/>
          <w:lang w:bidi="fa-IR"/>
        </w:rPr>
        <w:t>الحاظر إنّما تمسّک بأنّه تصرف فی ملک الغیر فکأنّ المانع لیس فی نظره إلّا هذا فلو کان النزاع فیما لا یدرک العقل بالمعنی الذی ذکروه لکان لأحد أن یتمسّک بقاعدة دفع الضرر المحتمل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ذلک أنّ المحقق القمّی</w:t>
      </w:r>
      <w:r>
        <w:rPr>
          <w:rStyle w:val="FootnoteAnchor"/>
          <w:rtl w:val="true"/>
        </w:rPr>
        <w:footnoteReference w:id="270"/>
      </w:r>
      <w:r>
        <w:rPr>
          <w:rFonts w:ascii="IRNazanin" w:hAnsi="IRNazanin" w:eastAsia="IRNazanin"/>
          <w:color w:val="111111"/>
          <w:sz w:val="28"/>
          <w:sz w:val="28"/>
          <w:szCs w:val="28"/>
          <w:rtl w:val="true"/>
          <w:lang w:bidi="fa-IR"/>
        </w:rPr>
        <w:t>بعد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الأفعال ممّا لا یدرک العقل فیه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الأشاعرة یقولون بعدم إدراکه علی طریق السلب الکلّی و لا شکّ أنّ السلب الکلّی عند الأشعری لیس إلّا لانتفاء الموضوع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ذات الافعال شی‌ء یدرکه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إنّ الحکم بالإباحة عند القائلین بها لیس من جهة کونه مجهول الحکم لأنهم یعلّلون الاباحة بأنّه شی‌ء ذات منفعة خالیة عن الضرر مأذون من الشارع فلا وجه لحرمته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التعلیل یرشد إلی أن مرادهم من المعلول أعنی الإباحة هو الحکم </w:t>
      </w:r>
    </w:p>
    <w:p>
      <w:pPr>
        <w:pStyle w:val="BookText"/>
        <w:rPr/>
      </w:pPr>
      <w:r>
        <w:rPr>
          <w:rFonts w:ascii="IRNazanin" w:hAnsi="IRNazanin" w:eastAsia="IRNazanin"/>
          <w:color w:val="111111"/>
          <w:sz w:val="28"/>
          <w:sz w:val="28"/>
          <w:szCs w:val="28"/>
          <w:rtl w:val="true"/>
          <w:lang w:bidi="fa-IR"/>
        </w:rPr>
        <w:t>الواقعی الثابت لنفس الشی‌ء مع قطع النظر عن الجهل، إلا أنّ الإباحة مثل البراءة ثابت للشی‌ء المشکوک من جهة أنّه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قول القائل بالتوقّف أو عدم الحکم حیث لا معنی لهما فی الحکم الظاهری سیما الأخیر إلّا علی مذهب المجوّز خلاء الواقعة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إنّ الشواهد لما ذکرنا فی کلماتهم من التلویح و التصریح فوق حدّ الإحصاء، بل کلام شارح الجواد</w:t>
      </w:r>
      <w:r>
        <w:rPr>
          <w:rStyle w:val="FootnoteAnchor"/>
          <w:rtl w:val="true"/>
        </w:rPr>
        <w:footnoteReference w:id="271"/>
      </w:r>
      <w:r>
        <w:rPr>
          <w:rFonts w:ascii="IRNazanin" w:hAnsi="IRNazanin" w:eastAsia="IRNazanin"/>
          <w:color w:val="111111"/>
          <w:sz w:val="28"/>
          <w:sz w:val="28"/>
          <w:szCs w:val="28"/>
          <w:rtl w:val="true"/>
          <w:lang w:bidi="fa-IR"/>
        </w:rPr>
        <w:t>کما یظهر من أخیره لیس مریدا به ظاهره فإنّه قال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 شی‌ء و هو انّ الحکم بالحسن فی ما نحن فیه لا یجتمع مع فرض کونه مما لا یدرک العقل حسنها أو 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ذلک بأنّ العقل لا یدرک الحسن و القبح بالنظر إلی خصوصیاته و یحکم حکما عاما بالنسبة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الجواب انّ العقل کما یحکم فی بعض الأفعال بأنه واجب أو قبیح بالنظر إلی ذاته، لا یحکم فی بعض الأفعال أنّه مباح، بل یحکم بإباحته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مصداقا لکبری کلّی و هو أنّ کل ما فیه منفعة خالیة عن الضرر فهو مأذون من الشارع، فمن هنا یحکم بإباحته، فالمراد بالسلب السلب بالنظر إلی ذاته و المراد بالإیجاب الاثبات بالنظر إلی الاعتبار الخارجی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مع أصل الإشکال ینبئ عن عدم کونه خارجا عن محلّ النزاع بکلّه کما أنّه لیس بداخل فی محل النزاع أیضا بکلّه فإنّه یرد علیه کما أورد علیه صاحب القوانین</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العقل بعد ملاحظته هذا الکبری و ضمّه إلی الصغری یحکم فی الصغری بالإباحة بخصوصه، فلا وجه لإدخال هذا فی ما لا یدرک العقل حکمها، مضافا إلی أنّ العقل لا یحکم فی خصوص شی‌ء بأنّه مباح إلّا بعد إحراز </w:t>
      </w:r>
      <w:bookmarkStart w:id="881" w:name="pg12856_162714"/>
    </w:p>
    <w:p>
      <w:pPr>
        <w:pStyle w:val="BookText"/>
        <w:rPr/>
      </w:pPr>
      <w:bookmarkEnd w:id="881"/>
      <w:r>
        <w:rPr>
          <w:rFonts w:ascii="IRNazanin" w:hAnsi="IRNazanin" w:eastAsia="IRNazanin"/>
          <w:color w:val="111111"/>
          <w:sz w:val="28"/>
          <w:sz w:val="28"/>
          <w:szCs w:val="28"/>
          <w:rtl w:val="true"/>
          <w:lang w:bidi="fa-IR"/>
        </w:rPr>
        <w:t>کونه مأذونا فیه من الشرع و بعد إحراز کونه ممّا أذن فیه الشارع یحکم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عنوان کونه ممّا أذن فیه الشارع عنوان عام فلا فرق بین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حینئذ لتقسیم ما یدرک العقل حکمها إلی الأحکام الخمسة فتنبّه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من ذلک کلّه أنّ المتّفق علیه بین القائلین بالتحسین و التقبیح إنّما هو الأحکام الأربعة ضرورة أنّک عرفت أنّ الاباحة مختلف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جهات تحریر محلّ النزاع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لتحریر محلّ النزاع</w:t>
      </w:r>
      <w:r>
        <w:rPr>
          <w:rFonts w:eastAsia="IRNazanin" w:cs="IRNazanin"/>
          <w:color w:val="111111"/>
          <w:sz w:val="28"/>
          <w:szCs w:val="28"/>
          <w:rtl w:val="true"/>
          <w:lang w:bidi="fa-IR"/>
        </w:rPr>
        <w:t>:</w:t>
      </w:r>
    </w:p>
    <w:p>
      <w:pPr>
        <w:pStyle w:val="Heading4"/>
        <w:numPr>
          <w:ilvl w:val="3"/>
          <w:numId w:val="1"/>
        </w:numPr>
        <w:rPr/>
      </w:pPr>
      <w:bookmarkStart w:id="882" w:name="__RefHeading___Toc2646966_3224264995"/>
      <w:bookmarkStart w:id="883" w:name="_Toc354"/>
      <w:bookmarkEnd w:id="882"/>
      <w:r>
        <w:rPr>
          <w:rtl w:val="true"/>
        </w:rPr>
        <w:t>[</w:t>
      </w:r>
      <w:r>
        <w:rPr>
          <w:rtl w:val="true"/>
        </w:rPr>
        <w:t>انقسام أفعال لا یدرک العقل حسنها و قبحها إلی ضروری العیش و غیره</w:t>
      </w:r>
      <w:r>
        <w:rPr>
          <w:rtl w:val="true"/>
        </w:rPr>
        <w:t>]</w:t>
      </w:r>
      <w:bookmarkEnd w:id="883"/>
    </w:p>
    <w:p>
      <w:pPr>
        <w:pStyle w:val="BookText"/>
        <w:rPr/>
      </w:pPr>
      <w:r>
        <w:rPr>
          <w:rFonts w:ascii="IRNazanin" w:hAnsi="IRNazanin" w:eastAsia="IRNazanin"/>
          <w:color w:val="111111"/>
          <w:sz w:val="28"/>
          <w:sz w:val="28"/>
          <w:szCs w:val="28"/>
          <w:rtl w:val="true"/>
          <w:lang w:bidi="fa-IR"/>
        </w:rPr>
        <w:t>إنّ الأفعال التی لا یدرک العقل حسنها و قبحها علی أقسام، إذ لا تخلو إمّا أن یکون فعلها من ضروریات العیش بحیث یلزم من ترکها اختلال نظام المعاش أو العسر و الحرج کحبس النفس زائدا علی الطاقة أو علی القدر المتعارف الموجب تحمّله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لا یکون من ضروریاته، و هو أیضا ینقسم إلی ما یکون فیه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غرض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 الطیب و أکل الفاکهة مثلا، و إلی ما لا یکون فیه منفعة کالأفعال اللغویة و العبثیة و علی أیّ منهما إما أن یخلو الفعل عن مضرّة عاجلة و آجلة أو عن أمارة مضرّة کذلک بناء علی أنّ الضرر الذی لا أمارة علیه لیس بموضوع حکم العقل بوجوب دفع الضرر المحتمل، و مصداق هذا القسم من الأمثلة هو العبث بتحریک شی‌ء من الجوارح، و إما أن یخلو کبعض الملاهی کصید اللهو</w:t>
      </w:r>
      <w:r>
        <w:rPr>
          <w:rFonts w:eastAsia="IRNazanin" w:cs="IRNazanin"/>
          <w:color w:val="111111"/>
          <w:sz w:val="28"/>
          <w:szCs w:val="28"/>
          <w:rtl w:val="true"/>
          <w:lang w:bidi="fa-IR"/>
        </w:rPr>
        <w:t>.</w:t>
      </w:r>
    </w:p>
    <w:p>
      <w:pPr>
        <w:pStyle w:val="Heading4"/>
        <w:numPr>
          <w:ilvl w:val="3"/>
          <w:numId w:val="1"/>
        </w:numPr>
        <w:rPr/>
      </w:pPr>
      <w:bookmarkStart w:id="884" w:name="__RefHeading___Toc2646968_3224264995"/>
      <w:bookmarkStart w:id="885" w:name="_Toc355"/>
      <w:bookmarkEnd w:id="884"/>
      <w:r>
        <w:rPr>
          <w:rtl w:val="true"/>
        </w:rPr>
        <w:t>[</w:t>
      </w:r>
      <w:r>
        <w:rPr>
          <w:rtl w:val="true"/>
        </w:rPr>
        <w:t>ضروریات العیش مرخّص فیها بحکم العقل</w:t>
      </w:r>
      <w:r>
        <w:rPr>
          <w:rtl w:val="true"/>
        </w:rPr>
        <w:t>]</w:t>
      </w:r>
      <w:bookmarkEnd w:id="88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ضروریات العیش فلا إشکال فی خروجها عن محلّ النزاع لاتّفاقهم علی حکم العقل فیها بالرخصة بل بالوجوب لأنّ ترکها موجب لتهلکة النفس المحترمة القبیحة عقلا المنافیة لغرض الخالق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أیضا فی خروج ما فیه أمارة مضرّة عاجلة أو آجلة عن محلّ النزاع و لو اشتمل علی منفعة و غرض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 المشتمل لحکم القوّة العاقلة علی دفع الضرر المحتمل فضلا عن المقطوع</w:t>
      </w:r>
      <w:r>
        <w:rPr>
          <w:rFonts w:eastAsia="IRNazanin" w:cs="IRNazanin"/>
          <w:color w:val="111111"/>
          <w:sz w:val="28"/>
          <w:szCs w:val="28"/>
          <w:rtl w:val="true"/>
          <w:lang w:bidi="fa-IR"/>
        </w:rPr>
        <w:t xml:space="preserve">. </w:t>
      </w:r>
      <w:bookmarkStart w:id="886" w:name="pg12856_162715"/>
    </w:p>
    <w:p>
      <w:pPr>
        <w:pStyle w:val="BookText"/>
        <w:rPr/>
      </w:pPr>
      <w:bookmarkEnd w:id="886"/>
      <w:r>
        <w:rPr>
          <w:rFonts w:ascii="IRNazanin" w:hAnsi="IRNazanin" w:eastAsia="IRNazanin"/>
          <w:color w:val="111111"/>
          <w:sz w:val="28"/>
          <w:sz w:val="28"/>
          <w:szCs w:val="28"/>
          <w:rtl w:val="true"/>
          <w:lang w:bidi="fa-IR"/>
        </w:rPr>
        <w:t>و أمّا ما لا منفعة فیه أصلا مثل تحریک الید بلا جهة و لا داع، و مضغ الخشب و النبات الغیر اللذیذ، فلا حکم للعقل فیها عند الکلّ، و لهذا عنونوا العنوان بما فیه منفعة خالیة عن أمارة المضرّة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عدم حکم للعقل فیها عدم حکم بالخصوص مع قطع النظر عن کونه مجهول الحکم و إلّا فالعقل یحکم بأصالة البراءة عن التکلیف بوجوب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واضح بین أصالة البراءة و الإباحة من وجوه ستأتی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و تعیّن أن یکون النزاع فی ما فیه منفعة خالیة عن أمارة المضرّة کشمّ الورد و أکل الفاکهة</w:t>
      </w:r>
      <w:r>
        <w:rPr>
          <w:rFonts w:eastAsia="IRNazanin" w:cs="IRNazanin"/>
          <w:color w:val="111111"/>
          <w:sz w:val="28"/>
          <w:szCs w:val="28"/>
          <w:rtl w:val="true"/>
          <w:lang w:bidi="fa-IR"/>
        </w:rPr>
        <w:t>.</w:t>
      </w:r>
    </w:p>
    <w:p>
      <w:pPr>
        <w:pStyle w:val="Heading4"/>
        <w:numPr>
          <w:ilvl w:val="3"/>
          <w:numId w:val="1"/>
        </w:numPr>
        <w:rPr/>
      </w:pPr>
      <w:bookmarkStart w:id="887" w:name="__RefHeading___Toc2646970_3224264995"/>
      <w:bookmarkStart w:id="888" w:name="_Toc356"/>
      <w:bookmarkEnd w:id="887"/>
      <w:r>
        <w:rPr>
          <w:rtl w:val="true"/>
        </w:rPr>
        <w:t>[</w:t>
      </w:r>
      <w:r>
        <w:rPr>
          <w:rtl w:val="true"/>
        </w:rPr>
        <w:t>تعیین محلّ النزاع فی المسألة</w:t>
      </w:r>
      <w:r>
        <w:rPr>
          <w:rtl w:val="true"/>
        </w:rPr>
        <w:t>]</w:t>
      </w:r>
      <w:bookmarkEnd w:id="888"/>
    </w:p>
    <w:p>
      <w:pPr>
        <w:pStyle w:val="BookText"/>
        <w:rPr/>
      </w:pPr>
      <w:r>
        <w:rPr>
          <w:rFonts w:ascii="IRNazanin" w:hAnsi="IRNazanin" w:eastAsia="IRNazanin"/>
          <w:color w:val="111111"/>
          <w:sz w:val="28"/>
          <w:sz w:val="28"/>
          <w:szCs w:val="28"/>
          <w:rtl w:val="true"/>
          <w:lang w:bidi="fa-IR"/>
        </w:rPr>
        <w:t>فتبیّن ممّا ذکرنا أنّ محلّ النزاع فی المسألة من حیث المفهوم فی ما فیه منفعة خالیة عن أمارة المضرّة، کما تبیّن أنّه من حیث المصداق فی مثل شمّ الورد و أکل الفاکهة و التفرّج بالمنزهات الخضریة و المائیة و نحوها</w:t>
      </w:r>
      <w:r>
        <w:rPr>
          <w:rFonts w:eastAsia="IRNazanin" w:cs="IRNazanin"/>
          <w:color w:val="111111"/>
          <w:sz w:val="28"/>
          <w:szCs w:val="28"/>
          <w:rtl w:val="true"/>
          <w:lang w:bidi="fa-IR"/>
        </w:rPr>
        <w:t>.</w:t>
      </w:r>
    </w:p>
    <w:p>
      <w:pPr>
        <w:pStyle w:val="Heading4"/>
        <w:numPr>
          <w:ilvl w:val="3"/>
          <w:numId w:val="1"/>
        </w:numPr>
        <w:rPr/>
      </w:pPr>
      <w:bookmarkStart w:id="889" w:name="__RefHeading___Toc2646972_3224264995"/>
      <w:bookmarkStart w:id="890" w:name="_Toc357"/>
      <w:bookmarkEnd w:id="889"/>
      <w:r>
        <w:rPr>
          <w:rtl w:val="true"/>
        </w:rPr>
        <w:t>[</w:t>
      </w:r>
      <w:r>
        <w:rPr>
          <w:rtl w:val="true"/>
        </w:rPr>
        <w:t>المراد ممّا قبل الشرع فی عنوان النزاع</w:t>
      </w:r>
      <w:r>
        <w:rPr>
          <w:rtl w:val="true"/>
        </w:rPr>
        <w:t>]</w:t>
      </w:r>
      <w:bookmarkEnd w:id="890"/>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ممّا قبل الشرع فی عنوان من عنون النزاع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الأشیاء النافعة قبل الشرع علی الحظر أو الإباحة؟ لیس القبلیّة الزمانیة لأنّها إنّما توافق مذهب العامة القائلة بالفترة و جواز خلوّ الزمان عن الحجّة، و لا القبلیّة الرتبیة لأنّها إنما توافق القول بالإباحة الظاهریّة لا الواقعیة التی هی محلّ النزاع، بل المراد قبل النظر إلی دلیل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 الإغماض عن الشرع أو الاطمینان بعدم منع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یدرک العقل حکم تلک الأشیاء من الإباحة و الحظر الواقعیة لئلّا یحتاج فی حکمها إلی بیان الشرع أم لا یدرک فیحتاج إلی بیان الشرع؟ فما قبل الشرع قید احترز به فی العنوان عن الإباحة الظاهریة لا عن الإباحة الواقعیة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یکون المراد به قبل وصول الشرع عند الحاظر أو المتوقّف أو من قال بالاباحة مستندا إلی عدم أمارة الضرر، ضرورة أنّ حکم الشرع حینئذ </w:t>
      </w:r>
      <w:bookmarkStart w:id="891" w:name="pg12856_162716"/>
    </w:p>
    <w:p>
      <w:pPr>
        <w:pStyle w:val="BookText"/>
        <w:rPr/>
      </w:pPr>
      <w:bookmarkEnd w:id="891"/>
      <w:r>
        <w:rPr>
          <w:rFonts w:ascii="IRNazanin" w:hAnsi="IRNazanin" w:eastAsia="IRNazanin"/>
          <w:color w:val="111111"/>
          <w:sz w:val="28"/>
          <w:sz w:val="28"/>
          <w:szCs w:val="28"/>
          <w:rtl w:val="true"/>
          <w:lang w:bidi="fa-IR"/>
        </w:rPr>
        <w:t>وارد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الحظری، ضرورة أنّ سبب حظره عدم إذن الشارع و هو یرتفع ببیانه، و مطلقا بالنسبة إلی المتوقّف، و بالحظر بالنسبة إلی المستبیح بالاباحة الشرعیة، ضرورة أنّ مدرکه عدم الأمارة و حکم الشرع أمارة فیرتفع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الاباحة الناشئة عن الحکم العقلی القطعی المستند إلی عدم الضرر، فإن کان الدلیل الواصل من الشرع قطعیّا بحیث یرفع القطع الحاصل بعدم الضرر فهو، و إلّا فالحکم العقلی مقدّم علیه لکون الأمارات الظنیّة حجّة ما لم یقطع بخلافها</w:t>
      </w:r>
      <w:r>
        <w:rPr>
          <w:rFonts w:eastAsia="IRNazanin" w:cs="IRNazanin"/>
          <w:color w:val="111111"/>
          <w:sz w:val="28"/>
          <w:szCs w:val="28"/>
          <w:rtl w:val="true"/>
          <w:lang w:bidi="fa-IR"/>
        </w:rPr>
        <w:t>.</w:t>
      </w:r>
    </w:p>
    <w:p>
      <w:pPr>
        <w:pStyle w:val="Heading4"/>
        <w:numPr>
          <w:ilvl w:val="3"/>
          <w:numId w:val="1"/>
        </w:numPr>
        <w:rPr/>
      </w:pPr>
      <w:bookmarkStart w:id="892" w:name="__RefHeading___Toc2646974_3224264995"/>
      <w:bookmarkStart w:id="893" w:name="_Toc358"/>
      <w:bookmarkEnd w:id="892"/>
      <w:r>
        <w:rPr>
          <w:rtl w:val="true"/>
        </w:rPr>
        <w:t>[</w:t>
      </w:r>
      <w:r>
        <w:rPr>
          <w:rtl w:val="true"/>
        </w:rPr>
        <w:t>ثمرة النزاع</w:t>
      </w:r>
      <w:r>
        <w:rPr>
          <w:rtl w:val="true"/>
        </w:rPr>
        <w:t>]</w:t>
      </w:r>
      <w:bookmarkEnd w:id="893"/>
    </w:p>
    <w:p>
      <w:pPr>
        <w:pStyle w:val="BookText"/>
        <w:rPr/>
      </w:pPr>
      <w:r>
        <w:rPr>
          <w:rFonts w:ascii="IRNazanin" w:hAnsi="IRNazanin" w:eastAsia="IRNazanin"/>
          <w:color w:val="111111"/>
          <w:sz w:val="28"/>
          <w:sz w:val="28"/>
          <w:szCs w:val="28"/>
          <w:rtl w:val="true"/>
          <w:lang w:bidi="fa-IR"/>
        </w:rPr>
        <w:t>و ممّا ذکرنا فی تحریر محلّ النزاع من هذه الجهة تبیّن ثمرة النزاع و ظهورها فی احتیاج موضوع المسألة و هو کلّ ما فیه منفعة خالیة عن أمارة المضرّة إلی الحکم الشرعی بناء علی أصالة الحظر، و عدم الاحتیاج إلیه بناء علی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انّه علی تقدیر القول بأصالة الحظر إن صدر حکم شرعی علی وفقه کان تأکیدا له، و إن صدر علی خلافه کان واردا علیه مطلقا، بخلاف ذلک علی تقدیر القول بأصالة الاباحة فإنّه إن صدر علی طبقه کان تأکیدا له و إن صدر علی خلافه فإن کان الصادر عن الشرع دلیلا قطعیّا رافعا للقطع الحاصل بعدم الضرر کان واردا علیه، و إلّا فالحکم العقلی بالاباحة مقدّم علیه لکون الأمارات الظنّیّة حجّة ما لم یقطع بخلافها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کلّه فی تحریر محلّ النزاع و بیان ثمرة الأقوال فی المسألة</w:t>
      </w:r>
      <w:r>
        <w:rPr>
          <w:rFonts w:eastAsia="IRNazanin" w:cs="IRNazanin"/>
          <w:color w:val="111111"/>
          <w:sz w:val="28"/>
          <w:szCs w:val="28"/>
          <w:rtl w:val="true"/>
          <w:lang w:bidi="fa-IR"/>
        </w:rPr>
        <w:t>.</w:t>
      </w:r>
    </w:p>
    <w:p>
      <w:pPr>
        <w:pStyle w:val="Heading4"/>
        <w:numPr>
          <w:ilvl w:val="3"/>
          <w:numId w:val="1"/>
        </w:numPr>
        <w:rPr/>
      </w:pPr>
      <w:bookmarkStart w:id="894" w:name="__RefHeading___Toc2646976_3224264995"/>
      <w:bookmarkStart w:id="895" w:name="_Toc359"/>
      <w:bookmarkEnd w:id="894"/>
      <w:r>
        <w:rPr>
          <w:rtl w:val="true"/>
        </w:rPr>
        <w:t>[</w:t>
      </w:r>
      <w:r>
        <w:rPr>
          <w:rtl w:val="true"/>
        </w:rPr>
        <w:t>تأسیس الأصل فی المسألة عند الشکّ فی حکمها</w:t>
      </w:r>
      <w:r>
        <w:rPr>
          <w:rtl w:val="true"/>
        </w:rPr>
        <w:t>]</w:t>
      </w:r>
      <w:bookmarkEnd w:id="8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تأسیس الأصل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الشکّ فی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الحظر أو الاباحة عند عدم تأدیة الاجتهاد إلی ترجیح شی‌ء منهما؟ أو فرضنا الشکّ فی موضوعها هل هو ممّا لیس فیه حسن و لا قبح أم ممّا فیه؟ أو علمنا </w:t>
      </w:r>
    </w:p>
    <w:p>
      <w:pPr>
        <w:pStyle w:val="BookText"/>
        <w:rPr/>
      </w:pPr>
      <w:r>
        <w:rPr>
          <w:rFonts w:ascii="IRNazanin" w:hAnsi="IRNazanin" w:eastAsia="IRNazanin"/>
          <w:color w:val="111111"/>
          <w:sz w:val="28"/>
          <w:sz w:val="28"/>
          <w:szCs w:val="28"/>
          <w:rtl w:val="true"/>
          <w:lang w:bidi="fa-IR"/>
        </w:rPr>
        <w:t>ذلک و لکن شککنا فی أنّه هل هو ممّا فیه منفعة أم لا؟ أو علمنا ذلک أیضا و لکن شککنا فی أنّه هل هو خال عن أمارة المضرّة أم لا؟</w:t>
      </w:r>
    </w:p>
    <w:p>
      <w:pPr>
        <w:pStyle w:val="BookText"/>
        <w:rPr/>
      </w:pPr>
      <w:r>
        <w:rPr>
          <w:rFonts w:ascii="IRNazanin" w:hAnsi="IRNazanin" w:eastAsia="IRNazanin"/>
          <w:color w:val="111111"/>
          <w:sz w:val="28"/>
          <w:sz w:val="28"/>
          <w:szCs w:val="28"/>
          <w:rtl w:val="true"/>
          <w:lang w:bidi="fa-IR"/>
        </w:rPr>
        <w:t>فتفصیله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صورة فرض الشکّ فی أنّ حکم ما فیه منفعة خالیة عن أمارة المضرّة هل هو الحظر أو الإباحة؟ فعن الفصول</w:t>
      </w:r>
      <w:r>
        <w:rPr>
          <w:rStyle w:val="FootnoteAnchor"/>
          <w:rtl w:val="true"/>
        </w:rPr>
        <w:footnoteReference w:id="273"/>
      </w:r>
      <w:r>
        <w:rPr>
          <w:rFonts w:ascii="IRNazanin" w:hAnsi="IRNazanin" w:eastAsia="IRNazanin"/>
          <w:color w:val="111111"/>
          <w:sz w:val="28"/>
          <w:sz w:val="28"/>
          <w:szCs w:val="28"/>
          <w:rtl w:val="true"/>
          <w:lang w:bidi="fa-IR"/>
        </w:rPr>
        <w:t>اختیار الإباحة فیها، و عن القوانین</w:t>
      </w:r>
      <w:r>
        <w:rPr>
          <w:rStyle w:val="FootnoteAnchor"/>
          <w:rtl w:val="true"/>
        </w:rPr>
        <w:footnoteReference w:id="274"/>
      </w:r>
      <w:r>
        <w:rPr>
          <w:rFonts w:ascii="IRNazanin" w:hAnsi="IRNazanin" w:eastAsia="IRNazanin"/>
          <w:color w:val="111111"/>
          <w:sz w:val="28"/>
          <w:sz w:val="28"/>
          <w:szCs w:val="28"/>
          <w:rtl w:val="true"/>
          <w:lang w:bidi="fa-IR"/>
        </w:rPr>
        <w:t>اختیار الحظر فیها، حیث قال فی مقام الفرق بین القول بالحظر 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یکفّان، أما الأول فلأجل الحرمة، و أمّا الثانی فلخوف الوقوع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عدم الخلاف بینهما، و أن القائل منهما بالحظر إنّما یقول به بالنسبة إلی الحکم الواقعی العقلی کما یومی إلیه استناده الکفّ إلی خوف الوقوع فی الحرام، و قاعدة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منهما بالاباحة إنّما یقول بها بالنسبة إلی الحکم الظاهری الشرعی و ذلک لأنّ المسألة من جزئیات الشبهة الحکمیة التحریمیة المختصّ فیها المخالف بالأخباریة لاتّفاق الأصولیة فیها علی البراءة و الاباحة الظاهریة بقبح العقاب بلا بیان، و عموم حدیث الرفع</w:t>
      </w:r>
      <w:r>
        <w:rPr>
          <w:rStyle w:val="FootnoteAnchor"/>
          <w:rtl w:val="true"/>
        </w:rPr>
        <w:footnoteReference w:id="275"/>
      </w:r>
      <w:r>
        <w:rPr>
          <w:rFonts w:ascii="IRNazanin" w:hAnsi="IRNazanin" w:eastAsia="IRNazanin"/>
          <w:color w:val="111111"/>
          <w:sz w:val="28"/>
          <w:sz w:val="28"/>
          <w:szCs w:val="28"/>
          <w:rtl w:val="true"/>
          <w:lang w:bidi="fa-IR"/>
        </w:rPr>
        <w:t>، و الوضع</w:t>
      </w:r>
      <w:r>
        <w:rPr>
          <w:rStyle w:val="FootnoteAnchor"/>
          <w:rtl w:val="true"/>
        </w:rPr>
        <w:footnoteReference w:id="276"/>
      </w:r>
      <w:r>
        <w:rPr>
          <w:rFonts w:ascii="IRNazanin" w:hAnsi="IRNazanin" w:eastAsia="IRNazanin"/>
          <w:color w:val="111111"/>
          <w:sz w:val="28"/>
          <w:sz w:val="28"/>
          <w:szCs w:val="28"/>
          <w:rtl w:val="true"/>
          <w:lang w:bidi="fa-IR"/>
        </w:rPr>
        <w:t>، و الاطلاق</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 غایة هذه الوجوه إنّما هو ثبوت البراءة لا الاباحة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تلک الوجوه ما یدل علی الاباحة بالمطابقة کقوله</w:t>
      </w:r>
      <w:r>
        <w:rPr>
          <w:rFonts w:eastAsia="IRNazanin" w:cs="IRNazanin"/>
          <w:color w:val="111111"/>
          <w:sz w:val="28"/>
          <w:szCs w:val="28"/>
          <w:rtl w:val="true"/>
          <w:lang w:bidi="fa-IR"/>
        </w:rPr>
        <w:t xml:space="preserve">: </w:t>
      </w:r>
      <w:bookmarkStart w:id="896" w:name="pg12856_162718"/>
    </w:p>
    <w:p>
      <w:pPr>
        <w:pStyle w:val="BookText"/>
        <w:rPr/>
      </w:pPr>
      <w:bookmarkEnd w:id="8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 دلالة شی‌ء منها علی الاباحة لکن مجرّد دلالتها علی البراءة یستلزم دلالتها علی الاباحة بضمیمة امتناع خلاء الواقعة عن حکم عندنا</w:t>
      </w:r>
      <w:r>
        <w:rPr>
          <w:rFonts w:eastAsia="IRNazanin" w:cs="IRNazanin"/>
          <w:color w:val="111111"/>
          <w:sz w:val="28"/>
          <w:szCs w:val="28"/>
          <w:rtl w:val="true"/>
          <w:lang w:bidi="fa-IR"/>
        </w:rPr>
        <w:t>.</w:t>
      </w:r>
    </w:p>
    <w:p>
      <w:pPr>
        <w:pStyle w:val="Heading4"/>
        <w:numPr>
          <w:ilvl w:val="3"/>
          <w:numId w:val="1"/>
        </w:numPr>
        <w:rPr/>
      </w:pPr>
      <w:bookmarkStart w:id="897" w:name="__RefHeading___Toc2646978_3224264995"/>
      <w:bookmarkStart w:id="898" w:name="_Toc360"/>
      <w:bookmarkEnd w:id="897"/>
      <w:r>
        <w:rPr>
          <w:rtl w:val="true"/>
        </w:rPr>
        <w:t>[</w:t>
      </w:r>
      <w:r>
        <w:rPr>
          <w:rtl w:val="true"/>
        </w:rPr>
        <w:t>امتناع خلاء الواقعة عن حکم</w:t>
      </w:r>
      <w:r>
        <w:rPr>
          <w:rtl w:val="true"/>
        </w:rPr>
        <w:t>]</w:t>
      </w:r>
      <w:bookmarkEnd w:id="898"/>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 خلاء الواقعة عن حکم، علی القول به، إنّما یقتضی عدم خلوّ مورد البراءة عن حکم ما فی الواقع لا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عدم خلوّه عن حکم ما فی الواقع یستلزم عدم خلوّه عنه أیضا فی الظاهر لا محالة لعدم انفکاک الواقع عن الظاهر، و إن انفکّ الظاهر عن الواقع، و بعد انتفاء ما عدا الاباحة عن مورد البراءة فی مرحلة الظاهر یتعیّن ذلک الحکم الواقعی الکلّی فی الاباحة الظاهریة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حال الأصل عند فرض الشکّ فی حکم المسألة</w:t>
      </w:r>
      <w:r>
        <w:rPr>
          <w:rFonts w:eastAsia="IRNazanin" w:cs="IRNazanin"/>
          <w:color w:val="111111"/>
          <w:sz w:val="28"/>
          <w:szCs w:val="28"/>
          <w:rtl w:val="true"/>
          <w:lang w:bidi="fa-IR"/>
        </w:rPr>
        <w:t>.</w:t>
      </w:r>
    </w:p>
    <w:p>
      <w:pPr>
        <w:pStyle w:val="Heading4"/>
        <w:numPr>
          <w:ilvl w:val="3"/>
          <w:numId w:val="1"/>
        </w:numPr>
        <w:rPr/>
      </w:pPr>
      <w:bookmarkStart w:id="899" w:name="__RefHeading___Toc2646980_3224264995"/>
      <w:bookmarkStart w:id="900" w:name="_Toc361"/>
      <w:bookmarkEnd w:id="899"/>
      <w:r>
        <w:rPr>
          <w:rtl w:val="true"/>
        </w:rPr>
        <w:t>[</w:t>
      </w:r>
      <w:r>
        <w:rPr>
          <w:rtl w:val="true"/>
        </w:rPr>
        <w:t>تأسیس الأصل فی المسألة عند الشکّ فی موضوعها</w:t>
      </w:r>
      <w:r>
        <w:rPr>
          <w:rtl w:val="true"/>
        </w:rPr>
        <w:t>]</w:t>
      </w:r>
      <w:bookmarkEnd w:id="900"/>
    </w:p>
    <w:p>
      <w:pPr>
        <w:pStyle w:val="BookText"/>
        <w:rPr/>
      </w:pPr>
      <w:r>
        <w:rPr>
          <w:rFonts w:ascii="IRNazanin" w:hAnsi="IRNazanin" w:eastAsia="IRNazanin"/>
          <w:color w:val="111111"/>
          <w:sz w:val="28"/>
          <w:sz w:val="28"/>
          <w:szCs w:val="28"/>
          <w:rtl w:val="true"/>
          <w:lang w:bidi="fa-IR"/>
        </w:rPr>
        <w:t>و أمّا الأصل عند فرض الشکّ فی موضوعها هل هو ممّا لا یدرک العقل حسنها و لا قبحها، أم ممّا یدرک؟ أو هل هو ممّا فیه منفعة، أم لا؟ أو هل هو خال عن أمارة المضرّة أم لا؟</w:t>
      </w:r>
    </w:p>
    <w:p>
      <w:pPr>
        <w:pStyle w:val="BookText"/>
        <w:rPr/>
      </w:pPr>
      <w:r>
        <w:rPr>
          <w:rFonts w:ascii="IRNazanin" w:hAnsi="IRNazanin" w:eastAsia="IRNazanin"/>
          <w:color w:val="111111"/>
          <w:sz w:val="28"/>
          <w:sz w:val="28"/>
          <w:szCs w:val="28"/>
          <w:rtl w:val="true"/>
          <w:lang w:bidi="fa-IR"/>
        </w:rPr>
        <w:t>فهو کالأصل فی السابق من الإباحة الظاهریة بل هی فی المسألة وفاقیة، و إن کانت فی السابقة خلافیة لأن هذه المسألة من جزئیّات الشبهة الموضوعیة المتّفق فیها الأخباریة و الأصولیة علی مجری الإباحة الظاهریة، بخلاف المسألة السابقة، بل قد نقل عن بعض الإباحة الواقعیة فی المسألة، و لکنّه علی تقدیر صحّة القول به إفراط، کما أن القول بالحظر فیها و عدم الاباحة الظاهریة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تأسیس الأصل فی المسألة لمن شک فی حکمها أو فی تحقّق موضوعها</w:t>
      </w:r>
      <w:r>
        <w:rPr>
          <w:rFonts w:eastAsia="IRNazanin" w:cs="IRNazanin"/>
          <w:color w:val="111111"/>
          <w:sz w:val="28"/>
          <w:szCs w:val="28"/>
          <w:rtl w:val="true"/>
          <w:lang w:bidi="fa-IR"/>
        </w:rPr>
        <w:t>.</w:t>
      </w:r>
    </w:p>
    <w:p>
      <w:pPr>
        <w:pStyle w:val="Heading4"/>
        <w:numPr>
          <w:ilvl w:val="3"/>
          <w:numId w:val="1"/>
        </w:numPr>
        <w:rPr/>
      </w:pPr>
      <w:bookmarkStart w:id="901" w:name="__RefHeading___Toc2646982_3224264995"/>
      <w:bookmarkStart w:id="902" w:name="_Toc362"/>
      <w:bookmarkEnd w:id="901"/>
      <w:r>
        <w:rPr>
          <w:rtl w:val="true"/>
        </w:rPr>
        <w:t>[</w:t>
      </w:r>
      <w:r>
        <w:rPr>
          <w:rtl w:val="true"/>
        </w:rPr>
        <w:t>تحقیق الحقّ فی المسألة</w:t>
      </w:r>
      <w:r>
        <w:rPr>
          <w:rtl w:val="true"/>
        </w:rPr>
        <w:t>]</w:t>
      </w:r>
      <w:bookmarkEnd w:id="9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تحقیق الحقّ فیها و الترجیح بین أقوالها فالحق الإباحة الواقعیة </w:t>
      </w:r>
      <w:bookmarkStart w:id="903" w:name="pg12856_162719"/>
    </w:p>
    <w:p>
      <w:pPr>
        <w:pStyle w:val="BookText"/>
        <w:rPr/>
      </w:pPr>
      <w:bookmarkEnd w:id="903"/>
      <w:r>
        <w:rPr>
          <w:rFonts w:ascii="Amiri" w:hAnsi="Amiri" w:eastAsia="Amiri" w:cs="Amiri"/>
          <w:color w:val="111111"/>
          <w:sz w:val="28"/>
          <w:sz w:val="28"/>
          <w:szCs w:val="28"/>
          <w:rtl w:val="true"/>
          <w:lang w:bidi="ar-SA"/>
        </w:rPr>
        <w:t>فی ما کلّ ما</w:t>
      </w:r>
      <w:r>
        <w:rPr>
          <w:rStyle w:val="FootnoteAnchor"/>
          <w:rtl w:val="true"/>
        </w:rPr>
        <w:footnoteReference w:id="279"/>
      </w:r>
      <w:r>
        <w:rPr>
          <w:rFonts w:ascii="IRNazanin" w:hAnsi="IRNazanin" w:eastAsia="IRNazanin"/>
          <w:color w:val="111111"/>
          <w:sz w:val="28"/>
          <w:sz w:val="28"/>
          <w:szCs w:val="28"/>
          <w:rtl w:val="true"/>
          <w:lang w:bidi="fa-IR"/>
        </w:rPr>
        <w:t>فیه منفعة خالیة عن أمارة المضرّة، لأنّ الإذن من اللّه تعالی فیه معلوم بشاهد حال و نحوه، لأن عدم الإذن منه فی فعل شی‌ء مع احتیاجنا إلیه فی الجملة، و عدم تضرّره به بوجه من الوجوه، و غنائه تعالی عنه من جمیع الوجوه یشبه بالبخل الّذی هو من أرذل الملکات التی لا یرضی بنسبته إلیه احد دانی فضلا عن عالی، فضلا عمّن هو أعلی و تعالی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بعدم الأمارة أن لا یکون هناک شی‌ء یکون احتمال الضرر معه عقلائیّا، و لیس المراد به الأمارات المعتبرة کالخبر الصحیح، أو ما هو فی حکم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الحکم معه قطعی أو ظنّی؟ الأصحّ الأوّل لأن هذا الاحتمال و إن کان موجودا و هو ینافی کون الحکم قطعیا إلا انّ عدم الاعتداد به قطعی، و هذا هو الوجه فی تسمیة الاطمینان علما لأن احتمال الخلاف ممّا لا یعتنی به عند العقلاء</w:t>
      </w:r>
      <w:r>
        <w:rPr>
          <w:rFonts w:eastAsia="IRNazanin" w:cs="IRNazanin"/>
          <w:color w:val="111111"/>
          <w:sz w:val="28"/>
          <w:szCs w:val="28"/>
          <w:rtl w:val="true"/>
          <w:lang w:bidi="fa-IR"/>
        </w:rPr>
        <w:t>.</w:t>
      </w:r>
    </w:p>
    <w:p>
      <w:pPr>
        <w:pStyle w:val="Heading4"/>
        <w:numPr>
          <w:ilvl w:val="3"/>
          <w:numId w:val="1"/>
        </w:numPr>
        <w:rPr/>
      </w:pPr>
      <w:bookmarkStart w:id="904" w:name="__RefHeading___Toc2646984_3224264995"/>
      <w:bookmarkStart w:id="905" w:name="_Toc363"/>
      <w:bookmarkEnd w:id="904"/>
      <w:r>
        <w:rPr>
          <w:rtl w:val="true"/>
        </w:rPr>
        <w:t>[</w:t>
      </w:r>
      <w:r>
        <w:rPr>
          <w:rtl w:val="true"/>
        </w:rPr>
        <w:t>کفایة فتوی الفقیه الواحد فی احتمال المضرّة</w:t>
      </w:r>
      <w:r>
        <w:rPr>
          <w:rtl w:val="true"/>
        </w:rPr>
        <w:t>]</w:t>
      </w:r>
      <w:bookmarkEnd w:id="905"/>
    </w:p>
    <w:p>
      <w:pPr>
        <w:pStyle w:val="BookText"/>
        <w:rPr/>
      </w:pPr>
      <w:r>
        <w:rPr>
          <w:rFonts w:ascii="IRNazanin" w:hAnsi="IRNazanin" w:eastAsia="IRNazanin"/>
          <w:color w:val="111111"/>
          <w:sz w:val="28"/>
          <w:sz w:val="28"/>
          <w:szCs w:val="28"/>
          <w:rtl w:val="true"/>
          <w:lang w:bidi="fa-IR"/>
        </w:rPr>
        <w:t>و من هنا ظهر أنّه یکفی فی أمارة المضرّة فتوی الفقیه الواحد لکون احتمال المضرّة معه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الحکم بالاباحة فی مثل زماننا بمجرّد عدم الدلیل علی الحکم مشکل لوجود المفتی بخلافه، إلّا أن یقال بأنّ وجود الفتوی المعلوم استناده إلی ما لا سند فیه قطعا بمنزلة العدم عند العقل و العقلاء، أو یستند فی الحکم بالاباحة إلی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یفید الاباحة الظاهریة لا الواقعیة</w:t>
      </w:r>
      <w:r>
        <w:rPr>
          <w:rFonts w:eastAsia="IRNazanin" w:cs="IRNazanin"/>
          <w:color w:val="111111"/>
          <w:sz w:val="28"/>
          <w:szCs w:val="28"/>
          <w:rtl w:val="true"/>
          <w:lang w:bidi="fa-IR"/>
        </w:rPr>
        <w:t>.</w:t>
      </w:r>
    </w:p>
    <w:p>
      <w:pPr>
        <w:pStyle w:val="Heading4"/>
        <w:numPr>
          <w:ilvl w:val="3"/>
          <w:numId w:val="1"/>
        </w:numPr>
        <w:rPr/>
      </w:pPr>
      <w:bookmarkStart w:id="906" w:name="__RefHeading___Toc2646986_3224264995"/>
      <w:bookmarkStart w:id="907" w:name="_Toc364"/>
      <w:bookmarkEnd w:id="906"/>
      <w:r>
        <w:rPr>
          <w:rtl w:val="true"/>
        </w:rPr>
        <w:t>[</w:t>
      </w:r>
      <w:r>
        <w:rPr>
          <w:rtl w:val="true"/>
        </w:rPr>
        <w:t>عدم الفرق بین هذا الزمان و قبل البعثة من حیث حکم العقل بالاباحة فی المسألة</w:t>
      </w:r>
      <w:r>
        <w:rPr>
          <w:rtl w:val="true"/>
        </w:rPr>
        <w:t>]</w:t>
      </w:r>
      <w:bookmarkEnd w:id="90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فی ما ذکرنا من حکم العقل بالاباحة فی موردها بین </w:t>
      </w:r>
      <w:bookmarkStart w:id="908" w:name="pg12856_162720"/>
    </w:p>
    <w:p>
      <w:pPr>
        <w:pStyle w:val="BookText"/>
        <w:rPr/>
      </w:pPr>
      <w:bookmarkEnd w:id="908"/>
      <w:r>
        <w:rPr>
          <w:rFonts w:ascii="IRNazanin" w:hAnsi="IRNazanin" w:eastAsia="IRNazanin"/>
          <w:color w:val="111111"/>
          <w:sz w:val="28"/>
          <w:sz w:val="28"/>
          <w:szCs w:val="28"/>
          <w:rtl w:val="true"/>
          <w:lang w:bidi="fa-IR"/>
        </w:rPr>
        <w:t>هذا الزمان و زمان قبل البعثة بل و زمان قبل الشرع نعم یتفاوت الأزمان بحسب طروّ الاحتمالات و عدمه، فإنّ بعد البعثة و العلم بأنّ أکثر ما حکم العقل فیها بالاباحة قد حکم الشرع بحرمتها، و هو یکشف عن وجود مفسدة کامنة لم یعلم بها العقل قد یضعف حکمه فی إحراز الصغری و العلم بخلوّ المورد عن الضرر، و یقلّ جدوی الأصل و منفعته بعد البعثة</w:t>
      </w:r>
      <w:r>
        <w:rPr>
          <w:rFonts w:eastAsia="IRNazanin" w:cs="IRNazanin"/>
          <w:color w:val="111111"/>
          <w:sz w:val="28"/>
          <w:szCs w:val="28"/>
          <w:rtl w:val="true"/>
          <w:lang w:bidi="fa-IR"/>
        </w:rPr>
        <w:t>.</w:t>
      </w:r>
    </w:p>
    <w:p>
      <w:pPr>
        <w:pStyle w:val="Heading4"/>
        <w:numPr>
          <w:ilvl w:val="3"/>
          <w:numId w:val="1"/>
        </w:numPr>
        <w:rPr/>
      </w:pPr>
      <w:bookmarkStart w:id="909" w:name="__RefHeading___Toc2646988_3224264995"/>
      <w:bookmarkStart w:id="910" w:name="_Toc365"/>
      <w:bookmarkEnd w:id="909"/>
      <w:r>
        <w:rPr>
          <w:rtl w:val="true"/>
        </w:rPr>
        <w:t>[</w:t>
      </w:r>
      <w:r>
        <w:rPr>
          <w:rtl w:val="true"/>
        </w:rPr>
        <w:t>الفوارق بین أصل الاباحة و أصل البراءة</w:t>
      </w:r>
      <w:r>
        <w:rPr>
          <w:rtl w:val="true"/>
        </w:rPr>
        <w:t>]</w:t>
      </w:r>
      <w:bookmarkEnd w:id="91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قرّرنا الفرق بین أصل الاباحة و أصل البراءة من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الذات، و من جهة الوصف، و من جهة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الذات فلکون الاباحة بقسمیها حکم من الأحکام الخمسة و البراءة بحسب الذات نفی حکم لا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المورد فلاختصاص الإباحة الواقعیة بمورد العلم لا الشکّ، و بالشبهات التحریمیة لا الوجوبیة، و بما فیه منفعة خالیة عن أمارة المضرّة دون ما لیس فیها، بخلاف البراءة و الاباحة الظاهریة، فإنّ موردهما یختص بمورد الشکّ لا العلم و یعمّ الشبهة التحریمیة، و الوجوبیة، و الأشیاء النافعة الخالیة عن أمارة المضرّة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جهة الوصف فلأنّ کلّا من البراءة و الإباحة الشرعیة أصل من الاصول الشرعیة الجاریة فی حال الشکّ بخلاف الاباحة العقلیة فإنّها من الأدلّة الاجتهادیة الناظرة إلی الواقع و الرافعة لموضوع الشکّ سواء استندت إلی الأدلّة النقلیة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w:t>
      </w:r>
      <w:r>
        <w:rPr>
          <w:rStyle w:val="FootnoteAnchor"/>
          <w:rtl w:val="true"/>
        </w:rPr>
        <w:footnoteReference w:id="281"/>
      </w:r>
      <w:r>
        <w:rPr>
          <w:rFonts w:ascii="IRNazanin" w:hAnsi="IRNazanin" w:eastAsia="IRNazanin"/>
          <w:color w:val="111111"/>
          <w:sz w:val="28"/>
          <w:sz w:val="28"/>
          <w:szCs w:val="28"/>
          <w:rtl w:val="true"/>
          <w:lang w:bidi="fa-IR"/>
        </w:rPr>
        <w:t>أم استندت إلی مستقلّات العقل التی لا یحتاج إلی واسطة خطاب الشرع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عدّه من الفقهاء فی غیر المستقلّات حیث حصر المستقلّات فی </w:t>
      </w:r>
      <w:bookmarkStart w:id="911" w:name="pg12856_162721"/>
    </w:p>
    <w:p>
      <w:pPr>
        <w:pStyle w:val="BookText"/>
        <w:rPr/>
      </w:pPr>
      <w:bookmarkEnd w:id="911"/>
      <w:r>
        <w:rPr>
          <w:rFonts w:ascii="IRNazanin" w:hAnsi="IRNazanin" w:eastAsia="IRNazanin"/>
          <w:color w:val="111111"/>
          <w:sz w:val="28"/>
          <w:sz w:val="28"/>
          <w:szCs w:val="28"/>
          <w:rtl w:val="true"/>
          <w:lang w:bidi="fa-IR"/>
        </w:rPr>
        <w:t>أربعة من الأحکام</w:t>
      </w:r>
      <w:r>
        <w:rPr>
          <w:rStyle w:val="FootnoteAnchor"/>
          <w:rtl w:val="true"/>
        </w:rPr>
        <w:footnoteReference w:id="282"/>
      </w:r>
      <w:r>
        <w:rPr>
          <w:rFonts w:ascii="IRNazanin" w:hAnsi="IRNazanin" w:eastAsia="IRNazanin"/>
          <w:color w:val="111111"/>
          <w:sz w:val="28"/>
          <w:sz w:val="28"/>
          <w:szCs w:val="28"/>
          <w:rtl w:val="true"/>
          <w:lang w:bidi="fa-IR"/>
        </w:rPr>
        <w:t>الخمسة باخراج الاباحة منها فلعلّه من جهة بنائه علی الحظر فی موضوع ما فیه منفعة خالیة عن أمارة المضرّة، أو لعلّه من جهة بنائه علی حصر المستقلّات الوفاقیة دون الخلافیة، أو لعلّه من جهة اقتصار نظره إلی جزئیّات عنوانه الکلّی الّتی لا یستقلّ العقل بإباحتها من حیث الخصوص و إن استقلّ بإباحة عنوانها الکلّی و هو الشی‌ء النافع الخالی عن أمارة المضرّة من غیر وساطة خطاب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بیان معانی الأصل و أقسامه، و فروق الأقسام و نسبها</w:t>
      </w:r>
      <w:r>
        <w:rPr>
          <w:rFonts w:eastAsia="IRNazanin" w:cs="IRNazanin"/>
          <w:color w:val="111111"/>
          <w:sz w:val="28"/>
          <w:szCs w:val="28"/>
          <w:rtl w:val="true"/>
          <w:lang w:bidi="fa-IR"/>
        </w:rPr>
        <w:t>.</w:t>
      </w:r>
    </w:p>
    <w:p>
      <w:pPr>
        <w:pStyle w:val="Heading4"/>
        <w:numPr>
          <w:ilvl w:val="3"/>
          <w:numId w:val="1"/>
        </w:numPr>
        <w:rPr/>
      </w:pPr>
      <w:bookmarkStart w:id="912" w:name="__RefHeading___Toc2646990_3224264995"/>
      <w:bookmarkStart w:id="913" w:name="_Toc366"/>
      <w:bookmarkEnd w:id="912"/>
      <w:r>
        <w:rPr>
          <w:rtl w:val="true"/>
        </w:rPr>
        <w:t>[</w:t>
      </w:r>
      <w:r>
        <w:rPr>
          <w:rtl w:val="true"/>
        </w:rPr>
        <w:t>محلّ النزاع فی جریان البراءة و عدمه</w:t>
      </w:r>
      <w:r>
        <w:rPr>
          <w:rtl w:val="true"/>
        </w:rPr>
        <w:t>]</w:t>
      </w:r>
      <w:bookmarkEnd w:id="913"/>
    </w:p>
    <w:p>
      <w:pPr>
        <w:pStyle w:val="BookText"/>
        <w:rPr/>
      </w:pPr>
      <w:r>
        <w:rPr>
          <w:rFonts w:ascii="IRNazanin" w:hAnsi="IRNazanin" w:eastAsia="IRNazanin"/>
          <w:color w:val="111111"/>
          <w:sz w:val="28"/>
          <w:sz w:val="28"/>
          <w:szCs w:val="28"/>
          <w:rtl w:val="true"/>
          <w:lang w:bidi="fa-IR"/>
        </w:rPr>
        <w:t>و أما محلّ النزاع فمن جهات</w:t>
      </w:r>
      <w:r>
        <w:rPr>
          <w:rFonts w:eastAsia="IRNazanin" w:cs="IRNazanin"/>
          <w:color w:val="111111"/>
          <w:sz w:val="28"/>
          <w:szCs w:val="28"/>
          <w:rtl w:val="true"/>
          <w:lang w:bidi="fa-IR"/>
        </w:rPr>
        <w:t>:</w:t>
      </w:r>
    </w:p>
    <w:p>
      <w:pPr>
        <w:pStyle w:val="Heading4"/>
        <w:numPr>
          <w:ilvl w:val="3"/>
          <w:numId w:val="1"/>
        </w:numPr>
        <w:rPr/>
      </w:pPr>
      <w:bookmarkStart w:id="914" w:name="__RefHeading___Toc2646992_3224264995"/>
      <w:bookmarkStart w:id="915" w:name="_Toc367"/>
      <w:bookmarkEnd w:id="914"/>
      <w:r>
        <w:rPr>
          <w:rtl w:val="true"/>
        </w:rPr>
        <w:t>الاولی</w:t>
      </w:r>
      <w:r>
        <w:rPr>
          <w:rtl w:val="true"/>
        </w:rPr>
        <w:t>: [</w:t>
      </w:r>
      <w:r>
        <w:rPr>
          <w:rtl w:val="true"/>
        </w:rPr>
        <w:t>الموضوعات المستنبطة و الصرفة</w:t>
      </w:r>
      <w:r>
        <w:rPr>
          <w:rtl w:val="true"/>
        </w:rPr>
        <w:t>]</w:t>
      </w:r>
      <w:bookmarkEnd w:id="915"/>
    </w:p>
    <w:p>
      <w:pPr>
        <w:pStyle w:val="BookText"/>
        <w:rPr/>
      </w:pPr>
      <w:r>
        <w:rPr>
          <w:rFonts w:ascii="IRNazanin" w:hAnsi="IRNazanin" w:eastAsia="IRNazanin"/>
          <w:color w:val="111111"/>
          <w:sz w:val="28"/>
          <w:sz w:val="28"/>
          <w:szCs w:val="28"/>
          <w:rtl w:val="true"/>
          <w:lang w:bidi="fa-IR"/>
        </w:rPr>
        <w:t>أنّ محلّ النزاع إنّما هو فی الشبهات الحکمیّة و هی ما من شأن الشارع بیانها کحکم شرب التتن و نحوه، و فی الموضوعات المستنبطة، و هی المتوقّف تشخیصها علی الاستنباط بمراجعة فهم العرف و نحوه من موضوعات أحکام الشرع و عناوینها کتشخیص موضوع الغناء، هل هو مطلق الترجیع، أو الترجیع مع الطرب؟ دون الموضوعات الصرفة، و هی الموضوعات الجزئیّة الّتی یکون الباعث علی اشتباهها هو طروّ الموانع الخارجیة من ظلمة و نحوها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المرجع فی امتیازها هو رفع ذلک المانع الخارجی و زواله فإنّها خارجة عن محلّ النزاع فی المسألة بل المرجع فی تشخیصها بعنوان الجزئیة إلی زوال المانع الطارئ و بعنوان الکلیة إلی قاعدة الید و السوق و القرعة، دون البراءة، إلّا ما یتوقّف علی بیانه من الموضوعات الصرفة أحکام کلّیة کالمترتّب علی تشخیص حال الرجال و امتیاز بعضها عن بعض، و علی تشخیص حال الأخبار من جهة الصدور و العدم فإنّ الشبهة فی هذا النحو من الموضوعات الصّرفة ملحقة بالشبهات الحکمیة و الموضوعات المستنبطة فی الدخول فی محلّ النزاع فی </w:t>
      </w:r>
      <w:bookmarkStart w:id="916" w:name="pg12856_162722"/>
    </w:p>
    <w:p>
      <w:pPr>
        <w:pStyle w:val="BookText"/>
        <w:rPr/>
      </w:pPr>
      <w:bookmarkEnd w:id="916"/>
      <w:r>
        <w:rPr>
          <w:rFonts w:ascii="Amiri" w:hAnsi="Amiri" w:eastAsia="Amiri" w:cs="Amiri"/>
          <w:color w:val="111111"/>
          <w:sz w:val="28"/>
          <w:sz w:val="28"/>
          <w:szCs w:val="28"/>
          <w:rtl w:val="true"/>
          <w:lang w:bidi="ar-SA"/>
        </w:rPr>
        <w:t>مسألة البراءة</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2646994_3224264995"/>
      <w:bookmarkStart w:id="918" w:name="_Toc368"/>
      <w:bookmarkEnd w:id="917"/>
      <w:r>
        <w:rPr>
          <w:rtl w:val="true"/>
        </w:rPr>
        <w:t>[</w:t>
      </w:r>
      <w:r>
        <w:rPr>
          <w:rtl w:val="true"/>
        </w:rPr>
        <w:t>الثانیة</w:t>
      </w:r>
      <w:r>
        <w:rPr>
          <w:rtl w:val="true"/>
        </w:rPr>
        <w:t xml:space="preserve">: </w:t>
      </w:r>
      <w:r>
        <w:rPr>
          <w:rtl w:val="true"/>
        </w:rPr>
        <w:t>محلّ النزاع فی مجری البراءة أو الاشتغال</w:t>
      </w:r>
      <w:r>
        <w:rPr>
          <w:rtl w:val="true"/>
        </w:rPr>
        <w:t>]</w:t>
      </w:r>
      <w:bookmarkEnd w:id="91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مجری البراءة أو الاشتغال، هل یختص بمشکوک الوجوب و الحرمة دون الندب و الکراهة أم یعمّهما؟ قولان ذهب إلی الاختصاص صاحب القوانین</w:t>
      </w:r>
      <w:r>
        <w:rPr>
          <w:rStyle w:val="FootnoteAnchor"/>
          <w:rtl w:val="true"/>
        </w:rPr>
        <w:footnoteReference w:id="283"/>
      </w:r>
      <w:r>
        <w:rPr>
          <w:rFonts w:ascii="IRNazanin" w:hAnsi="IRNazanin" w:eastAsia="IRNazanin"/>
          <w:color w:val="111111"/>
          <w:sz w:val="28"/>
          <w:sz w:val="28"/>
          <w:szCs w:val="28"/>
          <w:rtl w:val="true"/>
          <w:lang w:bidi="fa-IR"/>
        </w:rPr>
        <w:t>مستندا إلی أنّ المراد البراءة من التکلیف و لا یطلق التکلیف علی ما عدا الوجوب و الحرمة نظرا إلی أنّ التکلیف مأخوذ من الکلفة و المشقّة الغیر الصادقة علی غیرهما ممّا أذن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الفصول</w:t>
      </w:r>
      <w:r>
        <w:rPr>
          <w:rStyle w:val="FootnoteAnchor"/>
          <w:rtl w:val="true"/>
        </w:rPr>
        <w:footnoteReference w:id="284"/>
      </w:r>
      <w:r>
        <w:rPr>
          <w:rFonts w:ascii="IRNazanin" w:hAnsi="IRNazanin" w:eastAsia="IRNazanin"/>
          <w:color w:val="111111"/>
          <w:sz w:val="28"/>
          <w:sz w:val="28"/>
          <w:szCs w:val="28"/>
          <w:rtl w:val="true"/>
          <w:lang w:bidi="fa-IR"/>
        </w:rPr>
        <w:t>بأنّ ذلک معنی التکلیف لغة، و أما فی الاصطلاح فهو الأعم من ذلک قطعا لتناوله الوجوب و الحرمة بأنواعهما قولا واحدا، و من الواضح أنّه لا کلفة فیهما و کان المتداول فی کلامهم استعمال أصل البراءة فی نفی الوجوب، و أصل الاباحة فی نفی التحریم و الکراهة، و التعمیم أولی بالمقام لصلوح اللفظ له بالمعنی الّذی ذکرناه مع اشتراک الجمیع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الأحکام الأربعة کلّها مخالفة للأصل و إن کان مخالفة الوجوب و الحرمة له باعتبارین و مخالفة الندب و الکراهة له باعتبار واحد، و لهذا یرجّح الندب علی الوجوب و الکراهة علی التحریم عند دوران الأمر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ضعّفه الأستاذ العلامة منتصرا لصاحب القوانین، بأنّ المنفی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w:t>
      </w:r>
      <w:r>
        <w:rPr>
          <w:rStyle w:val="FootnoteAnchor"/>
          <w:rtl w:val="true"/>
        </w:rPr>
        <w:footnoteReference w:id="285"/>
      </w:r>
      <w:r>
        <w:rPr>
          <w:rFonts w:ascii="Amiri" w:hAnsi="Amiri" w:eastAsia="Amiri" w:cs="Amiri"/>
          <w:color w:val="111111"/>
          <w:sz w:val="28"/>
          <w:sz w:val="28"/>
          <w:szCs w:val="28"/>
          <w:rtl w:val="true"/>
          <w:lang w:bidi="ar-SA"/>
        </w:rPr>
        <w:t>و إِلَّا وُسْعَها</w:t>
      </w:r>
      <w:r>
        <w:rPr>
          <w:rStyle w:val="FootnoteAnchor"/>
          <w:rtl w:val="true"/>
        </w:rPr>
        <w:footnoteReference w:id="286"/>
      </w:r>
      <w:r>
        <w:rPr>
          <w:rFonts w:ascii="IRNazanin" w:hAnsi="IRNazanin" w:eastAsia="IRNazanin"/>
          <w:color w:val="111111"/>
          <w:sz w:val="28"/>
          <w:sz w:val="28"/>
          <w:szCs w:val="28"/>
          <w:rtl w:val="true"/>
          <w:lang w:bidi="fa-IR"/>
        </w:rPr>
        <w:t>إنّما هو التکلیف اللغوی الخاص بکلفة الوجوب و الحرمة لا التکلیف الاصطلاحی العام لهما و للندب و الکراهة، ضرورة تأخّر ذلک الاصطلاح عن حال الخطاب فلا یحمل علیه ذلک الخطاب، و بأنّ سائر أدلّة البراءة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فی سعة ما لا </w:t>
      </w:r>
      <w:bookmarkStart w:id="919" w:name="pg12856_162723"/>
    </w:p>
    <w:p>
      <w:pPr>
        <w:pStyle w:val="BookText"/>
        <w:rPr/>
      </w:pPr>
      <w:bookmarkEnd w:id="919"/>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عنه فهو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کانت بحسب الاطلاق تعمّ الأحکام الأربعة إلّا أنّ منصرفها خصوص نفی الوجوب و الحرمة دون أخویها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اعترضت علیه دام ظلّه أوّلا بأن فی أدلّة البراءة عمومات لا تقبل الانصراف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بأن انصراف إطلاق مطلقاتها ممّا لا سبب له فی المقام فلا وجه للتخصیص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قبل الاعتراض إذ لم یقنعنی بجواب، و هو الصواب کما لا یخفی علی أولی الألباب</w:t>
      </w:r>
      <w:r>
        <w:rPr>
          <w:rFonts w:eastAsia="IRNazanin" w:cs="IRNazanin"/>
          <w:color w:val="111111"/>
          <w:sz w:val="28"/>
          <w:szCs w:val="28"/>
          <w:rtl w:val="true"/>
          <w:lang w:bidi="fa-IR"/>
        </w:rPr>
        <w:t>.</w:t>
      </w:r>
    </w:p>
    <w:p>
      <w:pPr>
        <w:pStyle w:val="Heading4"/>
        <w:numPr>
          <w:ilvl w:val="3"/>
          <w:numId w:val="1"/>
        </w:numPr>
        <w:rPr/>
      </w:pPr>
      <w:bookmarkStart w:id="920" w:name="__RefHeading___Toc2646996_3224264995"/>
      <w:bookmarkStart w:id="921" w:name="_Toc369"/>
      <w:bookmarkEnd w:id="920"/>
      <w:r>
        <w:rPr>
          <w:rtl w:val="true"/>
        </w:rPr>
        <w:t>[</w:t>
      </w:r>
      <w:r>
        <w:rPr>
          <w:rtl w:val="true"/>
        </w:rPr>
        <w:t>الشکّ فی الوجوب و الحرمة بعد العلم الاجمالی بأحدهما</w:t>
      </w:r>
      <w:r>
        <w:rPr>
          <w:rtl w:val="true"/>
        </w:rPr>
        <w:t>]</w:t>
      </w:r>
      <w:bookmarkEnd w:id="92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الوجوب و الحرمة بعد العلم الاجمالی بأحدهما هل هو من أقسام الشکّ فی التکلیف اصطلاحا أم من أقسام الشکّ فی المکلّف به؟</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أصحّهما الأوّل و هو مبنیّ علی بیان مطلب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اصطلحوا علی أنّ المراد من الأحکام التکلیفیة هی الأحکام الخمسة المعروفة من الوجوب و الحرمة و الندب و الکراهة و الاباحة فی مقابل الأحکام الوضعیّة المنتهیة إلی السببیّة و الشرطیّة و المانعیّة، أو إلی أزید، أو إلی ما لا نهایة له علی الخلاف فیه، و فی کونها منتزعة عن التکلیفیة أو مجعولة بجعل علی حدة، فالإباحة أیضا فی اصطلاحهم من الأحکام التکلیفیة و إن لم یکن فیها تکلّف بل و لا طلب إلّا من باب التغلیب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فاصطلاحهم جار علی أنّ المراد من الحکم التکلیفی هو کلّ من </w:t>
      </w:r>
      <w:bookmarkStart w:id="922" w:name="pg12856_162724"/>
    </w:p>
    <w:p>
      <w:pPr>
        <w:pStyle w:val="BookText"/>
        <w:rPr/>
      </w:pPr>
      <w:bookmarkEnd w:id="922"/>
      <w:r>
        <w:rPr>
          <w:rFonts w:ascii="IRNazanin" w:hAnsi="IRNazanin" w:eastAsia="IRNazanin"/>
          <w:color w:val="111111"/>
          <w:sz w:val="28"/>
          <w:sz w:val="28"/>
          <w:szCs w:val="28"/>
          <w:rtl w:val="true"/>
          <w:lang w:bidi="fa-IR"/>
        </w:rPr>
        <w:t>الأحکام الخمسة لکن لا مطلقا و لو کان جنسا مجرّدا عن أحد فصولها الخمسة کمطلق الطلب و الإلزام الدائر بین کونه فی ضمن الوجوب أو الحرمة فإنّ ذلک لا یسمّی فی اصطلاحهم حکما تکلیفیا، بل المراد من الحکم التکلیفی فی اصطلاحهم هو الحکم الخاص المرکّب من مجموع الجنس و الفصل، کما أنّ المراد من الحکم الوضعی أیضا هو الحکم الخاص المرکّب من مجموع الجنس و الفصل دون الجنس المجرّد عن أحد الفصول کالتوقّف الدائر بین کونه فی ضمن السببیّة أو غیرها فإنّه أیضا لا یسمّی فی اصطلاحهم حکما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ممّا ذکرنا أنّ الشکّ فی الوجوب و الحرمة إنما هو من أقسام الشکّ فی التکلیف اصطلاحا لا من أقسام الشکّ فی المکلّف به بواسطة مجرّد إحراز جنس الإلزام الدائر کونه فی ضمن الوجوب أو الحرمة، لما عرفت من خروج تسمیة الإلزام المجرّد تکلیفا عن الاصطلاح، و إن کان تکلیفا لغویا، و علی ذلک</w:t>
      </w:r>
    </w:p>
    <w:p>
      <w:pPr>
        <w:pStyle w:val="Heading4"/>
        <w:numPr>
          <w:ilvl w:val="3"/>
          <w:numId w:val="1"/>
        </w:numPr>
        <w:rPr/>
      </w:pPr>
      <w:bookmarkStart w:id="923" w:name="__RefHeading___Toc2646998_3224264995"/>
      <w:bookmarkStart w:id="924" w:name="_Toc370"/>
      <w:bookmarkEnd w:id="923"/>
      <w:r>
        <w:rPr>
          <w:rtl w:val="true"/>
        </w:rPr>
        <w:t>[</w:t>
      </w:r>
      <w:r>
        <w:rPr>
          <w:rtl w:val="true"/>
        </w:rPr>
        <w:t>أقسام الشکّ فی التکلیف</w:t>
      </w:r>
      <w:r>
        <w:rPr>
          <w:rtl w:val="true"/>
        </w:rPr>
        <w:t>]</w:t>
      </w:r>
      <w:bookmarkEnd w:id="924"/>
    </w:p>
    <w:p>
      <w:pPr>
        <w:pStyle w:val="BookText"/>
        <w:rPr/>
      </w:pPr>
      <w:r>
        <w:rPr>
          <w:rFonts w:ascii="IRNazanin" w:hAnsi="IRNazanin" w:eastAsia="IRNazanin"/>
          <w:color w:val="111111"/>
          <w:sz w:val="28"/>
          <w:sz w:val="28"/>
          <w:szCs w:val="28"/>
          <w:rtl w:val="true"/>
          <w:lang w:bidi="fa-IR"/>
        </w:rPr>
        <w:t>یکون أقسام الشکّ فی التکلیف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الوجوب، و مثاله الواقعی فی الشریعة، الشکّ فی وجوب الدعاء عند رؤیة الهلال و وجوب الاستعاذة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الحرمة، و مثاله الواقعی الشکّ فی حرمة شرب التتن و القهوة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وجوب شی‌ء و حرمته بعد إحراز جنس الإلزام فیه و کون الشکّ فی وجوب فعله أو وجوب ترکه، و مثاله الواقعی صلاة المرأة فی أیّام الاستظهار فإنّه دائر بین الوجوب و الحرمة بناء علی شمول الحرمة فی اصطلاحهم للحرمة التشریعیة، و إلّا فلیس لدوران الأمر بین الوجوب و الحرمة مثال واقعی فی الشریعة سوی مجرّد الفرض، کما قیل</w:t>
      </w:r>
      <w:r>
        <w:rPr>
          <w:rFonts w:eastAsia="IRNazanin" w:cs="IRNazanin"/>
          <w:color w:val="111111"/>
          <w:sz w:val="28"/>
          <w:szCs w:val="28"/>
          <w:rtl w:val="true"/>
          <w:lang w:bidi="fa-IR"/>
        </w:rPr>
        <w:t>.</w:t>
      </w:r>
    </w:p>
    <w:p>
      <w:pPr>
        <w:pStyle w:val="Heading4"/>
        <w:numPr>
          <w:ilvl w:val="3"/>
          <w:numId w:val="1"/>
        </w:numPr>
        <w:rPr/>
      </w:pPr>
      <w:bookmarkStart w:id="925" w:name="__RefHeading___Toc2647000_3224264995"/>
      <w:bookmarkStart w:id="926" w:name="_Toc371"/>
      <w:bookmarkEnd w:id="925"/>
      <w:r>
        <w:rPr>
          <w:rtl w:val="true"/>
        </w:rPr>
        <w:t>[</w:t>
      </w:r>
      <w:r>
        <w:rPr>
          <w:rtl w:val="true"/>
        </w:rPr>
        <w:t>أقسام الشکّ فی المکلّف به</w:t>
      </w:r>
      <w:r>
        <w:rPr>
          <w:rtl w:val="true"/>
        </w:rPr>
        <w:t>]</w:t>
      </w:r>
      <w:bookmarkEnd w:id="9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أقسام الشکّ فی المکلّف به أیضا ثلاثة</w:t>
      </w:r>
      <w:r>
        <w:rPr>
          <w:rFonts w:eastAsia="IRNazanin" w:cs="IRNazanin"/>
          <w:color w:val="111111"/>
          <w:sz w:val="28"/>
          <w:szCs w:val="28"/>
          <w:rtl w:val="true"/>
          <w:lang w:bidi="fa-IR"/>
        </w:rPr>
        <w:t xml:space="preserve">: </w:t>
      </w:r>
      <w:bookmarkStart w:id="927" w:name="pg12856_162725"/>
    </w:p>
    <w:p>
      <w:pPr>
        <w:pStyle w:val="BookText"/>
        <w:rPr/>
      </w:pPr>
      <w:bookmarkEnd w:id="927"/>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امتیاز الواجب عن غیره بعد إحراز الوجوب و مثاله الواقعی الشکّ فی کون الواجب فی یوم الجمعة هو الظهر أو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امتیاز الحرام عن غیره، و مثاله الواقعی اشتباه الإناء الطاهر بالنجس، و الخمر بالخلّ، و اشتباه محلّلة الوطی من النساء بالمحرّمة أصالة أو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امتیاز الواجب عن المحرّم و مثاله الواقعی ما لو اشتبهت الزوجة الواجبة وطیها بنذر، أو مضیّ أربعة أشهر بالمحرّمة وطیها بإیلاء أو غیره، و ما لو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یوم الجمعة مثلا صلاة، و یحرم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اشتبه کون الواجب هو الظهر، و الحرام هو الجمعة 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مثال فرضی، بخلاف المثال الأوّل فإنّه واقعی</w:t>
      </w:r>
      <w:r>
        <w:rPr>
          <w:rFonts w:eastAsia="IRNazanin" w:cs="IRNazanin"/>
          <w:color w:val="111111"/>
          <w:sz w:val="28"/>
          <w:szCs w:val="28"/>
          <w:rtl w:val="true"/>
          <w:lang w:bidi="fa-IR"/>
        </w:rPr>
        <w:t>.</w:t>
      </w:r>
    </w:p>
    <w:p>
      <w:pPr>
        <w:pStyle w:val="Heading4"/>
        <w:numPr>
          <w:ilvl w:val="3"/>
          <w:numId w:val="1"/>
        </w:numPr>
        <w:rPr/>
      </w:pPr>
      <w:bookmarkStart w:id="928" w:name="__RefHeading___Toc2647002_3224264995"/>
      <w:bookmarkStart w:id="929" w:name="_Toc372"/>
      <w:bookmarkEnd w:id="928"/>
      <w:r>
        <w:rPr>
          <w:rtl w:val="true"/>
        </w:rPr>
        <w:t>[</w:t>
      </w:r>
      <w:r>
        <w:rPr>
          <w:rtl w:val="true"/>
        </w:rPr>
        <w:t>الضابط للشکّ فی التکلیف فی المکلّف به</w:t>
      </w:r>
      <w:r>
        <w:rPr>
          <w:rtl w:val="true"/>
        </w:rPr>
        <w:t>]</w:t>
      </w:r>
      <w:bookmarkEnd w:id="929"/>
    </w:p>
    <w:p>
      <w:pPr>
        <w:pStyle w:val="BookText"/>
        <w:rPr/>
      </w:pPr>
      <w:r>
        <w:rPr>
          <w:rFonts w:ascii="IRNazanin" w:hAnsi="IRNazanin" w:eastAsia="IRNazanin"/>
          <w:color w:val="111111"/>
          <w:sz w:val="28"/>
          <w:sz w:val="28"/>
          <w:szCs w:val="28"/>
          <w:rtl w:val="true"/>
          <w:lang w:bidi="fa-IR"/>
        </w:rPr>
        <w:t>و کیف کان فالجامع لأمثلة الشکّ فی التکلیف رجوع الشکّ و الدوران إلی أصل الحکم الشرعی و هو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لأمثلة الشکّ فی المکلّف به رجوع الشکّ و الدوران إلی تشخیص الموضوع المحکوم علیه و هو المسند إلیه، فلا تغفل فإنّ ذلک مائز حائز لا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ذکرت من عدّ الشکّ فی الوجوب و الحرمة من أقسام الشکّ فی التکلیف لا الشکّ فی المکلّف به هو الالتزام فیه بمجری البراءة لا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نمنع الملازمة لأنّا فی صدد التنبیه علی تشخیص موضوع الشکّ فی التکلیف علی ما هو المصطلح بینهم مع الإغماض عن أن یکون حکمه البراءة أو الاشتغال،</w:t>
      </w:r>
    </w:p>
    <w:p>
      <w:pPr>
        <w:pStyle w:val="Heading4"/>
        <w:numPr>
          <w:ilvl w:val="3"/>
          <w:numId w:val="1"/>
        </w:numPr>
        <w:rPr/>
      </w:pPr>
      <w:bookmarkStart w:id="930" w:name="__RefHeading___Toc2647004_3224264995"/>
      <w:bookmarkStart w:id="931" w:name="_Toc373"/>
      <w:bookmarkEnd w:id="930"/>
      <w:r>
        <w:rPr>
          <w:rtl w:val="true"/>
        </w:rPr>
        <w:t>[</w:t>
      </w:r>
      <w:r>
        <w:rPr>
          <w:rtl w:val="true"/>
        </w:rPr>
        <w:t>عدم الملازمة بین الشکّ فی التکلیف و الحکم بالبراءة فیه</w:t>
      </w:r>
      <w:r>
        <w:rPr>
          <w:rtl w:val="true"/>
        </w:rPr>
        <w:t>]</w:t>
      </w:r>
      <w:bookmarkEnd w:id="93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ملازمة بین موضوع الشکّ فی التکلیف و بین الحکم فیه بالبراءة، أ لا تری ذهاب الأخباریة فیه إلی الاشتغال</w:t>
      </w:r>
      <w:r>
        <w:rPr>
          <w:rStyle w:val="FootnoteAnchor"/>
          <w:rtl w:val="true"/>
        </w:rPr>
        <w:footnoteReference w:id="289"/>
      </w:r>
      <w:r>
        <w:rPr>
          <w:rFonts w:ascii="IRNazanin" w:hAnsi="IRNazanin" w:eastAsia="IRNazanin"/>
          <w:color w:val="111111"/>
          <w:sz w:val="28"/>
          <w:sz w:val="28"/>
          <w:szCs w:val="28"/>
          <w:rtl w:val="true"/>
          <w:lang w:bidi="fa-IR"/>
        </w:rPr>
        <w:t xml:space="preserve">؟ کما لا ملازمة بین </w:t>
      </w:r>
      <w:bookmarkStart w:id="932" w:name="pg12856_162726"/>
    </w:p>
    <w:p>
      <w:pPr>
        <w:pStyle w:val="BookText"/>
        <w:rPr/>
      </w:pPr>
      <w:bookmarkEnd w:id="932"/>
      <w:r>
        <w:rPr>
          <w:rFonts w:ascii="IRNazanin" w:hAnsi="IRNazanin" w:eastAsia="IRNazanin"/>
          <w:color w:val="111111"/>
          <w:sz w:val="28"/>
          <w:sz w:val="28"/>
          <w:szCs w:val="28"/>
          <w:rtl w:val="true"/>
          <w:lang w:bidi="fa-IR"/>
        </w:rPr>
        <w:t>موضوع الشکّ فی المکلّف به و بین الحکم فیه بالاشتغال، أ لا تری ذهاب صاحب القوانین فیه إلی البراءة</w:t>
      </w:r>
      <w:r>
        <w:rPr>
          <w:rStyle w:val="FootnoteAnchor"/>
          <w:rtl w:val="true"/>
        </w:rPr>
        <w:footnoteReference w:id="290"/>
      </w:r>
      <w:r>
        <w:rPr>
          <w:rFonts w:ascii="IRNazanin" w:hAnsi="IRNazanin" w:eastAsia="IRNazanin"/>
          <w:color w:val="111111"/>
          <w:sz w:val="28"/>
          <w:sz w:val="28"/>
          <w:szCs w:val="28"/>
          <w:rtl w:val="true"/>
          <w:lang w:bidi="fa-IR"/>
        </w:rPr>
        <w:t>أیضا؟ فالملازمة المذکورة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سلّمنا الملازمة، لکن نمنع بطلان اللازم، بل نلتزم به کما التزم به غیر واحد، بل من لم یلتزم بالبراءة فیه، مع فرضه من الشکّ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زعم وجود المانع الخارجی من الالتزام به کإجماع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تمهّدت تلک المقدّمات و حرّر لک محلّ النزاع من جهات فلنرجع إلی شرح ما یحتاج إلی الشرح من کلمات المتن 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منحصرة فی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933" w:name="__RefHeading___Toc2647006_3224264995"/>
      <w:bookmarkStart w:id="934" w:name="_Toc374"/>
      <w:bookmarkEnd w:id="933"/>
      <w:r>
        <w:rPr>
          <w:rtl w:val="true"/>
        </w:rPr>
        <w:t>[</w:t>
      </w:r>
      <w:r>
        <w:rPr>
          <w:rtl w:val="true"/>
        </w:rPr>
        <w:t>حصر الاصول العملیة فی الأربعة</w:t>
      </w:r>
      <w:r>
        <w:rPr>
          <w:rtl w:val="true"/>
        </w:rPr>
        <w:t>]</w:t>
      </w:r>
      <w:bookmarkEnd w:id="9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الانحصار فمبنیّ علی الاستقراء و المختار، و إلا فحصر الاصول العلمیة فی الأربعة لیس کحصر مواردها فی الأربعة حصرا عقلیّا دائرا بین النفی و الإثبات المتعذّر فیه الواسطة حتی یتعذّر فیه الزیادة و النقصان، بل لو لا ثبوت جری اصطلاحهم علی الأربعة لأمکن نقصها بإرجاع بعضها إلی بعض، کما انّه لو لا اختیار کون أصالة الإباحة من الأدلّة الاجتهادیة و البناء علی إرجاع أصالة العدم إلی استصحابها و أصالة عدم الأکثر إلی البراءة أو الاستصحاب لأمکن ازدیاد الاصول العملیة الجاریة فی موارد الشکّ فی الحکم علی الأربعة أیضا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عدّه الاحتیاط من الاصول فمبنیّ علی أن یرید منه قاعدة الاشتغال المختص مجراه بمورد الشکّ فی المکلّف به، و إلّا فالاحتیاط المطلق الّذی هو عبارة عن الأخذ بالأوثق لیس من الاصول، لأن الأصل عبارة عما یقبل التخصیص و التقیید بمورد دون مورد من موارده بخلاف الاحتیاط المطلق، فإنّ </w:t>
      </w:r>
      <w:bookmarkStart w:id="935" w:name="pg12856_162727"/>
    </w:p>
    <w:p>
      <w:pPr>
        <w:pStyle w:val="BookText"/>
        <w:rPr/>
      </w:pPr>
      <w:bookmarkEnd w:id="935"/>
      <w:r>
        <w:rPr>
          <w:rFonts w:ascii="IRNazanin" w:hAnsi="IRNazanin" w:eastAsia="IRNazanin"/>
          <w:color w:val="111111"/>
          <w:sz w:val="28"/>
          <w:sz w:val="28"/>
          <w:szCs w:val="28"/>
          <w:rtl w:val="true"/>
          <w:lang w:bidi="fa-IR"/>
        </w:rPr>
        <w:t>حسنه حسن عقلی یتأتّی فی کل مورد یرتجی فیه إدراک الواقع سواء کان الواقع مشکوکا أو مظنونا أو معلوما بالعلم الشرعی التنزیلی</w:t>
      </w:r>
      <w:r>
        <w:rPr>
          <w:rFonts w:eastAsia="IRNazanin" w:cs="IRNazanin"/>
          <w:color w:val="111111"/>
          <w:sz w:val="28"/>
          <w:szCs w:val="28"/>
          <w:rtl w:val="true"/>
          <w:lang w:bidi="fa-IR"/>
        </w:rPr>
        <w:t>.</w:t>
      </w:r>
    </w:p>
    <w:p>
      <w:pPr>
        <w:pStyle w:val="Heading4"/>
        <w:numPr>
          <w:ilvl w:val="3"/>
          <w:numId w:val="1"/>
        </w:numPr>
        <w:rPr/>
      </w:pPr>
      <w:bookmarkStart w:id="936" w:name="__RefHeading___Toc2647008_3224264995"/>
      <w:bookmarkStart w:id="937" w:name="_Toc375"/>
      <w:bookmarkEnd w:id="936"/>
      <w:r>
        <w:rPr>
          <w:rtl w:val="true"/>
        </w:rPr>
        <w:t>[</w:t>
      </w:r>
      <w:r>
        <w:rPr>
          <w:rtl w:val="true"/>
        </w:rPr>
        <w:t>عدم حسن الاحتیاط فی المعلوم بالعلم الوجدانی</w:t>
      </w:r>
      <w:r>
        <w:rPr>
          <w:rtl w:val="true"/>
        </w:rPr>
        <w:t>]</w:t>
      </w:r>
      <w:bookmarkEnd w:id="937"/>
    </w:p>
    <w:p>
      <w:pPr>
        <w:pStyle w:val="BookText"/>
        <w:rPr/>
      </w:pPr>
      <w:r>
        <w:rPr>
          <w:rFonts w:ascii="IRNazanin" w:hAnsi="IRNazanin" w:eastAsia="IRNazanin"/>
          <w:color w:val="111111"/>
          <w:sz w:val="28"/>
          <w:sz w:val="28"/>
          <w:szCs w:val="28"/>
          <w:rtl w:val="true"/>
          <w:lang w:bidi="fa-IR"/>
        </w:rPr>
        <w:t>و أمّا المعلوم بالعلم الوجدانی فعدم حسن الاحتیاط فیه إنّما هو من جهة انتفاء مورد رجاء الواقع فی ما وراء المعلوم بالعلم الوجدانی، فخروجه عن مورد الاحتیاط من باب التخصّص لا التخصیص بخلاف کل واحد من الاصول فإنّه قابل للتخصیص و حکومة غیره علیه، و لهذا اعترض المصنّف فی کتاب البیع من متاجره</w:t>
      </w:r>
      <w:r>
        <w:rPr>
          <w:rStyle w:val="FootnoteAnchor"/>
          <w:rtl w:val="true"/>
        </w:rPr>
        <w:footnoteReference w:id="291"/>
      </w:r>
      <w:r>
        <w:rPr>
          <w:rFonts w:ascii="IRNazanin" w:hAnsi="IRNazanin" w:eastAsia="IRNazanin"/>
          <w:color w:val="111111"/>
          <w:sz w:val="28"/>
          <w:sz w:val="28"/>
          <w:szCs w:val="28"/>
          <w:rtl w:val="true"/>
          <w:lang w:bidi="fa-IR"/>
        </w:rPr>
        <w:t>علی من قال بأن الأصل فی التملیک البیع، بأنّ الأصل عبارة عما یقبل التخصیص، و التملیک بعوض لا زال بیعا علی وجه لا یقبل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الهبة المعوّضة، و المصالحة المعوّضة فلیس شی‌ء منهما من التملیک بعوض، بل هما هبتان معوّضتان و مصالحتان معوّضتان علی ما قیل، فخروجهما عن البیع من باب التخصّص 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 الاشتباه کثیرة</w:t>
      </w:r>
      <w:r>
        <w:rPr>
          <w:rFonts w:eastAsia="IRNazanin" w:cs="IRNazanin"/>
          <w:color w:val="111111"/>
          <w:sz w:val="28"/>
          <w:szCs w:val="28"/>
          <w:rtl w:val="true"/>
          <w:lang w:bidi="fa-IR"/>
        </w:rPr>
        <w:t>».</w:t>
      </w:r>
    </w:p>
    <w:p>
      <w:pPr>
        <w:pStyle w:val="Heading4"/>
        <w:numPr>
          <w:ilvl w:val="3"/>
          <w:numId w:val="1"/>
        </w:numPr>
        <w:rPr/>
      </w:pPr>
      <w:bookmarkStart w:id="938" w:name="__RefHeading___Toc2647010_3224264995"/>
      <w:bookmarkStart w:id="939" w:name="_Toc376"/>
      <w:bookmarkEnd w:id="938"/>
      <w:r>
        <w:rPr>
          <w:rtl w:val="true"/>
        </w:rPr>
        <w:t>[</w:t>
      </w:r>
      <w:r>
        <w:rPr>
          <w:rtl w:val="true"/>
        </w:rPr>
        <w:t>صور اشتباه الحکم</w:t>
      </w:r>
      <w:r>
        <w:rPr>
          <w:rtl w:val="true"/>
        </w:rPr>
        <w:t>]</w:t>
      </w:r>
      <w:bookmarkEnd w:id="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التحریم المشتبه بغیر الوجوب إمّا مشتبه بالمستحب أو بالمکروه أو بالمباح أو بکل الثلاثة أو باثنین منها، کما إذا اشتبه التحریم بالندب و المکروه أو بالمباح و المکروه أو بالندب و المباح، فیبلغ مجموع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الأحادیة و هی ثلاثة، و الثنائیة و هی أیضا ثلاثة، و الثلاثیة و هی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دوران الأمر فی الوجوب المشتبه بغیر التحریم تبلغ مجموع صور اشتباهه الأحادیة و الثنائیة و الثلاثیة سبعة، و إذا ضربت صور الاشتباه الأربعة عشر هذه فی صورتی کون الشکّ فی التکلیف أو المکلّف به، بلغت ثمانیة و عشرین صورة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ضربت هذه الثمانیة و العشرین فی صور منشأ الاشتباه الثلاثة، أعنی</w:t>
      </w:r>
      <w:r>
        <w:rPr>
          <w:rFonts w:eastAsia="IRNazanin" w:cs="IRNazanin"/>
          <w:color w:val="111111"/>
          <w:sz w:val="28"/>
          <w:szCs w:val="28"/>
          <w:rtl w:val="true"/>
          <w:lang w:bidi="fa-IR"/>
        </w:rPr>
        <w:t xml:space="preserve">: </w:t>
      </w:r>
      <w:bookmarkStart w:id="940" w:name="pg12856_162728"/>
    </w:p>
    <w:p>
      <w:pPr>
        <w:pStyle w:val="BookText"/>
        <w:rPr/>
      </w:pPr>
      <w:bookmarkEnd w:id="940"/>
      <w:r>
        <w:rPr>
          <w:rFonts w:ascii="IRNazanin" w:hAnsi="IRNazanin" w:eastAsia="IRNazanin"/>
          <w:color w:val="111111"/>
          <w:sz w:val="28"/>
          <w:sz w:val="28"/>
          <w:szCs w:val="28"/>
          <w:rtl w:val="true"/>
          <w:lang w:bidi="fa-IR"/>
        </w:rPr>
        <w:t>فقد النص، و إجمال النص، أو تعارض النصّین، بلغت أربعا و ثمانین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أمّهاتها هی الصور الاثنی عشر الّتی أشار إلیها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أن یکون تغایرها باعتبار العنوان</w:t>
      </w:r>
      <w:r>
        <w:rPr>
          <w:rFonts w:eastAsia="IRNazanin" w:cs="IRNazanin"/>
          <w:color w:val="111111"/>
          <w:sz w:val="28"/>
          <w:szCs w:val="28"/>
          <w:rtl w:val="true"/>
          <w:lang w:bidi="fa-IR"/>
        </w:rPr>
        <w:t>».</w:t>
      </w:r>
    </w:p>
    <w:p>
      <w:pPr>
        <w:pStyle w:val="Heading4"/>
        <w:numPr>
          <w:ilvl w:val="3"/>
          <w:numId w:val="1"/>
        </w:numPr>
        <w:rPr/>
      </w:pPr>
      <w:bookmarkStart w:id="941" w:name="__RefHeading___Toc2647012_3224264995"/>
      <w:bookmarkStart w:id="942" w:name="_Toc377"/>
      <w:bookmarkEnd w:id="941"/>
      <w:r>
        <w:rPr>
          <w:rtl w:val="true"/>
        </w:rPr>
        <w:t>[</w:t>
      </w:r>
      <w:r>
        <w:rPr>
          <w:rtl w:val="true"/>
        </w:rPr>
        <w:t>اختلاف الاخباریة فی الشبهة الحکمیة</w:t>
      </w:r>
      <w:r>
        <w:rPr>
          <w:rtl w:val="true"/>
        </w:rPr>
        <w:t>]</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باعتبار الذات، بل باعتبار الأدلّة کما ستعرف من اتّفاقهم علی اجتناب الشبهة التحریمیة، و ان اختلافهم من جهة اختلاف الأدلّة حیث استدلّ بعضهم بأخبار التوقّف،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 عند الشبهات فإنّ 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فقال بالتوقّف، و استدلّ آخرون منهم بأخبار الاحتیاط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 ما شئت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فاختار الاحتیاط، و استدلّ ثالث منهم بخبر</w:t>
      </w:r>
      <w:r>
        <w:rPr>
          <w:rStyle w:val="FootnoteAnchor"/>
          <w:rtl w:val="true"/>
        </w:rPr>
        <w:footnoteReference w:id="294"/>
      </w:r>
      <w:r>
        <w:rPr>
          <w:rFonts w:ascii="IRNazanin" w:hAnsi="IRNazanin" w:eastAsia="IRNazanin"/>
          <w:color w:val="111111"/>
          <w:sz w:val="28"/>
          <w:sz w:val="28"/>
          <w:szCs w:val="28"/>
          <w:rtl w:val="true"/>
          <w:lang w:bidi="fa-IR"/>
        </w:rPr>
        <w:t>التثلیث فحکم بالحرمة الظاهریة، و رابع منهم استدلّ بأوامر ترک الشبهات</w:t>
      </w:r>
      <w:r>
        <w:rPr>
          <w:rStyle w:val="FootnoteAnchor"/>
          <w:rtl w:val="true"/>
        </w:rPr>
        <w:footnoteReference w:id="295"/>
      </w:r>
      <w:r>
        <w:rPr>
          <w:rFonts w:ascii="IRNazanin" w:hAnsi="IRNazanin" w:eastAsia="IRNazanin"/>
          <w:color w:val="111111"/>
          <w:sz w:val="28"/>
          <w:sz w:val="28"/>
          <w:szCs w:val="28"/>
          <w:rtl w:val="true"/>
          <w:lang w:bidi="fa-IR"/>
        </w:rPr>
        <w:t>من حیث إنّها شبهات فحکم بالحرمة الواقعیة، فتبیّن أنّ تغایر الأقوال تغایر باعتبار الأدلّة لا باعتبار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لا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فرض الجامع القریب بینهما بفرض الموصول عبارة عن الشی‌ء الأعمّ من نفس الحکم و من الفعل المحکوم علیه و فرض الایتاء عبارة عن الایتاء المطلق الشامل لإعلام الحکم، و لإقدار المحکوم علیه، فإنّ کلّا منهما ایتاء لمتعلّقه عرفا، فیکون التغایر و التعدّد فی متعلّق الایتاء لا فی نفس الایتاء حتی یستلزم استعماله فی أکثر من معنی، نظیر الإکرام المأمور به المختلف باختلاف متعلّقه، بحیث یکون بالنسبة إلی الجاهل هو التأدیب بضرب و نحوه، و بالنسبة إلی العاقل هو الإنعام، و بالنسبة إلی الجائع هو الإطعام، و بالنسبة إلی الصحیح هو الغذاء، و بالنسبة إلی المریض هو الدّواء، و بالنسبة إلی الجاهل تعلیمه، و إلی العالم التعلّم منه، و إلی الغافل تنبیهه، إلی غیر ذلک ممّا یتعدّد فیه </w:t>
      </w:r>
      <w:bookmarkStart w:id="943" w:name="pg12856_162729"/>
    </w:p>
    <w:p>
      <w:pPr>
        <w:pStyle w:val="BookText"/>
        <w:rPr/>
      </w:pPr>
      <w:bookmarkEnd w:id="943"/>
      <w:r>
        <w:rPr>
          <w:rFonts w:ascii="IRNazanin" w:hAnsi="IRNazanin" w:eastAsia="IRNazanin"/>
          <w:color w:val="111111"/>
          <w:sz w:val="28"/>
          <w:sz w:val="28"/>
          <w:szCs w:val="28"/>
          <w:rtl w:val="true"/>
          <w:lang w:bidi="fa-IR"/>
        </w:rPr>
        <w:t>متعلّق الإکرام مع اتّحاد نفس الإکرام بالنسبة إلی جمیع متعلّقاته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فافهم، إشارة إلی ذلک، أو إلی تقویة نفی الجامع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الغیر المعلوم مقدورا لرجوع المعنی إلی أنه لا یکلف بالمقدور و 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للمنفیین هو النفی، مضافا إلی عموم حذف المتعلّق، فیتمّ الاستدلال بالآیة علی البراءة بأبلغ وجه لکن علی القول بحجیة ظواهر الکتاب لا علی قول خصمنا الأخباریة المانعة من حجّیة ظواهر الکتاب إلّا بضمیمة تفسیر المعصوم</w:t>
      </w:r>
      <w:r>
        <w:rPr>
          <w:rStyle w:val="FootnoteAnchor"/>
          <w:rtl w:val="true"/>
        </w:rPr>
        <w:footnoteReference w:id="296"/>
      </w:r>
      <w:r>
        <w:rPr>
          <w:rFonts w:ascii="IRNazanin" w:hAnsi="IRNazanin" w:eastAsia="IRNazanin"/>
          <w:color w:val="111111"/>
          <w:sz w:val="28"/>
          <w:sz w:val="28"/>
          <w:szCs w:val="28"/>
          <w:rtl w:val="true"/>
          <w:lang w:bidi="fa-IR"/>
        </w:rPr>
        <w:t>، و استدلاله بها فی روایة عبد الأعلی</w:t>
      </w:r>
      <w:r>
        <w:rPr>
          <w:rStyle w:val="FootnoteAnchor"/>
          <w:rtl w:val="true"/>
        </w:rPr>
        <w:footnoteReference w:id="297"/>
      </w:r>
      <w:r>
        <w:rPr>
          <w:rFonts w:ascii="IRNazanin" w:hAnsi="IRNazanin" w:eastAsia="IRNazanin"/>
          <w:color w:val="111111"/>
          <w:sz w:val="28"/>
          <w:sz w:val="28"/>
          <w:szCs w:val="28"/>
          <w:rtl w:val="true"/>
          <w:lang w:bidi="fa-IR"/>
        </w:rPr>
        <w:t>بناء علی عموم المعرفة المنفیّة وجوبها لمعرفة الفروع، أو عدم الفرق بین المعرفتین فی نفی الوجوب إلّا أن یمنع العموم بدعوی انصراف السؤال إلی معرفة الاصول، أو بدعوی الفرق بین المعرفتین بأنّ نفس معرفة الاصول غیر مقدور الإحراز بالاحتیاط فینفی وجوبها بأصل البراءة بخلاف معرفة الحکم الفرعی و الوصول إلیه بالاحتیاط أمر مقدور فلا ینفی وجوبها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إنّ النکرة فی سیاق النفی، و حذف المتعلّق، و ترک الاستفصال فی جواب السؤال کل منها فی الخبر یفید عموم النفی و المنفیّ، فیتمّ الاستدلال به بأبلغ وجه و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نفی فعلیّة 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الاخبار بنفی التعذیب إن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944" w:name="__RefHeading___Toc2647014_3224264995"/>
      <w:bookmarkStart w:id="945" w:name="_Toc378"/>
      <w:bookmarkEnd w:id="944"/>
      <w:r>
        <w:rPr>
          <w:rtl w:val="true"/>
        </w:rPr>
        <w:t>[</w:t>
      </w:r>
      <w:r>
        <w:rPr>
          <w:rtl w:val="true"/>
        </w:rPr>
        <w:t>دراسة الاستدلال بآیة نفی التعذیب قبل بعث الرسل علی عدم التلازم بین حکمی العقل و الشرع و البراءة</w:t>
      </w:r>
      <w:r>
        <w:rPr>
          <w:rtl w:val="true"/>
        </w:rPr>
        <w:t>]</w:t>
      </w:r>
      <w:bookmarkEnd w:id="9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تعلیل لردّ الاستدلال بنفی التعذیب علی نفی الملازمة بین حکمی الشرع و العقل، و الردّ علی نفی الملازمة مثبت للملازمة </w:t>
      </w:r>
      <w:bookmarkStart w:id="946" w:name="pg12856_162730"/>
    </w:p>
    <w:p>
      <w:pPr>
        <w:pStyle w:val="BookText"/>
        <w:rPr/>
      </w:pPr>
      <w:bookmarkEnd w:id="946"/>
      <w:r>
        <w:rPr>
          <w:rFonts w:ascii="IRNazanin" w:hAnsi="IRNazanin" w:eastAsia="IRNazanin"/>
          <w:color w:val="111111"/>
          <w:sz w:val="28"/>
          <w:sz w:val="28"/>
          <w:szCs w:val="28"/>
          <w:rtl w:val="true"/>
          <w:lang w:bidi="fa-IR"/>
        </w:rPr>
        <w:t>بینهما بأعمّیة نفی التعذیب من نفی الاستحقاق</w:t>
      </w:r>
      <w:r>
        <w:rPr>
          <w:rFonts w:eastAsia="IRNazanin" w:cs="IRNazanin"/>
          <w:color w:val="111111"/>
          <w:sz w:val="28"/>
          <w:szCs w:val="28"/>
          <w:rtl w:val="true"/>
          <w:lang w:bidi="fa-IR"/>
        </w:rPr>
        <w:t>.</w:t>
      </w:r>
    </w:p>
    <w:p>
      <w:pPr>
        <w:pStyle w:val="Heading4"/>
        <w:numPr>
          <w:ilvl w:val="3"/>
          <w:numId w:val="1"/>
        </w:numPr>
        <w:rPr/>
      </w:pPr>
      <w:bookmarkStart w:id="947" w:name="__RefHeading___Toc2647016_3224264995"/>
      <w:bookmarkStart w:id="948" w:name="_Toc379"/>
      <w:bookmarkEnd w:id="947"/>
      <w:r>
        <w:rPr>
          <w:rtl w:val="true"/>
        </w:rPr>
        <w:t>[</w:t>
      </w:r>
      <w:r>
        <w:rPr>
          <w:rtl w:val="true"/>
        </w:rPr>
        <w:t>توجیه الاستدلال بآیة عدم تکلیف نفس إلّا بما آتاه اللّه، علی البراءة</w:t>
      </w:r>
      <w:r>
        <w:rPr>
          <w:rtl w:val="true"/>
        </w:rPr>
        <w:t>]</w:t>
      </w:r>
      <w:bookmarkEnd w:id="948"/>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الأخبار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تعلیل للتناقض الوارد بین الاستدلال بنفی التعذیب فی الآیة</w:t>
      </w:r>
      <w:r>
        <w:rPr>
          <w:rStyle w:val="FootnoteAnchor"/>
          <w:rtl w:val="true"/>
        </w:rPr>
        <w:footnoteReference w:id="298"/>
      </w:r>
      <w:r>
        <w:rPr>
          <w:rFonts w:ascii="IRNazanin" w:hAnsi="IRNazanin" w:eastAsia="IRNazanin"/>
          <w:color w:val="111111"/>
          <w:sz w:val="28"/>
          <w:sz w:val="28"/>
          <w:szCs w:val="28"/>
          <w:rtl w:val="true"/>
          <w:lang w:bidi="fa-IR"/>
        </w:rPr>
        <w:t>، علی الاباحة المستلزمة بعموم نفی التعذیب لنفیها فی مورد حکم العقل باستحقاق العقاب و وجوب الاحتیاط و بین الردّ لنفی الملازمة بین حکم الشرع بنفی التعذیب فی مورد حکم العقل باستحقاق التعذیب لعموم نفیه شرعا لمورد ثبوته عقلا، فنفی التعذیب شرعا علی وجه العموم الشامل لمورد استحقاقه عقلا ناقض لثبوته عقلا علی تقدیر الملازمة بین حکمی العقل و الشرع المفروضة من الرادّ لنفی 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المتن</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الإخبار بنفی التعذیب إن دلّ علی نفی التکلیف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للردّ علی نفی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یدل فلا وجه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للاستدلال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إن دلّت بعمومها علی البراءة و نفی التعذیب، لزم منه بدلالة الالتزام نفی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یدل فلا وجه للاستدلال بها علی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علی البراءة بعمومها النافی للملازمة مناقض لفرض الملازمة و عمومها، إلّا أن یجیب بما أجاب من أنّ نفی فعلیّة التعذیب أعمّ من نفیه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یمکن رفع التناقض المذکور بالتزام الملازمة بین حکمی العقل و الشرع، من طرف النفی دون الإثبات لإحراز مسلّمیته من طرف النافین لوجوب الاحتیاط و هم البراءتیین، و عدمه فی طرف المثبتین للملازمة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الإنصاف انّ الآیة لا دلالة لها علی المطلب فی المقامین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فی مقام البراءة و لا فی مقام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لما قاله الماتن من ظهورها فی نفی العقاب الدنیوی من المسخ و الخسف بقرینة سبق حکایتهما، او بقرینة تعلّق النفی بلفظ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لما اختاره الفصول</w:t>
      </w:r>
      <w:r>
        <w:rPr>
          <w:rStyle w:val="FootnoteAnchor"/>
          <w:rtl w:val="true"/>
        </w:rPr>
        <w:footnoteReference w:id="300"/>
      </w:r>
      <w:r>
        <w:rPr>
          <w:rFonts w:ascii="IRNazanin" w:hAnsi="IRNazanin" w:eastAsia="IRNazanin"/>
          <w:color w:val="111111"/>
          <w:sz w:val="28"/>
          <w:sz w:val="28"/>
          <w:szCs w:val="28"/>
          <w:rtl w:val="true"/>
          <w:lang w:bidi="fa-IR"/>
        </w:rPr>
        <w:t>من أعمّیة نفی التعذیب قبل البعثة من نفیه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ریب أنّ المقصود بالبحث إنّما هو بیان الحال بالنسبة إلی هذه الأمّة، حیث لا غرض لنا بالبحث عن أحوال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 البعثة متحقّقة فی حقّهم مع وصول کثیر من الأحکام الیهم تفصیلا، و وصول الباقی إجمالا مستفادا ممّا دلّ علی أنّه ما من واقعة إلّا و له حکم مخزون عند أهله حتی أرش الخدش فی الوجه، فلا یقتضی نفی التعذیب بالنسبة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دلالتها علی نفی التعذیب فی حقّ من لم یتحقّق فی حقّه البعثة کأهل الصدر الأوّل علی مذهب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مذهب الخاصّة من عدم خلوّ زمان عن البعثة، فیجوز أن یکون المراد من التعذیب الثابت إنما کان بعد البعثة و إتمام الحجّة و إکمالها فیکون مسوقة لبیان مزید استحقاقهم و تناهیهم فی العصیان لا أنه لو لم یقع البعثة لم یقع 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شایع فی الاستعمال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أعمّیة نفی التعذیب من نفی استحقاقه، و ذلک لأنّ الملازم لنفی الاستحقاق هو الإباحة و الرّخصة فیه، و لا دلالة لنفی التعذیب علی الإباحة و الرخصة لا مطابقة و لا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عدمها مطابقة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عدمها التزاما فلعدم الملازمة بین نفی التعذیب و نفی الاستحقاق، اذ لا منافاة بین نفی العقاب و العذاب عن الشی‌ء تفضّلا و عفوا، و بین ثبوته علیه استحقاقا، کما فی الظّهار،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محرّم معفوّ عنه، و کما فی نیّة السوء حیث ورد أنّها لا تکتب علی </w:t>
      </w:r>
    </w:p>
    <w:p>
      <w:pPr>
        <w:pStyle w:val="BookText"/>
        <w:rPr/>
      </w:pPr>
      <w:r>
        <w:rPr>
          <w:rFonts w:ascii="Amiri" w:hAnsi="Amiri" w:eastAsia="Amiri" w:cs="Amiri"/>
          <w:color w:val="111111"/>
          <w:sz w:val="28"/>
          <w:sz w:val="28"/>
          <w:szCs w:val="28"/>
          <w:rtl w:val="true"/>
          <w:lang w:bidi="ar-SA"/>
        </w:rPr>
        <w:t>هذه الأمّة تفضّلا</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المجیب عن الاستدلال بالآیة بأیّ من الجوابین الأوّلین فی أحد المقامین لا یجوز له التمسّک بها فی المقام الآخر منهما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المجیب بالجواب الثالث فی مقام الملازمة لا یجوز له التمسّک به فی مقام البراءة لأن نفی التعذیب الأعمّ من نفی الاستحقاق أعمّ من المدّعی و هو إثبات البراءة فی الواقع و الإباحة فی الظاهر عند معاشر القائلین بامتناع خلاء الواقعة عن الحکم، ضرورة أنّ مجرّد نفی العقاب عن شرب التتن فی ما نحن فیه لا یصیّره مباح الفعل فی الظاهر حتی یجوز ارتکابه کما هو المدّعی بل یصیّره من المعاصی الموعود علیها العفو، کالظهار و سائر الصغائر المحرّمة الغیر المباحة لا ظاهرا و لا واقعا و إن أوعد بالعفو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الماتن تمسّک المتمسک بها فی مقام البراءة مع ردّه المتمسک بها علی نفی الملازمة بأعمیّة نفی التعذیب من نفی الاستحقاق بفرض التزام الخصم من الخارج فی مقام البراءة بملازمة نفی التعذیب لنفی الاستحقاق و عدم التزام الخصم من الخارج فی مقام الملازمة بتلک الملازمة فیکون الاستدلال بنفی التعذیب کافیا فی إلزام الخصم بالبراءة بعد فرض التزامه من الخارج بملازمة نفی التعذیب لنفی استحقاقه و کافیا فی إلزام الخصم بنفی الملازمة بعد فرض التزامه من الخارج بعدم تلک الملازمة، نظیر بیعک العبد علی من اعترف سابقا بحرّیته، و من لم یعترف، حیث ینعتق علی المشتری الأوّل من غیر تملّکه بالبیع، و عدم انعتاقه علی الثانی بل یتملّکه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وجّهه استادنا العلّامة بتوجیه آخر أوجه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ملازمة نفی التعذیب لنفی الاستحقاق فی مقام البراءة مستندا إلی انتفاء منشأ استحقاقه حیث </w:t>
      </w:r>
      <w:bookmarkStart w:id="949" w:name="pg12856_162733"/>
    </w:p>
    <w:p>
      <w:pPr>
        <w:pStyle w:val="BookText"/>
        <w:rPr/>
      </w:pPr>
      <w:bookmarkEnd w:id="949"/>
      <w:r>
        <w:rPr>
          <w:rFonts w:ascii="IRNazanin" w:hAnsi="IRNazanin" w:eastAsia="IRNazanin"/>
          <w:color w:val="111111"/>
          <w:sz w:val="28"/>
          <w:sz w:val="28"/>
          <w:szCs w:val="28"/>
          <w:rtl w:val="true"/>
          <w:lang w:bidi="fa-IR"/>
        </w:rPr>
        <w:t>إنّ مورد البراءة فی غیر المستقلّات العقلیّة، و لا ریب أنّ نفی العقاب عمّا لا یستقلّ العقل فیه بشی‌ء ملازم لنفی الاستحقاق عنه، بخلاف مقام الملازمة فإنّه فی مستقلّات العقل الّتی یکون نفی العقاب عنها غیر ملازم لنفی الاستحقاق، لبقاء ما یصلح للاستحقاق فیها، و هو حکم العقل، فیکون المثبت لملازمة نفی العقاب لنفی الاستحقاق فی مقام البراءة هو انتفاء منشأ الاستحقاق، و لعدم ملازمته له فی مقام الملازمة هو بقاء منشأ الاستحقاق فیه بعد نفی 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یخلو کل من التوجیهین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فلتوقّفه علی مجرّد فرض التزام الخصم فی مقام البراءة بالملازمة من الخارج، و عدم التزام الخصم فی مقام الملازمة بتلک الملازمة، و هو و إن کان فرضا ممکنا بواسطة أنّ الخصم فی أحد المقامین غیر الخصم فی المقام الآخر إلا إنّه فرض غیر واقع، بل الواقع خلافه، ضرورة أنّ الخصم فی مقام الملازمة ملتزم بالملازمة کما یظهر من تفریعهم علی نفی الملازمة و ثبوتها، تکلیف القاصرین و البعیدین عن صیت الاسلام بمستقلّات العقل علی تقدیر الملازمة فیعاقبون علی مخالفتها، و عدم تکلیفهم علی تقدیر عدم الملازمة فلا یعاقبون علی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مجرّد عدم إدراک منشأ الاستحقاق فی مقام البراءة لا یقتضی انتفاء الاستحقاق فی الواقع لأنّ عدم الوجدان لا یدلّ علی عدم الوجود فلا 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توقّف الخذلان علی البیان غیر ظاهر الاستلزام</w:t>
      </w:r>
      <w:r>
        <w:rPr>
          <w:rFonts w:eastAsia="IRNazanin" w:cs="IRNazanin"/>
          <w:color w:val="111111"/>
          <w:sz w:val="28"/>
          <w:szCs w:val="28"/>
          <w:rtl w:val="true"/>
          <w:lang w:bidi="fa-IR"/>
        </w:rPr>
        <w:t>».</w:t>
      </w:r>
    </w:p>
    <w:p>
      <w:pPr>
        <w:pStyle w:val="Heading4"/>
        <w:numPr>
          <w:ilvl w:val="3"/>
          <w:numId w:val="1"/>
        </w:numPr>
        <w:rPr/>
      </w:pPr>
      <w:bookmarkStart w:id="950" w:name="__RefHeading___Toc2647018_3224264995"/>
      <w:bookmarkStart w:id="951" w:name="_Toc380"/>
      <w:bookmarkEnd w:id="950"/>
      <w:r>
        <w:rPr>
          <w:rtl w:val="true"/>
        </w:rPr>
        <w:t>[</w:t>
      </w:r>
      <w:r>
        <w:rPr>
          <w:rtl w:val="true"/>
        </w:rPr>
        <w:t>دراسة فی آیة وَ ما کانَ اللَّهُ لِیُضِلَّ قَوْماً بَعْدَ إِذْ هَداهُمْ</w:t>
      </w:r>
      <w:r>
        <w:rPr>
          <w:rtl w:val="true"/>
        </w:rPr>
        <w:t>]</w:t>
      </w:r>
      <w:bookmarkEnd w:id="95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تفسیر الإضلال بالخذلان فلأنّه أقرب مجازات الإضلال الحقیقی المتعذّر صدوره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عدم الاستلزام فلأنّ الخذلان عبارة عن إیکال العبد إلی نفسه بعد إتمام الحجّة علیه و الیأس من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البیّن </w:t>
      </w:r>
      <w:bookmarkStart w:id="952" w:name="pg12856_162734"/>
    </w:p>
    <w:p>
      <w:pPr>
        <w:pStyle w:val="BookText"/>
        <w:rPr/>
      </w:pPr>
      <w:bookmarkEnd w:id="952"/>
      <w:r>
        <w:rPr>
          <w:rFonts w:ascii="IRNazanin" w:hAnsi="IRNazanin" w:eastAsia="IRNazanin"/>
          <w:color w:val="111111"/>
          <w:sz w:val="28"/>
          <w:sz w:val="28"/>
          <w:szCs w:val="28"/>
          <w:rtl w:val="true"/>
          <w:lang w:bidi="fa-IR"/>
        </w:rPr>
        <w:t xml:space="preserve">ان الخذلان بهذا المعنی إهانة دنیویّة و توقّفه علی البیان لا یستلزم المطلوب، و هو توقّف العقوبة الأخرویّة علی البیان إلّا من باب دلالة الفحوی و الأولویّة الممنوعة فی المقام إن لم تکن معکوسة،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ملازمة من الطرفین أما من طرف انفکاک عذاب الدنیا عن الآخرة، فلما تری من تعذیب الصغار فی الدنیا تبعا للکبار و الأخیار تبعا للأشرار، بل الحیوانات تبعا للاناسی کما فی موارد الخسف و المسخ و الغرق و الوباء و الطاعون المتّفق فی الأمم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تُصِیبَنَّ الَّذِینَ ظَلَمُوا مِنْکُمْ خَاصَّةً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من طرف انفکاک عذاب الآخرة عن الدنیا، فلما تری من إنظار إبلیس و الکفّار فی الدنیا مع استحقاقهم أشدّ عذاب الآخرة، و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 و جنة الکافر</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أُمَّةً واحِدَةً</w:t>
      </w:r>
      <w:r>
        <w:rPr>
          <w:rStyle w:val="FootnoteAnchor"/>
          <w:rtl w:val="true"/>
        </w:rPr>
        <w:footnoteReference w:id="30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قد یثبت الکفّارة علی الکبیرة و لا یثبت علی الأکبر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دلالتها تأمّل ظاهر</w:t>
      </w:r>
      <w:r>
        <w:rPr>
          <w:rFonts w:eastAsia="IRNazanin" w:cs="IRNazanin"/>
          <w:color w:val="111111"/>
          <w:sz w:val="28"/>
          <w:szCs w:val="28"/>
          <w:rtl w:val="true"/>
          <w:lang w:bidi="fa-IR"/>
        </w:rPr>
        <w:t>».</w:t>
      </w:r>
    </w:p>
    <w:p>
      <w:pPr>
        <w:pStyle w:val="Heading4"/>
        <w:numPr>
          <w:ilvl w:val="3"/>
          <w:numId w:val="1"/>
        </w:numPr>
        <w:rPr/>
      </w:pPr>
      <w:bookmarkStart w:id="953" w:name="__RefHeading___Toc2647020_3224264995"/>
      <w:bookmarkStart w:id="954" w:name="_Toc381"/>
      <w:bookmarkEnd w:id="953"/>
      <w:r>
        <w:rPr>
          <w:rtl w:val="true"/>
        </w:rPr>
        <w:t>[</w:t>
      </w:r>
      <w:r>
        <w:rPr>
          <w:rtl w:val="true"/>
        </w:rPr>
        <w:t xml:space="preserve">دراسة فی آیة لِیَهْلِکَ مَنْ هَلَکَ </w:t>
      </w:r>
      <w:r>
        <w:rPr>
          <w:rtl w:val="true"/>
        </w:rPr>
        <w:t>...]</w:t>
      </w:r>
      <w:bookmarkEnd w:id="95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تعلیل لنصرة الإسلام و المسلمین فی حرب بدر مع قلّتهم و محق الکفر فیه مع کثرتهم المشار إلیه بقوله فی ما قبل الآیة إِذْ أَنْتُمْ بِالْعُدْوَةِ الدُّنْیا وَ هُمْ بِالْعُدْوَةِ الْقُصْوی وَ الرَّکْبُ أَسْفَلَ مِنْکُمْ وَ لَوْ تَواعَدْتُمْ لَاخْتَلَفْتُمْ فِی الْمِیعادِ وَ لکِنْ لِیَقْضِیَ اللَّهُ أَمْراً کانَ مَفْعُولًا لِیَهْلِکَ مَنْ هَلَکَ عَنْ بَیِّنَةٍ</w:t>
      </w:r>
      <w:r>
        <w:rPr>
          <w:rStyle w:val="FootnoteAnchor"/>
          <w:rtl w:val="true"/>
        </w:rPr>
        <w:footnoteReference w:id="306"/>
      </w:r>
      <w:r>
        <w:rPr>
          <w:rFonts w:ascii="IRNazanin" w:hAnsi="IRNazanin" w:eastAsia="IRNazanin"/>
          <w:color w:val="111111"/>
          <w:sz w:val="28"/>
          <w:sz w:val="28"/>
          <w:szCs w:val="28"/>
          <w:rtl w:val="true"/>
          <w:lang w:bidi="fa-IR"/>
        </w:rPr>
        <w:t xml:space="preserve">أی بعد حجّة ظاهرة، و هو نصر المؤمنین مع قلّتهم علی جیوش الکفّار مع کثرتهم، فتبیّن أنّ مدلول الآیة بقرینة سبقها و سیاقها أو ظهور نفسها إنّما هو توقّف الهلاک و الحیاة الدنیویین یعنی الکفر و الإیمان علی </w:t>
      </w:r>
      <w:bookmarkStart w:id="955" w:name="pg12856_162735"/>
    </w:p>
    <w:p>
      <w:pPr>
        <w:pStyle w:val="BookText"/>
        <w:rPr/>
      </w:pPr>
      <w:bookmarkEnd w:id="955"/>
      <w:r>
        <w:rPr>
          <w:rFonts w:ascii="IRNazanin" w:hAnsi="IRNazanin" w:eastAsia="IRNazanin"/>
          <w:color w:val="111111"/>
          <w:sz w:val="28"/>
          <w:sz w:val="28"/>
          <w:szCs w:val="28"/>
          <w:rtl w:val="true"/>
          <w:lang w:bidi="fa-IR"/>
        </w:rPr>
        <w:t>البیّنة و هو لا یستلزم توقّف الهلاک و الحیاة الأخرویین علی البیّنة إلّا من باب دلالة الفحوی و الأولویّة الممنوعة، بل المعکوسة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فی التعبیر بعدم الوجدان دلالة علی کفایة عدم الوجدان فی إبطال الحکم بالحرمة</w:t>
      </w:r>
      <w:r>
        <w:rPr>
          <w:rFonts w:eastAsia="IRNazanin" w:cs="IRNazanin"/>
          <w:color w:val="111111"/>
          <w:sz w:val="28"/>
          <w:szCs w:val="28"/>
          <w:rtl w:val="true"/>
          <w:lang w:bidi="fa-IR"/>
        </w:rPr>
        <w:t>».</w:t>
      </w:r>
    </w:p>
    <w:p>
      <w:pPr>
        <w:pStyle w:val="Heading4"/>
        <w:numPr>
          <w:ilvl w:val="3"/>
          <w:numId w:val="1"/>
        </w:numPr>
        <w:rPr/>
      </w:pPr>
      <w:bookmarkStart w:id="956" w:name="__RefHeading___Toc2647022_3224264995"/>
      <w:bookmarkStart w:id="957" w:name="_Toc382"/>
      <w:bookmarkEnd w:id="956"/>
      <w:r>
        <w:rPr>
          <w:rtl w:val="true"/>
        </w:rPr>
        <w:t>[</w:t>
      </w:r>
      <w:r>
        <w:rPr>
          <w:rtl w:val="true"/>
        </w:rPr>
        <w:t>الاستدلال بآیة قُلْ لا أَجِدُ فِی ما أُوحِیَ إِلَیَ</w:t>
      </w:r>
      <w:r>
        <w:rPr>
          <w:rtl w:val="true"/>
        </w:rPr>
        <w:t>]</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ذلک أنّ استدلاله صلّی اللّه علیه و آله بعدم الوجدان علی إبطال التحریم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دلالة عدم الوجدان علی إبطال التحریم و إلّا للغی الاستدلال و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الأمر بالاستدلال به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w:t>
      </w:r>
      <w:r>
        <w:rPr>
          <w:rStyle w:val="FootnoteAnchor"/>
          <w:rtl w:val="true"/>
        </w:rPr>
        <w:footnoteReference w:id="307"/>
      </w:r>
      <w:r>
        <w:rPr>
          <w:rFonts w:ascii="Amiri" w:hAnsi="Amiri" w:eastAsia="Amiri" w:cs="Amiri"/>
          <w:color w:val="111111"/>
          <w:sz w:val="28"/>
          <w:sz w:val="28"/>
          <w:szCs w:val="28"/>
          <w:rtl w:val="true"/>
          <w:lang w:bidi="ar-SA"/>
        </w:rPr>
        <w:t>الآیة، یستلزم الأمر بقبول دلالته و إلّا للغی ثمرة الأمر بالاستدلال کما أنّ حرمة الکتمان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یَکْتُمُونَ</w:t>
      </w:r>
      <w:r>
        <w:rPr>
          <w:rStyle w:val="FootnoteAnchor"/>
          <w:rtl w:val="true"/>
        </w:rPr>
        <w:footnoteReference w:id="308"/>
      </w:r>
      <w:r>
        <w:rPr>
          <w:rFonts w:ascii="IRNazanin" w:hAnsi="IRNazanin" w:eastAsia="IRNazanin"/>
          <w:color w:val="111111"/>
          <w:sz w:val="28"/>
          <w:sz w:val="28"/>
          <w:szCs w:val="28"/>
          <w:rtl w:val="true"/>
          <w:lang w:bidi="fa-IR"/>
        </w:rPr>
        <w:t>الآیة، یستلزم وجوب القبول عند الإظهار حذرا من لزوم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استدلّوا بتلک الآیة علی حجّیة خبر الواحد، و بآیة تحریم کتمان ما فی الأرحام علی النساء</w:t>
      </w:r>
      <w:r>
        <w:rPr>
          <w:rStyle w:val="FootnoteAnchor"/>
          <w:rtl w:val="true"/>
        </w:rPr>
        <w:footnoteReference w:id="309"/>
      </w:r>
      <w:r>
        <w:rPr>
          <w:rFonts w:ascii="IRNazanin" w:hAnsi="IRNazanin" w:eastAsia="IRNazanin"/>
          <w:color w:val="111111"/>
          <w:sz w:val="28"/>
          <w:sz w:val="28"/>
          <w:szCs w:val="28"/>
          <w:rtl w:val="true"/>
          <w:lang w:bidi="fa-IR"/>
        </w:rPr>
        <w:t>علی وجوب تصدیقهن، و بآیة وجوب إقامة الشهادة علی وجوب قبولها بعد الإقامة</w:t>
      </w:r>
      <w:r>
        <w:rPr>
          <w:rStyle w:val="FootnoteAnchor"/>
          <w:rtl w:val="true"/>
        </w:rPr>
        <w:footnoteReference w:id="310"/>
      </w:r>
      <w:r>
        <w:rPr>
          <w:rFonts w:ascii="IRNazanin" w:hAnsi="IRNazanin" w:eastAsia="IRNazanin"/>
          <w:color w:val="111111"/>
          <w:sz w:val="28"/>
          <w:sz w:val="28"/>
          <w:szCs w:val="28"/>
          <w:rtl w:val="true"/>
          <w:lang w:bidi="fa-IR"/>
        </w:rPr>
        <w:t>، کلّ ذلک بدلالة الالتزام البیّن بالمعنی الأعم الّتی لا إشکال فی اعتبارها، أ لا تری انّک لو أمرت أحد عبیدک بإخبار الآخر شیئا و أمرت ذلک الآخر بعدم قبول الإخبار منه لزم اللغویة و الاستهزاء؟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فکما أنّ صحّة الإظهار و الإخبار و غیرها تستلزم بالالتزام البیّن قبول المظهر، و المخبر، فی هذه الأشباه و النظائر العرفیة و الشرعیة، حذرا من لزوم اللغویة کذلک استدلاله صلی اللّه علیه و آله بعدم الوجدان، أو الأمر بالاستدلال به، یکشف عن ثبوت الدلالة و یستلزم قبولها إلا أن یمنع الالتزام </w:t>
      </w:r>
      <w:bookmarkStart w:id="958" w:name="pg12856_162736"/>
    </w:p>
    <w:p>
      <w:pPr>
        <w:pStyle w:val="BookText"/>
        <w:rPr/>
      </w:pPr>
      <w:bookmarkEnd w:id="958"/>
      <w:r>
        <w:rPr>
          <w:rFonts w:ascii="IRNazanin" w:hAnsi="IRNazanin" w:eastAsia="IRNazanin"/>
          <w:color w:val="111111"/>
          <w:sz w:val="28"/>
          <w:sz w:val="28"/>
          <w:szCs w:val="28"/>
          <w:rtl w:val="true"/>
          <w:lang w:bidi="fa-IR"/>
        </w:rPr>
        <w:t>بفرض أن یکون لنفس الاستدلال نکتة و فائدة غیر الدلالة و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ذلک الفرض فی سائر أشباهه و نظائره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یسلم الملازمة و الدلالة لکن یمنع إطلاق دلالة عدم وجدانه علی المطلوب، بدعوی الفرق بین عدم وجدانه صلی اللّه علیه و آله التحریم فی جملة ما أوحی إلیه و ما صدر عنه تعالی، فیدلّ علی عدم التحریم، و بین عدم وجداننا التحریم فی جملة ما بأیدینا من الأحکام المعلوم لنا إجمالا اختفاء کثیر منها، فلا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إیراد المصنّف علی دلالة الآیة أوّلا بأنّ ما فیها إشارة و إشعار علی المطلوب، لا دلالة، إشارة إلی الاعتراض الأوّل و هو منع استلزام استدلاله صلی اللّه علیه و آله بعدم الوجدان للدلالة علی عدم الوجود بالتقریب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إیراده الثانی إشارة إلی الاعتراض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فیمکن دفع الاعتراضین و رفع الإیرادین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فلتوقّفه علی ثبوت نکتة و فائدة مأنوسة لنفس الاستدلال غیر إفادة الدلالة، و أنّی له بإثباته؟</w:t>
      </w:r>
    </w:p>
    <w:p>
      <w:pPr>
        <w:pStyle w:val="BookText"/>
        <w:rPr/>
      </w:pPr>
      <w:r>
        <w:rPr>
          <w:rFonts w:ascii="IRNazanin" w:hAnsi="IRNazanin" w:eastAsia="IRNazanin"/>
          <w:color w:val="111111"/>
          <w:sz w:val="28"/>
          <w:sz w:val="28"/>
          <w:szCs w:val="28"/>
          <w:rtl w:val="true"/>
          <w:lang w:bidi="fa-IR"/>
        </w:rPr>
        <w:t>و أما الثانی، فلأنّ ما یتخیّل من الفرق بین عدم وجدانه صلّی اللّه علیه و آله التحریم فیفید القطع بالعدم، و بین عدم وجداننا فلا یفیده، فممنوع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لمجرّد أنه لو کان دلیل علی الحرمة فی غیر ما بأیدینا لوصل إلینا فعدم الوصول بقضاء العادة، و توفیر الدّواعی، دلیل علی عدمه، حتی یختص دلالته بما یعمّ به البلوی من المسائل دون ما لا یعمّ به البلوی منها، بل لأنّ دعوی العلم الإجمالی باختفاء کثیر من الأحکام وراء ما بأیدینا المستند إلیها الفرق ممنوعة جدا، و إلّا للزم عدم فائدة الفحص عن المخصّص و المعارض فی ما بأیدینا من الأحکام لبقاء أثر العلم الإجمالی بعده</w:t>
      </w:r>
      <w:r>
        <w:rPr>
          <w:rFonts w:eastAsia="IRNazanin" w:cs="IRNazanin"/>
          <w:color w:val="111111"/>
          <w:sz w:val="28"/>
          <w:szCs w:val="28"/>
          <w:rtl w:val="true"/>
          <w:lang w:bidi="fa-IR"/>
        </w:rPr>
        <w:t>.</w:t>
      </w:r>
    </w:p>
    <w:p>
      <w:pPr>
        <w:pStyle w:val="Heading4"/>
        <w:numPr>
          <w:ilvl w:val="3"/>
          <w:numId w:val="1"/>
        </w:numPr>
        <w:rPr/>
      </w:pPr>
      <w:bookmarkStart w:id="959" w:name="__RefHeading___Toc2647024_3224264995"/>
      <w:bookmarkStart w:id="960" w:name="_Toc383"/>
      <w:bookmarkEnd w:id="959"/>
      <w:r>
        <w:rPr>
          <w:rtl w:val="true"/>
        </w:rPr>
        <w:t>[</w:t>
      </w:r>
      <w:r>
        <w:rPr>
          <w:rtl w:val="true"/>
        </w:rPr>
        <w:t>کفایة الفحص عن المخصّص و المعارض فی ما بأیدینا لجواز العمل بالعمومات و الأدلّة</w:t>
      </w:r>
      <w:r>
        <w:rPr>
          <w:rtl w:val="true"/>
        </w:rPr>
        <w:t>]</w:t>
      </w:r>
      <w:bookmarkEnd w:id="96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فاتّفاقهم علی کفایة الفحص عن المخصّص و المعارض عمّا بأیدینا من الأحکام فی جواز العمل بالعمومات و الأدلة، دلیل علی عدم علم </w:t>
      </w:r>
      <w:bookmarkStart w:id="961" w:name="pg12856_162737"/>
    </w:p>
    <w:p>
      <w:pPr>
        <w:pStyle w:val="BookText"/>
        <w:rPr/>
      </w:pPr>
      <w:bookmarkEnd w:id="961"/>
      <w:r>
        <w:rPr>
          <w:rFonts w:ascii="IRNazanin" w:hAnsi="IRNazanin" w:eastAsia="IRNazanin"/>
          <w:color w:val="111111"/>
          <w:sz w:val="28"/>
          <w:sz w:val="28"/>
          <w:szCs w:val="28"/>
          <w:rtl w:val="true"/>
          <w:lang w:bidi="fa-IR"/>
        </w:rPr>
        <w:t>إجمالیّ بشی‌ء ممّا وراء ما بأیدینا من الأحکام، و أنّه علم فی الجملة یرتفع أثره بعد الفحص حسبما فصّل فی باب الفحص عن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النزاع فی الشبهة التحریمیة فی ما نحن فیه لیس منشؤه احتمال وجود النص فیه علی التحریم المختفی علینا حتی یستند الفرق إلیه، بل منشأ النزاع إنّما هو مجرّد احتمال التحریم فی الواقع، و لو علم عدم وجود النصّ علیه لا فی ما بأیدینا و لا فی غیر ما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لم یبق فرق بین عدم وجدانه صلی اللّه علیه و آله و عدم وجداننا إذ کما انّ احتمال الحرمة الواقعیة اللازم لطبیعة البشریة لا یقدح فی دلالة عدم وجدانه صلی اللّه علیه و آله علی العدم، کذلک لا یقدح فی دلالة عدم وجداننا علی العدم کما لا یخفی</w:t>
      </w:r>
      <w:r>
        <w:rPr>
          <w:rFonts w:eastAsia="IRNazanin" w:cs="IRNazanin"/>
          <w:color w:val="111111"/>
          <w:sz w:val="28"/>
          <w:szCs w:val="28"/>
          <w:rtl w:val="true"/>
          <w:lang w:bidi="fa-IR"/>
        </w:rPr>
        <w:t>.</w:t>
      </w:r>
    </w:p>
    <w:p>
      <w:pPr>
        <w:pStyle w:val="Heading4"/>
        <w:numPr>
          <w:ilvl w:val="3"/>
          <w:numId w:val="1"/>
        </w:numPr>
        <w:rPr/>
      </w:pPr>
      <w:bookmarkStart w:id="962" w:name="__RefHeading___Toc2647026_3224264995"/>
      <w:bookmarkStart w:id="963" w:name="_Toc384"/>
      <w:bookmarkEnd w:id="962"/>
      <w:r>
        <w:rPr>
          <w:rtl w:val="true"/>
        </w:rPr>
        <w:t>[</w:t>
      </w:r>
      <w:r>
        <w:rPr>
          <w:rtl w:val="true"/>
        </w:rPr>
        <w:t>آیات دالّة علی عدم تحریم ما لا نصّ فیه</w:t>
      </w:r>
      <w:r>
        <w:rPr>
          <w:rtl w:val="true"/>
        </w:rPr>
        <w:t>]</w:t>
      </w:r>
      <w:bookmarkEnd w:id="963"/>
    </w:p>
    <w:p>
      <w:pPr>
        <w:pStyle w:val="BookText"/>
        <w:rPr/>
      </w:pPr>
      <w:r>
        <w:rPr>
          <w:rFonts w:ascii="Amiri" w:hAnsi="Amiri" w:eastAsia="Amiri" w:cs="Amiri"/>
          <w:color w:val="111111"/>
          <w:sz w:val="28"/>
          <w:sz w:val="28"/>
          <w:szCs w:val="28"/>
          <w:rtl w:val="true"/>
          <w:lang w:bidi="ar-SA"/>
        </w:rPr>
        <w:t>ثمّ إن فی المقام طائفة أخری من الآیات أصرح دلالة علی المطلوب ممّا ذکر، قد أهملها الماتن و لم نتحقق وجهه،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لَکُمْ ما فِی الْأَرْضِ جَمِیعاً</w:t>
      </w:r>
      <w:r>
        <w:rPr>
          <w:rStyle w:val="FootnoteAnchor"/>
          <w:rtl w:val="true"/>
        </w:rPr>
        <w:footnoteReference w:id="31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w:t>
      </w:r>
      <w:r>
        <w:rPr>
          <w:rStyle w:val="FootnoteAnchor"/>
          <w:rtl w:val="true"/>
        </w:rPr>
        <w:footnoteReference w:id="312"/>
      </w:r>
      <w:r>
        <w:rPr>
          <w:rFonts w:ascii="IRNazanin" w:hAnsi="IRNazanin" w:eastAsia="IRNazanin"/>
          <w:color w:val="111111"/>
          <w:sz w:val="28"/>
          <w:sz w:val="28"/>
          <w:szCs w:val="28"/>
          <w:rtl w:val="true"/>
          <w:lang w:bidi="fa-IR"/>
        </w:rPr>
        <w:t>فإنها کالصّریح فی الدلالة علی عدم تحریم ما لا نصّ فیه سیما بملاحظة وقوعها موقع الامتنان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 بملاحظة تکرّر مضمونها فیما یقرب من نیف و عشرین آیة من القرآن، سیما بملاحظة تأکّد منطوقاتها الصریحة بمفاهیم حصره المحرّمات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w:t>
      </w:r>
      <w:r>
        <w:rPr>
          <w:rStyle w:val="FootnoteAnchor"/>
          <w:rtl w:val="true"/>
        </w:rPr>
        <w:footnoteReference w:id="313"/>
      </w:r>
      <w:r>
        <w:rPr>
          <w:rFonts w:ascii="Amiri" w:hAnsi="Amiri" w:eastAsia="Amiri" w:cs="Amiri"/>
          <w:color w:val="111111"/>
          <w:sz w:val="28"/>
          <w:sz w:val="28"/>
          <w:szCs w:val="28"/>
          <w:rtl w:val="true"/>
          <w:lang w:bidi="ar-SA"/>
        </w:rPr>
        <w:t>الآیة،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w:t>
      </w:r>
    </w:p>
    <w:p>
      <w:pPr>
        <w:pStyle w:val="BookText"/>
        <w:rPr/>
      </w:pPr>
      <w:r>
        <w:rPr>
          <w:rFonts w:ascii="Amiri" w:hAnsi="Amiri" w:eastAsia="Amiri" w:cs="Amiri"/>
          <w:color w:val="111111"/>
          <w:sz w:val="28"/>
          <w:sz w:val="28"/>
          <w:szCs w:val="28"/>
          <w:rtl w:val="true"/>
          <w:lang w:bidi="ar-SA"/>
        </w:rPr>
        <w:t>تُشْرِکُوا بِاللَّهِ ما لَمْ یُنَزِّلْ بِهِ سُلْطاناً وَ أَنْ تَقُولُوا عَلَی اللَّهِ ما لا تَعْلَمُونَ</w:t>
      </w:r>
      <w:r>
        <w:rPr>
          <w:rStyle w:val="FootnoteAnchor"/>
          <w:rtl w:val="true"/>
        </w:rPr>
        <w:footnoteReference w:id="314"/>
      </w:r>
      <w:r>
        <w:rPr>
          <w:rFonts w:ascii="IRNazanin" w:hAnsi="IRNazanin" w:eastAsia="IRNazanin"/>
          <w:color w:val="111111"/>
          <w:sz w:val="28"/>
          <w:sz w:val="28"/>
          <w:szCs w:val="28"/>
          <w:rtl w:val="true"/>
          <w:lang w:bidi="fa-IR"/>
        </w:rPr>
        <w:t>إلی غیر ذلک من المفاهیم الصریحة فی أن حلّ الطیبات و التمتّع بالمستلذات لیس بحرام، بل الحکم بحرمتها حرام لدخوله فی وَ أَنْ تَقُولُوا عَلَی اللَّهِ ما لا تَعْلَمُونَ سیما بملاحظة استدلال جمهور علماء العامة و الخاصّة بتلک الآیات علی أن الأصل فی الأشیاء الاباحة تأکیدا للعقل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فی تفسیره</w:t>
      </w:r>
      <w:r>
        <w:rPr>
          <w:rStyle w:val="FootnoteAnchor"/>
          <w:rtl w:val="true"/>
        </w:rPr>
        <w:footnoteReference w:id="315"/>
      </w:r>
      <w:r>
        <w:rPr>
          <w:rFonts w:ascii="IRNazanin" w:hAnsi="IRNazanin" w:eastAsia="IRNazanin"/>
          <w:color w:val="111111"/>
          <w:sz w:val="28"/>
          <w:sz w:val="28"/>
          <w:szCs w:val="28"/>
          <w:rtl w:val="true"/>
          <w:lang w:bidi="fa-IR"/>
        </w:rPr>
        <w:t>، و المجلسی فی کتاب السماء و العالم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یعتذر عن إهمالها بوجوه غیر وجیهة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هذه الطائفة من الآیات علی الإباحة الشرعیة فی ما لا نصّ فیه، و الحال أنّ النزاع فی الأعم منها و من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هذا غیر قادح فی الاستدلال إن لم یکن أنفع به لأنه مثبت للمدّعی و زیادة لا أنّه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توهّمه غیر واحد من حضّار الدرس من أنّ دلالتها إنما هو علی إباحة الاستنفاع بما فی الأرض فی الجملة، و أمّا کیفیّة الاستنفاع و کمّیته فیتوقّف علی إذن و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بمنافاة ذلک لورود تلک الآیات مورد الامتنان، و بإیراثه إجمال الآیات المخالف للأصل و لوظیفة الشارع الذی هو معنی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توهّمه بعض الحضّار أیضا من أن معنی الآیة هو إباحة الاستنفاع و الانتفاع بما فیه منفعة واقعیة، و أمّا تشخیص موضوع النافع عن غیر النافع فی الواقع فیتوقّف علی إذن و بیان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الإباحة المستفادة من الآیة متعلّقة بمطلق ما فی الأرض لا بخصوص النافع منه</w:t>
      </w:r>
      <w:r>
        <w:rPr>
          <w:rFonts w:eastAsia="IRNazanin" w:cs="IRNazanin"/>
          <w:color w:val="111111"/>
          <w:sz w:val="28"/>
          <w:szCs w:val="28"/>
          <w:rtl w:val="true"/>
          <w:lang w:bidi="fa-IR"/>
        </w:rPr>
        <w:t xml:space="preserve">. </w:t>
      </w:r>
      <w:bookmarkStart w:id="964" w:name="pg12856_162739"/>
    </w:p>
    <w:p>
      <w:pPr>
        <w:pStyle w:val="BookText"/>
        <w:rPr/>
      </w:pPr>
      <w:bookmarkEnd w:id="964"/>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تعلّقه بخصوص النافع فهو من الموضوعات المستنبطة التی مرجع استنباطها إلی عرف الشارع إن کان له عرف فیها، و العرف العام إن لم یکن، و مطلق الظن إن لم یکونا من غیر أن یتوقّف علی إذن خاص و بیان جدید کما توهّم، مضافا إلی أنّ توقّفه علی ذلک مناف للامتنان و أصالة عدم الإجمال و وظیفة الشارع، أ لا تری انّک لو مننت علی أحد بضیافة و وضع طعام أمامه، ثمّ تقیّد إباحته علیه بالاحتیاج إلی إذن جدید فی کیفیّة الأکل و کمّیته و تفصیله، کان قبیحا عند العقل بالغایة، و فضیحا عند العرف بالنهایة؟ فإذا لم یرض العقل و لا العرف بهذا الامتنان من أدنی الناس رتبة فکیف یرضاه و یجوّزه علی أکرم الأکرمین و خالقهم من حیث 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الفجاج إلّا من فرط اللجاج، و کثرة الاعوجاج، و الانحراف عن المنهاج، أعاذنا اللّه منه و من سائر أمراض المزاج</w:t>
      </w:r>
      <w:r>
        <w:rPr>
          <w:rFonts w:eastAsia="IRNazanin" w:cs="IRNazanin"/>
          <w:color w:val="111111"/>
          <w:sz w:val="28"/>
          <w:szCs w:val="28"/>
          <w:rtl w:val="true"/>
          <w:lang w:bidi="fa-IR"/>
        </w:rPr>
        <w:t>.</w:t>
      </w:r>
    </w:p>
    <w:p>
      <w:pPr>
        <w:pStyle w:val="Heading4"/>
        <w:numPr>
          <w:ilvl w:val="3"/>
          <w:numId w:val="1"/>
        </w:numPr>
        <w:rPr/>
      </w:pPr>
      <w:bookmarkStart w:id="965" w:name="__RefHeading___Toc2647028_3224264995"/>
      <w:bookmarkStart w:id="966" w:name="_Toc385"/>
      <w:bookmarkEnd w:id="965"/>
      <w:r>
        <w:rPr>
          <w:rtl w:val="true"/>
        </w:rPr>
        <w:t>[</w:t>
      </w:r>
      <w:r>
        <w:rPr>
          <w:rtl w:val="true"/>
        </w:rPr>
        <w:t>الجواب علی إیراد الماتن علی الآیات و الأخبار المستدلّ بها علی البراءة</w:t>
      </w:r>
      <w:r>
        <w:rPr>
          <w:rtl w:val="true"/>
        </w:rPr>
        <w:t>]</w:t>
      </w:r>
      <w:bookmarkEnd w:id="966"/>
    </w:p>
    <w:p>
      <w:pPr>
        <w:pStyle w:val="BookText"/>
        <w:rPr/>
      </w:pPr>
      <w:r>
        <w:rPr>
          <w:rFonts w:ascii="IRNazanin" w:hAnsi="IRNazanin" w:eastAsia="IRNazanin"/>
          <w:color w:val="111111"/>
          <w:sz w:val="28"/>
          <w:sz w:val="28"/>
          <w:szCs w:val="28"/>
          <w:rtl w:val="true"/>
          <w:lang w:bidi="fa-IR"/>
        </w:rPr>
        <w:t>و أمّا إیراد المتن علی جمیع الآیات و الأخبار المذکورة فی المضمار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ما ذکرنا من أنّ الآیات المذکورة لا تنهض علی إبطال القول بالاحتیاط، إلخ</w:t>
      </w:r>
      <w:r>
        <w:rPr>
          <w:rStyle w:val="FootnoteAnchor"/>
          <w:rtl w:val="true"/>
        </w:rPr>
        <w:footnoteReference w:id="317"/>
      </w:r>
      <w:r>
        <w:rPr>
          <w:rFonts w:ascii="IRNazanin" w:hAnsi="IRNazanin" w:eastAsia="IRNazanin"/>
          <w:color w:val="111111"/>
          <w:sz w:val="28"/>
          <w:sz w:val="28"/>
          <w:szCs w:val="28"/>
          <w:rtl w:val="true"/>
          <w:lang w:bidi="fa-IR"/>
        </w:rPr>
        <w:t>، فیمکن الجواب عنه بوجوه</w:t>
      </w:r>
      <w:r>
        <w:rPr>
          <w:rFonts w:eastAsia="IRNazanin" w:cs="IRNazanin"/>
          <w:color w:val="111111"/>
          <w:sz w:val="28"/>
          <w:szCs w:val="28"/>
          <w:rtl w:val="true"/>
          <w:lang w:bidi="fa-IR"/>
        </w:rPr>
        <w:t>:</w:t>
      </w:r>
    </w:p>
    <w:p>
      <w:pPr>
        <w:pStyle w:val="Heading4"/>
        <w:numPr>
          <w:ilvl w:val="3"/>
          <w:numId w:val="1"/>
        </w:numPr>
        <w:rPr/>
      </w:pPr>
      <w:bookmarkStart w:id="967" w:name="__RefHeading___Toc2647030_3224264995"/>
      <w:bookmarkStart w:id="968" w:name="_Toc386"/>
      <w:bookmarkEnd w:id="967"/>
      <w:r>
        <w:rPr>
          <w:rtl w:val="true"/>
        </w:rPr>
        <w:t>[</w:t>
      </w:r>
      <w:r>
        <w:rPr>
          <w:rtl w:val="true"/>
        </w:rPr>
        <w:t>دراسة فی قول الاخباریة بالاحتیاط فی الشبهة التحریمیة</w:t>
      </w:r>
      <w:r>
        <w:rPr>
          <w:rtl w:val="true"/>
        </w:rPr>
        <w:t>]</w:t>
      </w:r>
      <w:bookmarkEnd w:id="96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عدم نزاع الأخباریة فی أصالة البراءة عن التکلیف فی ما لم یعلم بعقل أو نقل التکلیف به، و انحصار دعواهم فی قیام الدلیل العقلی أو النقلی الوارد علی ذلک الأصل، بل الظاهر من جلّهم أو کلّهم أنّ وجوب الاحتیاط فی الشبهة التحریمیة الذی نحن فیه إنّما هو من مقتضی نفس احتمال الحرمة الواقعیة لا من مقتضی الدلیل الخارجی الوارد علی أصالة البراءة المسلّمة، بل الظاهر أنّ جمیع ما تمسّکوا به علی الاحتیاط من العقل و النقل إنّما یریدون به الاسترشاد إلی استناد الاحتیاط إلی نفس احتمال الحرمة و الشبهة، کما هو ظاهر تلک الأدلّة بل </w:t>
      </w:r>
    </w:p>
    <w:p>
      <w:pPr>
        <w:pStyle w:val="BookText"/>
        <w:rPr/>
      </w:pPr>
      <w:r>
        <w:rPr>
          <w:rFonts w:ascii="IRNazanin" w:hAnsi="IRNazanin" w:eastAsia="IRNazanin"/>
          <w:color w:val="111111"/>
          <w:sz w:val="28"/>
          <w:sz w:val="28"/>
          <w:szCs w:val="28"/>
          <w:rtl w:val="true"/>
          <w:lang w:bidi="fa-IR"/>
        </w:rPr>
        <w:t>صریح بعضها حسبما ستعرف، لا أنّهم یریدون استناد الاحتیاط إلی التعبّد بتلک الأدلّة علی وجه لولاه لکان مقتضی الأصل البراءة عندهم، و إلّا لزم التصالح، و ارتفاع النزاع، و رجوعه إلی النزاع الصغروی بل اللفظی، و هو خلاف الظاهر من أحوالهم و أقوالهم خصوصا القول بالتوقّف، بل الاحتیاط، بل الحرمة الظاهریة لا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من جملة ما یقرب إرادة استنادهم الاحتیاط إلی مجرّد الشبهة و احتمال الحرمة لا إلی الدلیل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من الأشباه و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الحظرین، الحظر فی موارده إلی مجرّد احتمال الحظر و الحرمة فی الواقع لا إلی دلیل خارجی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لزوم دفع الضرر المحتمل فی موارد لزومه إلی مجرّد احتمال الضّرر لا إلی دلیل خارجی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القائلین بأن الحسن و القبح فی الأشیاء ذاتی لا بالوجوه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الزاعم أنّ للحرام الواقعی من المفسدة و المنقصة الذاتیة اللّازمة له قهرا المؤثّرة أثرها فی حال العلم و الجهل کتأثیر سموم الأفاعی و الحیّات تأثیرها فی مطلق الحالات ما یقتضی بنفسه الاحتیاط و الاجتناب عن مشتبه الحرمة، کما یقتضیه مشتبه السمّیة، من غیر أن یقوم علی اقتضائه دلیل خارجی، و حینئذ فیرجع دعوی الأخباریة إلی تثلیث شروط تنجّز الواقع علی المکلف، و المجتهدین إلی تربیعها بإضافة اشتراط العلم فی تنجّزها علی اشتراط العقل و البلوغ و القدرة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 الأخباریة قائلة بأصالة الحظر فی الشبهات و استناد الاحتیاط فیها </w:t>
      </w:r>
      <w:bookmarkStart w:id="969" w:name="pg12856_162741"/>
    </w:p>
    <w:p>
      <w:pPr>
        <w:pStyle w:val="BookText"/>
        <w:rPr/>
      </w:pPr>
      <w:bookmarkEnd w:id="969"/>
      <w:r>
        <w:rPr>
          <w:rFonts w:ascii="IRNazanin" w:hAnsi="IRNazanin" w:eastAsia="IRNazanin"/>
          <w:color w:val="111111"/>
          <w:sz w:val="28"/>
          <w:sz w:val="28"/>
          <w:szCs w:val="28"/>
          <w:rtl w:val="true"/>
          <w:lang w:bidi="fa-IR"/>
        </w:rPr>
        <w:t>إلی مقتضی الأصل الأوّلی الغیر المحتاج إلی دلیل، و أنّ المحتاج إلی الدلیل هو البراءة و عدم الاحتیاط، علی عکس ما یقوله المجتهدون من أنّ البراءة هو مقتضی الأصل الأوّلی الغیر المحتاج ثبوته إلی دلیل، و أنّ المحتاج ثبوته إلی الدّلیل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التقدیر لم یبق إشکال فی ورود الآیات و الأخبار المذکورة فی المضمار علی ردّ الأخباریة و نهوضها علی إبطال دعواهم بأبلغ وجه، من قبیل ورود الدلیل علی الأصل و نهوضه علی ارتفاع مجراه لوضوح أنّ مدلول لسان الآیات و الأخبار الدالّة علی البراءة حینئذ إنّما هو التعرّض لبیان عدم الاعتناء بالشبهة، و احتمال الحرمة الواقعیة ما لم تعلم بها، و إن کان مقتضی احتماله فی الواقع هو التوقّف و الاحتیاط حذرا من الوقوع فیه</w:t>
      </w:r>
      <w:r>
        <w:rPr>
          <w:rFonts w:eastAsia="IRNazanin" w:cs="IRNazanin"/>
          <w:color w:val="111111"/>
          <w:sz w:val="28"/>
          <w:szCs w:val="28"/>
          <w:rtl w:val="true"/>
          <w:lang w:bidi="fa-IR"/>
        </w:rPr>
        <w:t>.</w:t>
      </w:r>
    </w:p>
    <w:p>
      <w:pPr>
        <w:pStyle w:val="Heading4"/>
        <w:numPr>
          <w:ilvl w:val="3"/>
          <w:numId w:val="1"/>
        </w:numPr>
        <w:rPr/>
      </w:pPr>
      <w:bookmarkStart w:id="970" w:name="__RefHeading___Toc2647032_3224264995"/>
      <w:bookmarkStart w:id="971" w:name="_Toc387"/>
      <w:bookmarkEnd w:id="970"/>
      <w:r>
        <w:rPr>
          <w:rtl w:val="true"/>
        </w:rPr>
        <w:t>[</w:t>
      </w:r>
      <w:r>
        <w:rPr>
          <w:rtl w:val="true"/>
        </w:rPr>
        <w:t>جواب آخر عن إیراد الماتن علی الآیات و الأخبار المستدلّ بها علی البراءة</w:t>
      </w:r>
      <w:r>
        <w:rPr>
          <w:rtl w:val="true"/>
        </w:rPr>
        <w:t>]</w:t>
      </w:r>
      <w:bookmarkEnd w:id="971"/>
    </w:p>
    <w:p>
      <w:pPr>
        <w:pStyle w:val="BookText"/>
        <w:rPr/>
      </w:pPr>
      <w:r>
        <w:rPr>
          <w:rFonts w:ascii="IRNazanin" w:hAnsi="IRNazanin" w:eastAsia="IRNazanin"/>
          <w:color w:val="111111"/>
          <w:sz w:val="28"/>
          <w:sz w:val="28"/>
          <w:szCs w:val="28"/>
          <w:rtl w:val="true"/>
          <w:lang w:bidi="fa-IR"/>
        </w:rPr>
        <w:t>و من جملة وجوه الجواب عن إیراد المتن علی مجموع الآیات و الأخبار بعدم نهوضها إلی إبطال القول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تلک الآیات کثیرا ما یأبی سیاقها و لسانها إباء شدیدا عن المأموریة و المحکومیة لأدلّة الاحتیاط بحیث لم یبق معها مسرح لجواب الأخباریة بورود أدلّة الاحتیاط علیها کآیة قُلْ لا أَجِدُ فِی ما أُوحِیَ إِلَیَّ مُحَرَّماً</w:t>
      </w:r>
      <w:r>
        <w:rPr>
          <w:rStyle w:val="FootnoteAnchor"/>
          <w:rtl w:val="true"/>
        </w:rPr>
        <w:footnoteReference w:id="318"/>
      </w:r>
      <w:r>
        <w:rPr>
          <w:rFonts w:ascii="Amiri" w:hAnsi="Amiri" w:eastAsia="Amiri" w:cs="Amiri"/>
          <w:color w:val="111111"/>
          <w:sz w:val="28"/>
          <w:sz w:val="28"/>
          <w:szCs w:val="28"/>
          <w:rtl w:val="true"/>
          <w:lang w:bidi="ar-SA"/>
        </w:rPr>
        <w:t>و آیة وَ ما لَکُمْ أَلَّا تَأْکُلُوا مِمَّا ذُکِرَ اسْمُ اللَّهِ عَلَیْهِ وَ قَدْ فَصَّلَ لَکُمْ ما حَرَّمَ</w:t>
      </w:r>
      <w:r>
        <w:rPr>
          <w:rStyle w:val="FootnoteAnchor"/>
          <w:rtl w:val="true"/>
        </w:rPr>
        <w:footnoteReference w:id="319"/>
      </w:r>
      <w:r>
        <w:rPr>
          <w:rFonts w:ascii="Amiri" w:hAnsi="Amiri" w:eastAsia="Amiri" w:cs="Amiri"/>
          <w:color w:val="111111"/>
          <w:sz w:val="28"/>
          <w:sz w:val="28"/>
          <w:szCs w:val="28"/>
          <w:rtl w:val="true"/>
          <w:lang w:bidi="ar-SA"/>
        </w:rPr>
        <w:t>و آیة قُلْ مَنْ حَرَّمَ زِینَةَ اللَّهِ</w:t>
      </w:r>
      <w:r>
        <w:rPr>
          <w:rStyle w:val="FootnoteAnchor"/>
          <w:rtl w:val="true"/>
        </w:rPr>
        <w:footnoteReference w:id="320"/>
      </w:r>
      <w:r>
        <w:rPr>
          <w:rFonts w:ascii="IRNazanin" w:hAnsi="IRNazanin" w:eastAsia="IRNazanin"/>
          <w:color w:val="111111"/>
          <w:sz w:val="28"/>
          <w:sz w:val="28"/>
          <w:szCs w:val="28"/>
          <w:rtl w:val="true"/>
          <w:lang w:bidi="fa-IR"/>
        </w:rPr>
        <w:t>و ذلک لرجوع مدلول هذه الطائفة من الآیات علی تقدیر مورودیّتها و محکومیّتها لأدلّة الاحتیاط إلی مثل تصریح الشارع فی ضمن تلک الأخبار بأنّی لا أحرّم الشبهة التحریمیة ما لم أبیّن تحریمها، و لکن بیّنت تحریمها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البیّن انّ المقصود إن کان تحریم الشبهة التحریمیة فمجرّد الابتداء </w:t>
      </w:r>
      <w:bookmarkStart w:id="972" w:name="pg12856_162742"/>
    </w:p>
    <w:p>
      <w:pPr>
        <w:pStyle w:val="BookText"/>
        <w:rPr/>
      </w:pPr>
      <w:bookmarkEnd w:id="972"/>
      <w:r>
        <w:rPr>
          <w:rFonts w:ascii="IRNazanin" w:hAnsi="IRNazanin" w:eastAsia="IRNazanin"/>
          <w:color w:val="111111"/>
          <w:sz w:val="28"/>
          <w:sz w:val="28"/>
          <w:szCs w:val="28"/>
          <w:rtl w:val="true"/>
          <w:lang w:bidi="fa-IR"/>
        </w:rPr>
        <w:t>بتحریمه مغن عن التطویل المتقدّم بما لا طائل تحته، و بمنزلة الأکل من القفاء ضرورة أنّه لم یبق مورد أصلا و لا فائدة رأسا لتلک الأخبار النافیة للتحریم، مع کثرتها و ورودها مورد الامتنان بعد ورود التحریم علیها علی الوجه المستوعب لموردها، و هو بمکان من الحزازة و الخروج عن کلام العقلاء، فضلا عن البلغاء، نظیر استهجان الاستثناء و التخصیص المستوعبین، فینزّه عنه کلام أبلغ البلغاء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یستوعب التحریم الوارد جمیع موارد المورود علیه، کما لو فرض ورود التحریم علی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w:t>
      </w:r>
      <w:r>
        <w:rPr>
          <w:rStyle w:val="FootnoteAnchor"/>
          <w:rtl w:val="true"/>
        </w:rPr>
        <w:footnoteReference w:id="321"/>
      </w:r>
      <w:r>
        <w:rPr>
          <w:rFonts w:ascii="IRNazanin" w:hAnsi="IRNazanin" w:eastAsia="IRNazanin"/>
          <w:color w:val="111111"/>
          <w:sz w:val="28"/>
          <w:sz w:val="28"/>
          <w:szCs w:val="28"/>
          <w:rtl w:val="true"/>
          <w:lang w:bidi="fa-IR"/>
        </w:rPr>
        <w:t>و مثل حدیث الرفع</w:t>
      </w:r>
      <w:r>
        <w:rPr>
          <w:rStyle w:val="FootnoteAnchor"/>
          <w:rtl w:val="true"/>
        </w:rPr>
        <w:footnoteReference w:id="322"/>
      </w:r>
      <w:r>
        <w:rPr>
          <w:rFonts w:ascii="IRNazanin" w:hAnsi="IRNazanin" w:eastAsia="IRNazanin"/>
          <w:color w:val="111111"/>
          <w:sz w:val="28"/>
          <w:sz w:val="28"/>
          <w:szCs w:val="28"/>
          <w:rtl w:val="true"/>
          <w:lang w:bidi="fa-IR"/>
        </w:rPr>
        <w:t>، و نحوهما ممّا یعمّ مورده الشبهة التحریمیة و غیرها بحیث یبقی لها مورد بعد إخراج الشبهة التحریمیة اتّجه الجواب عن الأخباریة بموردیّتها و محکومیّتها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عرفت عدم انحصار آیات البراءة بها، و معه لم یبق لإطلاق جواب المجیب عن الأخباریّة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عنه فهو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الشبهة و التنظیر إنّما هو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فی الشبهة الحکمیّة فإن الشبهة فی الموضوعات إنّما یستند بالأصالة إلی طروّ الموانع الخارجیّة من ظلمة و نحوها لا إلی حجاب اللّه،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973" w:name="__RefHeading___Toc2647034_3224264995"/>
      <w:bookmarkStart w:id="974" w:name="_Toc388"/>
      <w:bookmarkEnd w:id="973"/>
      <w:r>
        <w:rPr>
          <w:rtl w:val="true"/>
        </w:rPr>
        <w:t>[</w:t>
      </w:r>
      <w:r>
        <w:rPr>
          <w:rtl w:val="true"/>
        </w:rPr>
        <w:t>رفع الایراد عن حدیث الرفع</w:t>
      </w:r>
      <w:r>
        <w:rPr>
          <w:rtl w:val="true"/>
        </w:rPr>
        <w:t>]</w:t>
      </w:r>
      <w:bookmarkEnd w:id="97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ما یمکن الإیراد به علی حدیث الرفع هو المناقشة فی سنده أو دلالته أو دعوی وهنه، و لا شی‌ء منها بوارد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المناقشة فی سنده بأنّه نبویّ، فمدفوع بوروده فی الأخبار الوصویة بمسانید صحیحة مضافا إلی شهرتها روایة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المستدرکات</w:t>
      </w:r>
      <w:r>
        <w:rPr>
          <w:rStyle w:val="FootnoteAnchor"/>
          <w:rtl w:val="true"/>
        </w:rPr>
        <w:footnoteReference w:id="324"/>
      </w:r>
      <w:r>
        <w:rPr>
          <w:rFonts w:ascii="IRNazanin" w:hAnsi="IRNazanin" w:eastAsia="IRNazanin"/>
          <w:color w:val="111111"/>
          <w:sz w:val="28"/>
          <w:sz w:val="28"/>
          <w:szCs w:val="28"/>
          <w:rtl w:val="true"/>
          <w:lang w:bidi="fa-IR"/>
        </w:rPr>
        <w:t xml:space="preserve">نقله عن فقه الرضا بزیادة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اتّقی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علیه السّلام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جهلوا حتّی یعلموا</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النبیّ صلی اللّه علیه و آله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 به أنفسهم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إلی غیر ذلک ممّا یثبت کون الحدیث متواترا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بوهنه لاشتمال آخره علی رفع ما ینافی ظاهر الأخبار الکثیرة کرفع الحسد و الطیرة و الوسوسة، بل و علی ما ینافی ظاهره لتنزیه الأنبیاء عمّا یجب تنزیههم،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لم یعر منها نبیّ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 الحسد و التفکّر</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فیرتفع بما تصدّی له الماتن</w:t>
      </w:r>
      <w:r>
        <w:rPr>
          <w:rStyle w:val="FootnoteAnchor"/>
          <w:rtl w:val="true"/>
        </w:rPr>
        <w:footnoteReference w:id="328"/>
      </w:r>
      <w:r>
        <w:rPr>
          <w:rFonts w:ascii="IRNazanin" w:hAnsi="IRNazanin" w:eastAsia="IRNazanin"/>
          <w:color w:val="111111"/>
          <w:sz w:val="28"/>
          <w:sz w:val="28"/>
          <w:szCs w:val="28"/>
          <w:rtl w:val="true"/>
          <w:lang w:bidi="fa-IR"/>
        </w:rPr>
        <w:t>فی خاتمة الحدیث من الجمع و الشرح بما لا مزید علیه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المناقشة فی دلالته بما ذکره الماتن من أنّ الظاهر من الموصول فی ما لا یعلمون بقرینة أخواتها هو الموضوع</w:t>
      </w:r>
      <w:r>
        <w:rPr>
          <w:rStyle w:val="FootnoteAnchor"/>
          <w:rtl w:val="true"/>
        </w:rPr>
        <w:footnoteReference w:id="329"/>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أغلبیّة السهو و النسیان فی الموضوعات منه فی الأحکام من جهة أعمیّة الابتلاء بالموضوعات منه فی الأحکام، و وجوب الفحص فی الأحکام دون الموضوعات بخلاف الجهل فإنّه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فیضعف أولا بما سنبیّنه من أنّ الأظهر هو عموم الموصول فی أخواتها علی وجه یشمل الموضوع و الحکم باستظهار أن یکون المعنی هو رفع منشئیّة السهو و أخواته للمؤاخذة أو لشی‌ء من الآثار لا رفع المؤاخذة علی نفس المذکورات حتی یرد علیه ما فی المتن من أنّه لا معنی للمؤاخذة علی نفس الحرمة المجهولة فیختصّ بالشبهات الموضوعیة، بل رفع منشئیّة المذکورات </w:t>
      </w:r>
      <w:bookmarkStart w:id="975" w:name="pg12856_162744"/>
    </w:p>
    <w:p>
      <w:pPr>
        <w:pStyle w:val="BookText"/>
        <w:rPr/>
      </w:pPr>
      <w:bookmarkEnd w:id="975"/>
      <w:r>
        <w:rPr>
          <w:rFonts w:ascii="IRNazanin" w:hAnsi="IRNazanin" w:eastAsia="IRNazanin"/>
          <w:color w:val="111111"/>
          <w:sz w:val="28"/>
          <w:sz w:val="28"/>
          <w:szCs w:val="28"/>
          <w:rtl w:val="true"/>
          <w:lang w:bidi="fa-IR"/>
        </w:rPr>
        <w:t>للمؤاخذة أو لشی‌ء من الآثار المجعولة فیعمّ رفع المؤاخذة علی نفسها المتحقّق فی الشبهات الموضوعیة، و علی ما یترتّب علی نفسها المتحقّق فی الشبهات الحکمیة کرفع ما یترتّب علی الوطی من المهر فی النکاح المکره و أخواته، و علی الأکل من ضمان قیمة المأکول فی البیع المکره و أخواته، و علی تخلّل جزء أو شرط من القضاء و الإعادة فی العبادات المکرهة و المنسیّة و أخواتهما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اختصاص الموصول فی أخوات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بالموضوع لکن مجرّد ذلک لا یوجب تخصیص عموم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قرینیّة ذلک علی التخصیص لا عقلا و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الظاهر أنّ نسبة الرفع إلی مجموع التسعة علی نسق واحد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فیتعیّن معنی الرفع فی أحد التقدیرین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تقدیر رفع خصوص المؤاخذة، أو رفع جمیع الآثار التکلیفیّة و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یترتّب علی کلّ من التقدیرین فوائد و ثمرات کما أنّ لکلّ منهما مقرّبات و مبعّدات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الفوائد و الثمرات المترتّبة علی تقدیر رفع جمیع الآثار التکلیفیّة و الوضعیّة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تأسّس أصل أصیل و هو تقیید جمیع الأجزاء و الشروط المعتبرة فی الماهیّات بالاختبار و العلم شرعا إلّا ما خرج بالدلیل کأرکان الصلاة و ذلک لعموم رفع الإکراه و النسیان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2647036_3224264995"/>
      <w:bookmarkStart w:id="977" w:name="_Toc389"/>
      <w:bookmarkEnd w:id="976"/>
      <w:r>
        <w:rPr>
          <w:rtl w:val="true"/>
        </w:rPr>
        <w:t>[</w:t>
      </w:r>
      <w:r>
        <w:rPr>
          <w:rtl w:val="true"/>
        </w:rPr>
        <w:t>و منها</w:t>
      </w:r>
      <w:r>
        <w:rPr>
          <w:rtl w:val="true"/>
        </w:rPr>
        <w:t xml:space="preserve">: </w:t>
      </w:r>
      <w:r>
        <w:rPr>
          <w:rtl w:val="true"/>
        </w:rPr>
        <w:t>أصالة الاجزاء</w:t>
      </w:r>
      <w:r>
        <w:rPr>
          <w:rtl w:val="true"/>
        </w:rPr>
        <w:t>]</w:t>
      </w:r>
      <w:bookmarkEnd w:id="9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تأسّس أصالة الإجزاء فی جمیع العبادات الصادرة عن المکلّف علی وجه التقیّة من الصلاة و الصوم و الحجّ و الوضوء و الغسل و غیرها فیسقط القضاء و الإعادة فیها بعد رفع التقیّة إلّا ما خرج بالدلیل، و ذلک أیضا لعموم رفع ما </w:t>
      </w:r>
      <w:bookmarkStart w:id="978" w:name="pg12856_162745"/>
    </w:p>
    <w:p>
      <w:pPr>
        <w:pStyle w:val="BookText"/>
        <w:rPr/>
      </w:pPr>
      <w:bookmarkEnd w:id="978"/>
      <w:r>
        <w:rPr>
          <w:rFonts w:ascii="IRNazanin" w:hAnsi="IRNazanin" w:eastAsia="IRNazanin"/>
          <w:color w:val="111111"/>
          <w:sz w:val="28"/>
          <w:sz w:val="28"/>
          <w:szCs w:val="28"/>
          <w:rtl w:val="true"/>
          <w:lang w:bidi="fa-IR"/>
        </w:rPr>
        <w:t>استکرهوا علیه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2647038_3224264995"/>
      <w:bookmarkStart w:id="980" w:name="_Toc390"/>
      <w:bookmarkEnd w:id="979"/>
      <w:r>
        <w:rPr>
          <w:rtl w:val="true"/>
        </w:rPr>
        <w:t>[</w:t>
      </w:r>
      <w:r>
        <w:rPr>
          <w:rtl w:val="true"/>
        </w:rPr>
        <w:t>و منها</w:t>
      </w:r>
      <w:r>
        <w:rPr>
          <w:rtl w:val="true"/>
        </w:rPr>
        <w:t xml:space="preserve">: </w:t>
      </w:r>
      <w:r>
        <w:rPr>
          <w:rtl w:val="true"/>
        </w:rPr>
        <w:t>کفایة عدم العلم فی نفی الجزء أو الشرط المشکوک جزئیته أو شرطیته</w:t>
      </w:r>
      <w:r>
        <w:rPr>
          <w:rtl w:val="true"/>
        </w:rPr>
        <w:t>]</w:t>
      </w:r>
      <w:bookmarkEnd w:id="98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توقّف تشخیص ماهیّات العبادات المرکّبة من الأجزاء و الشروط علی ما تصدّی لتحقیقه صاحب القوانین</w:t>
      </w:r>
      <w:r>
        <w:rPr>
          <w:rStyle w:val="FootnoteAnchor"/>
          <w:rtl w:val="true"/>
        </w:rPr>
        <w:footnoteReference w:id="332"/>
      </w:r>
      <w:r>
        <w:rPr>
          <w:rFonts w:ascii="IRNazanin" w:hAnsi="IRNazanin" w:eastAsia="IRNazanin"/>
          <w:color w:val="111111"/>
          <w:sz w:val="28"/>
          <w:sz w:val="28"/>
          <w:szCs w:val="28"/>
          <w:rtl w:val="true"/>
          <w:lang w:bidi="fa-IR"/>
        </w:rPr>
        <w:t>من أصالة عدم ما عدا المعلوم جزئیّته أو شرطیّته حتی یناقش بأنّ أصالة عدم الزائد لا یثبت کون الماهیّة فی ما عداه من الأجزاء و الشروط، لکونه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تشخیص ماهیّة کلّ عبادة من العبادات المرکّبة من الأجزاء و الشروط بمجرّد عدم العلم و الوقوف علی جزئیّة ما عدا المعلوم جزئیّته، أو شرطیّته من سائر الأجزاء و الشروط المشکوکة بعموم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کما بنی علیه الفصول قدّس سرّه تشخیص ماهیة العبادات المرکّبة</w:t>
      </w:r>
      <w:r>
        <w:rPr>
          <w:rStyle w:val="FootnoteAnchor"/>
          <w:rtl w:val="true"/>
        </w:rPr>
        <w:footnoteReference w:id="334"/>
      </w:r>
      <w:r>
        <w:rPr>
          <w:rFonts w:ascii="IRNazanin" w:hAnsi="IRNazanin" w:eastAsia="IRNazanin"/>
          <w:color w:val="111111"/>
          <w:sz w:val="28"/>
          <w:sz w:val="28"/>
          <w:szCs w:val="28"/>
          <w:rtl w:val="true"/>
          <w:lang w:bidi="fa-IR"/>
        </w:rPr>
        <w:t>بعد ما کان بانیا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تشخیصها بأصالة العدم لکونه مثبتا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مقرّبات تقدیر خصوص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تبادرها، و أقر بیّتها عرفا من تقدیر جمیع الآثار، کما ادّعاه الماتن</w:t>
      </w:r>
      <w:r>
        <w:rPr>
          <w:rStyle w:val="FootnoteAnchor"/>
          <w:rtl w:val="true"/>
        </w:rPr>
        <w:footnoteReference w:id="336"/>
      </w:r>
      <w:r>
        <w:rPr>
          <w:rFonts w:ascii="IRNazanin" w:hAnsi="IRNazanin" w:eastAsia="IRNazanin"/>
          <w:color w:val="111111"/>
          <w:sz w:val="28"/>
          <w:sz w:val="28"/>
          <w:szCs w:val="28"/>
          <w:rtl w:val="true"/>
          <w:lang w:bidi="fa-IR"/>
        </w:rPr>
        <w:t>و نقله شیخنا العلّامة عن غیره</w:t>
      </w:r>
      <w:r>
        <w:rPr>
          <w:rFonts w:eastAsia="IRNazanin" w:cs="IRNazanin"/>
          <w:color w:val="111111"/>
          <w:sz w:val="28"/>
          <w:szCs w:val="28"/>
          <w:rtl w:val="true"/>
          <w:lang w:bidi="fa-IR"/>
        </w:rPr>
        <w:t>.</w:t>
      </w:r>
    </w:p>
    <w:p>
      <w:pPr>
        <w:pStyle w:val="Heading4"/>
        <w:numPr>
          <w:ilvl w:val="3"/>
          <w:numId w:val="1"/>
        </w:numPr>
        <w:rPr/>
      </w:pPr>
      <w:bookmarkStart w:id="981" w:name="__RefHeading___Toc2647040_3224264995"/>
      <w:bookmarkStart w:id="982" w:name="_Toc391"/>
      <w:bookmarkEnd w:id="981"/>
      <w:r>
        <w:rPr>
          <w:rtl w:val="true"/>
        </w:rPr>
        <w:t>و منها</w:t>
      </w:r>
      <w:r>
        <w:rPr>
          <w:rtl w:val="true"/>
        </w:rPr>
        <w:t xml:space="preserve">: </w:t>
      </w:r>
      <w:r>
        <w:rPr>
          <w:rtl w:val="true"/>
        </w:rPr>
        <w:t>دعوی دوران الأمر بین قلّة الإضمار و کثرته، و الأصل عدم الزائد</w:t>
      </w:r>
      <w:bookmarkEnd w:id="982"/>
    </w:p>
    <w:p>
      <w:pPr>
        <w:pStyle w:val="Heading4"/>
        <w:numPr>
          <w:ilvl w:val="3"/>
          <w:numId w:val="1"/>
        </w:numPr>
        <w:rPr/>
      </w:pPr>
      <w:bookmarkStart w:id="983" w:name="__RefHeading___Toc2647042_3224264995"/>
      <w:bookmarkStart w:id="984" w:name="_Toc392"/>
      <w:bookmarkEnd w:id="983"/>
      <w:r>
        <w:rPr>
          <w:rtl w:val="true"/>
        </w:rPr>
        <w:t>و منها</w:t>
      </w:r>
      <w:r>
        <w:rPr>
          <w:rtl w:val="true"/>
        </w:rPr>
        <w:t xml:space="preserve">: </w:t>
      </w:r>
      <w:r>
        <w:rPr>
          <w:rtl w:val="true"/>
        </w:rPr>
        <w:t>دعوی أنّ المتیقّن هو رفع المؤاخذة فیقتصر علیه</w:t>
      </w:r>
      <w:r>
        <w:rPr>
          <w:rtl w:val="true"/>
        </w:rPr>
        <w:t>.</w:t>
      </w:r>
      <w:bookmarkEnd w:id="984"/>
    </w:p>
    <w:p>
      <w:pPr>
        <w:pStyle w:val="Heading4"/>
        <w:numPr>
          <w:ilvl w:val="3"/>
          <w:numId w:val="1"/>
        </w:numPr>
        <w:rPr/>
      </w:pPr>
      <w:bookmarkStart w:id="985" w:name="__RefHeading___Toc2647044_3224264995"/>
      <w:bookmarkStart w:id="986" w:name="_Toc393"/>
      <w:bookmarkEnd w:id="985"/>
      <w:r>
        <w:rPr>
          <w:rtl w:val="true"/>
        </w:rPr>
        <w:t>[</w:t>
      </w:r>
      <w:r>
        <w:rPr>
          <w:rtl w:val="true"/>
        </w:rPr>
        <w:t>أنّ المصرّح به فیما استوهبه النبیّ لیلة المعراج هو المؤاخذة</w:t>
      </w:r>
      <w:r>
        <w:rPr>
          <w:rtl w:val="true"/>
        </w:rPr>
        <w:t>]</w:t>
      </w:r>
      <w:bookmarkEnd w:id="98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المصرّح به فیما استوهبه النبیّ صلی اللّه علیه و آله من ربّه تعالی لیلة المعراج علی ما حکاه اللّه تعالی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w:t>
      </w:r>
      <w:r>
        <w:rPr>
          <w:rStyle w:val="FootnoteAnchor"/>
          <w:rtl w:val="true"/>
        </w:rPr>
        <w:footnoteReference w:id="33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المؤاخذة فیحمل علیه المقدّر حملا للخبر علی الآیة، و للمقدّر علی </w:t>
      </w:r>
      <w:bookmarkStart w:id="987" w:name="pg12856_162746"/>
    </w:p>
    <w:p>
      <w:pPr>
        <w:pStyle w:val="BookText"/>
        <w:rPr/>
      </w:pPr>
      <w:bookmarkEnd w:id="987"/>
      <w:r>
        <w:rPr>
          <w:rFonts w:ascii="IRNazanin" w:hAnsi="IRNazanin" w:eastAsia="IRNazanin"/>
          <w:color w:val="111111"/>
          <w:sz w:val="28"/>
          <w:sz w:val="28"/>
          <w:szCs w:val="28"/>
          <w:rtl w:val="true"/>
          <w:lang w:bidi="fa-IR"/>
        </w:rPr>
        <w:t>المصرّح نظرا إلی أنّ الکتاب و السنّة بعضه یفسّر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بمنع التبادر، و عدم حصول الأقربیة العرفیة المتّبعة فی مباحث الألفاظ إلّا بأغلبیة الاستعمال، و من المعلوم عدم أغلبیّة استعمال رفع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المتعذّر إرادة معناه الحقیقی و هو رفع ذاته لاستلزامه الکذب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المؤاخذة علیه من استعماله فی رفع جمیع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الثانی بأنّ تقدیر جمیع الآثار لا یلزم تعدّد الإضمار حتّی یردّد الأمر بین الأقلّ و الأکثر فیرجع إلی أصالة عدم الأکثر، بل إضمار جمیع الآثار هو مضمون إضمار الإلزام و هو کإضمار المؤاخذة إضمار واحد لا متعدّد، فالشکّ فیه لیس شکّا فی الحدوث حتّی یکون مجری لأصالة العدم، بل هو شکّ فی تعیین الحادث، و لا عبرة، بل لا مجری للأصل فیه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الثالث بما فی المتن من أنّ الأخذ بالمتیقّن إنّما یحسن الرجوع إلیه بعد الاعتراف بإجمال الروایة لا لإثبات ظهورها فی رفع المؤاخذة، إلّا أن یراد إثبات ظهورها من حیث إنّ حملها علی المؤاخذة یوجب عدم التخصیص، و عموم الأدلّة المثبتة لآثار تلک الامور، و حملها علی العموم یوجب التخصیص فیها، فعموم تلک الأدلّة مبیّن لتلک الروایة،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2647046_3224264995"/>
      <w:bookmarkStart w:id="989" w:name="_Toc394"/>
      <w:bookmarkEnd w:id="988"/>
      <w:r>
        <w:rPr>
          <w:rtl w:val="true"/>
        </w:rPr>
        <w:t>[</w:t>
      </w:r>
      <w:r>
        <w:rPr>
          <w:rtl w:val="true"/>
        </w:rPr>
        <w:t>دراسة أمر الماتن بالتأمل بعد تضعیفه الأخذ بالمتیقّن فی حمل حدیث الرفع علی خصوص المؤاخذة</w:t>
      </w:r>
      <w:r>
        <w:rPr>
          <w:rtl w:val="true"/>
        </w:rPr>
        <w:t>]</w:t>
      </w:r>
      <w:bookmarkEnd w:id="989"/>
    </w:p>
    <w:p>
      <w:pPr>
        <w:pStyle w:val="BookText"/>
        <w:rPr/>
      </w:pPr>
      <w:r>
        <w:rPr>
          <w:rFonts w:ascii="IRNazanin" w:hAnsi="IRNazanin" w:eastAsia="IRNazanin"/>
          <w:color w:val="111111"/>
          <w:sz w:val="28"/>
          <w:sz w:val="28"/>
          <w:szCs w:val="28"/>
          <w:rtl w:val="true"/>
          <w:lang w:bidi="fa-IR"/>
        </w:rPr>
        <w:t>و وجه التأمّل محتمل لامور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تبیین إجمال المخصّص بعموم العام إنّما یتمّ علی القول باعتبار أصالة العموم من باب التعبّد لا من باب الظهور العرفی المستند إلی الظنّ الفعلی، کما 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ابتناء تمامیة المطلوب علی القول المذکور دون القول الآخر، نظر لعلّ ما یظهر وجهه بالتأمّل أو مراجعة المحل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أنّ تبیین إجمال المخصّص بعموم العام إنّما یتمّ علی تقدیر اتّصال التخصیص بالعمومات، أو انفصاله الغیر المتأخّر عن زمن الحاجة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تقدیر انفصاله المؤخّر عن زمن الحاجة فیها أو المجهول حال تأخّره عنها فلا یتمّ تبیین إجمال التخصیص بعموم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تبیین إجماله بعموم العام فلا یثبت ظهوره فی المبیّن، نظیر ما لو فسّر إجمال لیلة القدر مثلا بعد مضیّ زمن الحاجة المعوّل فیها علی الاحتیاط أو الأصول، بدلیل منفصل متأخّر عن زمن الحاجة فی أنّه لا یثبت تبیینها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أثبته لا یثبت ظهورها، فإنّ تبیین الإرادة قد یحصل من غیر ظهور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اعترضت علیه دام ظلّه بأن المطلوب و هو دلالة حدیث الرفع علی البراءة غیر متوقّف علی ظهور الحدیث فی رفع المؤاخذة بل یکفی و لو بتبیین المراد منه بدلیل متأخّر منفصل، فسلّم ورود الاعتراض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أنّ فرض حدیث الرفع مخصّصا و حاکما علی عمومات الأدلّة المثبتة للآثار یقتضی تقدیم رتبة العمومات علی حدیث الرفع بتقدیم رتبة المفسّر و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رتبة المفسّر و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العمومات مبیّنة لإجمال حدیث الرفع یقتضی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تقدیم رتبة الحدیث علی العمومات لکونها مفسّرة و مبیّنة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کالتهافت و التناقض</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التأمّل من هذه الجهة کاندفاعه من الجهتین المتقدّمتین بأن تقدّم المفسّر و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المفسّر و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تقدّما زمانیّا و لا لفظیّا حتی یلزم من اجتماعه مع التأخّر فی المحلّ الواحد التناقض المذکور، بل إنّما هو تقدّم رتبیّ، و التقدّم و التأخّر بحسب الرتبة یجوز اجتماعهما فی المحلّ الواحد باختلاف الجهات، کما یجوز اجتماع تقدیم رتبة شخص علی شخص من جهة الحسب مثلا، مع تأخّر رتبته عنه من جهة النسب مثلا</w:t>
      </w:r>
      <w:r>
        <w:rPr>
          <w:rFonts w:eastAsia="IRNazanin" w:cs="IRNazanin"/>
          <w:color w:val="111111"/>
          <w:sz w:val="28"/>
          <w:szCs w:val="28"/>
          <w:rtl w:val="true"/>
          <w:lang w:bidi="fa-IR"/>
        </w:rPr>
        <w:t xml:space="preserve">. </w:t>
      </w:r>
      <w:bookmarkStart w:id="990" w:name="pg12856_162748"/>
    </w:p>
    <w:p>
      <w:pPr>
        <w:pStyle w:val="BookText"/>
        <w:rPr/>
      </w:pPr>
      <w:bookmarkEnd w:id="990"/>
      <w:r>
        <w:rPr>
          <w:rFonts w:ascii="IRNazanin" w:hAnsi="IRNazanin" w:eastAsia="IRNazanin"/>
          <w:color w:val="111111"/>
          <w:sz w:val="28"/>
          <w:sz w:val="28"/>
          <w:szCs w:val="28"/>
          <w:rtl w:val="true"/>
          <w:lang w:bidi="fa-IR"/>
        </w:rPr>
        <w:t>و حینئذ فلا منافاة بین تأخیر رتبة حدیث الرفع عن العمومات المحکومة من جهة تفسیره و تبیینه أصل التخصیص فیها فی الجملة، و بین تأخّر رتبة العمومات عن حدیث الرفع الحاکم علیها من جهة تفسیرها و تبیینها مقدار تخصیصه و کمیّته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فتقدّم العمومات علی حدیث الرفع رتبة غیر مانع من تفسیرها و تبیینها إجمال ما حقّه التأخیر من حدیث الرفع، کما أن تقدّم الخاصّ و المقیّد علی العامّ و المطلق لفظا لا یمنع من تفسیرهما العامّ و المطلق بالتخصیص و التقیید أ لا تری کثیرا ما یفسّر المصنّفین المجملات الآتیة فی کلماتهم قبل الورود فیها، و کثیرا ما یقع الشرح قبل المتن فی کلمات الشارحین، فتتبّع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الرابع من مقرّبات تقدیر خصوص المؤاخذة بأن حمل المقدّر فی حدیث الرفع علی المصرّح به فی الآیة</w:t>
      </w:r>
      <w:r>
        <w:rPr>
          <w:rStyle w:val="FootnoteAnchor"/>
          <w:rtl w:val="true"/>
        </w:rPr>
        <w:footnoteReference w:id="339"/>
      </w:r>
      <w:r>
        <w:rPr>
          <w:rFonts w:ascii="IRNazanin" w:hAnsi="IRNazanin" w:eastAsia="IRNazanin"/>
          <w:color w:val="111111"/>
          <w:sz w:val="28"/>
          <w:sz w:val="28"/>
          <w:szCs w:val="28"/>
          <w:rtl w:val="true"/>
          <w:lang w:bidi="fa-IR"/>
        </w:rPr>
        <w:t>إنّما یحسن فیما لو أجمل المقدّر و لم یکن له مبیّن سوی ذلک، فإنّه یحمل علیه حینئذ تفصّیا من ندور الإجمال و قلّته، و أمّا فیما لم یجمل المقدّر و کان إلی تبیینه و تفسیره سبیل واسع غیر ذلک الحمل من الأقربیّة العرفیّة، و ورود التفسیر، و عموم المقتضی، و حذف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مسرح للحمل المذکور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مقرّبات تقدیر المؤاخذة المبعّدة لتقدیر جمیع الآثار و بیان ما فیها من الضعف و الحرف</w:t>
      </w:r>
      <w:r>
        <w:rPr>
          <w:rFonts w:eastAsia="IRNazanin" w:cs="IRNazanin"/>
          <w:color w:val="111111"/>
          <w:sz w:val="28"/>
          <w:szCs w:val="28"/>
          <w:rtl w:val="true"/>
          <w:lang w:bidi="fa-IR"/>
        </w:rPr>
        <w:t>.</w:t>
      </w:r>
    </w:p>
    <w:p>
      <w:pPr>
        <w:pStyle w:val="Heading4"/>
        <w:numPr>
          <w:ilvl w:val="3"/>
          <w:numId w:val="1"/>
        </w:numPr>
        <w:rPr/>
      </w:pPr>
      <w:bookmarkStart w:id="991" w:name="__RefHeading___Toc2647048_3224264995"/>
      <w:bookmarkStart w:id="992" w:name="_Toc395"/>
      <w:bookmarkEnd w:id="991"/>
      <w:r>
        <w:rPr>
          <w:rtl w:val="true"/>
        </w:rPr>
        <w:t>[</w:t>
      </w:r>
      <w:r>
        <w:rPr>
          <w:rtl w:val="true"/>
        </w:rPr>
        <w:t>ما یقرّب حمل الحدیث علی رفع جمیع الآثار</w:t>
      </w:r>
      <w:r>
        <w:rPr>
          <w:rtl w:val="true"/>
        </w:rPr>
        <w:t>]</w:t>
      </w:r>
      <w:bookmarkEnd w:id="992"/>
    </w:p>
    <w:p>
      <w:pPr>
        <w:pStyle w:val="BookText"/>
        <w:rPr/>
      </w:pPr>
      <w:r>
        <w:rPr>
          <w:rFonts w:ascii="IRNazanin" w:hAnsi="IRNazanin" w:eastAsia="IRNazanin"/>
          <w:color w:val="111111"/>
          <w:sz w:val="28"/>
          <w:sz w:val="28"/>
          <w:szCs w:val="28"/>
          <w:rtl w:val="true"/>
          <w:lang w:bidi="fa-IR"/>
        </w:rPr>
        <w:t>و أمّا مقرّبات تقدیر الإلزام و رفع جمیع الآثار المبعّدة لتقدیر المؤاخذة فوجوه أکثرها وجیهة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أقربیّة رفع جمیع الآثار عرفا، و اعتبارا إلی المعنی الحقیقی المتعذّر إرادته، و هو ذات الخطأ و النسیان لاستلزامه الکذب المستحیل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فی المتن</w:t>
      </w:r>
      <w:r>
        <w:rPr>
          <w:rStyle w:val="FootnoteAnchor"/>
          <w:rtl w:val="true"/>
        </w:rPr>
        <w:footnoteReference w:id="340"/>
      </w:r>
      <w:r>
        <w:rPr>
          <w:rFonts w:ascii="IRNazanin" w:hAnsi="IRNazanin" w:eastAsia="IRNazanin"/>
          <w:color w:val="111111"/>
          <w:sz w:val="28"/>
          <w:sz w:val="28"/>
          <w:szCs w:val="28"/>
          <w:rtl w:val="true"/>
          <w:lang w:bidi="fa-IR"/>
        </w:rPr>
        <w:t>، من فرض الأقربیّة المذکورة اعتباریة، و زعم أقربیّة رفع المؤاخذة عرفیّة، فتقدّم علی الاعتباریة عند التعارض و الدّوران فممنوع جدّا، لما عرفت من أنّ الأقربیّة العرفیّة لا تحصل إلّا بأغلبیّة استعمال اللفظ فی شی‌ء، من استعماله فی الآخر، نظیر أغلبیّة استعمال الأمر فی الندب من استعماله فی الوجوب الغیری، و لهذا یحمل الأمر عند تعذّر معناه الحقیقی و هو الوجوب علی الندب لا الوجوب الغیری مع کونه أقرب اعتبارا إلی الوجوب المطلق، و من الواضح انّ تقدیر المؤاخذة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أفیدیّة تقدیر جمیع الآثار من تقدیر المؤاخذة و أولویّة الحمل علی ما یکون عائدته أکثر بعد تعدّد المحامل، و صحّتها، سیما فی کلام الشارع المبنیّ علی کثرة اللطف، و عموم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صلوح الأولویّة الاعتباریة للقرینیّة و التعیین مبنیّ علی حجّیة مطلق الظنّ علی وجه الحکومة لا الکشف کما رفع عنه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الامام علیه السّلام فی بعض الروایات</w:t>
      </w:r>
      <w:r>
        <w:rPr>
          <w:rStyle w:val="FootnoteAnchor"/>
          <w:rtl w:val="true"/>
        </w:rPr>
        <w:footnoteReference w:id="341"/>
      </w:r>
      <w:r>
        <w:rPr>
          <w:rFonts w:ascii="IRNazanin" w:hAnsi="IRNazanin" w:eastAsia="IRNazanin"/>
          <w:color w:val="111111"/>
          <w:sz w:val="28"/>
          <w:sz w:val="28"/>
          <w:szCs w:val="28"/>
          <w:rtl w:val="true"/>
          <w:lang w:bidi="fa-IR"/>
        </w:rPr>
        <w:t>بحدیث الرفع، علی رفع جمیع الآثار علی وجه یکون استشهاده به شاهدا علی عدم اختصاصه برفع خصوص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فی المتن من أنّ النبویّ المحکی فی استشهاد الامام علیه السّلام مختصّ بثلاثة من التسعة فلعلّ نفی جمیع الآثار مختصّ بها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 بأنّه إذا ثبت تقدیر جمیع الآثار فی الثلاثة المذکورة ثبت تقدیره فی جمیعها بملاحظة وحدة السیاق و عدم الفراق، فالوجه الوفاق، و لعلّ وجه تأمّل الماتن فی ما قال إشارة إلی هذا الدفع</w:t>
      </w:r>
      <w:r>
        <w:rPr>
          <w:rFonts w:eastAsia="IRNazanin" w:cs="IRNazanin"/>
          <w:color w:val="111111"/>
          <w:sz w:val="28"/>
          <w:szCs w:val="28"/>
          <w:rtl w:val="true"/>
          <w:lang w:bidi="fa-IR"/>
        </w:rPr>
        <w:t xml:space="preserve">. </w:t>
      </w:r>
      <w:bookmarkStart w:id="993" w:name="pg12856_162750"/>
    </w:p>
    <w:p>
      <w:pPr>
        <w:pStyle w:val="BookText"/>
        <w:rPr/>
      </w:pPr>
      <w:bookmarkEnd w:id="99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الماتن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 إرادة العموم ظهور کون رفع کلّ واحد من التسعة من خواصّ أمّة النبیّ صلی اللّه علیه و آله</w:t>
      </w:r>
      <w:r>
        <w:rPr>
          <w:rStyle w:val="FootnoteAnchor"/>
          <w:rtl w:val="true"/>
        </w:rPr>
        <w:footnoteReference w:id="343"/>
      </w:r>
      <w:r>
        <w:rPr>
          <w:rFonts w:ascii="Amiri" w:hAnsi="Amiri" w:eastAsia="Amiri" w:cs="Amiri"/>
          <w:color w:val="111111"/>
          <w:sz w:val="28"/>
          <w:sz w:val="28"/>
          <w:szCs w:val="28"/>
          <w:rtl w:val="true"/>
          <w:lang w:bidi="ar-SA"/>
        </w:rPr>
        <w:t>إلی أن ضعّفه نقضا بآیة رَبَّنا لا تُؤاخِذْنا إِنْ نَسِینا أَوْ أَخْطَأْنا</w:t>
      </w:r>
      <w:r>
        <w:rPr>
          <w:rStyle w:val="FootnoteAnchor"/>
          <w:rtl w:val="true"/>
        </w:rPr>
        <w:footnoteReference w:id="34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المصرّح فیها هو رفع المؤاخذة، فیکون الاشکال مشترک الورود، فبما یجیب به عن الآیة یجاب به عن الروایة</w:t>
      </w:r>
      <w:r>
        <w:rPr>
          <w:rFonts w:eastAsia="IRNazanin" w:cs="IRNazanin"/>
          <w:color w:val="111111"/>
          <w:sz w:val="28"/>
          <w:szCs w:val="28"/>
          <w:rtl w:val="true"/>
          <w:lang w:bidi="fa-IR"/>
        </w:rPr>
        <w:t>.</w:t>
      </w:r>
    </w:p>
    <w:p>
      <w:pPr>
        <w:pStyle w:val="Heading4"/>
        <w:numPr>
          <w:ilvl w:val="3"/>
          <w:numId w:val="1"/>
        </w:numPr>
        <w:rPr/>
      </w:pPr>
      <w:bookmarkStart w:id="994" w:name="__RefHeading___Toc2647050_3224264995"/>
      <w:bookmarkStart w:id="995" w:name="_Toc396"/>
      <w:bookmarkEnd w:id="994"/>
      <w:r>
        <w:rPr>
          <w:rtl w:val="true"/>
        </w:rPr>
        <w:t>[</w:t>
      </w:r>
      <w:r>
        <w:rPr>
          <w:rtl w:val="true"/>
        </w:rPr>
        <w:t>الخطأ و النسیان الصادران عن ترک التحفّظ</w:t>
      </w:r>
      <w:r>
        <w:rPr>
          <w:rtl w:val="true"/>
        </w:rPr>
        <w:t>]</w:t>
      </w:r>
      <w:bookmarkEnd w:id="995"/>
    </w:p>
    <w:p>
      <w:pPr>
        <w:pStyle w:val="BookText"/>
        <w:rPr/>
      </w:pPr>
      <w:r>
        <w:rPr>
          <w:rFonts w:ascii="IRNazanin" w:hAnsi="IRNazanin" w:eastAsia="IRNazanin"/>
          <w:color w:val="111111"/>
          <w:sz w:val="28"/>
          <w:sz w:val="28"/>
          <w:szCs w:val="28"/>
          <w:rtl w:val="true"/>
          <w:lang w:bidi="fa-IR"/>
        </w:rPr>
        <w:t xml:space="preserve">و حلّا بمنع استقلال العقل بقبح المؤاخذة بقول مطلق فإنّ الخطأ و النسیان الصادرین عن ترک التحفّظ لا یقبح المؤاخذة علیهما، و کذا المؤاخذة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الاحتیاط</w:t>
      </w:r>
    </w:p>
    <w:p>
      <w:pPr>
        <w:pStyle w:val="Heading4"/>
        <w:numPr>
          <w:ilvl w:val="3"/>
          <w:numId w:val="1"/>
        </w:numPr>
        <w:rPr/>
      </w:pPr>
      <w:bookmarkStart w:id="996" w:name="__RefHeading___Toc2647052_3224264995"/>
      <w:bookmarkStart w:id="997" w:name="_Toc397"/>
      <w:bookmarkEnd w:id="996"/>
      <w:r>
        <w:rPr>
          <w:rtl w:val="true"/>
        </w:rPr>
        <w:t>[</w:t>
      </w:r>
      <w:r>
        <w:rPr>
          <w:rtl w:val="true"/>
        </w:rPr>
        <w:t>التکلیف الشاقّ الناشئ عن اختیار المکلّف</w:t>
      </w:r>
      <w:r>
        <w:rPr>
          <w:rtl w:val="true"/>
        </w:rPr>
        <w:t>]</w:t>
      </w:r>
      <w:bookmarkEnd w:id="997"/>
    </w:p>
    <w:p>
      <w:pPr>
        <w:pStyle w:val="BookText"/>
        <w:rPr/>
      </w:pPr>
      <w:r>
        <w:rPr>
          <w:rFonts w:ascii="IRNazanin" w:hAnsi="IRNazanin" w:eastAsia="IRNazanin"/>
          <w:color w:val="111111"/>
          <w:sz w:val="28"/>
          <w:sz w:val="28"/>
          <w:szCs w:val="28"/>
          <w:rtl w:val="true"/>
          <w:lang w:bidi="fa-IR"/>
        </w:rPr>
        <w:t>و کذا التکلیف الشاقّ الناشئ عن اختیار المکلّف، کالغسل فی الشتاء بماء الثلج، حیث تعمّد الجنابة عن اختیار، فإنّ وجوب هذا التکلیف الشاقّ و المؤاخذة علی ترکه ما لا یستقلّ العقل بقبحه، بل قد أفتی به بعض، فیمکن الامتنان برفعه عن هذه الامّة</w:t>
      </w:r>
      <w:r>
        <w:rPr>
          <w:rFonts w:eastAsia="IRNazanin" w:cs="IRNazanin"/>
          <w:color w:val="111111"/>
          <w:sz w:val="28"/>
          <w:szCs w:val="28"/>
          <w:rtl w:val="true"/>
          <w:lang w:bidi="fa-IR"/>
        </w:rPr>
        <w:t>.</w:t>
      </w:r>
    </w:p>
    <w:p>
      <w:pPr>
        <w:pStyle w:val="Heading4"/>
        <w:numPr>
          <w:ilvl w:val="3"/>
          <w:numId w:val="1"/>
        </w:numPr>
        <w:rPr/>
      </w:pPr>
      <w:bookmarkStart w:id="998" w:name="__RefHeading___Toc2647054_3224264995"/>
      <w:bookmarkStart w:id="999" w:name="_Toc398"/>
      <w:bookmarkEnd w:id="998"/>
      <w:r>
        <w:rPr>
          <w:rtl w:val="true"/>
        </w:rPr>
        <w:t>[</w:t>
      </w:r>
      <w:r>
        <w:rPr>
          <w:rtl w:val="true"/>
        </w:rPr>
        <w:t>التکلیف بما لا یطاق الناشئ عن سوء اختیار المکلّف</w:t>
      </w:r>
      <w:r>
        <w:rPr>
          <w:rtl w:val="true"/>
        </w:rPr>
        <w:t>]</w:t>
      </w:r>
      <w:bookmarkEnd w:id="999"/>
    </w:p>
    <w:p>
      <w:pPr>
        <w:pStyle w:val="BookText"/>
        <w:rPr/>
      </w:pPr>
      <w:r>
        <w:rPr>
          <w:rFonts w:ascii="IRNazanin" w:hAnsi="IRNazanin" w:eastAsia="IRNazanin"/>
          <w:color w:val="111111"/>
          <w:sz w:val="28"/>
          <w:sz w:val="28"/>
          <w:szCs w:val="28"/>
          <w:rtl w:val="true"/>
          <w:lang w:bidi="fa-IR"/>
        </w:rPr>
        <w:t>بل قال استادنا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التکلیف الشاقّ النّاشئ عن اختیار المکلّف، التکلیف بما لا یطاق الناشئ عن سوء الاختیار، کتوسّط أرض مغصوب عمدا، فی جواز المؤاخذة علیه عقلا، فیمکن الامتنان برفعه عن هذه الامّة بعموم حدیث الرفع، فاستنتج من ذلک دام ظلّه بطلان قول المجوّزین للتکلیف بما لا یطاق مطلقا أو عقابا لا خطابا</w:t>
      </w:r>
      <w:r>
        <w:rPr>
          <w:rFonts w:eastAsia="IRNazanin" w:cs="IRNazanin"/>
          <w:color w:val="111111"/>
          <w:sz w:val="28"/>
          <w:szCs w:val="28"/>
          <w:rtl w:val="true"/>
          <w:lang w:bidi="fa-IR"/>
        </w:rPr>
        <w:t>.</w:t>
      </w:r>
    </w:p>
    <w:p>
      <w:pPr>
        <w:pStyle w:val="Heading4"/>
        <w:numPr>
          <w:ilvl w:val="3"/>
          <w:numId w:val="1"/>
        </w:numPr>
        <w:rPr/>
      </w:pPr>
      <w:bookmarkStart w:id="1000" w:name="__RefHeading___Toc2647056_3224264995"/>
      <w:bookmarkStart w:id="1001" w:name="_Toc399"/>
      <w:bookmarkEnd w:id="1000"/>
      <w:r>
        <w:rPr>
          <w:rtl w:val="true"/>
        </w:rPr>
        <w:t>[</w:t>
      </w:r>
      <w:r>
        <w:rPr>
          <w:rtl w:val="true"/>
        </w:rPr>
        <w:t>عدم معذوریّة الجاهل المقصّر</w:t>
      </w:r>
      <w:r>
        <w:rPr>
          <w:rtl w:val="true"/>
        </w:rPr>
        <w:t>]</w:t>
      </w:r>
      <w:bookmarkEnd w:id="1001"/>
    </w:p>
    <w:p>
      <w:pPr>
        <w:pStyle w:val="BookText"/>
        <w:rPr/>
      </w:pPr>
      <w:r>
        <w:rPr>
          <w:rFonts w:ascii="IRNazanin" w:hAnsi="IRNazanin" w:eastAsia="IRNazanin"/>
          <w:color w:val="111111"/>
          <w:sz w:val="28"/>
          <w:sz w:val="28"/>
          <w:szCs w:val="28"/>
          <w:rtl w:val="true"/>
          <w:lang w:bidi="fa-IR"/>
        </w:rPr>
        <w:t xml:space="preserve">و لکن اعترضت علیه دام ظلّه بأنّ سند جواز مجوّزیه انّما هو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کان له مثل وزر من عمل بها</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 إلی اتّفاق الفقهاء سلفا عن خلف علی عدم معذوریّة الجاهل المقصّر فی حکم غیر الجهر و الإخفات، و القصر و الإتمام، و من البیّن حکومة هذین السندین علی عموم الرفع و تخصیصهما إیّاه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استند جواز مجوّزیه إلی مجرّد وجود المقتضی و عدم المانع العقلی </w:t>
      </w:r>
      <w:bookmarkStart w:id="1002" w:name="pg12856_162751"/>
    </w:p>
    <w:p>
      <w:pPr>
        <w:pStyle w:val="BookText"/>
        <w:rPr/>
      </w:pPr>
      <w:bookmarkEnd w:id="1002"/>
      <w:r>
        <w:rPr>
          <w:rFonts w:ascii="IRNazanin" w:hAnsi="IRNazanin" w:eastAsia="IRNazanin"/>
          <w:color w:val="111111"/>
          <w:sz w:val="28"/>
          <w:sz w:val="28"/>
          <w:szCs w:val="28"/>
          <w:rtl w:val="true"/>
          <w:lang w:bidi="fa-IR"/>
        </w:rPr>
        <w:t>منه کان حدیث الرفع حاکما علیه، و الاستنتاج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المرفوع فی الحدیث هو جمیع الآثار لزم کون الأصل فی الأجزاء و الشروط أن تکون علمیّة و ذکریّة و اختیاریّة لا واقعیّة، و المشهور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الملازمة لکن بطلان اللازم ممنوع، و أمّا ما تراه فی الخارج و عند المشهور من کثرة کون الأجزاء و الشروط واقعیة فیمکن استناده إلی مقتضی الدلیل المخرّج عن تحت الأصل لا إلی الأصل</w:t>
      </w:r>
      <w:r>
        <w:rPr>
          <w:rFonts w:eastAsia="IRNazanin" w:cs="IRNazanin"/>
          <w:color w:val="111111"/>
          <w:sz w:val="28"/>
          <w:szCs w:val="28"/>
          <w:rtl w:val="true"/>
          <w:lang w:bidi="fa-IR"/>
        </w:rPr>
        <w:t>.</w:t>
      </w:r>
    </w:p>
    <w:p>
      <w:pPr>
        <w:pStyle w:val="Heading4"/>
        <w:numPr>
          <w:ilvl w:val="3"/>
          <w:numId w:val="1"/>
        </w:numPr>
        <w:rPr/>
      </w:pPr>
      <w:bookmarkStart w:id="1003" w:name="__RefHeading___Toc2647058_3224264995"/>
      <w:bookmarkStart w:id="1004" w:name="_Toc400"/>
      <w:bookmarkEnd w:id="1003"/>
      <w:r>
        <w:rPr>
          <w:rtl w:val="true"/>
        </w:rPr>
        <w:t>[</w:t>
      </w:r>
      <w:r>
        <w:rPr>
          <w:rtl w:val="true"/>
        </w:rPr>
        <w:t>الاجزاء و الشرائط واقعیة فی العبادات</w:t>
      </w:r>
      <w:r>
        <w:rPr>
          <w:rtl w:val="true"/>
        </w:rPr>
        <w:t>]</w:t>
      </w:r>
      <w:bookmarkEnd w:id="1004"/>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الأجزاء و الشروط الواقعیّة إلی مقتضی الدلیل المخرّج یستلزم التخصیص بالأکثر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فلعلّة کون الأجزاء و الشروط واقعیّة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لا تعاد الصلاة إلّا من خمس؟ کما لا یخفی علی المتتبّع الخبیر فی حال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الخارج عن تحت الأصل المذکور و إن فرض کثرته إلّا إنّه لم یبلغ فی الکثرة مقدار ما بقی تحته، فضلا عن أکثریّته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یقوّی هذا الإشکال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المرفوع هو جمیع الآثار لزم الالتزام بتخصیص عمومه باستثناء الآثار العقلیة، و کذا الآثار العادیة، فإنّها تتبع حکم العقل و العادة کالإحراق اللازم للنار بالعقل و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مسست شیئا یحکم العقل و العادة بحصول الاحتراق، و لا یمکن الحکم بعدمه بقول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الاحتراق بعد مسّ النار یحکم بعدمه</w:t>
      </w:r>
      <w:r>
        <w:rPr>
          <w:rFonts w:eastAsia="IRNazanin" w:cs="IRNazanin"/>
          <w:color w:val="111111"/>
          <w:sz w:val="28"/>
          <w:szCs w:val="28"/>
          <w:rtl w:val="true"/>
          <w:lang w:bidi="fa-IR"/>
        </w:rPr>
        <w:t>».</w:t>
      </w:r>
    </w:p>
    <w:p>
      <w:pPr>
        <w:pStyle w:val="Heading4"/>
        <w:numPr>
          <w:ilvl w:val="3"/>
          <w:numId w:val="1"/>
        </w:numPr>
        <w:rPr/>
      </w:pPr>
      <w:bookmarkStart w:id="1005" w:name="__RefHeading___Toc2647060_3224264995"/>
      <w:bookmarkStart w:id="1006" w:name="_Toc401"/>
      <w:bookmarkEnd w:id="1005"/>
      <w:r>
        <w:rPr>
          <w:rtl w:val="true"/>
        </w:rPr>
        <w:t>[</w:t>
      </w:r>
      <w:r>
        <w:rPr>
          <w:rtl w:val="true"/>
        </w:rPr>
        <w:t>عدم اندراج الاصول المثبتة فی أخبار الاستصحاب</w:t>
      </w:r>
      <w:r>
        <w:rPr>
          <w:rtl w:val="true"/>
        </w:rPr>
        <w:t>]</w:t>
      </w:r>
      <w:bookmarkEnd w:id="1006"/>
    </w:p>
    <w:p>
      <w:pPr>
        <w:pStyle w:val="BookText"/>
        <w:rPr/>
      </w:pPr>
      <w:r>
        <w:rPr>
          <w:rFonts w:ascii="IRNazanin" w:hAnsi="IRNazanin" w:eastAsia="IRNazanin"/>
          <w:color w:val="111111"/>
          <w:sz w:val="28"/>
          <w:sz w:val="28"/>
          <w:szCs w:val="28"/>
          <w:rtl w:val="true"/>
          <w:lang w:bidi="fa-IR"/>
        </w:rPr>
        <w:t>و من ذلک یظهر عدم اندراج الأصول المثبتة فی أخبار الاستصحاب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قبیل الآثار العقلیة و العادیة الآثار الشرعیة الثابتة بملازمة أمر عقلیّ أو عادیّ فإنّها تتبع وضعا و رفعا الملزوم العقلی أو العادی، فاللوازم الشرعیّة </w:t>
      </w:r>
      <w:bookmarkStart w:id="1007" w:name="pg12856_162752"/>
    </w:p>
    <w:p>
      <w:pPr>
        <w:pStyle w:val="BookText"/>
        <w:rPr/>
      </w:pPr>
      <w:bookmarkEnd w:id="1007"/>
      <w:r>
        <w:rPr>
          <w:rFonts w:ascii="IRNazanin" w:hAnsi="IRNazanin" w:eastAsia="IRNazanin"/>
          <w:color w:val="111111"/>
          <w:sz w:val="28"/>
          <w:sz w:val="28"/>
          <w:szCs w:val="28"/>
          <w:rtl w:val="true"/>
          <w:lang w:bidi="fa-IR"/>
        </w:rPr>
        <w:t>الثابتة بأمر عقلی أو عادی کاللوازم العقلیّة و العادیة فی عدم صلاحیتها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المرفوع هو جمیع الآثار لزم تخصیص عمومه أیضا باستثناء الآثار المترتّبة علی خصوص العنوانات المرفوعة فی الحدیث من حیث هی، إذ لا یعقل رفع الآثار الشرعیة المترتّبة علی خصوص الخطأ و النسیان من حیث هذین العنوانین کوجوب الکفّارة المترتّب علی قتل الخطأ، و وجوب سجدتی السهو المترتّب علی نسیان 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لزم تخصیص عمومه باستثناء الآثار المترتّبة علی الشی‌ء بوصف عدم الخطأ، فإنّ الأثر المترتّب علی الشی‌ء بوصف عدم الخطأ یستحیل البقاء بنفسه، کما أنّ المترتّب علی عنوان الخطأ و أخواته مستحیل الارتفاع، فلا یندرجان فی عموم حدیث الرفع</w:t>
      </w:r>
      <w:r>
        <w:rPr>
          <w:rFonts w:eastAsia="IRNazanin" w:cs="IRNazanin"/>
          <w:color w:val="111111"/>
          <w:sz w:val="28"/>
          <w:szCs w:val="28"/>
          <w:rtl w:val="true"/>
          <w:lang w:bidi="fa-IR"/>
        </w:rPr>
        <w:t>.</w:t>
      </w:r>
    </w:p>
    <w:p>
      <w:pPr>
        <w:pStyle w:val="Heading4"/>
        <w:numPr>
          <w:ilvl w:val="3"/>
          <w:numId w:val="1"/>
        </w:numPr>
        <w:rPr/>
      </w:pPr>
      <w:bookmarkStart w:id="1008" w:name="__RefHeading___Toc2647062_3224264995"/>
      <w:bookmarkStart w:id="1009" w:name="_Toc402"/>
      <w:bookmarkEnd w:id="1008"/>
      <w:r>
        <w:rPr>
          <w:rtl w:val="true"/>
        </w:rPr>
        <w:t>[</w:t>
      </w:r>
      <w:r>
        <w:rPr>
          <w:rtl w:val="true"/>
        </w:rPr>
        <w:t>استواء أسباب الضمان من حیث الجهل و العلم بها و العمد و الخطأ و النسیان فیها</w:t>
      </w:r>
      <w:r>
        <w:rPr>
          <w:rtl w:val="true"/>
        </w:rPr>
        <w:t>]</w:t>
      </w:r>
      <w:bookmarkEnd w:id="1009"/>
    </w:p>
    <w:p>
      <w:pPr>
        <w:pStyle w:val="BookText"/>
        <w:rPr/>
      </w:pPr>
      <w:r>
        <w:rPr>
          <w:rFonts w:ascii="IRNazanin" w:hAnsi="IRNazanin" w:eastAsia="IRNazanin"/>
          <w:color w:val="111111"/>
          <w:sz w:val="28"/>
          <w:sz w:val="28"/>
          <w:szCs w:val="28"/>
          <w:rtl w:val="true"/>
          <w:lang w:bidi="fa-IR"/>
        </w:rPr>
        <w:t>و کذا لزم تخصّص</w:t>
      </w:r>
      <w:r>
        <w:rPr>
          <w:rStyle w:val="FootnoteAnchor"/>
          <w:rtl w:val="true"/>
        </w:rPr>
        <w:footnoteReference w:id="346"/>
      </w:r>
      <w:r>
        <w:rPr>
          <w:rFonts w:ascii="IRNazanin" w:hAnsi="IRNazanin" w:eastAsia="IRNazanin"/>
          <w:color w:val="111111"/>
          <w:sz w:val="28"/>
          <w:sz w:val="28"/>
          <w:szCs w:val="28"/>
          <w:rtl w:val="true"/>
          <w:lang w:bidi="fa-IR"/>
        </w:rPr>
        <w:t>عمومه باستثناء الآثار المترتّبة علی الید و الإتلاف و التسبیب من أسباب الضمان، حیث یستوی فیها الجهل و العلم و العمد و الخطأ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لزم تخصّصه</w:t>
      </w:r>
      <w:r>
        <w:rPr>
          <w:rStyle w:val="FootnoteAnchor"/>
          <w:rtl w:val="true"/>
        </w:rPr>
        <w:footnoteReference w:id="347"/>
      </w:r>
      <w:r>
        <w:rPr>
          <w:rFonts w:ascii="IRNazanin" w:hAnsi="IRNazanin" w:eastAsia="IRNazanin"/>
          <w:color w:val="111111"/>
          <w:sz w:val="28"/>
          <w:sz w:val="28"/>
          <w:szCs w:val="28"/>
          <w:rtl w:val="true"/>
          <w:lang w:bidi="fa-IR"/>
        </w:rPr>
        <w:t>باستثناء القضاء و الإعادة للسهو و الخطأ فی کثیر من الأجزاء و شروط العبادات، و من الواضح أنّ طروّ هذا القدر من التخصّصات علی عموم حدیث الرفع مستلزم لتخصیصه بالأکثر</w:t>
      </w:r>
      <w:r>
        <w:rPr>
          <w:rFonts w:eastAsia="IRNazanin" w:cs="IRNazanin"/>
          <w:color w:val="111111"/>
          <w:sz w:val="28"/>
          <w:szCs w:val="28"/>
          <w:rtl w:val="true"/>
          <w:lang w:bidi="fa-IR"/>
        </w:rPr>
        <w:t>.</w:t>
      </w:r>
    </w:p>
    <w:p>
      <w:pPr>
        <w:pStyle w:val="Heading4"/>
        <w:numPr>
          <w:ilvl w:val="3"/>
          <w:numId w:val="1"/>
        </w:numPr>
        <w:rPr/>
      </w:pPr>
      <w:bookmarkStart w:id="1010" w:name="__RefHeading___Toc2647064_3224264995"/>
      <w:bookmarkStart w:id="1011" w:name="_Toc403"/>
      <w:bookmarkEnd w:id="1010"/>
      <w:r>
        <w:rPr>
          <w:rtl w:val="true"/>
        </w:rPr>
        <w:t>[</w:t>
      </w:r>
      <w:r>
        <w:rPr>
          <w:rtl w:val="true"/>
        </w:rPr>
        <w:t>حدّ شمول حدیث الرفع لأقسام الآثار</w:t>
      </w:r>
      <w:r>
        <w:rPr>
          <w:rtl w:val="true"/>
        </w:rPr>
        <w:t>]</w:t>
      </w:r>
      <w:bookmarkEnd w:id="1011"/>
    </w:p>
    <w:p>
      <w:pPr>
        <w:pStyle w:val="BookText"/>
        <w:rPr/>
      </w:pPr>
      <w:r>
        <w:rPr>
          <w:rFonts w:ascii="IRNazanin" w:hAnsi="IRNazanin" w:eastAsia="IRNazanin"/>
          <w:color w:val="111111"/>
          <w:sz w:val="28"/>
          <w:sz w:val="28"/>
          <w:szCs w:val="28"/>
          <w:rtl w:val="true"/>
          <w:lang w:bidi="fa-IR"/>
        </w:rPr>
        <w:t>و توضیح رفع هذه الشبهة و دفع هذا الاشکال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 بقرینة الامتنان و غیره فی حدیث الرفع إنّما هو الآثار المجعولة الممکنة للبقاء و الارتفاع، و الغیر المنافیة للامتنان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فالآثار العقلیّة و العادیّة لم تکن داخلة لعدم مجعولیّتها، فخروجها من باب التخصّص لا التخصیص</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المترتّبة علی عناوین العمد و السهو و الخطأ لم تکن داخلة لعدم إمکان </w:t>
      </w:r>
    </w:p>
    <w:p>
      <w:pPr>
        <w:pStyle w:val="BookText"/>
        <w:rPr/>
      </w:pPr>
      <w:r>
        <w:rPr>
          <w:rFonts w:ascii="IRNazanin" w:hAnsi="IRNazanin" w:eastAsia="IRNazanin"/>
          <w:color w:val="111111"/>
          <w:sz w:val="28"/>
          <w:sz w:val="28"/>
          <w:szCs w:val="28"/>
          <w:rtl w:val="true"/>
          <w:lang w:bidi="fa-IR"/>
        </w:rPr>
        <w:t>البقاء و الارتفاع فیها، بل هی إمّا لازمة البقاء کتلک الآثار بالنسبة إلی نفس موضوعاتها، أو لازمة الارتفاع بالذات لا بالجعل کتلک الآثار بالنسبة إلی غیر موضوعاتها، کالأثر المترتّب علی العمد بالنسبة إلی السهو، فإنّه مرتفع عند السهو بالذات لا بجعل، فخروجها عن عموم حدیث الرفع أیضا من باب التخصّص 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الآثار المترتّبة علی الید و الاتلاف و التسبیب من الضمانات المستوی فیها العلم و الجهل، و العمد و الخطأ، لم تکن داخلة فی حدیث الرفع لمنافاة دفعها للامتنان المقرون بالحدیث، فإنّ الامتنان علی أحد برفع ما یتضرّر به الغیر کالامتنان علیه بمال الغیر فی الاستهجان، فخروجها عن عموم حدیث الرفع أیضا من باب التخصّص 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ما یخرج عن عموم حدیث الرفع من باب التخصیص من المستثنیات المتقدّمة سوی الأخیر، و هو القضاء و الإعادة المترتّبان علی تخلّل بعض الأجزاء و الشروط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عدم استلزام خروج مثله عن مثل عموم حدیث الرفع للتخصیص المساوی فضلا عن التخصیص بالأکثر سیما إذا کان خروجها باستثناء واحد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تمسّک بعموم حدیث الرفع لرفع جمیع الآثار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مأخذ المؤاخذة لا خصوص المؤاخذة الحلّی فی باب الصلاة فی المکان المغصوب من السرائر،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تقدّم العلم بالغصب للمکان و الثوب، ثمّ نسی ذلک و سها العالم بهما وقت صلاته، فلا اعادة علیه، و حمله علی النجاسة فی الثوب، و تقدّم العلم بها، قیاس محض، و نحن لا نقول به،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الخطأ </w:t>
      </w:r>
    </w:p>
    <w:p>
      <w:pPr>
        <w:pStyle w:val="BookText"/>
        <w:rPr/>
      </w:pPr>
      <w:r>
        <w:rPr>
          <w:rFonts w:ascii="IRNazanin" w:hAnsi="IRNazanin" w:eastAsia="IRNazanin"/>
          <w:color w:val="111111"/>
          <w:sz w:val="28"/>
          <w:sz w:val="28"/>
          <w:szCs w:val="28"/>
          <w:rtl w:val="true"/>
          <w:lang w:bidi="fa-IR"/>
        </w:rPr>
        <w:t>و النسیان، و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المراد به أحکام النسیان، فمن أوجب الإعادة فما رفع عنه الأحکام، و لو لا إجماع أصحابنا المنعقد علی إعادة صلاة من تقدّم علمه بالنجاسة نسیها لما أوجبنا الإعادة علیه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مثله الریاض</w:t>
      </w:r>
      <w:r>
        <w:rPr>
          <w:rStyle w:val="FootnoteAnchor"/>
          <w:rtl w:val="true"/>
        </w:rPr>
        <w:footnoteReference w:id="350"/>
      </w:r>
      <w:r>
        <w:rPr>
          <w:rFonts w:ascii="IRNazanin" w:hAnsi="IRNazanin" w:eastAsia="IRNazanin"/>
          <w:color w:val="111111"/>
          <w:sz w:val="28"/>
          <w:sz w:val="28"/>
          <w:szCs w:val="28"/>
          <w:rtl w:val="true"/>
          <w:lang w:bidi="fa-IR"/>
        </w:rPr>
        <w:t>عن جماعة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الحلف بالطلاق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الحلف بالطلاق و أخواتها فیحتمل الحلف به بدل الحلف بالجلالة، و یحتمل الحلف علیه علی أن یکون الحلف بالجلالة، و المحلوف علیه هو الطلاق و أخواه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بالمعنی الأوّل فهو باطل عندنا و عند العامّة معا، لتعلّقه بغیر الجلالة و الحلف 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بالمعنی الثانی فلا جهة لبطلانه لا عندنا و لا عند العامّة، إلّا أن یرید ببطلانه الخاصّ عندنا دون العامّة عدم تحقّق الطلاق و الانعتاق بنفس الحلف علیه من غیر تعقّب إنشاء الطلاق و العتق علی تقدیر الوفاء، و الکفّارة علی تقدیر الحنث لا بمعنی عدم انعقاده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فی الجزء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ضعف کون الشرطیّة و الجزئیّة قابلا للرفع و الوضع بناء علی مختار المصنف من کون الأحکام الوضعیّة أمور منتزعة من الأحکام التکلیفیّة فلا تقبل الجعل أیضا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قابلیّتها باعتبار قابلیّة منشأ انتزاعها الأحکام التکلیفیّة، أو إلی أنّ رفع المؤاخذة إذا کان برفع مأخذه و هو التکلیف المسبّب له صحّ ما ذکر من </w:t>
      </w:r>
      <w:bookmarkStart w:id="1012" w:name="pg12856_162755"/>
    </w:p>
    <w:p>
      <w:pPr>
        <w:pStyle w:val="BookText"/>
        <w:rPr/>
      </w:pPr>
      <w:bookmarkEnd w:id="1012"/>
      <w:r>
        <w:rPr>
          <w:rFonts w:ascii="IRNazanin" w:hAnsi="IRNazanin" w:eastAsia="IRNazanin"/>
          <w:color w:val="111111"/>
          <w:sz w:val="28"/>
          <w:sz w:val="28"/>
          <w:szCs w:val="28"/>
          <w:rtl w:val="true"/>
          <w:lang w:bidi="fa-IR"/>
        </w:rPr>
        <w:t>رفع جمیع الآثار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رفع خصوص المؤاخذة فیخرج المرفوع عن العموم و الدوام إلی خصوص التقیید بما دام ناسیا أو جاهلا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4"/>
        <w:numPr>
          <w:ilvl w:val="3"/>
          <w:numId w:val="1"/>
        </w:numPr>
        <w:rPr/>
      </w:pPr>
      <w:bookmarkStart w:id="1013" w:name="__RefHeading___Toc2647066_3224264995"/>
      <w:bookmarkStart w:id="1014" w:name="_Toc404"/>
      <w:bookmarkEnd w:id="1013"/>
      <w:r>
        <w:rPr>
          <w:rtl w:val="true"/>
        </w:rPr>
        <w:t>[</w:t>
      </w:r>
      <w:r>
        <w:rPr>
          <w:rtl w:val="true"/>
        </w:rPr>
        <w:t>تبعیة الرفع لإرادة المکره</w:t>
      </w:r>
      <w:r>
        <w:rPr>
          <w:rtl w:val="true"/>
        </w:rPr>
        <w:t>]</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Style w:val="FootnoteAnchor"/>
          <w:rtl w:val="true"/>
        </w:rPr>
        <w:footnoteReference w:id="351"/>
      </w:r>
      <w:r>
        <w:rPr>
          <w:rFonts w:ascii="IRNazanin" w:hAnsi="IRNazanin" w:eastAsia="IRNazanin"/>
          <w:color w:val="111111"/>
          <w:sz w:val="28"/>
          <w:sz w:val="28"/>
          <w:szCs w:val="28"/>
          <w:rtl w:val="true"/>
          <w:lang w:bidi="fa-IR"/>
        </w:rPr>
        <w:t xml:space="preserve">إشارة إلی دفع ما یقال من أنّ حکم الشارع بالرفع کیف یستتبع إرادة المکره، بأنّه تابع لتحقّق موضوع الإکراه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المتعلّق بإرادة المکره لا بنفس إرادته مطلقا، و لو لم یکره علیها</w:t>
      </w:r>
      <w:r>
        <w:rPr>
          <w:rFonts w:eastAsia="IRNazanin" w:cs="IRNazanin"/>
          <w:color w:val="111111"/>
          <w:sz w:val="28"/>
          <w:szCs w:val="28"/>
          <w:rtl w:val="true"/>
          <w:lang w:bidi="fa-IR"/>
        </w:rPr>
        <w:t>.</w:t>
      </w:r>
    </w:p>
    <w:p>
      <w:pPr>
        <w:pStyle w:val="Heading4"/>
        <w:numPr>
          <w:ilvl w:val="3"/>
          <w:numId w:val="1"/>
        </w:numPr>
        <w:rPr/>
      </w:pPr>
      <w:bookmarkStart w:id="1015" w:name="__RefHeading___Toc2647068_3224264995"/>
      <w:bookmarkStart w:id="1016" w:name="_Toc405"/>
      <w:bookmarkEnd w:id="1015"/>
      <w:r>
        <w:rPr>
          <w:rtl w:val="true"/>
        </w:rPr>
        <w:t>[</w:t>
      </w:r>
      <w:r>
        <w:rPr>
          <w:rtl w:val="true"/>
        </w:rPr>
        <w:t>الاضرار بالغیر مکرها</w:t>
      </w:r>
      <w:r>
        <w:rPr>
          <w:rtl w:val="true"/>
        </w:rPr>
        <w:t>]</w:t>
      </w:r>
      <w:bookmarkEnd w:id="1016"/>
    </w:p>
    <w:p>
      <w:pPr>
        <w:pStyle w:val="BookText"/>
        <w:rPr/>
      </w:pPr>
      <w:r>
        <w:rPr>
          <w:rFonts w:ascii="IRNazanin" w:hAnsi="IRNazanin" w:eastAsia="IRNazanin"/>
          <w:color w:val="111111"/>
          <w:sz w:val="28"/>
          <w:sz w:val="28"/>
          <w:szCs w:val="28"/>
          <w:rtl w:val="true"/>
          <w:lang w:bidi="fa-IR"/>
        </w:rPr>
        <w:t xml:space="preserve">أو إشارة إلی أنّ الإکراه بإضرار الغیر ممنوع الرفع، خصوصا علی إطلاقه فی ما أکره علی إضرار الغیر کثیرا أو تحمّل الضرر القلیل، فإنّ إضرار الغیر إضرارا کثیرا لرفع تحمّل ضرر قلیل عن نفسه و إن لم یناف عموم الرفع، و عموم امتنانه، إلّا انّه ینافی العدل و الإحسان و الإنصاف و الإیمان و وجوب حقوق الإخوان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یده و لسانه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أمن علی إخوانه و کان الناس منه فی راحة و نفسه منه فی تعب</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رفع مؤاخذة المکره علی إضراره بالغیر فلا نسلّم رفع ضمانه، کما إذا اضطرّ فی المخمصة علی أکل مال الغیر، و فی الجهاد علی قتل المؤمن المتستّر به الکفّار، بل لم یعهد من الأنبیاء و لا من الصلحاء الإضرار بالغیر بمجرّد الإکراه و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علی بن یقطین مکرها فی الوزارة و التقیّة فیجبی الخراج </w:t>
      </w:r>
      <w:bookmarkStart w:id="1017" w:name="pg12856_162756"/>
    </w:p>
    <w:p>
      <w:pPr>
        <w:pStyle w:val="BookText"/>
        <w:rPr/>
      </w:pPr>
      <w:bookmarkEnd w:id="1017"/>
      <w:r>
        <w:rPr>
          <w:rFonts w:ascii="IRNazanin" w:hAnsi="IRNazanin" w:eastAsia="IRNazanin"/>
          <w:color w:val="111111"/>
          <w:sz w:val="28"/>
          <w:sz w:val="28"/>
          <w:szCs w:val="28"/>
          <w:rtl w:val="true"/>
          <w:lang w:bidi="fa-IR"/>
        </w:rPr>
        <w:t>للرشید من الناس فی النهار و الجهار، و یردّه إلیهم سرّا فی لیالیه</w:t>
      </w:r>
      <w:r>
        <w:rPr>
          <w:rStyle w:val="FootnoteAnchor"/>
          <w:rtl w:val="true"/>
        </w:rPr>
        <w:footnoteReference w:id="355"/>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قدّر فافهم</w:t>
      </w:r>
      <w:r>
        <w:rPr>
          <w:rFonts w:eastAsia="IRNazanin" w:cs="IRNazanin"/>
          <w:color w:val="111111"/>
          <w:sz w:val="28"/>
          <w:szCs w:val="28"/>
          <w:rtl w:val="true"/>
          <w:lang w:bidi="fa-IR"/>
        </w:rPr>
        <w:t>».</w:t>
      </w:r>
    </w:p>
    <w:p>
      <w:pPr>
        <w:pStyle w:val="Heading4"/>
        <w:numPr>
          <w:ilvl w:val="3"/>
          <w:numId w:val="1"/>
        </w:numPr>
        <w:rPr/>
      </w:pPr>
      <w:bookmarkStart w:id="1018" w:name="__RefHeading___Toc2647070_3224264995"/>
      <w:bookmarkStart w:id="1019" w:name="_Toc406"/>
      <w:bookmarkEnd w:id="1018"/>
      <w:r>
        <w:rPr>
          <w:rtl w:val="true"/>
        </w:rPr>
        <w:t>[</w:t>
      </w:r>
      <w:r>
        <w:rPr>
          <w:rtl w:val="true"/>
        </w:rPr>
        <w:t>التفکّر و الطیرة</w:t>
      </w:r>
      <w:r>
        <w:rPr>
          <w:rtl w:val="true"/>
        </w:rPr>
        <w:t>]</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التفکّر بهذا المعنی ممّا لم یرفع ابتلاء الأنبیاء به، فلا یدخل فی حدیث الرفع، بل یختصّ بحدیث الخصال</w:t>
      </w:r>
      <w:r>
        <w:rPr>
          <w:rStyle w:val="FootnoteAnchor"/>
          <w:rtl w:val="true"/>
        </w:rPr>
        <w:footnoteReference w:id="356"/>
      </w:r>
      <w:r>
        <w:rPr>
          <w:rFonts w:ascii="IRNazanin" w:hAnsi="IRNazanin" w:eastAsia="IRNazanin"/>
          <w:color w:val="111111"/>
          <w:sz w:val="28"/>
          <w:sz w:val="28"/>
          <w:szCs w:val="28"/>
          <w:rtl w:val="true"/>
          <w:lang w:bidi="fa-IR"/>
        </w:rPr>
        <w:t>، أو إلی أنّ الطیرة بمعنی الشرک المعتقد استناد التأثیر إلی نفس الطیر المتشاءم به، و إن لم یدخل فی حدیث الرفع، إلا أنّه بما دون ذلک ممّا لم یستند التأثیر إلی نفس الطیر، بل استند إلیه العلامة و الکشف عن المؤثّر لا مانع من دخوله فی عموم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انّ الظاهر ممّا حجب اللّه علمه ما لم یبیّنه للعباد لا ما بیّنه و اختفی علیهم إلخ</w:t>
      </w:r>
      <w:r>
        <w:rPr>
          <w:rFonts w:eastAsia="IRNazanin" w:cs="IRNazanin"/>
          <w:color w:val="111111"/>
          <w:sz w:val="28"/>
          <w:szCs w:val="28"/>
          <w:rtl w:val="true"/>
          <w:lang w:bidi="fa-IR"/>
        </w:rPr>
        <w:t>».</w:t>
      </w:r>
    </w:p>
    <w:p>
      <w:pPr>
        <w:pStyle w:val="Heading4"/>
        <w:numPr>
          <w:ilvl w:val="3"/>
          <w:numId w:val="1"/>
        </w:numPr>
        <w:rPr/>
      </w:pPr>
      <w:bookmarkStart w:id="1020" w:name="__RefHeading___Toc2647072_3224264995"/>
      <w:bookmarkStart w:id="1021" w:name="_Toc407"/>
      <w:bookmarkEnd w:id="1020"/>
      <w:r>
        <w:rPr>
          <w:rtl w:val="true"/>
        </w:rPr>
        <w:t>[</w:t>
      </w:r>
      <w:r>
        <w:rPr>
          <w:rtl w:val="true"/>
        </w:rPr>
        <w:t>مناقشة إیراد الماتن علی دلالة حدیث الحجب علی البراءة</w:t>
      </w:r>
      <w:r>
        <w:rPr>
          <w:rtl w:val="true"/>
        </w:rPr>
        <w:t>]</w:t>
      </w:r>
      <w:bookmarkEnd w:id="10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العلم الإجمالی باختفاء کثیر من الأحکام بعد بیانه علینا علما إجمالیا بالجملة بحیث لا یرتفع أثره بعد الفحص عمّا بأیدینا منها فهو مانع کلّیّ عن حجّیة الظواهر و الاصول اللفظیة و العملیّة کلّا و طرّا، فضلا عن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کذلک، بل کان علما إجمالیّا فی الجملة لا بالجملة یعنی بخصوص ما فی أیدینا بحیث یرتفع أثره بعد الفحص عمّا فی أیدینا منها، فهو و إن منع من حجّیة الأصول فی الجملة قبل الفحص لکن لا یمنع من حجّیّتها بالجملة حتی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فالروایة</w:t>
      </w:r>
      <w:r>
        <w:rPr>
          <w:rStyle w:val="FootnoteAnchor"/>
          <w:rtl w:val="true"/>
        </w:rPr>
        <w:footnoteReference w:id="357"/>
      </w:r>
      <w:r>
        <w:rPr>
          <w:rFonts w:ascii="Amiri" w:hAnsi="Amiri" w:eastAsia="Amiri" w:cs="Amiri"/>
          <w:color w:val="111111"/>
          <w:sz w:val="28"/>
          <w:sz w:val="28"/>
          <w:szCs w:val="28"/>
          <w:rtl w:val="true"/>
          <w:lang w:bidi="ar-SA"/>
        </w:rPr>
        <w:t>مساوقة لما ورد</w:t>
      </w:r>
      <w:r>
        <w:rPr>
          <w:rStyle w:val="FootnoteAnchor"/>
          <w:rtl w:val="true"/>
        </w:rPr>
        <w:footnoteReference w:id="358"/>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ح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1022" w:name="pg12856_162757"/>
    </w:p>
    <w:p>
      <w:pPr>
        <w:pStyle w:val="Heading4"/>
        <w:numPr>
          <w:ilvl w:val="3"/>
          <w:numId w:val="1"/>
        </w:numPr>
        <w:rPr/>
      </w:pPr>
      <w:bookmarkStart w:id="1023" w:name="__RefHeading___Toc2647074_3224264995"/>
      <w:bookmarkStart w:id="1024" w:name="_Toc408"/>
      <w:bookmarkEnd w:id="1022"/>
      <w:bookmarkEnd w:id="1023"/>
      <w:r>
        <w:rPr>
          <w:rtl w:val="true"/>
        </w:rPr>
        <w:t>[</w:t>
      </w:r>
      <w:r>
        <w:rPr>
          <w:rtl w:val="true"/>
        </w:rPr>
        <w:t>ردّ کلام الماتن فی حدیث</w:t>
      </w:r>
      <w:r>
        <w:rPr>
          <w:rtl w:val="true"/>
        </w:rPr>
        <w:t>: «</w:t>
      </w:r>
      <w:r>
        <w:rPr>
          <w:rtl w:val="true"/>
        </w:rPr>
        <w:t>فسکت عن أشیاء</w:t>
      </w:r>
      <w:r>
        <w:rPr>
          <w:rtl w:val="true"/>
        </w:rPr>
        <w:t>»]</w:t>
      </w:r>
      <w:bookmarkEnd w:id="10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مساوقة و لکنّها علی خلاف المدّعی أدلّ خصوصا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سکت عن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سیاقه یأبی عن التخصیص،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منع السیاق الآبی عن التخصیص فیه لأنّ السیاق الآبی عن التخصیص هو حمل الجهالة علی صورة المعذوریّة العقلیّة من الغفلة و الجهل المرکّب، و أمّا علی ظهوره فی العموم کما فرض فلا یأبی عن التخصیص، أو إشارة إلی أنّ المقصّر کالعامد خارج بالتخصّص لا التخصیص، أو أنّ خروج المقصّر مشترک الورود بین اختصاص الجهالة بالغافل و بین تعمیمه للشاکّ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قوله علیه السّلام فی مرسلة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025" w:name="__RefHeading___Toc2647076_3224264995"/>
      <w:bookmarkStart w:id="1026" w:name="_Toc409"/>
      <w:bookmarkEnd w:id="1025"/>
      <w:r>
        <w:rPr>
          <w:rtl w:val="true"/>
        </w:rPr>
        <w:t>[</w:t>
      </w:r>
      <w:r>
        <w:rPr>
          <w:rtl w:val="true"/>
        </w:rPr>
        <w:t>الکلام فی حدیث</w:t>
      </w:r>
      <w:r>
        <w:rPr>
          <w:rtl w:val="true"/>
        </w:rPr>
        <w:t>: «</w:t>
      </w:r>
      <w:r>
        <w:rPr>
          <w:rtl w:val="true"/>
        </w:rPr>
        <w:t>کلّ شی‌ء مطلق</w:t>
      </w:r>
      <w:r>
        <w:rPr>
          <w:rtl w:val="true"/>
        </w:rPr>
        <w:t>»]</w:t>
      </w:r>
      <w:bookmarkEnd w:id="10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هذا الحدیث تارة فی ضبط لفظه، و تارة فی بیان سنده، و ثالثة فی تقریب دلالته و دفع موهمات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ضبط لفظه، فهو و إن کان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فیه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ثالثة بزیادة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اختلاف ضبط لفظه بهذا الاختلاف غیر قادح و لا نافع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سنده، فهو و إن کان مرسلا، إلّا أنّه منجبر بالاعتبار من جهات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شهرة روایته حیث تعرّض الأکثر لذکره من غیر أن یقدح أحد فیه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شهرة مضمونه حیث ذهب الأکثر إلی أصالة الإباحة، و البراءة فی الأشیاء و الأحکام حتّی یثبت الحظر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جهة تبیّنه بما یوجب اندراجه فی منطوق آیة النبأ</w:t>
      </w:r>
      <w:r>
        <w:rPr>
          <w:rStyle w:val="FootnoteAnchor"/>
          <w:rtl w:val="true"/>
        </w:rPr>
        <w:footnoteReference w:id="360"/>
      </w:r>
      <w:r>
        <w:rPr>
          <w:rFonts w:ascii="IRNazanin" w:hAnsi="IRNazanin" w:eastAsia="IRNazanin"/>
          <w:color w:val="111111"/>
          <w:sz w:val="28"/>
          <w:sz w:val="28"/>
          <w:szCs w:val="28"/>
          <w:rtl w:val="true"/>
          <w:lang w:bidi="fa-IR"/>
        </w:rPr>
        <w:t>، لکن لا لمجرّد کونه من أخبار الکتب الأربعة المقطوعة الصدور عند الأخباریة حتی یمنع قطعیّة صدور جمیع ما فیها عند الاصولیین، و لا لمجرّد ذکره فی أمالی الصدوق</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راجع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هذا المضمون عن أبی عبد اللّه علیه السّلام فی أمالی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المصرّح فی دیباجته بأنّی لا أذکر فیه إلّا ما هو حجّة بینی و بین ربّی، حتّی یمنع استمرار عزمه علی ذلک فی الکتاب، بل لأنّ مجرّد کونه من أخبار الفقیه و الأمالی کاف فی تبیّنه و اندراجه فی الخبر المبیّن، و مظنون الصدور المفروض عندنا معاشر المشهور حجیّته بمنطوق آیة النبأ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دلالته، فمن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 ظاهره إخبار عن أنّ الأشیاء المجهولة موضوعا أو حکما علی الإباحة فی الظاهر حتی یرد فیه الحظر الدالّ علی البراءة، و نفی العقاب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دلالته علی إنشاء الإباحة فی الأشیاء المجهولة موضوعا أو حکما فی الظاهر، فیدلّ علی البراءة أیضا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دلالته علی البراءة بالمطابقة بناء علی أنّ المراد من المطلق هو الإطلاق عن التقیید بأحد الأحکام الخمسة، لا الإطلاق عن التقیید بأحد أقسام الاقتضاء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المراد فی الوجهین السابقین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من التقادیر الثلاث ثبت دلالة الحدیث علی البراءة، و به صرّح </w:t>
      </w:r>
      <w:bookmarkStart w:id="1027" w:name="pg12856_162759"/>
    </w:p>
    <w:p>
      <w:pPr>
        <w:pStyle w:val="BookText"/>
        <w:rPr/>
      </w:pPr>
      <w:bookmarkEnd w:id="1027"/>
      <w:r>
        <w:rPr>
          <w:rFonts w:ascii="IRNazanin" w:hAnsi="IRNazanin" w:eastAsia="IRNazanin"/>
          <w:color w:val="111111"/>
          <w:sz w:val="28"/>
          <w:sz w:val="28"/>
          <w:szCs w:val="28"/>
          <w:rtl w:val="true"/>
          <w:lang w:bidi="fa-IR"/>
        </w:rPr>
        <w:t>السیّد الصدر فی ما حکی عنه فی شرح الوافیة من أنّ معنی الحدیث إمّا کلّ شی‌ء مباح حتّی یرد فیه نهی، أو کلّ شی‌ء محکوم علیه بالإباحة حتی یرد فیه نهی، و علی کلّ من التقدیرین ثبت الإباحة 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القوانین</w:t>
      </w:r>
      <w:r>
        <w:rPr>
          <w:rStyle w:val="FootnoteAnchor"/>
          <w:rtl w:val="true"/>
        </w:rPr>
        <w:footnoteReference w:id="362"/>
      </w:r>
      <w:r>
        <w:rPr>
          <w:rFonts w:ascii="IRNazanin" w:hAnsi="IRNazanin" w:eastAsia="IRNazanin"/>
          <w:color w:val="111111"/>
          <w:sz w:val="28"/>
          <w:sz w:val="28"/>
          <w:szCs w:val="28"/>
          <w:rtl w:val="true"/>
          <w:lang w:bidi="fa-IR"/>
        </w:rPr>
        <w:t>الإیراد علیه بعدم الفرق بین المعنیین و عن الفصول</w:t>
      </w:r>
      <w:r>
        <w:rPr>
          <w:rStyle w:val="FootnoteAnchor"/>
          <w:rtl w:val="true"/>
        </w:rPr>
        <w:footnoteReference w:id="363"/>
      </w:r>
      <w:r>
        <w:rPr>
          <w:rFonts w:ascii="Amiri" w:hAnsi="Amiri" w:eastAsia="Amiri" w:cs="Amiri"/>
          <w:color w:val="111111"/>
          <w:sz w:val="28"/>
          <w:sz w:val="28"/>
          <w:szCs w:val="28"/>
          <w:rtl w:val="true"/>
          <w:lang w:bidi="ar-SA"/>
        </w:rPr>
        <w:t>ردّه ببداهة الفرق و وضوحه</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2647078_3224264995"/>
      <w:bookmarkStart w:id="1029" w:name="_Toc410"/>
      <w:bookmarkEnd w:id="1028"/>
      <w:r>
        <w:rPr>
          <w:rtl w:val="true"/>
        </w:rPr>
        <w:t>[</w:t>
      </w:r>
      <w:r>
        <w:rPr>
          <w:rtl w:val="true"/>
        </w:rPr>
        <w:t>محاکمة بین القوانین و الفصول فی معنی حدیث</w:t>
      </w:r>
      <w:r>
        <w:rPr>
          <w:rtl w:val="true"/>
        </w:rPr>
        <w:t>: «</w:t>
      </w:r>
      <w:r>
        <w:rPr>
          <w:rtl w:val="true"/>
        </w:rPr>
        <w:t>کلّ شی‌ء مطلق</w:t>
      </w:r>
      <w:r>
        <w:rPr>
          <w:rtl w:val="true"/>
        </w:rPr>
        <w:t>»]</w:t>
      </w:r>
      <w:bookmarkEnd w:id="1029"/>
    </w:p>
    <w:p>
      <w:pPr>
        <w:pStyle w:val="BookText"/>
        <w:rPr/>
      </w:pPr>
      <w:r>
        <w:rPr>
          <w:rFonts w:ascii="IRNazanin" w:hAnsi="IRNazanin" w:eastAsia="IRNazanin"/>
          <w:color w:val="111111"/>
          <w:sz w:val="28"/>
          <w:sz w:val="28"/>
          <w:szCs w:val="28"/>
          <w:rtl w:val="true"/>
          <w:lang w:bidi="fa-IR"/>
        </w:rPr>
        <w:t xml:space="preserve">و المحاکمة بینهما یحصل بحمل نظر القوانین علی عدم الفرق بین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الفصول إلی وضوح الفرق بین معنی الإنشاء و الإخبار فإنّه الغیر القابل للمنع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تری انّه لا مجال لإنکار الفرق بین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مقام الانشاء 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الإخبار، و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w:t>
      </w:r>
      <w:r>
        <w:rPr>
          <w:rStyle w:val="FootnoteAnchor"/>
          <w:rtl w:val="true"/>
        </w:rPr>
        <w:footnoteReference w:id="364"/>
      </w:r>
      <w:r>
        <w:rPr>
          <w:rFonts w:ascii="Amiri" w:hAnsi="Amiri" w:eastAsia="Amiri" w:cs="Amiri"/>
          <w:color w:val="111111"/>
          <w:sz w:val="28"/>
          <w:sz w:val="28"/>
          <w:szCs w:val="28"/>
          <w:rtl w:val="true"/>
          <w:lang w:bidi="ar-SA"/>
        </w:rPr>
        <w:t>فی مقام الإخبار و معنی أَقِیمُوا الصَّلاةَ</w:t>
      </w:r>
      <w:r>
        <w:rPr>
          <w:rStyle w:val="FootnoteAnchor"/>
          <w:rtl w:val="true"/>
        </w:rPr>
        <w:footnoteReference w:id="365"/>
      </w:r>
      <w:r>
        <w:rPr>
          <w:rFonts w:ascii="IRNazanin" w:hAnsi="IRNazanin" w:eastAsia="IRNazanin"/>
          <w:color w:val="111111"/>
          <w:sz w:val="28"/>
          <w:sz w:val="28"/>
          <w:szCs w:val="28"/>
          <w:rtl w:val="true"/>
          <w:lang w:bidi="fa-IR"/>
        </w:rPr>
        <w:t>فی مقام الإنشاء، و معنی قولهم فی 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نظر القوانین لیس إلی إنکار هذا الفرق قطعا، و إنّما هو إلی إنکار الفرق بین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محکوم علیه 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کلا من التعبیرین قابل للإنشاء و الإخبار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فالفرق المذکور فی التأدیة لا یجدی الفرق فی المؤدّی من حیث للإنشاء و الإخبار، و لا من حیث حمل إحدی التأدیتین علی الإباحة الظاهریة و الاخری علی الاباحة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قابلیة الحکم الواقعی للتقیید بغایة العلم </w:t>
      </w:r>
      <w:bookmarkStart w:id="1030" w:name="pg12856_162760"/>
    </w:p>
    <w:p>
      <w:pPr>
        <w:pStyle w:val="BookText"/>
        <w:rPr/>
      </w:pPr>
      <w:bookmarkEnd w:id="1030"/>
      <w:r>
        <w:rPr>
          <w:rFonts w:ascii="IRNazanin" w:hAnsi="IRNazanin" w:eastAsia="IRNazanin"/>
          <w:color w:val="111111"/>
          <w:sz w:val="28"/>
          <w:sz w:val="28"/>
          <w:szCs w:val="28"/>
          <w:rtl w:val="true"/>
          <w:lang w:bidi="fa-IR"/>
        </w:rPr>
        <w:t>و الجهل المقید بهما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فالحدیث دالّ علی المطلوب علی کلّ من تقادیره</w:t>
      </w:r>
      <w:r>
        <w:rPr>
          <w:rFonts w:eastAsia="IRNazanin" w:cs="IRNazanin"/>
          <w:color w:val="111111"/>
          <w:sz w:val="28"/>
          <w:szCs w:val="28"/>
          <w:rtl w:val="true"/>
          <w:lang w:bidi="fa-IR"/>
        </w:rPr>
        <w:t>.</w:t>
      </w:r>
    </w:p>
    <w:p>
      <w:pPr>
        <w:pStyle w:val="Heading4"/>
        <w:numPr>
          <w:ilvl w:val="3"/>
          <w:numId w:val="1"/>
        </w:numPr>
        <w:rPr/>
      </w:pPr>
      <w:bookmarkStart w:id="1031" w:name="__RefHeading___Toc2647080_3224264995"/>
      <w:bookmarkStart w:id="1032" w:name="_Toc411"/>
      <w:bookmarkEnd w:id="1031"/>
      <w:r>
        <w:rPr>
          <w:rtl w:val="true"/>
        </w:rPr>
        <w:t>[</w:t>
      </w:r>
      <w:r>
        <w:rPr>
          <w:rtl w:val="true"/>
        </w:rPr>
        <w:t>مناقشات فی دلالة الحدیث علی البراءة</w:t>
      </w:r>
      <w:r>
        <w:rPr>
          <w:rtl w:val="true"/>
        </w:rPr>
        <w:t>]</w:t>
      </w:r>
      <w:bookmarkEnd w:id="1032"/>
    </w:p>
    <w:p>
      <w:pPr>
        <w:pStyle w:val="BookText"/>
        <w:rPr/>
      </w:pPr>
      <w:r>
        <w:rPr>
          <w:rFonts w:ascii="IRNazanin" w:hAnsi="IRNazanin" w:eastAsia="IRNazanin"/>
          <w:color w:val="111111"/>
          <w:sz w:val="28"/>
          <w:sz w:val="28"/>
          <w:szCs w:val="28"/>
          <w:rtl w:val="true"/>
          <w:lang w:bidi="fa-IR"/>
        </w:rPr>
        <w:t>و قد یبعّد دلالته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استادنا العلّامة من أنّ دلالته علی المطلوب مبنیّ علی تقدیر أن یکون المراد من الغایة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یعلم النهی، لا حتی یرد النهی فی الواقع و إن لم یعلم، و من المعلوم عدم صحّة هذا المبنی إلّا علی القول بوضع الألفاظ للمعانی المعلومة، دون القول بوضعها للمعانی النفس الأمریّة الّذی هو المشهور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دفع هذا الإیراد و تصحیح المبنی المذکور من دون الابتناء علی وضع الألفاظ للمعانی المعلومة، و لا الالتزام بانصرافها إلی المعلومة حتی یضعف بمخالفته المشهور المنصور، و لا الابتناء علی أصالة عدم ورود النهی فی الواقع عند عدم العلم به حتی یضعف بأنّه أصل مثبت لا یحرز به الموضوع فی الألفاظ، بل نصحّحه بمعونة انّ حمل ورود النهی علی الورود الواقعی یرجع إلی نفی المحصّل عن معنی الحدیث لرجوعه إلی معنی أنّ کلّ مطلق فی الواقع مطلق فی الواقع، و کلّ مباح فی الواقع مباح فی الواقع، فینتفی الفائدة و الجدوی و المحصّل للحدیث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ذلک قرینة صارفة للحدیث عن ذلک المعنی، و معیّنة لإرادة العلم من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 ذلک ینظر استدلال المشهور علی المطلوب بهذا الحدیث مع إبائهم عن وضع الألفاظ أو انصرافها إلی المعلومات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أستادنا العلّامة أیضا من أنّ تقدیر کون المراد من الغایة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یعلم به، یستلزم تقدیر العلم المغیّی به الحکم مأخوذا من باب الموضوعیة الّتی من خصائصها عدم قیام الأمارات و البیّنات </w:t>
      </w:r>
      <w:bookmarkStart w:id="1033" w:name="pg12856_162761"/>
    </w:p>
    <w:p>
      <w:pPr>
        <w:pStyle w:val="BookText"/>
        <w:rPr/>
      </w:pPr>
      <w:bookmarkEnd w:id="1033"/>
      <w:r>
        <w:rPr>
          <w:rFonts w:ascii="IRNazanin" w:hAnsi="IRNazanin" w:eastAsia="IRNazanin"/>
          <w:color w:val="111111"/>
          <w:sz w:val="28"/>
          <w:sz w:val="28"/>
          <w:szCs w:val="28"/>
          <w:rtl w:val="true"/>
          <w:lang w:bidi="fa-IR"/>
        </w:rPr>
        <w:t>مقامه، و لازمه الحکم بالبراءة ما لم یعلم خلافه، و إن قامت البیّنة و الأمارة الشرعیّة علی خلافه</w:t>
      </w:r>
      <w:r>
        <w:rPr>
          <w:rFonts w:eastAsia="IRNazanin" w:cs="IRNazanin"/>
          <w:color w:val="111111"/>
          <w:sz w:val="28"/>
          <w:szCs w:val="28"/>
          <w:rtl w:val="true"/>
          <w:lang w:bidi="fa-IR"/>
        </w:rPr>
        <w:t>.</w:t>
      </w:r>
    </w:p>
    <w:p>
      <w:pPr>
        <w:pStyle w:val="Heading4"/>
        <w:numPr>
          <w:ilvl w:val="3"/>
          <w:numId w:val="1"/>
        </w:numPr>
        <w:rPr/>
      </w:pPr>
      <w:bookmarkStart w:id="1034" w:name="__RefHeading___Toc2647082_3224264995"/>
      <w:bookmarkStart w:id="1035" w:name="_Toc412"/>
      <w:bookmarkEnd w:id="1034"/>
      <w:r>
        <w:rPr>
          <w:rtl w:val="true"/>
        </w:rPr>
        <w:t>[</w:t>
      </w:r>
      <w:r>
        <w:rPr>
          <w:rtl w:val="true"/>
        </w:rPr>
        <w:t>منع عدم حجّیة الظنّ فی اصول الفقه</w:t>
      </w:r>
      <w:r>
        <w:rPr>
          <w:rtl w:val="true"/>
        </w:rPr>
        <w:t>]</w:t>
      </w:r>
      <w:bookmarkEnd w:id="1035"/>
    </w:p>
    <w:p>
      <w:pPr>
        <w:pStyle w:val="BookText"/>
        <w:rPr/>
      </w:pPr>
      <w:r>
        <w:rPr>
          <w:rFonts w:ascii="IRNazanin" w:hAnsi="IRNazanin" w:eastAsia="IRNazanin"/>
          <w:color w:val="111111"/>
          <w:sz w:val="28"/>
          <w:sz w:val="28"/>
          <w:szCs w:val="28"/>
          <w:rtl w:val="true"/>
          <w:lang w:bidi="fa-IR"/>
        </w:rPr>
        <w:t>و یمکن رفعه أیضا بأنّ الغالب اعتبار العلم حیث ما اعتبر من باب الطریقیّة لا الموضوعیّة، فتقوم الأمارات مقامه، بل لم نستعهد لاعتباره من باب الموضوعیّة مثالا متّفقا علیه فی شی‌ء من الفقه سوی مجرّد الفرض، أو التعلیق فی النذر،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أنّ غایة مفاد الحدیث هو الظنّ بأصل البراءة، و الظنّ فی الاصول غیر حجّة</w:t>
      </w:r>
      <w:r>
        <w:rPr>
          <w:rFonts w:eastAsia="IRNazanin" w:cs="IRNazanin"/>
          <w:color w:val="111111"/>
          <w:sz w:val="28"/>
          <w:szCs w:val="28"/>
          <w:rtl w:val="true"/>
          <w:lang w:bidi="fa-IR"/>
        </w:rPr>
        <w:t>.</w:t>
      </w:r>
    </w:p>
    <w:p>
      <w:pPr>
        <w:pStyle w:val="Heading4"/>
        <w:numPr>
          <w:ilvl w:val="3"/>
          <w:numId w:val="1"/>
        </w:numPr>
        <w:rPr/>
      </w:pPr>
      <w:bookmarkStart w:id="1036" w:name="__RefHeading___Toc2647084_3224264995"/>
      <w:bookmarkStart w:id="1037" w:name="_Toc413"/>
      <w:bookmarkEnd w:id="1036"/>
      <w:r>
        <w:rPr>
          <w:rtl w:val="true"/>
        </w:rPr>
        <w:t>[</w:t>
      </w:r>
      <w:r>
        <w:rPr>
          <w:rtl w:val="true"/>
        </w:rPr>
        <w:t>وجوه کون البراءة بحثا اصولیا أو فقهیا أو کلامیا</w:t>
      </w:r>
      <w:r>
        <w:rPr>
          <w:rtl w:val="true"/>
        </w:rPr>
        <w:t>]</w:t>
      </w:r>
      <w:bookmarkEnd w:id="1037"/>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عدم حجّیة الظنّ إلّا فی اصول الدین، بل فی بعضها الثابت اعتبار العلم فیها بالدلیل الخارج، و ما نحن فیه من مسألة البراءة لیس من اصول الدین، فضلا عمّا یعتبر فیه العلم منها، بل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مسألة اصولیّة من أصول الفقه، نظرا إلی أنّ البحث فیها بحث فی قاعدة ممهّدة لاستنباط الأحکام الشرعیّة الفرعیّة، أو بحث فی المستقلّات العقلیّة أعنی کون البراءة حکم عقلی یتوصّل به إلی حکم شرعی و هو الاباحة فی المجهولات الحکمیّة 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رجوع البراءة إلی الحکم بواسطة ضمیمة مقدّمة امتناع خلوّ الواقعة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مسألة فقهیّة و قاعدة من القواعد الکلّیة، کقاعدة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مسألة کلامیة، نظرا إلی إمکان إرجاع البحث فیها إلی البحث عن أحوال المبدا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قبح العقاب من الباری بلا بیان و عدمه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أنّه لو سلّم عدم حجّیة الظنّ فی الاصول فإنّما یسلّم فی الظنّ المطلق، لا الظنّ الخاصّ لعموم أدلّة حجّیته، و عدم الفارق بین الاصول و غیره حسب ما قرّر فی محلّه</w:t>
      </w:r>
      <w:r>
        <w:rPr>
          <w:rFonts w:eastAsia="IRNazanin" w:cs="IRNazanin"/>
          <w:color w:val="111111"/>
          <w:sz w:val="28"/>
          <w:szCs w:val="28"/>
          <w:rtl w:val="true"/>
          <w:lang w:bidi="fa-IR"/>
        </w:rPr>
        <w:t xml:space="preserve">. </w:t>
      </w:r>
      <w:bookmarkStart w:id="1038" w:name="pg12856_162762"/>
    </w:p>
    <w:p>
      <w:pPr>
        <w:pStyle w:val="Heading4"/>
        <w:numPr>
          <w:ilvl w:val="3"/>
          <w:numId w:val="1"/>
        </w:numPr>
        <w:rPr/>
      </w:pPr>
      <w:bookmarkStart w:id="1039" w:name="__RefHeading___Toc2647086_3224264995"/>
      <w:bookmarkStart w:id="1040" w:name="_Toc414"/>
      <w:bookmarkEnd w:id="1038"/>
      <w:bookmarkEnd w:id="1039"/>
      <w:r>
        <w:rPr>
          <w:rtl w:val="true"/>
        </w:rPr>
        <w:t>[</w:t>
      </w:r>
      <w:r>
        <w:rPr>
          <w:rtl w:val="true"/>
        </w:rPr>
        <w:t>الردّ علی صاحب الوسائل فی إیراده علی دلالة الحدیث</w:t>
      </w:r>
      <w:r>
        <w:rPr>
          <w:rtl w:val="true"/>
        </w:rPr>
        <w:t>]</w:t>
      </w:r>
      <w:bookmarkEnd w:id="104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الشیخ الحرّ فی بعض أبواب القضاء من الوسائل من أنّ النهی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النهی العامّ و الخاصّ، و النهی العامّ قد بلغنا بأخبار الاحتیاط</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النهی و إن عمّ النهی العامّ و الخاصّ إلّا أنّ ظهور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 عنه من حیث الخصوص لا من حیث کونه مجهول الحکم أظهر، فیقدّم علی ظهور النهی فی العموم تقدیما للأظهر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ورود النهی العام بأخبار الاحتیاط لما سیأتی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ورود النهی العام بأخبار الاحتیاط، لکنّها معارضة بهذا الخبر و غیره من أخبار البراءة و الترجیح من حیث الدلالة، بل و من حیث السند مع 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جهة الدلالة، فلأنّ فی أخبار البراءة عمومات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حدیث الرفع کادت أن تأبی من التخصیص جدّا، بخلاف أخبار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السند، فلتواتر أخبار البراءة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لأشهریّة أخبار البراءة من أخبار الاحتیاط روایة و فتوی فتقدّم علیها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الشیخ الحرّ فی بعض أبواب القضاء من الوسائل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لا یعارض المتواتر من أخبار الاحتیاط، فلا بدّ من حمله علی التقیّة لموافقة البراءة مذهب العامّة، أو علی الخطاب الشرعی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شی‌ء من الخطابات الشرعیة یتعیّن حمله علی إطلاقه و عمومه حتی یعلم التقیید و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التخصیص بالشبهات الموضوعیّة دون الحکمیّة، أو بما قبل کمال الشریعة، أو بالغافل و القاصر عن بلوغ أخبار الاحتیاط إلیه، أو </w:t>
      </w:r>
      <w:bookmarkStart w:id="1041" w:name="pg12856_162763"/>
    </w:p>
    <w:p>
      <w:pPr>
        <w:pStyle w:val="BookText"/>
        <w:rPr/>
      </w:pPr>
      <w:bookmarkEnd w:id="1041"/>
      <w:r>
        <w:rPr>
          <w:rFonts w:ascii="IRNazanin" w:hAnsi="IRNazanin" w:eastAsia="IRNazanin"/>
          <w:color w:val="111111"/>
          <w:sz w:val="28"/>
          <w:sz w:val="28"/>
          <w:szCs w:val="28"/>
          <w:rtl w:val="true"/>
          <w:lang w:bidi="fa-IR"/>
        </w:rPr>
        <w:t>بالشبهة الوجوبیّة لا التحریمیّة، أو بالأشیاء المهمّة العامّة البلوی الّتی یقتضی العادة بأنّه لو کان فیها حکم مخالف للأصل لنقل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تواتر أخبار الاحتیاط دون أخبار البراءة لیس بأولی من العکس، إن لم یکن الأولی العکس</w:t>
      </w:r>
      <w:r>
        <w:rPr>
          <w:rFonts w:eastAsia="IRNazanin" w:cs="IRNazanin"/>
          <w:color w:val="111111"/>
          <w:sz w:val="28"/>
          <w:szCs w:val="28"/>
          <w:rtl w:val="true"/>
          <w:lang w:bidi="fa-IR"/>
        </w:rPr>
        <w:t>.</w:t>
      </w:r>
    </w:p>
    <w:p>
      <w:pPr>
        <w:pStyle w:val="Heading4"/>
        <w:numPr>
          <w:ilvl w:val="3"/>
          <w:numId w:val="1"/>
        </w:numPr>
        <w:rPr/>
      </w:pPr>
      <w:bookmarkStart w:id="1042" w:name="__RefHeading___Toc2647088_3224264995"/>
      <w:bookmarkStart w:id="1043" w:name="_Toc415"/>
      <w:bookmarkEnd w:id="1042"/>
      <w:r>
        <w:rPr>
          <w:rtl w:val="true"/>
        </w:rPr>
        <w:t>[</w:t>
      </w:r>
      <w:r>
        <w:rPr>
          <w:rtl w:val="true"/>
        </w:rPr>
        <w:t>کلام فی الأخذ بمخالف العامّة</w:t>
      </w:r>
      <w:r>
        <w:rPr>
          <w:rtl w:val="true"/>
        </w:rPr>
        <w:t>]</w:t>
      </w:r>
      <w:bookmarkEnd w:id="1043"/>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المذکور آب من الحمل علی التقیّة، لأنّ موافقة البراءة لیست من الموافقات الخاصّة بالعامّة حتّی یوجب الظنّ بالتقیّة، بل هی موافقة أیضا لأکثر الخاصّة علی وجه ینزل مخالفة الأخباریّة لهم منزلة العدم و الشاذّ و النادر المأمور بترکه فی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بمخالف العامّة فی المتعارضین لم یثبت من باب التّعبد، و إنّما ثبت من باب الطریقیّة و الکشف عن ورود الموافق تقیّة، و من البیّن عدم حصول الظنّ بالتقیّة من مطلق الموافقة حتی الموافقة الموافقة لأکثر الخاصّة المنزّل مخالفتهم منزلة الشاذّ و النادر المأمور بترکه فی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أیضا آب من الحمل علی خصوص الخطاب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إرادة بیان حمل المطلقات و العمومات الشرعیّة علی الاطلاق و العموم حتی یثبت التقیید و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حمل المطلقات علی إطلاقها، و العمومات علی عمومها، حتی یثبت التقیید و التخصیص من القواعد العرفیّة الوفاقیّة بین أهل اللسان الخارجة عن وظیفة الشارع، بل لم یعهد بیان مثله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النظر فی ما أوردنا علی المحملین المذکورین تقدر علی النظر فی سائر محامله المذکورة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دلالته علی المطلوب أوضح من الکلّ</w:t>
      </w:r>
      <w:r>
        <w:rPr>
          <w:rFonts w:eastAsia="IRNazanin" w:cs="IRNazanin"/>
          <w:color w:val="111111"/>
          <w:sz w:val="28"/>
          <w:szCs w:val="28"/>
          <w:rtl w:val="true"/>
          <w:lang w:bidi="fa-IR"/>
        </w:rPr>
        <w:t>».</w:t>
      </w:r>
    </w:p>
    <w:p>
      <w:pPr>
        <w:pStyle w:val="Heading4"/>
        <w:numPr>
          <w:ilvl w:val="3"/>
          <w:numId w:val="1"/>
        </w:numPr>
        <w:rPr/>
      </w:pPr>
      <w:bookmarkStart w:id="1044" w:name="__RefHeading___Toc2647090_3224264995"/>
      <w:bookmarkStart w:id="1045" w:name="_Toc416"/>
      <w:bookmarkEnd w:id="1044"/>
      <w:r>
        <w:rPr>
          <w:rtl w:val="true"/>
        </w:rPr>
        <w:t>[</w:t>
      </w:r>
      <w:r>
        <w:rPr>
          <w:rtl w:val="true"/>
        </w:rPr>
        <w:t>أقوائیة دلالة حدیث</w:t>
      </w:r>
      <w:r>
        <w:rPr>
          <w:rtl w:val="true"/>
        </w:rPr>
        <w:t>: «</w:t>
      </w:r>
      <w:r>
        <w:rPr>
          <w:rtl w:val="true"/>
        </w:rPr>
        <w:t>کلّ شی‌ء مطلق</w:t>
      </w:r>
      <w:r>
        <w:rPr>
          <w:rtl w:val="true"/>
        </w:rPr>
        <w:t xml:space="preserve">» </w:t>
      </w:r>
      <w:r>
        <w:rPr>
          <w:rtl w:val="true"/>
        </w:rPr>
        <w:t>علی البراءة</w:t>
      </w:r>
      <w:r>
        <w:rPr>
          <w:rtl w:val="true"/>
        </w:rPr>
        <w:t>]</w:t>
      </w:r>
      <w:bookmarkEnd w:id="104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أوضحیّة دلالته من سائر الأدلّة هو اشتماله علی أقوی أداة </w:t>
      </w:r>
      <w:bookmarkStart w:id="1046" w:name="pg12856_162764"/>
    </w:p>
    <w:p>
      <w:pPr>
        <w:pStyle w:val="BookText"/>
        <w:rPr/>
      </w:pPr>
      <w:bookmarkEnd w:id="1046"/>
      <w:r>
        <w:rPr>
          <w:rFonts w:ascii="IRNazanin" w:hAnsi="IRNazanin" w:eastAsia="IRNazanin"/>
          <w:color w:val="111111"/>
          <w:sz w:val="28"/>
          <w:sz w:val="28"/>
          <w:szCs w:val="28"/>
          <w:rtl w:val="true"/>
          <w:lang w:bidi="fa-IR"/>
        </w:rPr>
        <w:t xml:space="preserve">العموم من لفظ الکلّ، مع سیاقه کسیاق ما یأبی من التخصیص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نحوه، بخلاف سائر الأدلّة، فإنّ أغلبها إطلاقات یمکن دعوی انصرافها إلی غیر المطلوب، و اشتماله علی الظهور فی الإنشاء لا الإخبار، و علی کون الحکم بالاطلاق مغیّا بغایة النهی عنه الخاصّ بالشبهات الحکمیّة لا بغایة التبیّن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انّ الجهل بکونها فی العدّة إلخ</w:t>
      </w:r>
      <w:r>
        <w:rPr>
          <w:rFonts w:eastAsia="IRNazanin" w:cs="IRNazanin"/>
          <w:color w:val="111111"/>
          <w:sz w:val="28"/>
          <w:szCs w:val="28"/>
          <w:rtl w:val="true"/>
          <w:lang w:bidi="fa-IR"/>
        </w:rPr>
        <w:t>».</w:t>
      </w:r>
    </w:p>
    <w:p>
      <w:pPr>
        <w:pStyle w:val="Heading4"/>
        <w:numPr>
          <w:ilvl w:val="3"/>
          <w:numId w:val="1"/>
        </w:numPr>
        <w:rPr/>
      </w:pPr>
      <w:bookmarkStart w:id="1047" w:name="__RefHeading___Toc2647092_3224264995"/>
      <w:bookmarkStart w:id="1048" w:name="_Toc417"/>
      <w:bookmarkEnd w:id="1047"/>
      <w:r>
        <w:rPr>
          <w:rtl w:val="true"/>
        </w:rPr>
        <w:t>[</w:t>
      </w:r>
      <w:r>
        <w:rPr>
          <w:rtl w:val="true"/>
        </w:rPr>
        <w:t>توضیح إیراد الماتن علی الاستدلال بصحیحة عبد الرحمن بن حجاج</w:t>
      </w:r>
      <w:r>
        <w:rPr>
          <w:rtl w:val="true"/>
        </w:rPr>
        <w:t>]</w:t>
      </w:r>
      <w:bookmarkEnd w:id="10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الجواب عن الصحیحة</w:t>
      </w:r>
      <w:r>
        <w:rPr>
          <w:rStyle w:val="FootnoteAnchor"/>
          <w:rtl w:val="true"/>
        </w:rPr>
        <w:footnoteReference w:id="369"/>
      </w:r>
      <w:r>
        <w:rPr>
          <w:rFonts w:ascii="IRNazanin" w:hAnsi="IRNazanin" w:eastAsia="IRNazanin"/>
          <w:color w:val="111111"/>
          <w:sz w:val="28"/>
          <w:sz w:val="28"/>
          <w:szCs w:val="28"/>
          <w:rtl w:val="true"/>
          <w:lang w:bidi="fa-IR"/>
        </w:rPr>
        <w:t>أنّ موردها إمّا الشبهة الحکمیّة و هو الجهل بالحرمة، أو الشبهة الموضوعیّة و هو الجهل بالعدّة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إمّا أن یکون الجهل بأصل الحرمة أو بمقدار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علی الثانی أیضا إمّا أن یکون الجهل بأصل العدّة أو فی 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 هذه الصور الأربعة، إمّا أن یحمل الجهل علی الغفلة أن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 هذه الصور الثمانیة، إمّا أن تکون المعذوریّة عبارة عن إسقاط الحکم التکلیفی و هو العقاب و المؤاخذة، أو عن إسقاط الحکم الوضعی، و هو تأبید حرمة المتزوّج بها فی العدّة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المعذوریّة فی الحکم الوضعی و هو عدم تأبید الحرمة فهو و إن دلّ علیها الروایة، إلّا انّ المعذوریة فی الحکم الوضعی خارج عن محلّ النزاع بأقسامه الثمانیة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المعذوریّة فی الحکم التکلیفی، فامّا صور الجهل بمعنی الغفلة، فالمعذوریّة فی کلّ من صوره الأربعة أیضا خارج عن محلّ النزاع بالوفاق علی </w:t>
      </w:r>
      <w:bookmarkStart w:id="1049" w:name="pg12856_162765"/>
    </w:p>
    <w:p>
      <w:pPr>
        <w:pStyle w:val="BookText"/>
        <w:rPr/>
      </w:pPr>
      <w:bookmarkEnd w:id="1049"/>
      <w:r>
        <w:rPr>
          <w:rFonts w:ascii="IRNazanin" w:hAnsi="IRNazanin" w:eastAsia="IRNazanin"/>
          <w:color w:val="111111"/>
          <w:sz w:val="28"/>
          <w:sz w:val="28"/>
          <w:szCs w:val="28"/>
          <w:rtl w:val="true"/>
          <w:lang w:bidi="fa-IR"/>
        </w:rPr>
        <w:t>معذوریّة الغافل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صورتا الجهل بالموضوع، فأیضا خارجان عن محلّ النزاع، سواء دلّت الروایة علی المعذوریّة فیهما أم لم 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صورتا الجهل بالحکم، فهما و إن کانا من محلّ النزاع إلّا أنّه لا دلالة فی الروایة علی معذوریّة الجاهل فیهما، سیما إذا استند الجهل إلی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داخل فی محلّ النزاع من الصور لا تدلّ الروایة علی معذوریّة الجاهل فیه، و ما تدلّ الروایة علی معذوریّة الجاهل فیه من الصور لا یدخل فی محلّ النزاع</w:t>
      </w:r>
      <w:r>
        <w:rPr>
          <w:rFonts w:eastAsia="IRNazanin" w:cs="IRNazanin"/>
          <w:color w:val="111111"/>
          <w:sz w:val="28"/>
          <w:szCs w:val="28"/>
          <w:rtl w:val="true"/>
          <w:lang w:bidi="fa-IR"/>
        </w:rPr>
        <w:t>.</w:t>
      </w:r>
    </w:p>
    <w:p>
      <w:pPr>
        <w:pStyle w:val="Heading4"/>
        <w:numPr>
          <w:ilvl w:val="3"/>
          <w:numId w:val="1"/>
        </w:numPr>
        <w:rPr/>
      </w:pPr>
      <w:bookmarkStart w:id="1050" w:name="__RefHeading___Toc2647094_3224264995"/>
      <w:bookmarkStart w:id="1051" w:name="_Toc418"/>
      <w:bookmarkEnd w:id="1050"/>
      <w:r>
        <w:rPr>
          <w:rtl w:val="true"/>
        </w:rPr>
        <w:t>[</w:t>
      </w:r>
      <w:r>
        <w:rPr>
          <w:rtl w:val="true"/>
        </w:rPr>
        <w:t>إشکال فی دلالة أخری للصحیحة و دفعه</w:t>
      </w:r>
      <w:r>
        <w:rPr>
          <w:rtl w:val="true"/>
        </w:rPr>
        <w:t>]</w:t>
      </w:r>
      <w:bookmarkEnd w:id="1051"/>
    </w:p>
    <w:p>
      <w:pPr>
        <w:pStyle w:val="BookText"/>
        <w:rPr/>
      </w:pPr>
      <w:r>
        <w:rPr>
          <w:rFonts w:ascii="IRNazanin" w:hAnsi="IRNazanin" w:eastAsia="IRNazanin"/>
          <w:color w:val="111111"/>
          <w:sz w:val="28"/>
          <w:sz w:val="28"/>
          <w:szCs w:val="28"/>
          <w:rtl w:val="true"/>
          <w:lang w:bidi="fa-IR"/>
        </w:rPr>
        <w:t>بقی الکلام فی الإشکال الوارد علی الروایة علی کلّ من تقدیری دلالته علی المطلوب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هذا الإشکال هو دلالة الروایة علی أعذریّة الجهل فی الحکم من الجهل بالموضوع، لإمکان الاحتیاط فی الثانی دون الأوّل، مع أنّه إن ارید من الجهل الجهل المرکّب و هو الغفلة، لم یمکن الاحتیاط فی کلتا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الجهل البسیط و هو الشکّ، أمکن الاحتیاط فی کلتا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من الجهل الغفلة فی الأوّل، و الشکّ فی الثانی، نسلّم إمکان الاحتیاط فی الثانی دون الأوّل، إلّا انّه یستلزم التفکیک بین الجهالتین و هو معیب معنی و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معنی فلأن إرادة الغفلة من الجهل فی الحکم، و الشکّ من الجهل فی الموضوع مع انقسام الجهل فی کلّ منهما إلی القسمین مناف للبلاغة فی الکلام إذا لم یستند إلی نکتة مطابقة لمقتضی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لفظا فلاستلزامه استعمال الجهالة فی أکثر من معنی واحد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یندفع هذا الإشکال بإمکان أن یکون نکتة التفکیک بین الجهالتین هو استناد الجهل فی ذات العدّة إلی الغفلة غالبا لا إلی الشکّ سیما ممّن نشأ فی بلد الاسلام، بخلاف الجهل فی موضوع العدّة فإنّه بالعکس غالبا، حیث إنّ الجهل فی </w:t>
      </w:r>
      <w:bookmarkStart w:id="1052" w:name="pg12856_162766"/>
    </w:p>
    <w:p>
      <w:pPr>
        <w:pStyle w:val="BookText"/>
        <w:rPr/>
      </w:pPr>
      <w:bookmarkEnd w:id="1052"/>
      <w:r>
        <w:rPr>
          <w:rFonts w:ascii="IRNazanin" w:hAnsi="IRNazanin" w:eastAsia="IRNazanin"/>
          <w:color w:val="111111"/>
          <w:sz w:val="28"/>
          <w:sz w:val="28"/>
          <w:szCs w:val="28"/>
          <w:rtl w:val="true"/>
          <w:lang w:bidi="fa-IR"/>
        </w:rPr>
        <w:t>کون المرأة فی عدّة الغیر و عدمه بعد فرض العلم بالحکم و هو حرمتها علی الأوّل، و عدم حرمتها علی الثانی، لا یکون غالبا إلّا عن الشکّ لا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أیضا دفع إشکال الاستعمال فی أکثر من معنی بوجود الجامع بین الجهلین و القدر المشترک بین المعنیین، و هو عدم العلم مع وجود القرینة علی إرادته، و هی إمکان الاحتیاط فی أحدهما و عدم إمکانه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الغرض من ذکر هذا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053" w:name="__RefHeading___Toc2647096_3224264995"/>
      <w:bookmarkStart w:id="1054" w:name="_Toc419"/>
      <w:bookmarkEnd w:id="1053"/>
      <w:r>
        <w:rPr>
          <w:rtl w:val="true"/>
        </w:rPr>
        <w:t>[</w:t>
      </w:r>
      <w:r>
        <w:rPr>
          <w:rtl w:val="true"/>
        </w:rPr>
        <w:t>فی مفاد حدیث</w:t>
      </w:r>
      <w:r>
        <w:rPr>
          <w:rtl w:val="true"/>
        </w:rPr>
        <w:t>: «</w:t>
      </w:r>
      <w:r>
        <w:rPr>
          <w:rtl w:val="true"/>
        </w:rPr>
        <w:t>کلّ شی‌ء فیه حلال و حرام</w:t>
      </w:r>
      <w:r>
        <w:rPr>
          <w:rtl w:val="true"/>
        </w:rPr>
        <w:t>»]</w:t>
      </w:r>
      <w:bookmarkEnd w:id="1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المقصود من التقیید بما فیه حلال و حرام لیس مجرّد الاحتراز عمّا ذکر، بل فیه فائدتان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الاحتراز عمّا ذکر، و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بکون المقصود هو مشتبه الحرمة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فی القوانین</w:t>
      </w:r>
      <w:r>
        <w:rPr>
          <w:rStyle w:val="FootnoteAnchor"/>
          <w:rtl w:val="true"/>
        </w:rPr>
        <w:footnoteReference w:id="370"/>
      </w:r>
      <w:r>
        <w:rPr>
          <w:rFonts w:ascii="IRNazanin" w:hAnsi="IRNazanin" w:eastAsia="IRNazanin"/>
          <w:color w:val="111111"/>
          <w:sz w:val="28"/>
          <w:sz w:val="28"/>
          <w:szCs w:val="28"/>
          <w:rtl w:val="true"/>
          <w:lang w:bidi="fa-IR"/>
        </w:rPr>
        <w:t>من منع کون القید احترازیّا عمّا ذکر، و منع کونه بیانیا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منع الأوّل فلأنّه لا معنی حینئذ لاعتبار المفهوم المخالف إلّا بأخذ السالبة منفیّة الموضوع و هی غیر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مفهوم الروایة</w:t>
      </w:r>
      <w:r>
        <w:rPr>
          <w:rStyle w:val="FootnoteAnchor"/>
          <w:rtl w:val="true"/>
        </w:rPr>
        <w:footnoteReference w:id="371"/>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فیه حرام و حلال فمجهوله لیس بحلال، و لیس فی ما لیس فیه حرام و حلال بالتفسیر المذکور مجهول، فیتعیّن أخذ السالبة منفیّة الموضوع، و لا فائدة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یسلم أن یکون للکلام المذکور مفهوما لأنّه إن کان باعتبار القید بالوصف، فقد قرّر فی محلّه منع دلالته علیه، و إن کان باعتبار تضمین الجملة معنی الشرط فممنوع</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منع الثانی فلظهور القید المذکور فی بیان منشأ الاشتباه، لا ما فیه الاشتباه، فتختصّ الروایة بالشبهات الموضوعیّة لا الحکمیّة، حیث إنّ </w:t>
      </w:r>
      <w:bookmarkStart w:id="1055" w:name="pg12856_162767"/>
    </w:p>
    <w:p>
      <w:pPr>
        <w:pStyle w:val="BookText"/>
        <w:rPr/>
      </w:pPr>
      <w:bookmarkEnd w:id="1055"/>
      <w:r>
        <w:rPr>
          <w:rFonts w:ascii="IRNazanin" w:hAnsi="IRNazanin" w:eastAsia="IRNazanin"/>
          <w:color w:val="111111"/>
          <w:sz w:val="28"/>
          <w:sz w:val="28"/>
          <w:szCs w:val="28"/>
          <w:rtl w:val="true"/>
          <w:lang w:bidi="fa-IR"/>
        </w:rPr>
        <w:t>الانقسام الفعلی إلی القسمین هو المنشأ لاشتباه حکم مشتبه الموضوع دون اشتباه حکم مشتبه الحکم، فإنّ منشأه إمّا عدم النصّ، أو إجماله، أو تعارض النصّین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تصدّی له الفصول</w:t>
      </w:r>
      <w:r>
        <w:rPr>
          <w:rStyle w:val="FootnoteAnchor"/>
          <w:rtl w:val="true"/>
        </w:rPr>
        <w:footnoteReference w:id="372"/>
      </w:r>
      <w:r>
        <w:rPr>
          <w:rFonts w:ascii="IRNazanin" w:hAnsi="IRNazanin" w:eastAsia="IRNazanin"/>
          <w:color w:val="111111"/>
          <w:sz w:val="28"/>
          <w:sz w:val="28"/>
          <w:szCs w:val="28"/>
          <w:rtl w:val="true"/>
          <w:lang w:bidi="fa-IR"/>
        </w:rPr>
        <w:t>من دفع الإیراد الأوّل بأنّ الضمیر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الشی‌ء المحتمل لیعتبر له المفهوم المخالف و یعمّ الشبهات الحکمیّة و الموضوعیّة، لا أنّه راجع إلی الشی‌ء المجهول حتی یلغی اعتبار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إن أراد أنّ الضمیر راجع إلی المجهول المضاف إلی الشی‌ء المقیّد بالقید المذکور ففاسد لعدم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إضمار المجهول المضاف إلی ضمیر الشی‌ء المذکور فحذف المضاف و أبدل الضمیر المجرور بالمرفوع لیقوم مقامه، ففاسد أیضا لأنّه إضمار بتکلّف بعید، بل غیر سدید من غیر قرینة و لا ضرورة محوجة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 بأنّ مقصوده لیس شیئا من الشقّین حتی یرد ما ذکر، بل مقصوده أنّه لمّا کان من المعلوم بحسب الخارج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 حلال حتی تعرف الحرام بعینه</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بیان الحکم الظاهری لا الواقعی، و انّ من لوازم الحکم الظاهری تعلّقه بموضوع المجهول و المشتبه دلّت الروایة علی اعتبار الجهل فی مراجع الضمیر بدلالة الالتزام کدلالة الآیتین</w:t>
      </w:r>
      <w:r>
        <w:rPr>
          <w:rStyle w:val="FootnoteAnchor"/>
          <w:rtl w:val="true"/>
        </w:rPr>
        <w:footnoteReference w:id="374"/>
      </w:r>
      <w:r>
        <w:rPr>
          <w:rFonts w:ascii="IRNazanin" w:hAnsi="IRNazanin" w:eastAsia="IRNazanin"/>
          <w:color w:val="111111"/>
          <w:sz w:val="28"/>
          <w:sz w:val="28"/>
          <w:szCs w:val="28"/>
          <w:rtl w:val="true"/>
          <w:lang w:bidi="fa-IR"/>
        </w:rPr>
        <w:t>علی أقلّ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علم حکم کلی فوقه أو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056" w:name="__RefHeading___Toc2647098_3224264995"/>
      <w:bookmarkStart w:id="1057" w:name="_Toc420"/>
      <w:bookmarkEnd w:id="1056"/>
      <w:r>
        <w:rPr>
          <w:rtl w:val="true"/>
        </w:rPr>
        <w:t>[</w:t>
      </w:r>
      <w:r>
        <w:rPr>
          <w:rtl w:val="true"/>
        </w:rPr>
        <w:t>إشارة إلی الخلاف فی وجوه الکلّی الطبیعی</w:t>
      </w:r>
      <w:r>
        <w:rPr>
          <w:rtl w:val="true"/>
        </w:rPr>
        <w:t>]</w:t>
      </w:r>
      <w:bookmarkEnd w:id="105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التردید إشارة إلی الخلاف فی وجود الکلّی الطبیعی فی الخارج، و عدم وجوده، إلّا فی ضمن الأفراد، و إلّا فاختلاف التعبیرین بالاعتبار، و مؤدّاهما متّحد فی الاشارة إلی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الشبهة الحکمیّة فقد </w:t>
      </w:r>
    </w:p>
    <w:p>
      <w:pPr>
        <w:pStyle w:val="BookText"/>
        <w:rPr/>
      </w:pPr>
      <w:r>
        <w:rPr>
          <w:rFonts w:ascii="IRNazanin" w:hAnsi="IRNazanin" w:eastAsia="IRNazanin"/>
          <w:color w:val="111111"/>
          <w:sz w:val="28"/>
          <w:sz w:val="28"/>
          <w:szCs w:val="28"/>
          <w:rtl w:val="true"/>
          <w:lang w:bidi="fa-IR"/>
        </w:rPr>
        <w:t>اشیر إلی إدخالها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دخل له فی هذا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 حلال</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حتی یکون ذکره لفائدة الإشعار بالعلّیّة،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الرجل العادل، و لا تکرم الرجل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الحکم المتعلّق بالوصف المناسب مشعرا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تقیید حرمة الربائب بقوله تعالی اللَّاتِی فِی حُجُورِکُمْ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فی تحقّق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ذکره لإفادة تحقّق الموضوع، کالإضافة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الخمر حرام</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فالقید الوارد فی کلام الحکیم إمّا أن یکون له دخل فی تحقّق الموضوع أو الحکم و إلّا فالملغی عن الفائدة لا یقع فی کلام بلیغ أو حکیم فضلا عن أبلغ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ولیته أمر بالتأمّل فی الإیراد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التأمّل فی الإیراد الأوّل ما عرفت من أنّ المستدلّ نزّل الاستدلال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یحتمل الحرام و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عامّ واحد یشمل کلا المعنیین، لا استعمال للّفظ فی معنیین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التأمّل فی الإیراد الثانی فلأنّ اختلاف طرق المعرفة و تعدّدها لا </w:t>
      </w:r>
    </w:p>
    <w:p>
      <w:pPr>
        <w:pStyle w:val="BookText"/>
        <w:rPr/>
      </w:pPr>
      <w:r>
        <w:rPr>
          <w:rFonts w:ascii="IRNazanin" w:hAnsi="IRNazanin" w:eastAsia="IRNazanin"/>
          <w:color w:val="111111"/>
          <w:sz w:val="28"/>
          <w:sz w:val="28"/>
          <w:szCs w:val="28"/>
          <w:rtl w:val="true"/>
          <w:lang w:bidi="fa-IR"/>
        </w:rPr>
        <w:t>یوجب اختلاف فی المعرفة، و استعمال اللفظ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قرّره أستادنا العلّامة لاختلاف نفس المعرفة فی الموضوعات للمعرفة فی الأحکام، من أنّ العلم المتعلّق بالموضوعات علم وجدانی، بخلاف العلم المتعلّق بالأحکام فإنّه 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اعترضت علیه دام ظلّه بالمنع من إطلاق ذلک، بل کما أنّ فی الأحکام معارف تنزیلیّة من الأدلّة الشرعیّة کذلک فی الموضوعات أیضا معارف تنزیلیّة من السوق و الید 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فی الموضوعات معارف حقیقیّة کالعلوم الوجدانیة من حسّ أو وجدان، کذلک فی الأحکام الشرعیّة أسباب علمیّة من إجماع أو ضرورة أو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الاختلاف فی أسباب العلم و طرقه لا یوجب اختلاف نفس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قرّره دام ظلّه للافتراق و الاختلاف من جهة اخری بأنّ المدار فی الموضوعات علی العلم و لو قبل الفحص، و فی الأحکام علی العلم المقیّد بما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اعترضت علیه أیضا بأنّ ذلک أیضا لا یوجب اختلاف نفس العلم ضرورة أنّ لزوم الفحص إنّما هو من مقتضیات وجود العلم الاجمالی بالمخالف و المعارض حیثما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وجوده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بل قد یوجد فی الموضوعات کما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وجد العلم الاجمالی بالخلاف فی الموضوعات أیضا إلّا أنّ أثره و هو لزوم الفحص خاصّ بالأحکام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ممنوع، إذ کما أنّ لزوم الفحص فی الأحکام </w:t>
      </w:r>
      <w:bookmarkStart w:id="1058" w:name="pg12856_162770"/>
    </w:p>
    <w:p>
      <w:pPr>
        <w:pStyle w:val="BookText"/>
        <w:rPr/>
      </w:pPr>
      <w:bookmarkEnd w:id="1058"/>
      <w:r>
        <w:rPr>
          <w:rFonts w:ascii="IRNazanin" w:hAnsi="IRNazanin" w:eastAsia="IRNazanin"/>
          <w:color w:val="111111"/>
          <w:sz w:val="28"/>
          <w:sz w:val="28"/>
          <w:szCs w:val="28"/>
          <w:rtl w:val="true"/>
          <w:lang w:bidi="fa-IR"/>
        </w:rPr>
        <w:t>مشهوریّ، کذلک وجوب الاجتناب عن الشبهات المحصورة أیضا مشهوریّ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القول بعدم لزوم الفحص و الاجتناب عن الشبهة المحصورة موجود، کذلک القول بعدم لزوم الفحص فی الأحکام أیضا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اختصاص وجود العلم الاجمالی المقتضی للفحص بالأحکام دون الموضوعات، لکن من المعلوم أنّ العلم الحاصل بعد الفحص فی الأحکام لوجود مقتضیه لا یغایر العلم الحاصل قبله فی الموضوعات لعدم وجود مقتضیه، حتی یلزم من إرادتهما استعمال لفظ العلم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الغرض ممّا ذکر من عدم التخطئة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059" w:name="__RefHeading___Toc2647100_3224264995"/>
      <w:bookmarkStart w:id="1060" w:name="_Toc421"/>
      <w:bookmarkEnd w:id="1059"/>
      <w:r>
        <w:rPr>
          <w:rtl w:val="true"/>
        </w:rPr>
        <w:t>[</w:t>
      </w:r>
      <w:r>
        <w:rPr>
          <w:rtl w:val="true"/>
        </w:rPr>
        <w:t>ردّ إیراد الماتن علی المحکیّ عن المحقّق من الاستدلال بإجماع أهل الشرائع عملا علی البراءة</w:t>
      </w:r>
      <w:r>
        <w:rPr>
          <w:rtl w:val="true"/>
        </w:rPr>
        <w:t>]</w:t>
      </w:r>
      <w:bookmarkEnd w:id="10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ثبوت السیرة المستمرة القطعیّة فی جمیع الشرائع علی عدم تخطئة المبادر إلی ارتکاب المشتهیات بمجرّد احتمال الحرمة لا یبقی مسرح لورود شقّ من شقّی الإیراد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ورود الشق الأوّل علیه، و هو استناد السیرة المذکورة إلی قاعدة قبح العقاب المعلّق علی عدم البیان، فلأنّ المفروض کون السیرة سیرة منجّزة محصّلة، فلا یصحّ استنادها إلی أمیر معلّق إلا بالرجوع إلی منع أصل السیرة المنجّزة المفروض عدم منعه، بل عدم المجال لمنعه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عدم ورود الشقّ الثانی علیه، و هو ابتناء السیرة المذکورة علی عدم وجوب دفع الضرر المحتمل فلما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نقضا بأنّ ابتناء العمل بالسیرة المذکورة نظیر ابتنائک العمل بالدلیل المسلّم الدلیلیّة علی عدم وجوب العمل بالأصل المأخوذ فی موضوعه عدم ذلک الدلیل و حلّا بأنّ السیرة بعد الثبوت دلیل وارد علی قاعدة دفع الضرر، و رافع لموضوعه کسائر الأدلّة الواردة علی الاصول، فعدم وجوب دفع الضرر المحتمل فی مورد السیرة المذکورة من قبیل السالبة بانتفاء الموضوع، لا من قبیل السالبة بانتفاء المحمول، کما یوهمه ظاهر </w:t>
      </w:r>
      <w:bookmarkStart w:id="1061" w:name="pg12856_162771"/>
    </w:p>
    <w:p>
      <w:pPr>
        <w:pStyle w:val="BookText"/>
        <w:rPr/>
      </w:pPr>
      <w:bookmarkEnd w:id="1061"/>
      <w:r>
        <w:rPr>
          <w:rFonts w:ascii="IRNazanin" w:hAnsi="IRNazanin" w:eastAsia="IRNazanin"/>
          <w:color w:val="111111"/>
          <w:sz w:val="28"/>
          <w:sz w:val="28"/>
          <w:szCs w:val="28"/>
          <w:rtl w:val="true"/>
          <w:lang w:bidi="fa-IR"/>
        </w:rPr>
        <w:t>الابتناء المذکور، 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تمّت عوقب علی مخالفتها، و إن لم یکن تکلیف فی الواقع</w:t>
      </w:r>
      <w:r>
        <w:rPr>
          <w:rFonts w:eastAsia="IRNazanin" w:cs="IRNazanin"/>
          <w:color w:val="111111"/>
          <w:sz w:val="28"/>
          <w:szCs w:val="28"/>
          <w:rtl w:val="true"/>
          <w:lang w:bidi="fa-IR"/>
        </w:rPr>
        <w:t>».</w:t>
      </w:r>
    </w:p>
    <w:p>
      <w:pPr>
        <w:pStyle w:val="Heading4"/>
        <w:numPr>
          <w:ilvl w:val="3"/>
          <w:numId w:val="1"/>
        </w:numPr>
        <w:rPr/>
      </w:pPr>
      <w:bookmarkStart w:id="1062" w:name="__RefHeading___Toc2647102_3224264995"/>
      <w:bookmarkStart w:id="1063" w:name="_Toc422"/>
      <w:bookmarkEnd w:id="1062"/>
      <w:r>
        <w:rPr>
          <w:rtl w:val="true"/>
        </w:rPr>
        <w:t>[</w:t>
      </w:r>
      <w:r>
        <w:rPr>
          <w:rtl w:val="true"/>
        </w:rPr>
        <w:t>کلام فی النسبة بین قاعدتی قبح العقاب بلا بیان و دفع مناقشات مع الماتن فی النسبة بین قاعدة قبح العقاب و قاعدة دفع الضرر المحتمل، و تثبیت لزوم دفع الضرر المحتمل</w:t>
      </w:r>
      <w:r>
        <w:rPr>
          <w:rtl w:val="true"/>
        </w:rPr>
        <w:t>]</w:t>
      </w:r>
      <w:bookmarkEnd w:id="10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أعمیّة مورد قاعدة وجوب الدفع إنّما یقتضی ورود قاعدة القبح علیها لو لم یعمّ القبح مورد عدم التکلیف الواقعی بالطریق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البیّن انّ قبح العقاب بلا بیان فی مورد التکلیف الواقعی، و کشف الخلاف، یقتضی قبحه فی مورد عدم التکلیف، و عدم کشف الخلاف بالأولویة، فاتّحد مورد القاعدتین، و رجع التنافی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تعلیله الثانی لورود قاعدة القبح بعدم احتماله العقاب المحتمل فی قاعدة الدفع ممنوع جدّا، لأنّ قاعدة القبح حکمه عدم العقاب لا عدم احتماله، و موضوعه عدم البیان لا عدم القدرة و الإمکان، و إلّا لاستقلّ العقل بقبحه و خرج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فمورد قاعدة دفع العقاب المحتمل هو ما ثبت العقاب فیه ببیان الشارع، إلخ</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فرضه أوّلا من أعمّیة مورد قاعدة وجوب الدفع لمورد عدم التکلیف الواقعی، و أنّ الدفع واجب و إن لم یکن فی مورده تکلیف واقعی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أغمضنا عن تلک المنافاة لکن یخصّص مورد الدفع، بخصوص مورد ثبوت العقاب و العلم الاجمالی بالتکلیف، کما فی الشبهة المحصورة، مناف لجریه فی وجوب شکر المنعم، و النظر فی المعجزة، و تکلیف الکفار بالفروع، مضافا إلی انّه یقتضی ورود قاعدة الدفع علی قبح العقاب بلا بیان دون العکس الذی هو المدّعی نظرا إلی أنّ ثبوت التکلیف بالعلم الاجمالی و العقاب المفروض </w:t>
      </w:r>
      <w:bookmarkStart w:id="1064" w:name="pg12856_162772"/>
    </w:p>
    <w:p>
      <w:pPr>
        <w:pStyle w:val="BookText"/>
        <w:rPr/>
      </w:pPr>
      <w:bookmarkEnd w:id="1064"/>
      <w:r>
        <w:rPr>
          <w:rFonts w:ascii="IRNazanin" w:hAnsi="IRNazanin" w:eastAsia="IRNazanin"/>
          <w:color w:val="111111"/>
          <w:sz w:val="28"/>
          <w:sz w:val="28"/>
          <w:szCs w:val="28"/>
          <w:rtl w:val="true"/>
          <w:lang w:bidi="fa-IR"/>
        </w:rPr>
        <w:t>بیان رافع لموضوع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تعلیق تمامیّتها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الامتناعیة مشعر بامتناع تمامیّتها، و الحال انّه صرّح هو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ما سبق من الأدلّة العقلیة لإثبات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بتمامیتها بالعقل المستقلّ، و بناء العقلاء، و بأنّه لولاه لم یثبت وجوب النظر فی المعجزة، و لم یکن للّه علی غیر الناظر حجّة، و ذلک لأنّ إلزام المکلّف بالنظر فی المعجزة و استحقاق العقاب علی ترکه بالدلیل الشرعی قبل إثبات أصل الشرع دور باطل، فینحصر الملزم له فی الدلیل العقلی، و هو استقلال العقل بدفع الضرر و لو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فلو لم یتمّ لزوم دفع الضرر، أو تمّ و لم یکن واردا علی قبح العقاب بلا بیان، لم یثبت وجوب النظر فی المعجزة، و لم یکن للّه علی غیر الناظر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وجوب النظر فی المعجزة، و ثبوت الحجّة علی غیر الناظر، و عدم معذوریّة الجاهل المقصّر فی شی‌ء من الاصول، و لا من الفروع من الوفاقیات</w:t>
      </w:r>
      <w:r>
        <w:rPr>
          <w:rFonts w:eastAsia="IRNazanin" w:cs="IRNazanin"/>
          <w:color w:val="111111"/>
          <w:sz w:val="28"/>
          <w:szCs w:val="28"/>
          <w:rtl w:val="true"/>
          <w:lang w:bidi="fa-IR"/>
        </w:rPr>
        <w:t>.</w:t>
      </w:r>
    </w:p>
    <w:p>
      <w:pPr>
        <w:pStyle w:val="Heading4"/>
        <w:numPr>
          <w:ilvl w:val="3"/>
          <w:numId w:val="1"/>
        </w:numPr>
        <w:rPr/>
      </w:pPr>
      <w:bookmarkStart w:id="1065" w:name="__RefHeading___Toc2647104_3224264995"/>
      <w:bookmarkStart w:id="1066" w:name="_Toc423"/>
      <w:bookmarkEnd w:id="1065"/>
      <w:r>
        <w:rPr>
          <w:rtl w:val="true"/>
        </w:rPr>
        <w:t>[</w:t>
      </w:r>
      <w:r>
        <w:rPr>
          <w:rtl w:val="true"/>
        </w:rPr>
        <w:t>اتحاد أدلّة الاحتیاط مع قاعدة دفع الضرر المحتمل</w:t>
      </w:r>
      <w:r>
        <w:rPr>
          <w:rtl w:val="true"/>
        </w:rPr>
        <w:t>]</w:t>
      </w:r>
      <w:bookmarkEnd w:id="106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المصنّف سیصرّح هو بورود أدلّة الاحتیاط علی قبح العقاب بلا بیان فی ضمن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هذا الدلیل العقلی کبعض ما تقدّم من الأدلّة العقلیة معلّق علی عدم تمامیّة أدلّة الاحتیاط إلخ</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قاعدة دفع الضرر المحتمل متّحد مع أدلة الاحتیاط علی قبح العقاب بلا بیان، و عدم ورود قاعدة لزوم دفع الضرر علیه مع اتّحادهما فی المفاد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المصنّف الفرق بینهما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قاعدة دفع الضرر لو تمّت عوقب علی مخالفتها، و إن لم یکن تکلیف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أدلّة الاحتیاط، فإنّها إرشادیّة لا یعاقب علی </w:t>
      </w:r>
      <w:bookmarkStart w:id="1067" w:name="pg12856_162773"/>
    </w:p>
    <w:p>
      <w:pPr>
        <w:pStyle w:val="BookText"/>
        <w:rPr/>
      </w:pPr>
      <w:bookmarkEnd w:id="1067"/>
      <w:r>
        <w:rPr>
          <w:rFonts w:ascii="IRNazanin" w:hAnsi="IRNazanin" w:eastAsia="IRNazanin"/>
          <w:color w:val="111111"/>
          <w:sz w:val="28"/>
          <w:sz w:val="28"/>
          <w:szCs w:val="28"/>
          <w:rtl w:val="true"/>
          <w:lang w:bidi="fa-IR"/>
        </w:rPr>
        <w:t>مخالفة نفسها، و إنّما یعاقب علی مخالفة المرشد إلیه</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لا دلیل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قاعدة دفع الضرر المحتمل سواء کانت قاعدة إلزامیّة یعاقب علی مخالفة نفسها، کما زعمه الماتن، أو کانت إرشادیّة لا یعاقب إلّا علی مخالفة المرشد إلیه، کما هو الحقّ، کانت واردة علی قاعدة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مورودیّة قاعدة دفع الضرر علی قاعدة القبح، فإنّما هو مبنیّ علی تقدیر ثبوت قاعدة القبح، و من الواضح عدم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ثبوتها عقلا، فلأنّ ما یستقبحه العقل إنّما هو العقاب علی غیر المقدور، کالغافل أو الملتفت القاصر و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ثبوته شرعا فلأنّ الکلام الآن لیس فی إثباته شرعا، بل ثبوته شرعا فی المقام أوّل الکلام</w:t>
      </w:r>
      <w:r>
        <w:rPr>
          <w:rFonts w:eastAsia="IRNazanin" w:cs="IRNazanin"/>
          <w:color w:val="111111"/>
          <w:sz w:val="28"/>
          <w:szCs w:val="28"/>
          <w:rtl w:val="true"/>
          <w:lang w:bidi="fa-IR"/>
        </w:rPr>
        <w:t>.</w:t>
      </w:r>
    </w:p>
    <w:p>
      <w:pPr>
        <w:pStyle w:val="Heading4"/>
        <w:numPr>
          <w:ilvl w:val="3"/>
          <w:numId w:val="1"/>
        </w:numPr>
        <w:rPr/>
      </w:pPr>
      <w:bookmarkStart w:id="1068" w:name="__RefHeading___Toc2647106_3224264995"/>
      <w:bookmarkStart w:id="1069" w:name="_Toc424"/>
      <w:bookmarkEnd w:id="1068"/>
      <w:r>
        <w:rPr>
          <w:rtl w:val="true"/>
        </w:rPr>
        <w:t>[</w:t>
      </w:r>
      <w:r>
        <w:rPr>
          <w:rtl w:val="true"/>
        </w:rPr>
        <w:t>مناقشة کلام الماتن فی انّ امتثال غیر المعلوم من التکلیف الضرر المحتمل</w:t>
      </w:r>
      <w:r>
        <w:rPr>
          <w:rtl w:val="true"/>
        </w:rPr>
        <w:t>]</w:t>
      </w:r>
      <w:bookmarkEnd w:id="1069"/>
    </w:p>
    <w:p>
      <w:pPr>
        <w:pStyle w:val="BookText"/>
        <w:rPr/>
      </w:pPr>
      <w:r>
        <w:rPr>
          <w:rFonts w:ascii="IRNazanin" w:hAnsi="IRNazanin" w:eastAsia="IRNazanin"/>
          <w:color w:val="111111"/>
          <w:sz w:val="28"/>
          <w:sz w:val="28"/>
          <w:szCs w:val="28"/>
          <w:rtl w:val="true"/>
          <w:lang w:bidi="fa-IR"/>
        </w:rPr>
        <w:t>و العجب کلّ العجب من الماتن حیث ناقش فی تمامیّة کلّ من الأدلّة الأربعة القائمة علی البراءة، حتّی فی تمامیّة السیرة القطعیة القائمة علیها، و لم یناقش فی تمامیّة قبح العقاب بلا بیان عقلا، و الحال انّه لا دلالة للعقل علیه أصلا، و انّه إن ثبت فإنّما هو بالشرع لا غیر، مع مناقشته فی تمامیّة دفع الضرر المحتمل، مع أنّه لولاه لم یثبت وجوب النظر فی المعجزة، و لم یقم للّه علی غیر الناظر حجّة، و لم یعاقب الجاهل المقصّر فی شی‌ء من الاصول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قاعدة القبح واردة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علیه استادنا العلّامة بأن إثبات وجوب المعرفة، و وجوب شکر المنعم، و وجوب النظر فی المعجزة، إلی غیر ذلک من الواجبات، إنّما یثبت </w:t>
      </w:r>
      <w:bookmarkStart w:id="1070" w:name="pg12856_162774"/>
    </w:p>
    <w:p>
      <w:pPr>
        <w:pStyle w:val="BookText"/>
        <w:rPr/>
      </w:pPr>
      <w:bookmarkEnd w:id="1070"/>
      <w:r>
        <w:rPr>
          <w:rFonts w:ascii="IRNazanin" w:hAnsi="IRNazanin" w:eastAsia="IRNazanin"/>
          <w:color w:val="111111"/>
          <w:sz w:val="28"/>
          <w:sz w:val="28"/>
          <w:szCs w:val="28"/>
          <w:rtl w:val="true"/>
          <w:lang w:bidi="fa-IR"/>
        </w:rPr>
        <w:t>وجوبها بقاعدة دفع الضرر المحتمل، فکیف یمکن أن تکون مورودة لقاعدة قبح العقاب بلا بیان؟ إذ لو کانت مورودة لقاعدة القبح لم یثبت وجوب شی‌ء من شکر المنعم، و لا وجوب المعرفة، و لا وجوب النظر فی المعجزة، و لم یکن للّه علی غیر الناظر حجّة، و جاز الإغماض عن النظر إلی المعجزة، و اللوازم کلّها باطلة بالاتّفاق علی عدم معذوریّة الجاهل المقصّر فی ما عدا مسألتی القصر و الإتمام، و الجهر و الإخفات، من مسائل الاصول، و لا من مسائل الفروع، و علی معاقبة الکفّار فی الفروع کعقابهم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إیراد الاستاد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منع الملازمة بأنّ وجوب النظر فی المعجزة و نحوه بقاعدة دفع الضرر کوجوب الفحص عن الدلیل و المعارض فی سائر موارد البراءة، إنّما هو لإحراز البیان الّذی عدمه موضوع قبح العقاب، لأنّ البیان الواجب علی الحکیم هو البیان بحسب العادة، لا البیان بخرق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البیان العادی حاصل للمکلّف بمجرّد بعث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أغمض النظر عن المعجزة، أو دفعه قبل حصول المعرفة به عوقب علی کلّ ما أتی به من البیانات الاصولیة و الفروعیة</w:t>
      </w:r>
      <w:r>
        <w:rPr>
          <w:rFonts w:eastAsia="IRNazanin" w:cs="IRNazanin"/>
          <w:color w:val="111111"/>
          <w:sz w:val="28"/>
          <w:szCs w:val="28"/>
          <w:rtl w:val="true"/>
          <w:lang w:bidi="fa-IR"/>
        </w:rPr>
        <w:t>.</w:t>
      </w:r>
    </w:p>
    <w:p>
      <w:pPr>
        <w:pStyle w:val="Heading4"/>
        <w:numPr>
          <w:ilvl w:val="3"/>
          <w:numId w:val="1"/>
        </w:numPr>
        <w:rPr/>
      </w:pPr>
      <w:bookmarkStart w:id="1071" w:name="__RefHeading___Toc2647108_3224264995"/>
      <w:bookmarkStart w:id="1072" w:name="_Toc425"/>
      <w:bookmarkEnd w:id="1071"/>
      <w:r>
        <w:rPr>
          <w:rtl w:val="true"/>
        </w:rPr>
        <w:t>[</w:t>
      </w:r>
      <w:r>
        <w:rPr>
          <w:rtl w:val="true"/>
        </w:rPr>
        <w:t>وجه معاقبة الکفار علی الفروع</w:t>
      </w:r>
      <w:r>
        <w:rPr>
          <w:rtl w:val="true"/>
        </w:rPr>
        <w:t>]</w:t>
      </w:r>
      <w:bookmarkEnd w:id="107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عوقب الکفّار علی الفروع کعقابهم علی الاصول مع عدم معرفتهم بشی‌ء من الفروع، و لیس ذلک إلّا من جهة صدق البیان المطلق فی حقّهم، و استناد عدمه فیما جهلوه إلی تقصیرهم عن النظر و الفحص، و جریان البیان فی السیاسات علی حسب الأسباب العادیة، لا علی خرق العادات حتی یعذر متوقّعها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أدلّة البراءة، و محلّ النزاع فیها إنّما هو فی إثبات البراءة بعد الفحص عن البیان، و إحراز عدم البیان لا تفصیلا و لا إجمالا حتی یتحقّق موضوع البراءة، لا فی إثبات البراءة قبل الفحص حتّی ینافیها قاعدة دفع الضرر المقتضی للفحص عن البیان، و ترد قاعدة الدفع علیها، بل الورود إنّما هو لقاعدة قبح </w:t>
      </w:r>
      <w:bookmarkStart w:id="1073" w:name="pg12856_162775"/>
    </w:p>
    <w:p>
      <w:pPr>
        <w:pStyle w:val="BookText"/>
        <w:rPr/>
      </w:pPr>
      <w:bookmarkEnd w:id="1073"/>
      <w:r>
        <w:rPr>
          <w:rFonts w:ascii="IRNazanin" w:hAnsi="IRNazanin" w:eastAsia="IRNazanin"/>
          <w:color w:val="111111"/>
          <w:sz w:val="28"/>
          <w:sz w:val="28"/>
          <w:szCs w:val="28"/>
          <w:rtl w:val="true"/>
          <w:lang w:bidi="fa-IR"/>
        </w:rPr>
        <w:t>العقاب بلا بیان علی قاعدة دفع الضرر</w:t>
      </w:r>
      <w:r>
        <w:rPr>
          <w:rFonts w:eastAsia="IRNazanin" w:cs="IRNazanin"/>
          <w:color w:val="111111"/>
          <w:sz w:val="28"/>
          <w:szCs w:val="28"/>
          <w:rtl w:val="true"/>
          <w:lang w:bidi="fa-IR"/>
        </w:rPr>
        <w:t>.</w:t>
      </w:r>
    </w:p>
    <w:p>
      <w:pPr>
        <w:pStyle w:val="Heading4"/>
        <w:numPr>
          <w:ilvl w:val="3"/>
          <w:numId w:val="1"/>
        </w:numPr>
        <w:rPr/>
      </w:pPr>
      <w:bookmarkStart w:id="1074" w:name="__RefHeading___Toc2647110_3224264995"/>
      <w:bookmarkStart w:id="1075" w:name="_Toc426"/>
      <w:bookmarkEnd w:id="1074"/>
      <w:r>
        <w:rPr>
          <w:rtl w:val="true"/>
        </w:rPr>
        <w:t>[</w:t>
      </w:r>
      <w:r>
        <w:rPr>
          <w:rtl w:val="true"/>
        </w:rPr>
        <w:t>عدم تمامیة قبح العقاب بلا بیان عقلا</w:t>
      </w:r>
      <w:r>
        <w:rPr>
          <w:rtl w:val="true"/>
        </w:rPr>
        <w:t>]</w:t>
      </w:r>
      <w:bookmarkEnd w:id="1075"/>
    </w:p>
    <w:p>
      <w:pPr>
        <w:pStyle w:val="BookText"/>
        <w:rPr/>
      </w:pPr>
      <w:r>
        <w:rPr>
          <w:rFonts w:ascii="IRNazanin" w:hAnsi="IRNazanin" w:eastAsia="IRNazanin"/>
          <w:color w:val="111111"/>
          <w:sz w:val="28"/>
          <w:sz w:val="28"/>
          <w:szCs w:val="28"/>
          <w:rtl w:val="true"/>
          <w:lang w:bidi="fa-IR"/>
        </w:rPr>
        <w:t>و لکن هذا مبنیّ علی تمامیّة قبح العقاب عقلا، و أمّا علی تقدیر عدم تمامیتها عقلا، و أنّها لو تمّت فإنّما هو شرعا کما هو الحقّ فلا إشکال فی ورودها علی قاعدة دفع الضرر مطلقا، سواء اعتبرت قاعدة الدفع من باب الإلزام أو الارشاد إلی الحذر عن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 بأنّه إن قام دلیل علی وجوب إتیان الشاکّ فی التکلیف بالفعل لاحتمال المطلوبیة أغنی ذلک من التکلیف بنفس الفعل، و إلّا لم ینفع التکلیف المشکوک فی تحصیل الغرض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بأنّه إن قام دلیل من الخارج علی الاکتفاء فی امتثال التکلیف المجهول بوصف أنّه مجهول أغنی ذلک التکلیف الظاهری من التکلیف المجهول المحتمل فی الواقع، و إلّا فإتیان المشکوک بوصف أنّه مشکوک و مجهول المطلوبیة لا ینفع فی تحصیل الغرض المطلوب من إتیان المطلوب بوصف المطلوبیة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هذا القسم من التکلیف و خروجه عن المقدور شاهد صدق علی عدم متعلّق الشکّ فیه، و خروجه عن محلّ النزاع، و کون النزاع فی المشکوک الممکن الامتثال به فی الظاهر، و هو إتیان المشکوک بوصف انّه مشکوک علی ما هو علیه فی الواقع من وصف المطلوبیة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اعتبار نیّة الوجه و تعیینه فی الظاهر، فإنّما هو فی العبادات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اعتبارها مطلقا، فإنّما هو فی ما یمکن تعیین الوجه، کما لو کان وجه التکلیف معلوما معیّنا للمکلّف لا مطلقا و لو لم یمکن، کما لو کان مجهولا مشکوکا، کما فی ما نحن فیه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الغیر المقدور من التکلیف المجهول إنّما هو الغافل، و أمّا </w:t>
      </w:r>
      <w:bookmarkStart w:id="1076" w:name="pg12856_162776"/>
    </w:p>
    <w:p>
      <w:pPr>
        <w:pStyle w:val="BookText"/>
        <w:rPr/>
      </w:pPr>
      <w:bookmarkEnd w:id="1076"/>
      <w:r>
        <w:rPr>
          <w:rFonts w:ascii="IRNazanin" w:hAnsi="IRNazanin" w:eastAsia="IRNazanin"/>
          <w:color w:val="111111"/>
          <w:sz w:val="28"/>
          <w:sz w:val="28"/>
          <w:szCs w:val="28"/>
          <w:rtl w:val="true"/>
          <w:lang w:bidi="fa-IR"/>
        </w:rPr>
        <w:t>الشاکّ فهو مقدور له مطلقا، سواء علم التکلیف به أو لم یعلم، و سواء کان الغرض منه الانقیاد و الإطاعة أو نفس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المطلوب فی الآن اللاحق هو القطع بعدم ترتّب العقاب علی الفعل</w:t>
      </w:r>
      <w:r>
        <w:rPr>
          <w:rFonts w:eastAsia="IRNazanin" w:cs="IRNazanin"/>
          <w:color w:val="111111"/>
          <w:sz w:val="28"/>
          <w:szCs w:val="28"/>
          <w:rtl w:val="true"/>
          <w:lang w:bidi="fa-IR"/>
        </w:rPr>
        <w:t>».</w:t>
      </w:r>
    </w:p>
    <w:p>
      <w:pPr>
        <w:pStyle w:val="Heading4"/>
        <w:numPr>
          <w:ilvl w:val="3"/>
          <w:numId w:val="1"/>
        </w:numPr>
        <w:rPr/>
      </w:pPr>
      <w:bookmarkStart w:id="1077" w:name="__RefHeading___Toc2647112_3224264995"/>
      <w:bookmarkStart w:id="1078" w:name="_Toc427"/>
      <w:bookmarkEnd w:id="1077"/>
      <w:r>
        <w:rPr>
          <w:rtl w:val="true"/>
        </w:rPr>
        <w:t>[</w:t>
      </w:r>
      <w:r>
        <w:rPr>
          <w:rtl w:val="true"/>
        </w:rPr>
        <w:t>مناقشة کلام الماتن علی استصحاب البراءة</w:t>
      </w:r>
      <w:r>
        <w:rPr>
          <w:rtl w:val="true"/>
        </w:rPr>
        <w:t>]</w:t>
      </w:r>
      <w:bookmarkEnd w:id="10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المطلوب فی الآن اللاحق هو القطع بالعدم السابق لکان الاستصحاب من الأدلّة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کالتواتر و الاجماع، أو العقلیة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کقبح الظلم و وجوب شکر المنعم، بل و لم یتحقّق استصحاب أصلا لکون المفروض أنّ مجراه عند الشکّ لا القطع، و مفاده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رفع الشکّ و اللوازم باطلة، فالملزوم مثلها، بل المطلوب من الاستصحاب ما هو المطلوب من سائر الأدلّة من الرجوع إلی القطعی، و ما ینتهی اعتباره و حجّیّته إلی القطع لا نفس القطع، و ظنّیّة الطریق لا ینافی قطعیّة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نظیر إثبات وجود أحد الضدّین بنفی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استلزام نفی أحدهما ثبوت الآخر إلّا بواسطة انتفاء الواسطة بینهما، و هو الأصل المثبت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نظیر إثبات وجود أحد الضدّین بنفی الآخر إنّما هو إثبات الإذن الشرعی و الإباحة باستصحاب عدم التکلیف الأزلیّ العقلیّ، حیث إنّه الّذی لا یستلزم نفیه ثبوت الإذن الشرعی، لإمکان الواسطة بین نفی التکلیف العقلی، و عدم الرخصة، کما فی البهائم و المجانین، و هو خارج عن محلّ الکلام، لأنّ محلّ الکلام إنّما هو فی إثبات الإذن، و الاباحة باستصحاب عدم التکلیف الشرعیّ، و نفیه عن المکلّف قبل البلوغ بساعة مثلا بنصوص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و هو مستلزم للإذن و الإباحة الشرعیّة من غیر توسّط واسطة خارجیّة عدم خلوّ فعل المکلّف </w:t>
      </w:r>
      <w:bookmarkStart w:id="1079" w:name="pg12856_162777"/>
    </w:p>
    <w:p>
      <w:pPr>
        <w:pStyle w:val="BookText"/>
        <w:rPr/>
      </w:pPr>
      <w:bookmarkEnd w:id="1079"/>
      <w:r>
        <w:rPr>
          <w:rFonts w:ascii="IRNazanin" w:hAnsi="IRNazanin" w:eastAsia="IRNazanin"/>
          <w:color w:val="111111"/>
          <w:sz w:val="28"/>
          <w:sz w:val="28"/>
          <w:szCs w:val="28"/>
          <w:rtl w:val="true"/>
          <w:lang w:bidi="fa-IR"/>
        </w:rPr>
        <w:t>عن أحد الأحکام الخمسة، و إلّا لما صحّ استصحاب نفی تکلیف أصلا، إلّا علی القول بالأصل المثبت، فالّذی هو محلّ الکلام من استصحاب نفی التکلیف الشرعیّ مستلزم للبراءة و الاباحة بلا واسطة، و الّذی لا یستلزمه إلّا بالواسطة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الواسطة بین استصحاب نفی التکلیف الشرعیّ، و ثبوت الإذن و الإباحة فهی واسطة خفیّة فی حکم عدم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فانسحابها فی القابل أشبه بالقیاس من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1080" w:name="__RefHeading___Toc2647114_3224264995"/>
      <w:bookmarkStart w:id="1081" w:name="_Toc428"/>
      <w:bookmarkEnd w:id="1080"/>
      <w:r>
        <w:rPr>
          <w:rtl w:val="true"/>
        </w:rPr>
        <w:t>[</w:t>
      </w:r>
      <w:r>
        <w:rPr>
          <w:rtl w:val="true"/>
        </w:rPr>
        <w:t>إشارة إلی اعتبار بقاء موضوع الاستصحاب بالمسامحة العرفیة لا الدقّة العقلیة</w:t>
      </w:r>
      <w:r>
        <w:rPr>
          <w:rtl w:val="true"/>
        </w:rPr>
        <w:t>]</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العبرة فی بقاء موضوع الاستصحاب الشرعی علی المسامحة العرفیّة، لا المداقّة العقلیّة، حتی ینتفی العلم ببقائه، مضافا إلی إمکان استصحاب حکم الصغیر القابل المراهق للتکلیف لا الغیر القابل حتی یلزم تبدّل فیه 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Heading4"/>
        <w:numPr>
          <w:ilvl w:val="3"/>
          <w:numId w:val="1"/>
        </w:numPr>
        <w:rPr/>
      </w:pPr>
      <w:bookmarkStart w:id="1082" w:name="__RefHeading___Toc2647116_3224264995"/>
      <w:bookmarkStart w:id="1083" w:name="_Toc429"/>
      <w:bookmarkEnd w:id="1082"/>
      <w:r>
        <w:rPr>
          <w:rtl w:val="true"/>
        </w:rPr>
        <w:t>[</w:t>
      </w:r>
      <w:r>
        <w:rPr>
          <w:rtl w:val="true"/>
        </w:rPr>
        <w:t>ردّ الاستدلال بتعذّر الاحتیاط فی بعض الصور علی البراءة</w:t>
      </w:r>
      <w:r>
        <w:rPr>
          <w:rtl w:val="true"/>
        </w:rPr>
        <w:t>]</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خروجه عن محلّ النزاع، لأنّ النزاع فی ما لو دار الأمر بین الحرمة و غیر الوجوب لا الوجوب،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من أوجب الاحتیاط إنّما أوجبه فیما یمکن فیه الاحتیاط، لا ما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البراءة المحکوم بها حکم ظاهری لا واقعی، و معلوم بأدلّتها الثلاث، بل الأربع لا غیر معلوم، فالّذی حکم به معلوم، و الّذی هو غیر معلوم لم 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فبمنع منافاة الارتکاب للتقوی و المجاهدة</w:t>
      </w:r>
      <w:r>
        <w:rPr>
          <w:rFonts w:eastAsia="IRNazanin" w:cs="IRNazanin"/>
          <w:color w:val="111111"/>
          <w:sz w:val="28"/>
          <w:szCs w:val="28"/>
          <w:rtl w:val="true"/>
          <w:lang w:bidi="fa-IR"/>
        </w:rPr>
        <w:t>».</w:t>
      </w:r>
    </w:p>
    <w:p>
      <w:pPr>
        <w:pStyle w:val="Heading4"/>
        <w:numPr>
          <w:ilvl w:val="3"/>
          <w:numId w:val="1"/>
        </w:numPr>
        <w:rPr/>
      </w:pPr>
      <w:bookmarkStart w:id="1084" w:name="__RefHeading___Toc2647118_3224264995"/>
      <w:bookmarkStart w:id="1085" w:name="_Toc430"/>
      <w:bookmarkEnd w:id="1084"/>
      <w:r>
        <w:rPr>
          <w:rtl w:val="true"/>
        </w:rPr>
        <w:t>[</w:t>
      </w:r>
      <w:r>
        <w:rPr>
          <w:rtl w:val="true"/>
        </w:rPr>
        <w:t>دراسة فی قوله تعالی</w:t>
      </w:r>
      <w:r>
        <w:rPr>
          <w:rtl w:val="true"/>
        </w:rPr>
        <w:t xml:space="preserve">: </w:t>
      </w:r>
      <w:r>
        <w:rPr>
          <w:rtl w:val="true"/>
        </w:rPr>
        <w:t>اتَّقُوا اللَّهَ حَقَّ تُقاتِهِ وَ جاهِدُوا فِی اللَّهِ حَقَّ جِهادِهِ</w:t>
      </w:r>
      <w:r>
        <w:rPr>
          <w:rtl w:val="true"/>
        </w:rPr>
        <w:t>]</w:t>
      </w:r>
      <w:bookmarkEnd w:id="108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منع المنافاة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جهة أنّ الارتکاب المنافی للتقوی </w:t>
      </w:r>
    </w:p>
    <w:p>
      <w:pPr>
        <w:pStyle w:val="BookText"/>
        <w:rPr/>
      </w:pPr>
      <w:r>
        <w:rPr>
          <w:rFonts w:ascii="IRNazanin" w:hAnsi="IRNazanin" w:eastAsia="IRNazanin"/>
          <w:color w:val="111111"/>
          <w:sz w:val="28"/>
          <w:sz w:val="28"/>
          <w:szCs w:val="28"/>
          <w:rtl w:val="true"/>
          <w:lang w:bidi="fa-IR"/>
        </w:rPr>
        <w:t>و المجاهدة هو الارتکاب الغیر المستند إلی قبح العقاب بلا بیان، و المفروض فی ما نحن استناده إلیه، و من المعلوم أنّ العمل المستند إلی تقلید أو اجتهاد صحیح غیر مناف لشی‌ء من التقوی و المجاهدة، و أنّ المنافی لهما هو العمل الغیر المستند إلی أحد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اختصاص معنی المجاهدة و التقوی بغیر اجتناب الشبهات البدویة الّذی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المجاهدة فی اللّه فلاختصاص معناه بخصوص المجاهدة فی سبیله، مع إعلاء الدین، فیکون المقصود من تأکیده بحقّ الجهاد هو کمال بذل الجهد و المال و النفس لإعلاء کلمة الإسلام، و إقامة شعائر الایمان، و عدم الزحف و التوانی عن الاستقامة مع أعداء الدین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 کَأَنَّهُمْ بُنْیانٌ مَرْصُوصٌ</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اختصاصه بخصوص المجاهدة فی عبادته تعالی حقّ الجهاد، أی کما ینبغی بجذب النفس و خلوصها عن شوائب الریاء و السمعة، مع الخشوع و الخضوع و الجهاد مع النفس الأمّارة و اللوّامة فی نصرة النفس العاقلة المطمئنّة،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ربّک کأنّک تراه، فإن لم تکن تراه فإنّه یراک</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هو الجهاد الأکبر المعنیّ بقوله علیه السّلام لمّا رجع عن بعض غزواته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عن الجهاد الأصغر إلی الجهاد الأکبر</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انّ الارتکاب غیر مناف لکمال المجاهدة فی اللّه بأحد معنییه </w:t>
      </w:r>
      <w:bookmarkStart w:id="1086" w:name="pg12856_162779"/>
    </w:p>
    <w:p>
      <w:pPr>
        <w:pStyle w:val="BookText"/>
        <w:rPr/>
      </w:pPr>
      <w:bookmarkEnd w:id="1086"/>
      <w:r>
        <w:rPr>
          <w:rFonts w:ascii="IRNazanin" w:hAnsi="IRNazanin" w:eastAsia="IRNazanin"/>
          <w:color w:val="111111"/>
          <w:sz w:val="28"/>
          <w:sz w:val="28"/>
          <w:szCs w:val="28"/>
          <w:rtl w:val="true"/>
          <w:lang w:bidi="fa-IR"/>
        </w:rPr>
        <w:t>المذکورین، کذلک غیر مناف لکمال الاتّقاء بشی‌ء من معنییه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أبی عبد اللّه، و هو أن یطاع و لا یعصی، و یشکر و لا یکفر، و یذکر فلا ینسی</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 انّه المجاهدة فی اللّه، و أن لا تأخذه فی اللّه لومة لائم، و أن یقام له بالقسط علی کلّ حال؛ فی حال الخوف و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عدم منافاة الارتکاب لکمال الاتّقاء بمعنییه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التوقّف فی العمل لا معنی له</w:t>
      </w:r>
      <w:r>
        <w:rPr>
          <w:rFonts w:eastAsia="IRNazanin" w:cs="IRNazanin"/>
          <w:color w:val="111111"/>
          <w:sz w:val="28"/>
          <w:szCs w:val="28"/>
          <w:rtl w:val="true"/>
          <w:lang w:bidi="fa-IR"/>
        </w:rPr>
        <w:t>».</w:t>
      </w:r>
    </w:p>
    <w:p>
      <w:pPr>
        <w:pStyle w:val="Heading4"/>
        <w:numPr>
          <w:ilvl w:val="3"/>
          <w:numId w:val="1"/>
        </w:numPr>
        <w:rPr/>
      </w:pPr>
      <w:bookmarkStart w:id="1087" w:name="__RefHeading___Toc2647120_3224264995"/>
      <w:bookmarkStart w:id="1088" w:name="_Toc431"/>
      <w:bookmarkEnd w:id="1087"/>
      <w:r>
        <w:rPr>
          <w:rtl w:val="true"/>
        </w:rPr>
        <w:t>[</w:t>
      </w:r>
      <w:r>
        <w:rPr>
          <w:rtl w:val="true"/>
        </w:rPr>
        <w:t>دراسة أخبار التوقّف عند الشبهة</w:t>
      </w:r>
      <w:r>
        <w:rPr>
          <w:rtl w:val="true"/>
        </w:rPr>
        <w:t>]</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المکلّف لا یخلو من کونه إمّا فاعلا أو تارکا، فلم یبق معنی للتوقّف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 الفعل و الترک لا بدّ و أن یستند إلی حکم غیر معلوم مشترک الورود بین قولی البراءة و التوقّف، کما کان مشترکا بینها و بین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ورود هذا لإیراد مشترک الورود مع ذلک هو ما استظهر المصنّف هو، من أنّ ظاهر التوقّف هو السکون و عدم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یقطع الشرکة فی التوقّف فی الفتوی، أو فی العمل، إذا کان تارکا، و أمّا إذا کان فاعلا کما فی الشبهة الوجوبیة فلا یقطع الشرکة، بل یرجع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ترکک حدیثا لم تروه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ما قبل الآخر،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مبنیّا للمفعول، أو بکسره، مبنیّا للفاعل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روایتک حدیثا لم تحصه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عدم إحصائه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العلم و الإحاطة به لکونه مجهولا، فیتّحد الحدیث المفضّل و المفضّل علیه، و یکون تغایرهما باعتبار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 الحدیث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معناه عدم الإحاطة بأفراده لکثرتها، فیختلف الحدیث المفضّل و المفضّل علیه، فکان المعنی ترک الحدیث المجهول خیر من روایة الأحادیث الکثیرة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الأوّل أوفق بظاهر انفراد الضمیر، و الثانی أوفق بظاهر لفظ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یحملوکم إلی القصد</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المقصود و المراد، أو إلی الوسط و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الأخبار لا تنفع فی إحداث هذا الاحتمال و لا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مدلول تلک الأخبار علی تقدیر سوقها للإرشاد مساوق لمدلول قاعدة لزوم دفع الضرر المحتمل، فکما أنّ مدلول لزوم دفع الضرر المحتمل لا ینفع فی إحداث موضوعه، و هو احتمال الضرر، کذلک تلک الأخبار المساوقة له فی المدلول لا تنفع فی إحداث موضوعها، و هو احتمال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قاعدة الدفع لا تنفع فی إحداث حکم احتمال الضرر وراء مجرّد الإرشاد إلی حکم المرشد إلیه، کذلک تلک الأخبار أیضا لا تنفع فی حکم احتمال العقاب وراء مجرّد الإرشاد إلی حکم المرشد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ذکرنا أولی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الأولویّة أنّ هذا تخصیص و ما ذکرنا من حملها علی بیان </w:t>
      </w:r>
      <w:bookmarkStart w:id="1089" w:name="pg12856_162781"/>
    </w:p>
    <w:p>
      <w:pPr>
        <w:pStyle w:val="BookText"/>
        <w:rPr/>
      </w:pPr>
      <w:bookmarkEnd w:id="1089"/>
      <w:r>
        <w:rPr>
          <w:rFonts w:ascii="IRNazanin" w:hAnsi="IRNazanin" w:eastAsia="IRNazanin"/>
          <w:color w:val="111111"/>
          <w:sz w:val="28"/>
          <w:sz w:val="28"/>
          <w:szCs w:val="28"/>
          <w:rtl w:val="true"/>
          <w:lang w:bidi="fa-IR"/>
        </w:rPr>
        <w:t>الحکم الکبروی و هو الاحتیاط عن التهلکة الواقعیة، إن واجبا فواجب، و إن مستحبّ فمستحبّ، تخصّص لا تخصیص، و التخصّص مقدّم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أکثر أدلّة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090" w:name="__RefHeading___Toc2647122_3224264995"/>
      <w:bookmarkStart w:id="1091" w:name="_Toc432"/>
      <w:bookmarkEnd w:id="1090"/>
      <w:r>
        <w:rPr>
          <w:rtl w:val="true"/>
        </w:rPr>
        <w:t>[</w:t>
      </w:r>
      <w:r>
        <w:rPr>
          <w:rtl w:val="true"/>
        </w:rPr>
        <w:t>شرح و دراسة ما یستفاد من المتن فی إبطال الردّ علی أخبار التوقّف بأنّ أخبار البراءة أخصّ منها</w:t>
      </w:r>
      <w:r>
        <w:rPr>
          <w:rtl w:val="true"/>
        </w:rPr>
        <w:t>]</w:t>
      </w:r>
      <w:bookmarkEnd w:id="10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ما فیه ممّا یمکن أن یستفاد من المتن وجوه أربعة، بل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بالإضافة إلی أخبار التوقّف</w:t>
      </w:r>
      <w:r>
        <w:rPr>
          <w:rStyle w:val="FootnoteAnchor"/>
          <w:rtl w:val="true"/>
        </w:rPr>
        <w:footnoteReference w:id="391"/>
      </w:r>
      <w:r>
        <w:rPr>
          <w:rFonts w:ascii="IRNazanin" w:hAnsi="IRNazanin" w:eastAsia="IRNazanin"/>
          <w:color w:val="111111"/>
          <w:sz w:val="28"/>
          <w:sz w:val="28"/>
          <w:szCs w:val="28"/>
          <w:rtl w:val="true"/>
          <w:lang w:bidi="fa-IR"/>
        </w:rPr>
        <w:t>من قبیل الأصل و الدلیل لا من قبیل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الجواب إنّما یتمّ فی أکثر أخبار البراءة، لا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أخبار البراءة بالإضافة إلی أخبار التوقّف من قبیل الأصل و الدلیل، و أمّا ما یبقی فهو و إن کان ظاهر الاختصاص بالشبهة الحکمیة التحریمیّة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إلا أنّه یوجد فی أخبار التوقّف ما لا یکون أعمّ منه، کبعض الروایات المتقدّمة الخاصّة</w:t>
      </w:r>
      <w:r>
        <w:rPr>
          <w:rStyle w:val="FootnoteAnchor"/>
          <w:rtl w:val="true"/>
        </w:rPr>
        <w:footnoteReference w:id="393"/>
      </w:r>
      <w:r>
        <w:rPr>
          <w:rFonts w:ascii="IRNazanin" w:hAnsi="IRNazanin" w:eastAsia="IRNazanin"/>
          <w:color w:val="111111"/>
          <w:sz w:val="28"/>
          <w:sz w:val="28"/>
          <w:szCs w:val="28"/>
          <w:rtl w:val="true"/>
          <w:lang w:bidi="fa-IR"/>
        </w:rPr>
        <w:t xml:space="preserve">بتعارض النصّین، فإنّ النسبة بینه و بین أخبار البراءة تباین کلّیّ، لا ما زعم من العموم و الخصوص المطلق، ضرورة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بمورد فقد النصّ أو إجماله، و الروایة المفروضة من أخبار التوقّف بمورد تعارض النصّین، فإذا وجب التوقّف فی تعارض النصّین وجب فیما لا نصّ فیه بالإجماع المرکّب، فتدخل الشبهات التحریمیة فی أخبار التوقّف بضمیمة الإجماع المرکّب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أخبار التوقّف و إن کان عموم و خصوص مطلق إلا أنّ أخبار التوقّف لما اشتملت علی مورد تعارض النصّین الّذی لم یشتمل علیه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سائر أخبار </w:t>
      </w:r>
      <w:bookmarkStart w:id="1092" w:name="pg12856_162782"/>
    </w:p>
    <w:p>
      <w:pPr>
        <w:pStyle w:val="BookText"/>
        <w:rPr/>
      </w:pPr>
      <w:bookmarkEnd w:id="1092"/>
      <w:r>
        <w:rPr>
          <w:rFonts w:ascii="IRNazanin" w:hAnsi="IRNazanin" w:eastAsia="IRNazanin"/>
          <w:color w:val="111111"/>
          <w:sz w:val="28"/>
          <w:sz w:val="28"/>
          <w:szCs w:val="28"/>
          <w:rtl w:val="true"/>
          <w:lang w:bidi="fa-IR"/>
        </w:rPr>
        <w:t xml:space="preserve">البراءة، و کان القول بالتوقّف فی تعارض النصّین مستلزما للقول به فی ما لا نصّ فیه بالاجماع المرکّب، خرجت الشبهات الحکمیّة عن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فی أخبار التوقّف</w:t>
      </w:r>
      <w:r>
        <w:rPr>
          <w:rFonts w:eastAsia="IRNazanin" w:cs="IRNazanin"/>
          <w:color w:val="111111"/>
          <w:sz w:val="28"/>
          <w:szCs w:val="28"/>
          <w:rtl w:val="true"/>
          <w:lang w:bidi="fa-IR"/>
        </w:rPr>
        <w:t>.</w:t>
      </w:r>
    </w:p>
    <w:p>
      <w:pPr>
        <w:pStyle w:val="Heading4"/>
        <w:numPr>
          <w:ilvl w:val="3"/>
          <w:numId w:val="1"/>
        </w:numPr>
        <w:rPr/>
      </w:pPr>
      <w:bookmarkStart w:id="1093" w:name="__RefHeading___Toc2647124_3224264995"/>
      <w:bookmarkStart w:id="1094" w:name="_Toc433"/>
      <w:bookmarkEnd w:id="1093"/>
      <w:r>
        <w:rPr>
          <w:rtl w:val="true"/>
        </w:rPr>
        <w:t>[</w:t>
      </w:r>
      <w:r>
        <w:rPr>
          <w:rtl w:val="true"/>
        </w:rPr>
        <w:t>بیان وجه التأمل المأمور به فی کلام الماتن فی هذا الموضع</w:t>
      </w:r>
      <w:r>
        <w:rPr>
          <w:rtl w:val="true"/>
        </w:rPr>
        <w:t>]</w:t>
      </w:r>
      <w:bookmarkEnd w:id="1094"/>
    </w:p>
    <w:p>
      <w:pPr>
        <w:pStyle w:val="BookText"/>
        <w:rPr/>
      </w:pPr>
      <w:r>
        <w:rPr>
          <w:rFonts w:ascii="IRNazanin" w:hAnsi="IRNazanin" w:eastAsia="IRNazanin"/>
          <w:color w:val="111111"/>
          <w:sz w:val="28"/>
          <w:sz w:val="28"/>
          <w:szCs w:val="28"/>
          <w:rtl w:val="true"/>
          <w:lang w:bidi="fa-IR"/>
        </w:rPr>
        <w:t>و لکن فی کلّ من هذین الجوابین التأمّل المأمور به فی المتن</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وجهه هو منع التوقّف فی تعارض النصین حتی یحمل علیه ما لا نصّ فیه بالإجماع المرکّب، بل حکم المتعارضین عند المشهور هو التخییر لا التوقّف، إلّا علی قول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قلب الإجماع المرکّب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بالتوقّف فی تعارض النصین و إلحاق ما لا نصّ فیه به بالإجماع المرکّب لیس بأولی من العکس، و الحکم بالبراءة فیما لا نصّ فیه، و إلحاق تعارض النصین به بالإجماع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اختار هو سابقا من أنّ مدلول أدلّة التوقّف مساوق لمدلول قاعدة دفع الضرر المحتمل الّذی اختار المصنّف هو أیضا ورود قاعدة قبح العقاب بلا بیان علیه، فیکون أخبار البراءة المساوقة لقاعدة قبح العقاب بلا بیان واردة علی أخبار التوقّف المساوقة لقاعدة دفع الضرر المحتمل، حملا للشی‌ء علی مساوقه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العبرة فی النسبة بین الدلیلین علی دلالتهما لا المراد منهما بالضمائم الخارجیة عن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الوجه غیر وجیه، لأنّ العبرة فی أخذ النسبة إنّما هو علی مطلق الدلالة، سواء حصلت من حاق اللفظ أم منه و من ضمائمه اللاحقة له من إجماع و نحوه، کما فی ما نحن فیه، لا علی دلالة حاق اللفظ مع الإغماض عن ضمائمه اللاحقة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عبرة بملاحظة الدلیل </w:t>
      </w:r>
    </w:p>
    <w:p>
      <w:pPr>
        <w:pStyle w:val="BookText"/>
        <w:rPr/>
      </w:pPr>
      <w:r>
        <w:rPr>
          <w:rFonts w:ascii="IRNazanin" w:hAnsi="IRNazanin" w:eastAsia="IRNazanin"/>
          <w:color w:val="111111"/>
          <w:sz w:val="28"/>
          <w:sz w:val="28"/>
          <w:szCs w:val="28"/>
          <w:rtl w:val="true"/>
          <w:lang w:bidi="fa-IR"/>
        </w:rPr>
        <w:t>مع الضمائم الّتی لیس نسبتها إلیه أولی من نسبتها إلی معارضه،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موارد الشبهة الّتی أمر فیها بالتوقّف لا تخلو عن أن یکون شیئا محتمل الحرمة سواء کان عملا أم حکما اعتقادا، فلو بنینا علی إخراج محتمل الحرمة عن تحت أدلّة التوقّف لم یبق لها مورد أصلا، بخلاف ما لو بنینا علی إخراج محتمل الحرمة عن تحت أدلّة البراءة، فإنّها لم تخل عن مورد لبقاء الشبهات الموضوعیّة و الوجوبیّة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أمر المصنّف بالتأمّل فیه، 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کون المراد من محتمل الحرمة المفروض خروجه عن تحت أدلّة التوقّف هو العمل دون الحکم و الاعتقاد، فإنّهما یبقیان تحت أدلّة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محتمل الحرمة، و إن عمّ العمل و الحکم و الاعتقاد، إلّا أنّه مع ذلک لم تخل أدلّة التوقّف عن مورد لبقاء المشتبه من العقائد الدینیّة تحتها، کالاعتقاد فی صفات الباری و رسوله 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سلّمنا أنّ الاعتقاد فی اصول الدین کالاعتقاد فی الفروع فی خروج مشتبهاتها عن تحت أدلّة التوقّف، إلّا أنّه مع ذلک لم تخل أدلّة التوقّف عن مورد لبقاء الشبهات المحصورة تحتها، بل و الشبهات البدویّة قبل الفحص بأسرها باقیة تحت أدلّة التوقّف، فلم تخل عن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موارد الشبهة الّتی أمر فیها بالتوقّف لا تخلو عن أن یکون شیئا محتمل الحرمة، سواء کان وجوبیّا أم تحریمیّا أم ندبیّا أم کراهیّا، و سواء کان حکمیا أم موضوعیا، و سواء کان عملا أم حکما أم اعتقادا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تکون النسبة بین أخبار التوقّف و أخبار البراءة تباین کلّیّ، کتباین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زعم من العموم و الخصوص من وجه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یکون التأمّل فیه إشارة إلی منع رجوع الشبهات الوجوبیّة </w:t>
      </w:r>
      <w:bookmarkStart w:id="1095" w:name="pg12856_162784"/>
    </w:p>
    <w:p>
      <w:pPr>
        <w:pStyle w:val="BookText"/>
        <w:rPr/>
      </w:pPr>
      <w:bookmarkEnd w:id="1095"/>
      <w:r>
        <w:rPr>
          <w:rFonts w:ascii="IRNazanin" w:hAnsi="IRNazanin" w:eastAsia="IRNazanin"/>
          <w:color w:val="111111"/>
          <w:sz w:val="28"/>
          <w:sz w:val="28"/>
          <w:szCs w:val="28"/>
          <w:rtl w:val="true"/>
          <w:lang w:bidi="fa-IR"/>
        </w:rPr>
        <w:t>و الموضوعیّة إلی التحریمیّة إلّا بتأویل بعید و تکلّف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جمیع هذه الوجوه الخمسة المذکورة راجعة إلی صریح أحد الوجوه الثلاثة المرقومة فی المتن، أو محتمله، کالوجهین الأخیرین، فإنّهما محتملا الأخیر من وجوه المتن، و سابقیهما محتملا الثانی من وجوه المتن، کما أنّ الأوّل هو صریح الأوّل من وجوه المتن،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نفس واقعة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إمّا أن یکون السؤال عن کمیّة العمل و مقدار فعل الجزاء فی واقعة الصید، و إمّا عن کیفیّة الحکم و الفتوی فی 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ما نحن فیه مماثلا له</w:t>
      </w:r>
      <w:r>
        <w:rPr>
          <w:rFonts w:eastAsia="IRNazanin" w:cs="IRNazanin"/>
          <w:color w:val="111111"/>
          <w:sz w:val="28"/>
          <w:szCs w:val="28"/>
          <w:rtl w:val="true"/>
          <w:lang w:bidi="fa-IR"/>
        </w:rPr>
        <w:t>».</w:t>
      </w:r>
    </w:p>
    <w:p>
      <w:pPr>
        <w:pStyle w:val="Heading4"/>
        <w:numPr>
          <w:ilvl w:val="3"/>
          <w:numId w:val="1"/>
        </w:numPr>
        <w:rPr/>
      </w:pPr>
      <w:bookmarkStart w:id="1096" w:name="__RefHeading___Toc2647126_3224264995"/>
      <w:bookmarkStart w:id="1097" w:name="_Toc434"/>
      <w:bookmarkEnd w:id="1096"/>
      <w:r>
        <w:rPr>
          <w:rtl w:val="true"/>
        </w:rPr>
        <w:t>[</w:t>
      </w:r>
      <w:r>
        <w:rPr>
          <w:rtl w:val="true"/>
        </w:rPr>
        <w:t>دراسة الأخبار الآمرة بالاحتیاط</w:t>
      </w:r>
      <w:r>
        <w:rPr>
          <w:rtl w:val="true"/>
        </w:rPr>
        <w:t>]</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الشبهة فی ما نحن فیه شبهة بدویّة تحریمیّة لم یثبت التکلیف فیه رأسا لا إجمالا و لا فی الجملة، بخلاف الشبهة المفروضة، فإنّها شبهة استمراریّة وجوبیّة ثبت التکلیف فیها إجمالا أو فی الجملة، فوجوب الاحتیاط فیها لو سلّم لا یقتضی وجوبه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مضایقة عن القول بوجوب الاحتیاط فی هذه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السؤال عن الإمام علیه السّلام للمتمکّن منه فی ذلک الزمان بمنزلة الفحص عن الدلیل لغیر المتمکّن من السؤال فی هذا الزمان، فکما لا یجوز إجراء البراءة فی هذا الزمان قبل الفحص، کذلک لا یجوز فی ذلک الزمان قبل السؤال عن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ینفع فی ما نحن فیه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لما عرفت من أنّ الشبهة فی ما نحن فیه شبهة بدویّة تحریمیّة لم یثبت التکلیف فیه رأسا لا إجمالا و لا فی الجملة، بخلاف الشبهة المقررة فی الفرض، فإنّها شبهة وجوبیّة ثبت التکلیف فیها إجمالا أو فی الجملة، </w:t>
      </w:r>
      <w:bookmarkStart w:id="1098" w:name="pg12856_162785"/>
    </w:p>
    <w:p>
      <w:pPr>
        <w:pStyle w:val="BookText"/>
        <w:rPr/>
      </w:pPr>
      <w:bookmarkEnd w:id="1098"/>
      <w:r>
        <w:rPr>
          <w:rFonts w:ascii="IRNazanin" w:hAnsi="IRNazanin" w:eastAsia="IRNazanin"/>
          <w:color w:val="111111"/>
          <w:sz w:val="28"/>
          <w:sz w:val="28"/>
          <w:szCs w:val="28"/>
          <w:rtl w:val="true"/>
          <w:lang w:bidi="fa-IR"/>
        </w:rPr>
        <w:t>فوجوب الاحتیاط فیها علی تقدیر تسلیمة لا یقتضی وجوبه فی ما نحن فیه من جهات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 الشبهة فی ما نحن فیه بدویّة، و فی مورد الروایة استمراریّة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الشبهة فی ما نحن فیه تحریمیّة، و فی مورد الروایة 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فی مورد الروایة دائر بین الأقلّ و الأکثر، و هو و إن کان محلّا للنزاع فی مجری البراءة أو الاحتیاط أیضا إلا أنّ النزاع فیه غیر النزاع فی المقام، بل المنازعین فیه غیر المنازعین فی المقام، فإنّ المنازع للبراءتیین فی المقام هم الأخباریّة، و فی ثمّة لا ینحصر فی 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انّ الإلزام من هذا الأمر فلا ریبة فیه</w:t>
      </w:r>
      <w:r>
        <w:rPr>
          <w:rFonts w:eastAsia="IRNazanin" w:cs="IRNazanin"/>
          <w:color w:val="111111"/>
          <w:sz w:val="28"/>
          <w:szCs w:val="28"/>
          <w:rtl w:val="true"/>
          <w:lang w:bidi="fa-IR"/>
        </w:rPr>
        <w:t>».</w:t>
      </w:r>
    </w:p>
    <w:p>
      <w:pPr>
        <w:pStyle w:val="Heading4"/>
        <w:numPr>
          <w:ilvl w:val="3"/>
          <w:numId w:val="1"/>
        </w:numPr>
        <w:rPr/>
      </w:pPr>
      <w:bookmarkStart w:id="1099" w:name="__RefHeading___Toc2647128_3224264995"/>
      <w:bookmarkStart w:id="1100" w:name="_Toc435"/>
      <w:bookmarkEnd w:id="1099"/>
      <w:r>
        <w:rPr>
          <w:rtl w:val="true"/>
        </w:rPr>
        <w:t>[</w:t>
      </w:r>
      <w:r>
        <w:rPr>
          <w:rtl w:val="true"/>
        </w:rPr>
        <w:t>دراسة خبر</w:t>
      </w:r>
      <w:r>
        <w:rPr>
          <w:rtl w:val="true"/>
        </w:rPr>
        <w:t>: «</w:t>
      </w:r>
      <w:r>
        <w:rPr>
          <w:rtl w:val="true"/>
        </w:rPr>
        <w:t>دع ما یریبک</w:t>
      </w:r>
      <w:r>
        <w:rPr>
          <w:rtl w:val="true"/>
        </w:rPr>
        <w:t>»]</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الإلزام الناشئ من الأمر بترک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فیه ثقل و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عارض من الحکم بترک الریب، فلا یعقل دخوله فی موضوع ذلک الحکم المتأخّر عنه وضعا و رتبة، للزوم تقدّم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 الأمر بترک الریب قاصر بحسب الدلالة عن شمول الریب العارض من نفس الأمر، کما أنّ الآیات</w:t>
      </w:r>
      <w:r>
        <w:rPr>
          <w:rStyle w:val="FootnoteAnchor"/>
          <w:rtl w:val="true"/>
        </w:rPr>
        <w:footnoteReference w:id="395"/>
      </w:r>
      <w:r>
        <w:rPr>
          <w:rFonts w:ascii="IRNazanin" w:hAnsi="IRNazanin" w:eastAsia="IRNazanin"/>
          <w:color w:val="111111"/>
          <w:sz w:val="28"/>
          <w:sz w:val="28"/>
          <w:szCs w:val="28"/>
          <w:rtl w:val="true"/>
          <w:lang w:bidi="fa-IR"/>
        </w:rPr>
        <w:t>الناهیة عن العمل بالظنّ قاصرة بحسب الدلالة عن شمول نفسها، إلّا بدعوی تنقیح مناط و نحوه من الضمائم الخارجیة القائمة علی عدم الفرق، و اتّحاد الحکم بین الریبتین و الظنّین، کما هو غیر بعید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استادنا العلّامة علی الاستدلال بحدیث الریب</w:t>
      </w:r>
      <w:r>
        <w:rPr>
          <w:rStyle w:val="FootnoteAnchor"/>
          <w:rtl w:val="true"/>
        </w:rPr>
        <w:footnoteReference w:id="396"/>
      </w:r>
      <w:r>
        <w:rPr>
          <w:rFonts w:ascii="IRNazanin" w:hAnsi="IRNazanin" w:eastAsia="IRNazanin"/>
          <w:color w:val="111111"/>
          <w:sz w:val="28"/>
          <w:sz w:val="28"/>
          <w:szCs w:val="28"/>
          <w:rtl w:val="true"/>
          <w:lang w:bidi="fa-IR"/>
        </w:rPr>
        <w:t>بإیراد آخر، تقریبه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الریب مجمل، لما عن الصحاح من تفسیره بالشکّ و التّهمة، و ظاهره الاشتراک اللفظی بینهما، و لا قرینة فی الحدیث علی تعیین إرادة الشکّ منه، فحمله علی إرادة الشکّ لیس بأولی من حمله علی إرادة التهمة لیکون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ما یتّهمک، و اذهب إلی ما لا یتّهمک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مواضع التهم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إرادة الشکّ منه، و لکن مع ذلک لا ینطبق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رجحان الاحتیاط، و مرجوحیّة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بتکلّف بعید، و ذلک لعدم کون أصل البراءة منشئا و محدثا فیک الشکّ حتّی یصدق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شکّک المفروض فی حکم الواقعة عبارة عن عدم علمک و جهلک المستمر من قبل، ما لم یزله مزیل، و کذلک الاحتیاط لیس ممّا لا یشکّک حتی یصدق علیه لا یریبک، بل هو یوقیک و یزیل شکّک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تقدیر إرادة الشکّ من الریب لا ینطبق الحدیث علی العمل بالاحتیاط و ترک أصالة البراءة، بل لا بدّ إمّا من حمله علی إرادة الاستصحاب، و إبقاء ما کان علی ما کان، لیکون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فإنّ نقض الیقین السابق بالشکّ ممّا یربیک و یوقعک فی شکّ فدعه، و عدم نقضه بالشکّ أو نقضه بیقین مثله ممّا لا یربیک و لا یوقعک فی شکّ فلا 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إیراده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انطباق الحدیث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لأنّ الموجب للریب و الشکّ هو العمل بطبق البراءة، لا نفس الاستناد إلی البراءة حتی یمنع إیجابه الشکّ، و الموجب لعدم الشکّ و الریب هو عدم العمل بطبق البراءة، فانطبق الحدیث علی المدّعی، إلّا انّه یبقی الإیراد الأوّل، إذ کما ینطبق </w:t>
      </w:r>
      <w:bookmarkStart w:id="1101" w:name="pg12856_162787"/>
    </w:p>
    <w:p>
      <w:pPr>
        <w:pStyle w:val="BookText"/>
        <w:rPr/>
      </w:pPr>
      <w:bookmarkEnd w:id="1101"/>
      <w:r>
        <w:rPr>
          <w:rFonts w:ascii="IRNazanin" w:hAnsi="IRNazanin" w:eastAsia="IRNazanin"/>
          <w:color w:val="111111"/>
          <w:sz w:val="28"/>
          <w:sz w:val="28"/>
          <w:szCs w:val="28"/>
          <w:rtl w:val="true"/>
          <w:lang w:bidi="fa-IR"/>
        </w:rPr>
        <w:t xml:space="preserve">علی ذلک ینطبق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مواضع التهم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و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معیّن، فیجمل و یسقط عن الاستدلال، مضافا إلی احتمال إرادة الإرشاد أو غیره من محامل أخبار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دون هذا فی الظهور النبویّ المرویّ عن الصادق</w:t>
      </w:r>
      <w:r>
        <w:rPr>
          <w:rFonts w:eastAsia="IRNazanin" w:cs="IRNazanin"/>
          <w:color w:val="111111"/>
          <w:sz w:val="28"/>
          <w:szCs w:val="28"/>
          <w:rtl w:val="true"/>
          <w:lang w:bidi="fa-IR"/>
        </w:rPr>
        <w:t>».</w:t>
      </w:r>
    </w:p>
    <w:p>
      <w:pPr>
        <w:pStyle w:val="Heading4"/>
        <w:numPr>
          <w:ilvl w:val="3"/>
          <w:numId w:val="1"/>
        </w:numPr>
        <w:rPr/>
      </w:pPr>
      <w:bookmarkStart w:id="1102" w:name="__RefHeading___Toc2647130_3224264995"/>
      <w:bookmarkStart w:id="1103" w:name="_Toc436"/>
      <w:bookmarkEnd w:id="1102"/>
      <w:r>
        <w:rPr>
          <w:rtl w:val="true"/>
        </w:rPr>
        <w:t>[</w:t>
      </w:r>
      <w:r>
        <w:rPr>
          <w:rtl w:val="true"/>
        </w:rPr>
        <w:t>دراسة أخبار التثلیث</w:t>
      </w:r>
      <w:r>
        <w:rPr>
          <w:rtl w:val="true"/>
        </w:rPr>
        <w:t>]</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روایة جمیل المتقدّمة فی أخبار التوقّف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لک رشده فاتّبعه، و أمر بیّن لک غیّه فاجتنبه، و أمر اختلف فیه فردّه إلی اللّه و رسوله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أدونیّته أنّ ظهوره فی وجوب الاحتیاط من جهة واحدة، و هی ظهور الأمر بالردّ إلی اللّه فی الوجوب، و ظهور ما نحن فیه علاوة علی ذلک من جهة أخری، و هی الاستشهاد بوجوب ترک الشبهات علی وجوب ترک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مرسلة الصدوق</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الآتیة فی ضمن الأخبار المؤیّدة للحمل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الشارع،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ظهور الخبر فی تشبیه وجوب ترک الشاذّ بترک الشبهات، و الاستشهاد علی ترک الشاذّ بترک الشبهات، لا بیان محض المناسبة بین الترکین، و تشبیه أحدهما بالآخر فی خصوص الخاصیة و فائدة التحذر عن مخالفة الواقع فی البین دون التشبیه فی الحکم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تخصیصه بالشبهة الحکمیّة مع أنّه إخراج لأکثر الأفراد مناف </w:t>
      </w:r>
      <w:bookmarkStart w:id="1104" w:name="pg12856_162788"/>
    </w:p>
    <w:p>
      <w:pPr>
        <w:pStyle w:val="BookText"/>
        <w:rPr/>
      </w:pPr>
      <w:bookmarkEnd w:id="1104"/>
      <w:r>
        <w:rPr>
          <w:rFonts w:ascii="IRNazanin" w:hAnsi="IRNazanin" w:eastAsia="IRNazanin"/>
          <w:color w:val="111111"/>
          <w:sz w:val="28"/>
          <w:sz w:val="28"/>
          <w:szCs w:val="28"/>
          <w:rtl w:val="true"/>
          <w:lang w:bidi="fa-IR"/>
        </w:rPr>
        <w:t>للسیاق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لسیاق حصر الامور فی ثلاثة، لاستلزام إخراج الشبهة الموضوعیّة لتربیع الامور، لا حصرها فی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الباقی بعد إخراج الشبهة الموضوعیّة موارد العلم الإجمالی مطلقا، و الشبهة الحکمیّة قبل الفحص مطلقا، و بعده فی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إخراج الشبهة الموضوعیّة عن الحکم لا یستلزم الخروج عن موضوع الشبهة حتی ینافی الحصر فی الثلاثة،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فالاستدلال موقوف علی إثبات کبری، و هی انّ الإشراف علی الوقوع فی الحرام و الهلاک من حیث لا یعلم محرّم</w:t>
      </w:r>
      <w:r>
        <w:rPr>
          <w:rFonts w:eastAsia="IRNazanin" w:cs="IRNazanin"/>
          <w:color w:val="111111"/>
          <w:sz w:val="28"/>
          <w:szCs w:val="28"/>
          <w:rtl w:val="true"/>
          <w:lang w:bidi="fa-IR"/>
        </w:rPr>
        <w:t>».</w:t>
      </w:r>
    </w:p>
    <w:p>
      <w:pPr>
        <w:pStyle w:val="Heading4"/>
        <w:numPr>
          <w:ilvl w:val="3"/>
          <w:numId w:val="1"/>
        </w:numPr>
        <w:rPr/>
      </w:pPr>
      <w:bookmarkStart w:id="1105" w:name="__RefHeading___Toc2647132_3224264995"/>
      <w:bookmarkStart w:id="1106" w:name="_Toc437"/>
      <w:bookmarkEnd w:id="1105"/>
      <w:r>
        <w:rPr>
          <w:rtl w:val="true"/>
        </w:rPr>
        <w:t>[</w:t>
      </w:r>
      <w:r>
        <w:rPr>
          <w:rtl w:val="true"/>
        </w:rPr>
        <w:t>ارتکازیة حرمة مقدمة الحرام</w:t>
      </w:r>
      <w:r>
        <w:rPr>
          <w:rtl w:val="true"/>
        </w:rPr>
        <w:t>]</w:t>
      </w:r>
      <w:bookmarkEnd w:id="11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الاستدلال بمحذوریّة القرب إلی الحرام، و المیل إلیه، و الهمّ به، و ما یوجب التّجری و الوصول إلیه من المقدّمات المتحذّر عنه فی نصوص الشبهات، إنّما هو مسلّمیة الکبری الکلّیة المطویّة المرکوزة فی الذهن، و هو أنّ مقدّمة الحرام حرام، و إلّا فبیان الصغری للکبری المطویّة المجملة، أو الغیر المسلّمة، ینافی البلاغة فی الکلام، و کثرة المزید فی الاهتمام و الاستشهاد به فی المقام، و إلّا لکان الکلام ناقصا عن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الظنّ غیر مناف له لا بنفسه و لا بملاحظة اعتباره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107" w:name="__RefHeading___Toc2647134_3224264995"/>
      <w:bookmarkStart w:id="1108" w:name="_Toc438"/>
      <w:bookmarkEnd w:id="1107"/>
      <w:r>
        <w:rPr>
          <w:rtl w:val="true"/>
        </w:rPr>
        <w:t>[</w:t>
      </w:r>
      <w:r>
        <w:rPr>
          <w:rtl w:val="true"/>
        </w:rPr>
        <w:t>الظن الحاصل من الأدلة الظنیة لا ینافی العلم الإجمالی بوجود الأحکام فی مواردها</w:t>
      </w:r>
      <w:r>
        <w:rPr>
          <w:rtl w:val="true"/>
        </w:rPr>
        <w:t>]</w:t>
      </w:r>
      <w:bookmarkEnd w:id="11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منافاته له بنفسه فلوضوح عدم انتقاض العلم إلّا بمثله، و انتفاء مثلیّة الظنّ 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بالشی‌ء ینافیه الظنّ بخلافه قطعا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بالخلاف إنّما ینافی نفس العلم و هو لیس بمقصود، و أمّا حکم العلم و مقتضاه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العمل بطبقه فلا ینافیه الظنّ بنفسه</w:t>
      </w:r>
      <w:r>
        <w:rPr>
          <w:rFonts w:eastAsia="IRNazanin" w:cs="IRNazanin"/>
          <w:color w:val="111111"/>
          <w:sz w:val="28"/>
          <w:szCs w:val="28"/>
          <w:rtl w:val="true"/>
          <w:lang w:bidi="fa-IR"/>
        </w:rPr>
        <w:t xml:space="preserve">. </w:t>
      </w:r>
      <w:bookmarkStart w:id="1109" w:name="pg12856_162789"/>
    </w:p>
    <w:p>
      <w:pPr>
        <w:pStyle w:val="Heading4"/>
        <w:numPr>
          <w:ilvl w:val="3"/>
          <w:numId w:val="1"/>
        </w:numPr>
        <w:rPr/>
      </w:pPr>
      <w:bookmarkStart w:id="1110" w:name="__RefHeading___Toc2647136_3224264995"/>
      <w:bookmarkStart w:id="1111" w:name="_Toc439"/>
      <w:bookmarkEnd w:id="1109"/>
      <w:bookmarkEnd w:id="1110"/>
      <w:r>
        <w:rPr>
          <w:rtl w:val="true"/>
        </w:rPr>
        <w:t>[</w:t>
      </w:r>
      <w:r>
        <w:rPr>
          <w:rtl w:val="true"/>
        </w:rPr>
        <w:t>الاحتمالات فی وجه اعتبار الأدلة الظنیة شرعا</w:t>
      </w:r>
      <w:r>
        <w:rPr>
          <w:rtl w:val="true"/>
        </w:rPr>
        <w:t>]</w:t>
      </w:r>
      <w:bookmarkEnd w:id="1111"/>
    </w:p>
    <w:p>
      <w:pPr>
        <w:pStyle w:val="BookText"/>
        <w:rPr/>
      </w:pPr>
      <w:r>
        <w:rPr>
          <w:rFonts w:ascii="IRNazanin" w:hAnsi="IRNazanin" w:eastAsia="IRNazanin"/>
          <w:color w:val="111111"/>
          <w:sz w:val="28"/>
          <w:sz w:val="28"/>
          <w:szCs w:val="28"/>
          <w:rtl w:val="true"/>
          <w:lang w:bidi="fa-IR"/>
        </w:rPr>
        <w:t>و أمّا عدم منافاته له بملاحظة اعتباره شرعا فلعدم ثبوت اعتباره علی وجه البدلیّة و العوضیّة عن العلم بالواقع حتی ینافیه، و ذلک لأنّ اعتبار الطریق إلی الشی‌ء کما یحتمل أن یکون اعتباره طریقا علی وجه البدلیّة و العوضیّة عن ذی الطریق المطلوب، کذلک یحتمل أن یکون اعتباره طریقا علی وجه المراعاة، فإن صادف ذی الطریق المطلوب فبها، و إلّا کان المطلوب باقیا علی مطلوبیّته، فیرجع فی الوصول إلیه إلی طریق آخر و هو الاحتیاط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الخلاف فی طریقیّة الطرق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 أنّ الصلاة بالطهارة المستصحبة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تجزی عن الصلاة الواقعیّة و تبرئ الذمّة بعد کشف الخلاف و ظهور عدم الطهارة، أم لا؟ حیث إنّ منشأه الخلاف فی کیفیّة اعتبار المطلقة أم علی وجه التقیید بالإیصال و عدم کشف الخلاف؟ و نظیرها من الأمثلة الخارجیة العرفیة ما لو دان دیّان لشخص ألف دینار مثلا، ثمّ قبل من المدیون بإزاء دینه ما لیس من جنس الدّین من الأعیان أو النقود المغایرة لدینه، فکما یحتمل أن یکون قبول غیر جنس الدّین من المدیون علی وجه العوضیّة و البدلیّة المطلقة عن جمیع الدین بحیث لا یبقی منه شی‌ء، کذلک یحتمل أن یکون قبوله علی وجه التقیید بمقدار قیمته من الدّین، فیبقی المقدار الزائد من الدّین علی تقدیر نقصان المدفوع عنه، علی حاله مطلوبا من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فالجواب عنه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منع منجّزیة العلم الإجمالی للتکلیف، و وجوب الاحتیاط معه، کما هو مذهب جماعة من الاصولیّین کالقمیّ</w:t>
      </w:r>
      <w:r>
        <w:rPr>
          <w:rStyle w:val="FootnoteAnchor"/>
          <w:rtl w:val="true"/>
        </w:rPr>
        <w:footnoteReference w:id="403"/>
      </w:r>
      <w:r>
        <w:rPr>
          <w:rFonts w:ascii="IRNazanin" w:hAnsi="IRNazanin" w:eastAsia="IRNazanin"/>
          <w:color w:val="111111"/>
          <w:sz w:val="28"/>
          <w:sz w:val="28"/>
          <w:szCs w:val="28"/>
          <w:rtl w:val="true"/>
          <w:lang w:bidi="fa-IR"/>
        </w:rPr>
        <w:t xml:space="preserve">، بل جلّ الأخباریة </w:t>
      </w:r>
    </w:p>
    <w:p>
      <w:pPr>
        <w:pStyle w:val="BookText"/>
        <w:rPr/>
      </w:pPr>
      <w:r>
        <w:rPr>
          <w:rFonts w:ascii="IRNazanin" w:hAnsi="IRNazanin" w:eastAsia="IRNazanin"/>
          <w:color w:val="111111"/>
          <w:sz w:val="28"/>
          <w:sz w:val="28"/>
          <w:szCs w:val="28"/>
          <w:rtl w:val="true"/>
          <w:lang w:bidi="fa-IR"/>
        </w:rPr>
        <w:t>کالمجلسی</w:t>
      </w:r>
      <w:r>
        <w:rPr>
          <w:rStyle w:val="FootnoteAnchor"/>
          <w:rtl w:val="true"/>
        </w:rPr>
        <w:footnoteReference w:id="404"/>
      </w:r>
      <w:r>
        <w:rPr>
          <w:rFonts w:ascii="IRNazanin" w:hAnsi="IRNazanin" w:eastAsia="IRNazanin"/>
          <w:color w:val="111111"/>
          <w:sz w:val="28"/>
          <w:sz w:val="28"/>
          <w:szCs w:val="28"/>
          <w:rtl w:val="true"/>
          <w:lang w:bidi="fa-IR"/>
        </w:rPr>
        <w:t>و غیره من الأخباریة المنکرة لحجّیة ما عدا الکتب الأربعة</w:t>
      </w:r>
      <w:r>
        <w:rPr>
          <w:rStyle w:val="FootnoteAnchor"/>
          <w:rtl w:val="true"/>
        </w:rPr>
        <w:footnoteReference w:id="405"/>
      </w:r>
      <w:r>
        <w:rPr>
          <w:rFonts w:ascii="IRNazanin" w:hAnsi="IRNazanin" w:eastAsia="IRNazanin"/>
          <w:color w:val="111111"/>
          <w:sz w:val="28"/>
          <w:sz w:val="28"/>
          <w:szCs w:val="28"/>
          <w:rtl w:val="true"/>
          <w:lang w:bidi="fa-IR"/>
        </w:rPr>
        <w:t>حتی العقل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الاستدلال غیر منطبق علی اصولهم المقرّرة من إنکار حجّیة العقل و الإجماع، و لهذا لم یعهد الاستدلال منهم بالعلم الإجمالی، و کأنّ الاصولیّین استدلّوا به عن قبلهم فضولة لأجل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تنجّز العلم الإجمالی التکلیف بالاحتیاط، إلّا أنّا نمنع العلم الإجمالی بالمقدار الزائد عن مؤدّی الطرق الشرعیة الّتی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ارتفاع العلم الإجمالی الحاصل من تلک الطرق بتفصیل تلک الطرق لذلک الإجمال، ضرورة انتفاء الإجمال الناشئ عن شی‌ء بتفصیل ذلک الشی‌ء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الدّین الثابت إجماله بما فی دفتر، أو بقول شخص یرتفع إجماله بتفصیل ذلک الدفتر أو ذلک الشخص، و لیس للدیّان أخذ إجمال الدّین من ذلک الدفتر أو ذلک الشخص مع عدم القناعة بتفصیله، بأن یطالب الزائد علی ذلک التفصیل بقاعدة الاشتغال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لیس للیهودیّ و النصرانیّ أخذ حقّیة موسی و عیسی من شریعتنا مع عدم قبول شریعتنا فی منسوخیّته، بأن یبنی علی استصحابه و یطالب منسوخیّته منّا بدلیل آخر خارج عن شریعتنا، ضرورة أنّ المعتبر فی إثبات إجمال الشی‌ء أو إطلاقه معتبر فی إثبات تفصیل ذلک الإجمال أو تقیید ذلک المطلق، و الغیر المعتبر فی إثبات التفصیل و التقیید ینبغی أن لا یعتبر مطلقا فلا وجه للتفکیک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التفکیک فی الشریعة فی قبول قول المعترف بالدّین مع عدم قبول قوله فی الوفاء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المعترف بالدّین إنّما قبل و اعتبر من جهة خاصّة خارجیّة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أعنی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عامّة داخلیّة، و هو کونه قول قائل مطلقا، فاعتبار قول المعترف بضرر نفسه إنّما هو من حیث کونه ضررا علی نفسه لا من حیث إنّه قوله مطلقا حتّی یتعدّی، بخلاف ما نحن فیه من أدلّة اعتبار الطرق الظاهریة، فإنّها إنّما اعتبرت الطرق من حیث هی لا من حیث کونها مثبتة للتکالیف دون کونها رافعة و إلّا لوجب الالتزام بالاحتیاط مطلقا حتی فی موارد تلک الطرق و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باطل بوفاق من الأخباریة، بل جمیع ملل الإسلام، فإنّ الخلاف و النزاع الناشئ من الأخباریة فی وجوب الاحتیاط إنّما هو فی خصوص ما لا نصّ فیه دون ما فیه نصّ من موارد الطرق الشرعیّة، و إلّا للزم الجمع حتی فی موارد النصوص و الطرق الشرعیة بین العمل بمؤدّاها مع العمل بالاحتیاط، و لم یلتزم به أحد لا من الاصولیة و لا من 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فبطلان هذا اللازم مع عموم أدلّة اعتبار الطرق من جملة القرائن و الشواهد الدالّة علی اعتبار الطرق الشرعیّة و الأمارات الظاهریّة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فی الاثبات و الرفع و 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اعترضت علیه دام ظلّه بأن العلم الإجمالی بالتکالیف لیس حاصلا من الطرق الشرعیة الّتی بأیدینا حتی یرتفع إجماله بتفصیلها الحاصل بعد الفحص، بل إنّما هو حاصل بالإجماع و الضرورة، بل الفطرة و الطینة، فلا یرتفع أثره بتفصیل الطرق الظاهریة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دام ظلّه بالمنع، و أنّه لا دلیل علی العلم الإجمالی إلّا ما یحصل من مؤدّی الطرق الظاهریة الّتی بأیدینا الیوم، فیرتفع بمراجعتها و تفصیلها الإجمال الحاصل لنا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فدائرة العلم الإجمالی إنّما هو فی خصوص ما بأیدینا من الطرق و لیس لنا علم إجمالی فی ما وراء ما بأیدینا من الطرق أصلا، لا من </w:t>
      </w:r>
      <w:bookmarkStart w:id="1112" w:name="pg12856_162792"/>
    </w:p>
    <w:p>
      <w:pPr>
        <w:pStyle w:val="BookText"/>
        <w:rPr/>
      </w:pPr>
      <w:bookmarkEnd w:id="1112"/>
      <w:r>
        <w:rPr>
          <w:rFonts w:ascii="IRNazanin" w:hAnsi="IRNazanin" w:eastAsia="IRNazanin"/>
          <w:color w:val="111111"/>
          <w:sz w:val="28"/>
          <w:sz w:val="28"/>
          <w:szCs w:val="28"/>
          <w:rtl w:val="true"/>
          <w:lang w:bidi="fa-IR"/>
        </w:rPr>
        <w:t>الإجماع و لا من غیره، فیرجع محصّل هذا جواب إلی تضییق دائرة العلم الإجمالی المدّعی، و انحصاره فی خصوص ما بأیدینا من الطرق الظاهریّة دون ما ورائها، و رجوعه إلی العلم فی الجملة المرتفع بعد الفحص لا العلم الإجمالی الواسع الزائد عن ذلک</w:t>
      </w:r>
      <w:r>
        <w:rPr>
          <w:rFonts w:eastAsia="IRNazanin" w:cs="IRNazanin"/>
          <w:color w:val="111111"/>
          <w:sz w:val="28"/>
          <w:szCs w:val="28"/>
          <w:rtl w:val="true"/>
          <w:lang w:bidi="fa-IR"/>
        </w:rPr>
        <w:t>.</w:t>
      </w:r>
    </w:p>
    <w:p>
      <w:pPr>
        <w:pStyle w:val="Heading4"/>
        <w:numPr>
          <w:ilvl w:val="3"/>
          <w:numId w:val="1"/>
        </w:numPr>
        <w:rPr/>
      </w:pPr>
      <w:bookmarkStart w:id="1113" w:name="__RefHeading___Toc2647138_3224264995"/>
      <w:bookmarkStart w:id="1114" w:name="_Toc440"/>
      <w:bookmarkEnd w:id="1113"/>
      <w:r>
        <w:rPr>
          <w:rtl w:val="true"/>
        </w:rPr>
        <w:t>[</w:t>
      </w:r>
      <w:r>
        <w:rPr>
          <w:rtl w:val="true"/>
        </w:rPr>
        <w:t>اجزاء الأوامر الظاهریة</w:t>
      </w:r>
      <w:r>
        <w:rPr>
          <w:rtl w:val="true"/>
        </w:rPr>
        <w:t>]</w:t>
      </w:r>
      <w:bookmarkEnd w:id="1114"/>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تنجّز العلم الإجمالی للتکلیف، و سلّمنا سعة دائرته لما فی أیدینا و غیره من الطرق و غیرها، إلّا انّه یمکن دعوی اعتبار الشارع الطرق الظاهریّة علی وجه البدلیّة و العوضیة عن التکلیفات الواقعیة، بحیث یکون التکلیف الواقعی مبدّلا بمؤدّی تلک الطرق الظاهریّة و منقلبا إلیه، کما هو مذهب الفصول</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تبدیل الشارع الأحکام الواقعیة بمؤدّی الطرق الظاهریّة، إلّا انّه اقتنع بمقدار تأدیة الطرق الظاهریّة و إصابتها الواقع عن المقدار الزائد الغیر المؤدّی إلیه، بحیث یکون المقدار الزائد عن مؤدّی الطرق من الوقائع معفوّا عنه مجانا و تفضّلا لا مبدّل عنه، کما هو مذهب القائلة بإجزاء الأوامر الظاهریّة عن الواقع حتی بعد کشف الخلاف، و هو المشهور المنصور المتحصّل من الجمع بین أدلّة ثبوت الأحکام الواقعیة للعالم و غیره، و بین أدلّة اعتبار الطرق الظاهریّة بدلالة الإیماء و الإشارة، کدلالة الآیتین</w:t>
      </w:r>
      <w:r>
        <w:rPr>
          <w:rStyle w:val="FootnoteAnchor"/>
          <w:rtl w:val="true"/>
        </w:rPr>
        <w:footnoteReference w:id="407"/>
      </w:r>
      <w:r>
        <w:rPr>
          <w:rFonts w:ascii="IRNazanin" w:hAnsi="IRNazanin" w:eastAsia="IRNazanin"/>
          <w:color w:val="111111"/>
          <w:sz w:val="28"/>
          <w:sz w:val="28"/>
          <w:szCs w:val="28"/>
          <w:rtl w:val="true"/>
          <w:lang w:bidi="fa-IR"/>
        </w:rPr>
        <w:t>علی أقلّ الحمل و توضیحه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الأوّل من جوابی المتن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عدم اعتبار الطرق إلّا من باب الإیصال إلی الواقع، و بمقدار الإیصال إلیه خاصّة، إلا أنّ هذا المقدار من اعتبارها أیضا کاف فی رفع العلم الإجمالی المدّعی، إذ لا أقلّ من احتمال مصادفة مؤدّی الطریق للواقع فی تشخیص التکلیفات الواقعیّة، و مع وجود هذا الاحتمال یرتفع العلم الإجمالی بلا </w:t>
      </w:r>
      <w:bookmarkStart w:id="1115" w:name="pg12856_162793"/>
    </w:p>
    <w:p>
      <w:pPr>
        <w:pStyle w:val="BookText"/>
        <w:rPr/>
      </w:pPr>
      <w:bookmarkEnd w:id="1115"/>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ثانی جوابی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الأوفق بمذهب کلّ من الأخباریة و الاصولیّة إنّما هو الجواب الثانی من الأجوبة الخمسة المقرّرة، دون الأوّل منها لعدم انطباقه إلّا علی مذهب الأخباریة و بعض الاصولیّة، و دون سائر الأجوبة الثلاثة الأخر لعدم انطباقها إلّا علی مذهب الاصولیة لا غیر، لبناء الأخباریة علی زعمهم انتفاء أصل الطرق المجعولة للشارع فی الأحکام وراء الطرق العقلیّة المنجعلة فیها، کالعلم و ما یحذو حذوه، فضلا عن أن یکون کیفیّة مجعولیّتها علی وجه البدلیّة أو الطریقیة بأحد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الحاصل انّه لا ینبغی الشکّ فی أنّ بناء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116" w:name="__RefHeading___Toc2647140_3224264995"/>
      <w:bookmarkStart w:id="1117" w:name="_Toc441"/>
      <w:bookmarkEnd w:id="1116"/>
      <w:r>
        <w:rPr>
          <w:rtl w:val="true"/>
        </w:rPr>
        <w:t>[</w:t>
      </w:r>
      <w:r>
        <w:rPr>
          <w:rtl w:val="true"/>
        </w:rPr>
        <w:t>التفصیل المحکیّ عن المحقق فی حجّیة البراءة</w:t>
      </w:r>
      <w:r>
        <w:rPr>
          <w:rtl w:val="true"/>
        </w:rPr>
        <w:t>]</w:t>
      </w:r>
      <w:bookmarkEnd w:id="11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 من جمیع هذا البحث انّ التفصیل المحکیّ عن المحقّق</w:t>
      </w:r>
      <w:r>
        <w:rPr>
          <w:rStyle w:val="FootnoteAnchor"/>
          <w:rtl w:val="true"/>
        </w:rPr>
        <w:footnoteReference w:id="408"/>
      </w:r>
      <w:r>
        <w:rPr>
          <w:rFonts w:ascii="IRNazanin" w:hAnsi="IRNazanin" w:eastAsia="IRNazanin"/>
          <w:color w:val="111111"/>
          <w:sz w:val="28"/>
          <w:sz w:val="28"/>
          <w:szCs w:val="28"/>
          <w:rtl w:val="true"/>
          <w:lang w:bidi="fa-IR"/>
        </w:rPr>
        <w:t>فی حجّیّة البراءة لا أصل له، بل هو قائل بحجیّتها مطلقا من غیر تفصیل بین ما یعمّ به البلوی و غیره، و تفصیله المذکور إنّما هو فی حجّیّة قاعدة عدم الدلیل دلیل العدم، لا فی حجّیّة أصل البراءة، کما لا یخفی علی من راجع العبارات المتقدّمة المنقولة عن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البراءة و قاعدة عدم الدلیل هو الفرق بین الأصل و الدلیل، کما قرّرناه فی مقدّمات المسألة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فی مقتضی الأدلّة المتقدّمة کون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118" w:name="__RefHeading___Toc2647142_3224264995"/>
      <w:bookmarkStart w:id="1119" w:name="_Toc442"/>
      <w:bookmarkEnd w:id="1118"/>
      <w:r>
        <w:rPr>
          <w:rtl w:val="true"/>
        </w:rPr>
        <w:t>[</w:t>
      </w:r>
      <w:r>
        <w:rPr>
          <w:rtl w:val="true"/>
        </w:rPr>
        <w:t>مقتضی الأدلّة بالنسبة إلی مفاد البراءة</w:t>
      </w:r>
      <w:r>
        <w:rPr>
          <w:rtl w:val="true"/>
        </w:rPr>
        <w:t>]</w:t>
      </w:r>
      <w:bookmarkEnd w:id="111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الکلام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فی تشخیص کون البراءة فی مورد عدم النصّ و الدلیل، هل هی مفیدة للقطع بالبراءة و عدم الدلیل فی الواقع، أو للظنّ بها، أم غیر مفیدة لشی‌ء منهما أصلا؟ و تارة فی تشخیص کون اعتبار البراءة علی تقدیر اعتبارها، هل هو من باب القطع أو الظنّ الفعلی أو الشأنی، أو التعبّد الصرف؟ </w:t>
      </w:r>
      <w:bookmarkStart w:id="1120" w:name="pg12856_162794"/>
    </w:p>
    <w:p>
      <w:pPr>
        <w:pStyle w:val="BookText"/>
        <w:rPr/>
      </w:pPr>
      <w:bookmarkEnd w:id="1120"/>
      <w:r>
        <w:rPr>
          <w:rFonts w:ascii="IRNazanin" w:hAnsi="IRNazanin" w:eastAsia="IRNazanin"/>
          <w:color w:val="111111"/>
          <w:sz w:val="28"/>
          <w:sz w:val="28"/>
          <w:szCs w:val="28"/>
          <w:rtl w:val="true"/>
          <w:lang w:bidi="fa-IR"/>
        </w:rPr>
        <w:t>فالکلام الأوّل فی تشخیص مفاد البراءة فی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 تشخیص کیفیّة اعتبارها</w:t>
      </w:r>
      <w:r>
        <w:rPr>
          <w:rFonts w:eastAsia="IRNazanin" w:cs="IRNazanin"/>
          <w:color w:val="111111"/>
          <w:sz w:val="28"/>
          <w:szCs w:val="28"/>
          <w:rtl w:val="true"/>
          <w:lang w:bidi="fa-IR"/>
        </w:rPr>
        <w:t>.</w:t>
      </w:r>
    </w:p>
    <w:p>
      <w:pPr>
        <w:pStyle w:val="Heading4"/>
        <w:numPr>
          <w:ilvl w:val="3"/>
          <w:numId w:val="1"/>
        </w:numPr>
        <w:rPr/>
      </w:pPr>
      <w:bookmarkStart w:id="1121" w:name="__RefHeading___Toc2647144_3224264995"/>
      <w:bookmarkStart w:id="1122" w:name="_Toc443"/>
      <w:bookmarkEnd w:id="1121"/>
      <w:r>
        <w:rPr>
          <w:rtl w:val="true"/>
        </w:rPr>
        <w:t>[</w:t>
      </w:r>
      <w:r>
        <w:rPr>
          <w:rtl w:val="true"/>
        </w:rPr>
        <w:t>هل اعتبار البراءة من باب الظنّ أو التعبّد</w:t>
      </w:r>
      <w:r>
        <w:rPr>
          <w:rtl w:val="true"/>
        </w:rPr>
        <w:t>]</w:t>
      </w:r>
      <w:bookmarkEnd w:id="112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المقام الأوّل فتحقیقه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إشکال و لا خلاف فی عدم إفادة البراءة، و هی قبح العقاب بلا بیان القطع بالبراءة فی الواقع فی شی‌ء من مواردها إلّا فی ما یعمّ به البلوی من المسائل، فإنّه بمعونة قضاء العادة فی خصوصه ربّما یفید القطع بالبراءة فی الواقع، و أنّه لو کان دلیل أو حکم واقعی علی خلافها لبان، و لو بان لوصل إلینا، لعموم البلوی و توفّر الدواعی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و لا خلاف فی إفادتها القطع أو الظنّ بالبراءة و نفی الحکم فی الظاهر حسبما یأتی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الخلاف و الإشکال فی إفادتها الظنّ بالواقع فی ما لا یعمّ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المتن عدم إفادتها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إفادتها، نظرا إلی غلبة استناد عدم وجدان الشی‌ء فی مظانّ وجوده إلی عدم وجوده فی الواقع، فبملاحظة هذه الغلبة تفید البراءة الظنّ بالواقع، سیما البراءة الأصلیّة المسمّاة باستصحاب النفی و استصحاب العدمی، فإنّه مفید للظنّ بالواقع و إن لم یفده الاستصحاب الوجودی، علی 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فیظهر لک منع ما فی ظاهر کلام المتن من عدم إفادتها الظنّ بالواقع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البراءة بالنسبة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الظاهر فقد عرفت عدم الإشکال و الخلاف فی إفادتها القطع أو الظنّ بنفی الحکم نعم، الخلاف فیه إنّما هو فی تعیین مفادها بالنسبة إلی الظاهر، هل هو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الماتن</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القوانین</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نظر الماتن إلی تمامیّة قبح </w:t>
      </w:r>
      <w:bookmarkStart w:id="1123" w:name="pg12856_162795"/>
    </w:p>
    <w:p>
      <w:pPr>
        <w:pStyle w:val="BookText"/>
        <w:rPr/>
      </w:pPr>
      <w:bookmarkEnd w:id="1123"/>
      <w:r>
        <w:rPr>
          <w:rFonts w:ascii="IRNazanin" w:hAnsi="IRNazanin" w:eastAsia="IRNazanin"/>
          <w:color w:val="111111"/>
          <w:sz w:val="28"/>
          <w:sz w:val="28"/>
          <w:szCs w:val="28"/>
          <w:rtl w:val="true"/>
          <w:lang w:bidi="fa-IR"/>
        </w:rPr>
        <w:t>العقاب بلا بیان العقلی، کما أتمّه سابقا، و نظر القوانین إلی عدم تمامیّة ما عدا أدلّتها الظنّیّة دلالتها، و کیف کان فالخطب سهل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المقام الأوّل</w:t>
      </w:r>
      <w:r>
        <w:rPr>
          <w:rFonts w:eastAsia="IRNazanin" w:cs="IRNazanin"/>
          <w:color w:val="111111"/>
          <w:sz w:val="28"/>
          <w:szCs w:val="28"/>
          <w:rtl w:val="true"/>
          <w:lang w:bidi="fa-IR"/>
        </w:rPr>
        <w:t>.</w:t>
      </w:r>
    </w:p>
    <w:p>
      <w:pPr>
        <w:pStyle w:val="Heading4"/>
        <w:numPr>
          <w:ilvl w:val="3"/>
          <w:numId w:val="1"/>
        </w:numPr>
        <w:rPr/>
      </w:pPr>
      <w:bookmarkStart w:id="1124" w:name="__RefHeading___Toc2647146_3224264995"/>
      <w:bookmarkStart w:id="1125" w:name="_Toc444"/>
      <w:bookmarkEnd w:id="1124"/>
      <w:r>
        <w:rPr>
          <w:rtl w:val="true"/>
        </w:rPr>
        <w:t>[</w:t>
      </w:r>
      <w:r>
        <w:rPr>
          <w:rtl w:val="true"/>
        </w:rPr>
        <w:t>هل اعتبار البراءة من باب الظنّ أو التعبّد</w:t>
      </w:r>
      <w:r>
        <w:rPr>
          <w:rtl w:val="true"/>
        </w:rPr>
        <w:t>]</w:t>
      </w:r>
      <w:bookmarkEnd w:id="1125"/>
    </w:p>
    <w:p>
      <w:pPr>
        <w:pStyle w:val="BookText"/>
        <w:rPr/>
      </w:pPr>
      <w:r>
        <w:rPr>
          <w:rFonts w:ascii="IRNazanin" w:hAnsi="IRNazanin" w:eastAsia="IRNazanin"/>
          <w:color w:val="111111"/>
          <w:sz w:val="28"/>
          <w:sz w:val="28"/>
          <w:szCs w:val="28"/>
          <w:rtl w:val="true"/>
          <w:lang w:bidi="fa-IR"/>
        </w:rPr>
        <w:t>و أمّا الکلام فی المقام الثانی،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اعتبار أصالة البراءة علی القول باعتبارها من باب الظنّ الفعلی أو الشأنی أو التعبّد الصرف، وجوه 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المحکیّ عن ظاهر جماعة، بل المشهور اعتباره من باب الظنّ، و کونه من الأدلّة الظنّیة، کخبر الواحد و السوق، و إن احتمل ظهور کلامهم فی خصوص البراءة الأصلیّة أو فی خصوص موارد إفادتها الظنّ لا اعتبارها من باب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المتن تبعا لظاهر آخرین اعتبارها من باب التعبّد الصرف و الإغماض عن الواقع، لا من باب الظنّ، و إن أفادته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هذا الخلاف ظاهرا هو اختلاف لسان أدلّة البراءة، حیث إنّ لسان بعضها ظاهر، بل صریح فی اعتبار البراءة من باب التعبّد الصرف، کلسان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w:t>
      </w:r>
      <w:r>
        <w:rPr>
          <w:rStyle w:val="FootnoteAnchor"/>
          <w:rtl w:val="true"/>
        </w:rPr>
        <w:footnoteReference w:id="411"/>
      </w:r>
      <w:r>
        <w:rPr>
          <w:rFonts w:ascii="Amiri" w:hAnsi="Amiri" w:eastAsia="Amiri" w:cs="Amiri"/>
          <w:color w:val="111111"/>
          <w:sz w:val="28"/>
          <w:sz w:val="28"/>
          <w:szCs w:val="28"/>
          <w:rtl w:val="true"/>
          <w:lang w:bidi="ar-SA"/>
        </w:rPr>
        <w:t>و إِلَّا وُسْعَها</w:t>
      </w:r>
      <w:r>
        <w:rPr>
          <w:rStyle w:val="FootnoteAnchor"/>
          <w:rtl w:val="true"/>
        </w:rPr>
        <w:footnoteReference w:id="412"/>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 نحو ذلک ممّا یکون موضوع الحکم فیه الشی‌ء بوصف أنّه مجهول الحکم، مع قطع النظر عن نفس ذلک الشی‌ء و ثبوته فی الواقع، علی عکس لسان أدلّة اعتبار الخبر المعلّلة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بقول فلان لأنّه ثقة أمین و مأمون علی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موضوع الحکم فیه الشی‌ء بوصف ثبوته فی الواقع و حکایته و کاشفیّته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قد عرفت فیما تقدّم عدم اختصاص أدلّة البراءة فی ما ذکر ممّا یکون موضوع الحکم فیه الشی‌ء بوصف أنّه مجهول الحکم مع قطع النظر عن نفس ذلک الشی‌ء و ثبوته فی الواقع، بل له أدلّة أخر ممّا یکون موضوع الحکم فیه الشی‌ء بوصف ثبوته فی الواقع، کسائر الأدلّة الاجتهادیة الناظرة و الحاکیة عن الواقع،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لَکُمْ ما فِی الْأَرْضِ جَمِیعاً</w:t>
      </w:r>
      <w:r>
        <w:rPr>
          <w:rStyle w:val="FootnoteAnchor"/>
          <w:rtl w:val="true"/>
        </w:rPr>
        <w:footnoteReference w:id="41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w:t>
      </w:r>
      <w:r>
        <w:rPr>
          <w:rStyle w:val="FootnoteAnchor"/>
          <w:rtl w:val="true"/>
        </w:rPr>
        <w:footnoteReference w:id="416"/>
      </w:r>
      <w:r>
        <w:rPr>
          <w:rFonts w:ascii="Amiri" w:hAnsi="Amiri" w:eastAsia="Amiri" w:cs="Amiri"/>
          <w:color w:val="111111"/>
          <w:sz w:val="28"/>
          <w:sz w:val="28"/>
          <w:szCs w:val="28"/>
          <w:rtl w:val="true"/>
          <w:lang w:bidi="ar-SA"/>
        </w:rPr>
        <w:t>فإنّها و إن لم تکن معلّلة بالتصریح، إلّا أنّها کالصریحة فی الدلالة علی عدم تحریم ما لا نصّ فیه بوصف عدم تحریمه فی الواقع، لا بوصف أنّه مجهول الحکم، سیما بملاحظة تأکّد منطوق تلک الآیات بمفاهیم حصره المحرمات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w:t>
      </w:r>
      <w:r>
        <w:rPr>
          <w:rStyle w:val="FootnoteAnchor"/>
          <w:rtl w:val="true"/>
        </w:rPr>
        <w:footnoteReference w:id="417"/>
      </w:r>
      <w:r>
        <w:rPr>
          <w:rFonts w:ascii="Amiri" w:hAnsi="Amiri" w:eastAsia="Amiri" w:cs="Amiri"/>
          <w:color w:val="111111"/>
          <w:sz w:val="28"/>
          <w:sz w:val="28"/>
          <w:szCs w:val="28"/>
          <w:rtl w:val="true"/>
          <w:lang w:bidi="ar-SA"/>
        </w:rPr>
        <w:t>الآیة،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w:t>
      </w:r>
      <w:r>
        <w:rPr>
          <w:rStyle w:val="FootnoteAnchor"/>
          <w:rtl w:val="true"/>
        </w:rPr>
        <w:footnoteReference w:id="418"/>
      </w:r>
      <w:r>
        <w:rPr>
          <w:rFonts w:ascii="IRNazanin" w:hAnsi="IRNazanin" w:eastAsia="IRNazanin"/>
          <w:color w:val="111111"/>
          <w:sz w:val="28"/>
          <w:sz w:val="28"/>
          <w:szCs w:val="28"/>
          <w:rtl w:val="true"/>
          <w:lang w:bidi="fa-IR"/>
        </w:rPr>
        <w:t>الآیة، إلی غیر ذلک من الأدلّة الدالّة علی أنّ الأشیاء الغیر المعلوم الحرمة مباحة فی الواقع، لا فی الظاهر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 به ما نسب إلی ظاهر جماعة، بل المشهور من کون البراءة من الأدلّة لا الاصول لوفاء الأدلّة به أیضا،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فی جعلها من الأدلّة مضافا إلی ما عن القوانین</w:t>
      </w:r>
      <w:r>
        <w:rPr>
          <w:rStyle w:val="FootnoteAnchor"/>
          <w:rtl w:val="true"/>
        </w:rPr>
        <w:footnoteReference w:id="419"/>
      </w:r>
      <w:r>
        <w:rPr>
          <w:rFonts w:ascii="IRNazanin" w:hAnsi="IRNazanin" w:eastAsia="IRNazanin"/>
          <w:color w:val="111111"/>
          <w:sz w:val="28"/>
          <w:sz w:val="28"/>
          <w:szCs w:val="28"/>
          <w:rtl w:val="true"/>
          <w:lang w:bidi="fa-IR"/>
        </w:rPr>
        <w:t>من تصریحه بکون المراد من البراءة فی مقابل الاخباریة أعمّ من البراءة بمعنی الأصل، و من قاعدة عدم الدلیل دلیل العدم، بمعنی الدلیل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ظهور کلام القوم، مع ظهور بعض الأدلّة، مع تصریح </w:t>
      </w:r>
      <w:bookmarkStart w:id="1126" w:name="pg12856_162797"/>
    </w:p>
    <w:p>
      <w:pPr>
        <w:pStyle w:val="BookText"/>
        <w:rPr/>
      </w:pPr>
      <w:bookmarkEnd w:id="1126"/>
      <w:r>
        <w:rPr>
          <w:rFonts w:ascii="IRNazanin" w:hAnsi="IRNazanin" w:eastAsia="IRNazanin"/>
          <w:color w:val="111111"/>
          <w:sz w:val="28"/>
          <w:sz w:val="28"/>
          <w:szCs w:val="28"/>
          <w:rtl w:val="true"/>
          <w:lang w:bidi="fa-IR"/>
        </w:rPr>
        <w:t>بعضهم فی کون البراءة من الأدلّة الاجتهادیة، لا ینبغی الإشکال فی کونه کذلک</w:t>
      </w:r>
      <w:r>
        <w:rPr>
          <w:rFonts w:eastAsia="IRNazanin" w:cs="IRNazanin"/>
          <w:color w:val="111111"/>
          <w:sz w:val="28"/>
          <w:szCs w:val="28"/>
          <w:rtl w:val="true"/>
          <w:lang w:bidi="fa-IR"/>
        </w:rPr>
        <w:t>.</w:t>
      </w:r>
    </w:p>
    <w:p>
      <w:pPr>
        <w:pStyle w:val="Heading4"/>
        <w:numPr>
          <w:ilvl w:val="3"/>
          <w:numId w:val="1"/>
        </w:numPr>
        <w:rPr/>
      </w:pPr>
      <w:bookmarkStart w:id="1127" w:name="__RefHeading___Toc2647148_3224264995"/>
      <w:bookmarkStart w:id="1128" w:name="_Toc445"/>
      <w:bookmarkEnd w:id="1127"/>
      <w:r>
        <w:rPr>
          <w:rtl w:val="true"/>
        </w:rPr>
        <w:t>[</w:t>
      </w:r>
      <w:r>
        <w:rPr>
          <w:rtl w:val="true"/>
        </w:rPr>
        <w:t>البراءة أصل فی موارد و دلیل فی أخری</w:t>
      </w:r>
      <w:r>
        <w:rPr>
          <w:rtl w:val="true"/>
        </w:rPr>
        <w:t>]</w:t>
      </w:r>
      <w:bookmarkEnd w:id="1128"/>
    </w:p>
    <w:p>
      <w:pPr>
        <w:pStyle w:val="BookText"/>
        <w:rPr/>
      </w:pPr>
      <w:r>
        <w:rPr>
          <w:rFonts w:ascii="IRNazanin" w:hAnsi="IRNazanin" w:eastAsia="IRNazanin"/>
          <w:color w:val="111111"/>
          <w:sz w:val="28"/>
          <w:sz w:val="28"/>
          <w:szCs w:val="28"/>
          <w:rtl w:val="true"/>
          <w:lang w:bidi="fa-IR"/>
        </w:rPr>
        <w:t>و علی ذلک فیظهر لک ما فی کلام الماتن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التحقیق أنّه لو فرض حصول الظنّ من الحالة السابقة فلا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فإنّه مبنیّ علی الاقتصار علی بعض أدلّة البراءة، و الإغماض عن بعض أدلّتها الآخر، بل التحقیق الجامع لمدلول الصنفین من أدلّتها أن یعتبر البراءة فی موارد عدم حصول الظنّ منها من باب الأصل، و فی موارد حصول الظنّ منها من باب الدلیل، جمعا بین مدلولی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من الاصول فی موارد عدم حصول الظنّ منها، و من الأدلّة الاجتهادیة فی موارد حصول الظنّ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بعد فی اعتبار ذات الجهتین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قوّته و ثمراته فی أکثر أبواب المعارضة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اعتبارها من باب الظنّ بعد إثبات اعتبارها من باب الأصل</w:t>
      </w:r>
      <w:r>
        <w:rPr>
          <w:rStyle w:val="FootnoteAnchor"/>
          <w:rtl w:val="true"/>
        </w:rPr>
        <w:footnoteReference w:id="421"/>
      </w:r>
      <w:r>
        <w:rPr>
          <w:rFonts w:ascii="IRNazanin" w:hAnsi="IRNazanin" w:eastAsia="IRNazanin"/>
          <w:color w:val="111111"/>
          <w:sz w:val="28"/>
          <w:sz w:val="28"/>
          <w:szCs w:val="28"/>
          <w:rtl w:val="true"/>
          <w:lang w:bidi="fa-IR"/>
        </w:rPr>
        <w:t>، فممنوع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لا حاجة إلیه فی مقابل ردّ الأخباریّة و إثبات البراءة فی الجملة، و أمّا فی باب المعارضات و نحوه فیحتاج إلیه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تقدیر اعتبارها من باب الظنّ، فهل هو من باب الظنّ النوعی، أو الفعلی؟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أیقنهما الثانی، و لکن أقواهما الأوّل، نظرا إلی ما تقدّم من دلالة بعض الأدلّة علی اعتبار البراءة فی موارد الجهل الصرف، فضلا عن موارد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سیاق جلّ الأخبار الوارد فی ذلک</w:t>
      </w:r>
      <w:r>
        <w:rPr>
          <w:rFonts w:eastAsia="IRNazanin" w:cs="IRNazanin"/>
          <w:color w:val="111111"/>
          <w:sz w:val="28"/>
          <w:szCs w:val="28"/>
          <w:rtl w:val="true"/>
          <w:lang w:bidi="fa-IR"/>
        </w:rPr>
        <w:t>».</w:t>
      </w:r>
    </w:p>
    <w:p>
      <w:pPr>
        <w:pStyle w:val="Heading4"/>
        <w:numPr>
          <w:ilvl w:val="3"/>
          <w:numId w:val="1"/>
        </w:numPr>
        <w:rPr/>
      </w:pPr>
      <w:bookmarkStart w:id="1129" w:name="__RefHeading___Toc2647150_3224264995"/>
      <w:bookmarkStart w:id="1130" w:name="_Toc446"/>
      <w:bookmarkEnd w:id="1129"/>
      <w:r>
        <w:rPr>
          <w:rtl w:val="true"/>
        </w:rPr>
        <w:t>[</w:t>
      </w:r>
      <w:r>
        <w:rPr>
          <w:rtl w:val="true"/>
        </w:rPr>
        <w:t>فی انّ أوامر الاحتیاط إرشادیة أم استحبابیة</w:t>
      </w:r>
      <w:r>
        <w:rPr>
          <w:rtl w:val="true"/>
        </w:rPr>
        <w:t>]</w:t>
      </w:r>
      <w:bookmarkEnd w:id="113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انسیاقها إلی مجرّد الإرشاد إلی ما یترتّب علی الاحتیاط من خاصّیة التأمین من مخالفة الواقع دون المطلوبیّة النفسیّة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منافاة بین انسیاقها إلی الإرشاد إلی خاصیّة التأمین من مخالفة الواقع و بین بقاء الأمر علی ما هو ظاهر فیه بعد انصراف الحقیقة من المطلوبیّة النفسیّة الّذی هو ملاک الاستحباب، و إذا انتفی المانع و المنافاة بینهما فالمقتضی للاستحباب فی أوامر الاحتیاط و هو ظهورها فی المطلوبیة النفسیّة باق علی ما کان، و لا موجب لرفع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لا منافاة بین مفاد الارشاد و الاستحباب النفسی فی أوامر الاحتیاط کذلک لا منافاة بین هذا الاستحباب و وجوب الاحتیاط فی خصوص موارد العلم الإجمالی، أو مطلق الشبهة</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قول 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من استحبابها مطلق المطلوبیّة النفسیّة المقابل لعدم المطلوبیّة رأسا، لا خصوص الاستحباب المقابل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منافاة بین القول بالارشاد المحض فی أخبار الاحتیاط و بین لزوم الاحتیاط فیها، لأنّ الإرشاد کأوامر الطبیب إلی الشی‌ء الملزم 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العلم الإجمالی بالتکلیف الملزم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الغیر الملزم غیر 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دفع المضارّ الجزئیّة و موارد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دفع هذه المنافاة أشار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حکم العقل بالاحتیاط</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الظاهر من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ظهور خصوص هذه الأخبار</w:t>
      </w:r>
      <w:r>
        <w:rPr>
          <w:rStyle w:val="FootnoteAnchor"/>
          <w:rtl w:val="true"/>
        </w:rPr>
        <w:footnoteReference w:id="424"/>
      </w:r>
      <w:r>
        <w:rPr>
          <w:rFonts w:ascii="IRNazanin" w:hAnsi="IRNazanin" w:eastAsia="IRNazanin"/>
          <w:color w:val="111111"/>
          <w:sz w:val="28"/>
          <w:sz w:val="28"/>
          <w:szCs w:val="28"/>
          <w:rtl w:val="true"/>
          <w:lang w:bidi="fa-IR"/>
        </w:rPr>
        <w:t xml:space="preserve">فی الاستحباب النفسی مع عدم الأمر فیها سوی الإرشاد إلی خصوصیّة خاصیّة التوقّف و الاحتیاط هو التحفّظ عن مخالفة الواقع و الاقتحام فیها، أنّ التحفّظ و التورّع المرشد إلیه الحاصل من </w:t>
      </w:r>
      <w:bookmarkStart w:id="1131" w:name="pg12856_162799"/>
    </w:p>
    <w:p>
      <w:pPr>
        <w:pStyle w:val="BookText"/>
        <w:rPr/>
      </w:pPr>
      <w:bookmarkEnd w:id="1131"/>
      <w:r>
        <w:rPr>
          <w:rFonts w:ascii="IRNazanin" w:hAnsi="IRNazanin" w:eastAsia="IRNazanin"/>
          <w:color w:val="111111"/>
          <w:sz w:val="28"/>
          <w:sz w:val="28"/>
          <w:szCs w:val="28"/>
          <w:rtl w:val="true"/>
          <w:lang w:bidi="fa-IR"/>
        </w:rPr>
        <w:t>الاحتیاط و التوقّف فی هذه الأخبار من أعلی مراتب التقوی و الزهد و الورع المطلوب نفسا، و المرغوب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من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المطلقة عن الارشاد إلی الخاصیّة،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أخوک دینک فاحتط لدینک ما شئت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بالحائطة لدینک</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الاحتیاط فی جمیع امورک</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یتوهّم من ذلک</w:t>
      </w:r>
      <w:r>
        <w:rPr>
          <w:rFonts w:eastAsia="IRNazanin" w:cs="IRNazanin"/>
          <w:color w:val="111111"/>
          <w:sz w:val="28"/>
          <w:szCs w:val="28"/>
          <w:rtl w:val="true"/>
          <w:lang w:bidi="fa-IR"/>
        </w:rPr>
        <w:t>».</w:t>
      </w:r>
    </w:p>
    <w:p>
      <w:pPr>
        <w:pStyle w:val="Heading4"/>
        <w:numPr>
          <w:ilvl w:val="3"/>
          <w:numId w:val="1"/>
        </w:numPr>
        <w:rPr/>
      </w:pPr>
      <w:bookmarkStart w:id="1132" w:name="__RefHeading___Toc2647152_3224264995"/>
      <w:bookmarkStart w:id="1133" w:name="_Toc447"/>
      <w:bookmarkEnd w:id="1132"/>
      <w:r>
        <w:rPr>
          <w:rtl w:val="true"/>
        </w:rPr>
        <w:t>[</w:t>
      </w:r>
      <w:r>
        <w:rPr>
          <w:rtl w:val="true"/>
        </w:rPr>
        <w:t>الاحتیاط فی محتمل الندب و الحرمة و ثمرات ذلک</w:t>
      </w:r>
      <w:r>
        <w:rPr>
          <w:rtl w:val="true"/>
        </w:rPr>
        <w:t>]</w:t>
      </w:r>
      <w:bookmarkEnd w:id="1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یتوهّم من حسن احتیاط ترک ما یحتمل الندب و الحرمة بأولویّة دفع المفسدة الملزمة للترک من جلب المصلحة الغیر الملزمة، عدم حسن الاحتیاط بفعل ما یحتمل الندب من محتمل العبادة، بل یحسن الاحتیاط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لا ینفکّ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لوجه التوهّم المنفیّ، کما أنّ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حرمة التشریع</w:t>
      </w:r>
      <w:r>
        <w:rPr>
          <w:rStyle w:val="FootnoteAnchor"/>
          <w:rtl w:val="true"/>
        </w:rPr>
        <w:footnoteReference w:id="428"/>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لنفی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التشریعیّ فی محتمل العبادة عبارة عن نفس احتمال عدم الاستحباب، فلا یقاوم احتمال وجوده المقتضی بنفسه، فضلا عن قاعدة التسامح للاحتیاط بفعله، بخلاف محتمل الحرمة بالنهی النفسی الغیر التشریعی، فإنّ الاحتیاط فیه إنّما هو بالعکس أی بالترک لا الفعل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یتفرّع علی رفع هذا التوهّم من تشخیص کون الاحتیاط بالفعل أو الترک، </w:t>
      </w:r>
    </w:p>
    <w:p>
      <w:pPr>
        <w:pStyle w:val="BookText"/>
        <w:rPr/>
      </w:pPr>
      <w:r>
        <w:rPr>
          <w:rFonts w:ascii="Amiri" w:hAnsi="Amiri" w:eastAsia="Amiri" w:cs="Amiri"/>
          <w:color w:val="111111"/>
          <w:sz w:val="28"/>
          <w:sz w:val="28"/>
          <w:szCs w:val="28"/>
          <w:rtl w:val="true"/>
          <w:lang w:bidi="ar-SA"/>
        </w:rPr>
        <w:t>فروع فقهیّة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الاحتیاط بفعل الطهارات لا بترکها، لمستصحبها فی کلّ محتمل الانتقاض بالشبهة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کالنوم و البول، و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کالمذی و المدی و الرعاف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حسن الاحتیاط بترکها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لو احتمل فیها الضرر و الإضرار، أو التبذیر و الإسراف، أو کثرة الشکّ و الوسواس، أو التعاون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الاحتیاط فی تکرار کلّ غسلة من غسلات الوضوء فی ما لو فرضنا تضعیف نصوص استحبابه سندا أو دلالة، و فرضنا عدم تمامیّة قاعدة التسامح لإثبات الاستحباب الشرعیّ النفسیّ، لکفایة حسن الاحتیاط شرعا فی استحباب تکرار الغسلات، و تثنیة کلّ غسلة من غسلات الوضوء بمجرّد احتمال استحبابه الغیر المعارض باحتمال حرمته الغیر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عدم دلالة أخبار الاحتیاط إلّا علی حسنه العقلی الغیریّ الإرشادی، و هو صرف التحفّظ عن مخالفة الواقع دون الاستحباب الشرعیّ النفسیّ، انقلب الاحتیاط فی تکرار الغسلات إلی الاحتیاط فی ترکها، لکن لا من جهة التشریع لعدم تحقّقه مع ما فی الفعل بقصد الاحتیاط، و لا من جهة احتمال حرمته النفسی لکون المفروض عدم احتماله فی تکرار الغسلة الثانیة؛ بل إنّما هو من جهة الإخلال بها فی بقاء التوالی المعتبر فی أعضاء الوضوء، أو فی بقاء بلله المعتبر فی المسح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سری الوهم فی الاحتیاط بترکها، و ترک أکثر المستحبّات الأکیدة شرعا، مع أنّهم لم یحتاطوا بالترک فی موارد کون الاحتیاط فی الترک من محتملات الحرمة، و الضرر و الإضرار، و التبذیر و الاسراف، و النجاسة و الوسوسة، </w:t>
      </w:r>
      <w:bookmarkStart w:id="1134" w:name="pg12856_162801"/>
    </w:p>
    <w:p>
      <w:pPr>
        <w:pStyle w:val="BookText"/>
        <w:rPr/>
      </w:pPr>
      <w:bookmarkEnd w:id="1134"/>
      <w:r>
        <w:rPr>
          <w:rFonts w:ascii="IRNazanin" w:hAnsi="IRNazanin" w:eastAsia="IRNazanin"/>
          <w:color w:val="111111"/>
          <w:sz w:val="28"/>
          <w:sz w:val="28"/>
          <w:szCs w:val="28"/>
          <w:rtl w:val="true"/>
          <w:lang w:bidi="fa-IR"/>
        </w:rPr>
        <w:t>حتّی فی مثل اللحوم و 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الاحتیاط فی الفعل، لا الترک،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 العیدین، و الغفیلة، و الوتیرة للمسافر، و التطوّع فی وقت الفریضة، فی ما لو فرضنا استضعاف نصوصها سندا أو دلالة، و لم نتمّم قاعدة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التراوح، و محتمل الحیضة، و کثیر الشک، و الوسوسة، و المزاحمة لضیق الوقت، و القضاء، أو تفویت واجب، أو أداء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الاحتیاط فی کل مشکوک الفعل، من أجزاء الصلاة و شروطها هو الفعل، و فی عدد رکعاتها هو الترک، لما فی اعدادها من احتمال حرمة الفعل دون اجزائها و شروطها، إلّا إذا استند الشک فیها إلی محتمل الحرمة، کالوسوسة و کثرة الشک، و الضرر و الاضرار، و المزاحمة لضیق الوقت، أو أداء الدّین، فینعکس الاحتیاط فیها بالترک لا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الاحتیاط فی جمیع المناسک هو الفعل، و فی الأشواط هو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الرخصة، فتأمّل</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2647154_3224264995"/>
      <w:bookmarkStart w:id="1136" w:name="_Toc448"/>
      <w:bookmarkEnd w:id="1135"/>
      <w:r>
        <w:rPr>
          <w:rtl w:val="true"/>
        </w:rPr>
        <w:t>[</w:t>
      </w:r>
      <w:r>
        <w:rPr>
          <w:rtl w:val="true"/>
        </w:rPr>
        <w:t>دراسة الحرمة الظاهریة و الحرمة الواقعیة المنسوبتین إلی الاخباریة فی الشبهة التحریمیة</w:t>
      </w:r>
      <w:r>
        <w:rPr>
          <w:rtl w:val="true"/>
        </w:rPr>
        <w:t>]</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ظاهر لظهور عدم المنافاة بین الاباحة الواقعیّة و الحرمة، من حیث کون الشی‌ء مجهول الحکم فی الظاهر، و من حیث کون الحرام الظاهری حرام واقعی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معناها أنّ المشتبه حرام واقعا، بل معناه أنّه لیس فیه إلّا الحرام الواقعیّ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أنّ اتّصاف الحرام فی کلّ من الوجوه السابقة إنّما هو من قبیل الوصف بحال نفسه حقیقة، و فی هذا الوجه من قبیل الوصف بحال متعلّقه مجازا، أی واقعی غایته المترتّبة علیه لا نفسه، بمعنی أنّه حرام ظاهری فی </w:t>
      </w:r>
      <w:bookmarkStart w:id="1137" w:name="pg12856_162802"/>
    </w:p>
    <w:p>
      <w:pPr>
        <w:pStyle w:val="BookText"/>
        <w:rPr/>
      </w:pPr>
      <w:bookmarkEnd w:id="1137"/>
      <w:r>
        <w:rPr>
          <w:rFonts w:ascii="IRNazanin" w:hAnsi="IRNazanin" w:eastAsia="IRNazanin"/>
          <w:color w:val="111111"/>
          <w:sz w:val="28"/>
          <w:sz w:val="28"/>
          <w:szCs w:val="28"/>
          <w:rtl w:val="true"/>
          <w:lang w:bidi="fa-IR"/>
        </w:rPr>
        <w:t xml:space="preserve">نفسه، إلّا أنّ الغایة المترتّبة علیه تحصیل الواقع حرام واقعی، یعنی ترک الاحتیاط حرام واقعی،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بل بسببیّته، و بموصلیّته إلی الحرام الواقعی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الاباحة فی مشتبه الحکم إنّما هو مع عدم أصل موضوعی</w:t>
      </w:r>
      <w:r>
        <w:rPr>
          <w:rFonts w:eastAsia="IRNazanin" w:cs="IRNazanin"/>
          <w:color w:val="111111"/>
          <w:sz w:val="28"/>
          <w:szCs w:val="28"/>
          <w:rtl w:val="true"/>
          <w:lang w:bidi="fa-IR"/>
        </w:rPr>
        <w:t>».</w:t>
      </w:r>
    </w:p>
    <w:p>
      <w:pPr>
        <w:pStyle w:val="Heading4"/>
        <w:numPr>
          <w:ilvl w:val="3"/>
          <w:numId w:val="1"/>
        </w:numPr>
        <w:rPr/>
      </w:pPr>
      <w:bookmarkStart w:id="1138" w:name="__RefHeading___Toc2647156_3224264995"/>
      <w:bookmarkStart w:id="1139" w:name="_Toc449"/>
      <w:bookmarkEnd w:id="1138"/>
      <w:r>
        <w:rPr>
          <w:rtl w:val="true"/>
        </w:rPr>
        <w:t>[</w:t>
      </w:r>
      <w:r>
        <w:rPr>
          <w:rtl w:val="true"/>
        </w:rPr>
        <w:t>اعتبار عدم أصل حاکم فی جریان أصل الاباحة</w:t>
      </w:r>
      <w:r>
        <w:rPr>
          <w:rtl w:val="true"/>
        </w:rPr>
        <w:t>]</w:t>
      </w:r>
      <w:bookmarkEnd w:id="11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هذا الحکم بین أن یکون موضوعه، و هو مشتبه الحکم من قبیل الشبهة الموضوعیّة، کمشکوک التذکیة و عدمها من اللحوم، أم من قبیل الشبهة الحکمیّة، کمشکوک الحکم من الحیوان المتولّد من طاهر و نجس، لا یتبعهما فی الإسم، و لیس له 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بین أن یکون الأصل الحاکم علی الإباحة مخالفا لها، کأصالة عدم التذکیة فی مشکوک التذکیة بناء علی أنّ التذکیة أمر وجودیّ، و الأصل عدمه عند الشکّ فیثبت الحرمة، أم موافقا لها کأصالة عدم الموت حتف الأنف بناء علی أنّ الموت أمر وجودیّ، و الأصل عند الشکّ عدمه فتثبت الحلّیّة</w:t>
      </w:r>
      <w:r>
        <w:rPr>
          <w:rFonts w:eastAsia="IRNazanin" w:cs="IRNazanin"/>
          <w:color w:val="111111"/>
          <w:sz w:val="28"/>
          <w:szCs w:val="28"/>
          <w:rtl w:val="true"/>
          <w:lang w:bidi="fa-IR"/>
        </w:rPr>
        <w:t>.</w:t>
      </w:r>
    </w:p>
    <w:p>
      <w:pPr>
        <w:pStyle w:val="Heading4"/>
        <w:numPr>
          <w:ilvl w:val="3"/>
          <w:numId w:val="1"/>
        </w:numPr>
        <w:rPr/>
      </w:pPr>
      <w:bookmarkStart w:id="1140" w:name="__RefHeading___Toc2647158_3224264995"/>
      <w:bookmarkStart w:id="1141" w:name="_Toc450"/>
      <w:bookmarkEnd w:id="1140"/>
      <w:r>
        <w:rPr>
          <w:rtl w:val="true"/>
        </w:rPr>
        <w:t>[</w:t>
      </w:r>
      <w:r>
        <w:rPr>
          <w:rtl w:val="true"/>
        </w:rPr>
        <w:t>الأصل فی مشکوک التذکیة</w:t>
      </w:r>
      <w:r>
        <w:rPr>
          <w:rtl w:val="true"/>
        </w:rPr>
        <w:t>]</w:t>
      </w:r>
      <w:bookmarkEnd w:id="1141"/>
    </w:p>
    <w:p>
      <w:pPr>
        <w:pStyle w:val="BookText"/>
        <w:rPr/>
      </w:pPr>
      <w:r>
        <w:rPr>
          <w:rFonts w:ascii="IRNazanin" w:hAnsi="IRNazanin" w:eastAsia="IRNazanin"/>
          <w:color w:val="111111"/>
          <w:sz w:val="28"/>
          <w:sz w:val="28"/>
          <w:szCs w:val="28"/>
          <w:rtl w:val="true"/>
          <w:lang w:bidi="fa-IR"/>
        </w:rPr>
        <w:t>اللّهمّ إلّا أن یکون الأصل الموضوعیّ المفروض حکومته علی أصل الإباحة معارضا بمثله، فتسلم الإباحة حینئذ عن المحکومیّة، فتعود المرجعیة إلیها، کما لو بنی علی أنّ کلّا من التذکیة و الموت أمر وجودیّ، فیعارض أصالة عدم التذکیة بأصالة عدم الموت، فیتساقطان و یرجع إلی أصل الإباحة فی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المشرب المحکیّ عن العلماء فی مثل مشکوک التذکیة من الشبهات الموضوعیّة مختلف علی وجوه ثلاثة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إمّا أن یفرض عنوان الحلّیة فی لحوم الحیوان هو التذکیة، نظرا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ذَکَّیْتُمْ</w:t>
      </w:r>
      <w:r>
        <w:rPr>
          <w:rStyle w:val="FootnoteAnchor"/>
          <w:rtl w:val="true"/>
        </w:rPr>
        <w:footnoteReference w:id="429"/>
      </w:r>
      <w:r>
        <w:rPr>
          <w:rFonts w:ascii="IRNazanin" w:hAnsi="IRNazanin" w:eastAsia="IRNazanin"/>
          <w:color w:val="111111"/>
          <w:sz w:val="28"/>
          <w:sz w:val="28"/>
          <w:szCs w:val="28"/>
          <w:rtl w:val="true"/>
          <w:lang w:bidi="fa-IR"/>
        </w:rPr>
        <w:t xml:space="preserve">و یفرض التذکیة أمرا وجودیا، نظرا إلی أنّ التذکیة عبارة عن فری الأوداج الأربعة مع الشرائط المقرّرة من إسلام الذابح، و استقبال </w:t>
      </w:r>
      <w:bookmarkStart w:id="1142" w:name="pg12856_162803"/>
    </w:p>
    <w:p>
      <w:pPr>
        <w:pStyle w:val="BookText"/>
        <w:rPr/>
      </w:pPr>
      <w:bookmarkEnd w:id="1142"/>
      <w:r>
        <w:rPr>
          <w:rFonts w:ascii="IRNazanin" w:hAnsi="IRNazanin" w:eastAsia="IRNazanin"/>
          <w:color w:val="111111"/>
          <w:sz w:val="28"/>
          <w:sz w:val="28"/>
          <w:szCs w:val="28"/>
          <w:rtl w:val="true"/>
          <w:lang w:bidi="fa-IR"/>
        </w:rPr>
        <w:t>القبلة، و التسمیة،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الوجودیّ المسبوق بالعدم العدم، فیثبت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یفرض عنوان الحرمة هو المیتة، و هو أمر وجودیّ إذا شکّ فیها کان الأصل عدمها بخلاف الحلّیّة، نظرا إلی أنّه لا عنوان لها، و إن ذکر التذکیة عنوانا لها من باب المثال و العدول عن الشی‌ء إلی بعض أضداده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یفرض کلّ من المیتة و التذکیة عنوانا لحکم من الحرمة و الحلّیّة، و فرض کلّ منهما أمرا وجودیّا فیتعارض أصالة عدم کلّ منهما بأصالة عدم الآخر، کتعارض أصالة عدم کلّ من الضدّین الوجودیین بأصالة عدم الآخر، فتسلم أصالة الإباحة حینئذ عن الأصل الموضوعیّ الحاکم علیه لابتلاء ذلک الحاکم بمعارض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الأصل الحاکم علی الإباحة فی الفرض الأوّل هو أصالة عدم التذکیة المقتضیة لحرمة المشکوک، و فی الفرض الثانی هو أصالة عدم الموت حتف الأنف المقتضیة لحلّیّة المشکوک، کما أنّه فی الفرض الثالث لا حاکم علی أصل الإباحة بل هو المحکم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فیه تأمّل، بل منع، فإنّ عدم التذکیة علی تقدیر کونها وجودیّة شرط و سبب مستقلّ للحرمة فی عرض سببیّة الموت، بخلاف عدم الموت، فإنّه علی هذا التقدیر لیس شرطا و سببا مستقلا للحلّیّة حتی یتعارضان، فإذا انتفت المعارضة بینهما سلمت حکومة أصالة عدم التذکیة علی أصالة الإباحة لتقدّم الأصل الموضوعی علی الحکمی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حکومة الأصل الموضوعی علی أصل الاباحة فی الشبهة الموضوعیة</w:t>
      </w:r>
      <w:r>
        <w:rPr>
          <w:rFonts w:eastAsia="IRNazanin" w:cs="IRNazanin"/>
          <w:color w:val="111111"/>
          <w:sz w:val="28"/>
          <w:szCs w:val="28"/>
          <w:rtl w:val="true"/>
          <w:lang w:bidi="fa-IR"/>
        </w:rPr>
        <w:t>.</w:t>
      </w:r>
    </w:p>
    <w:p>
      <w:pPr>
        <w:pStyle w:val="Heading4"/>
        <w:numPr>
          <w:ilvl w:val="3"/>
          <w:numId w:val="1"/>
        </w:numPr>
        <w:rPr/>
      </w:pPr>
      <w:bookmarkStart w:id="1143" w:name="__RefHeading___Toc2647160_3224264995"/>
      <w:bookmarkStart w:id="1144" w:name="_Toc451"/>
      <w:bookmarkEnd w:id="1143"/>
      <w:r>
        <w:rPr>
          <w:rtl w:val="true"/>
        </w:rPr>
        <w:t>[</w:t>
      </w:r>
      <w:r>
        <w:rPr>
          <w:rtl w:val="true"/>
        </w:rPr>
        <w:t>الحیوان المتولّد من طاهر و نجس لا یتبعهما فی الاسم</w:t>
      </w:r>
      <w:r>
        <w:rPr>
          <w:rtl w:val="true"/>
        </w:rPr>
        <w:t>]</w:t>
      </w:r>
      <w:bookmarkEnd w:id="114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الشبهة الحکمیة، کالحیوان المتولّد من طاهر و نجس لا یتبعهما فی الإسم، فالبیان البیان أیضا بتقریب أنّه إن فرض عنوان المحلّل بقوله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أُحِلَّ لَکُمُ الطَّیِّباتُ</w:t>
      </w:r>
      <w:r>
        <w:rPr>
          <w:rStyle w:val="FootnoteAnchor"/>
          <w:rtl w:val="true"/>
        </w:rPr>
        <w:footnoteReference w:id="430"/>
      </w:r>
      <w:r>
        <w:rPr>
          <w:rFonts w:ascii="IRNazanin" w:hAnsi="IRNazanin" w:eastAsia="IRNazanin"/>
          <w:color w:val="111111"/>
          <w:sz w:val="28"/>
          <w:sz w:val="28"/>
          <w:szCs w:val="28"/>
          <w:rtl w:val="true"/>
          <w:lang w:bidi="fa-IR"/>
        </w:rPr>
        <w:t>و نحوه أمرا وجودیّا دون عنوان المحرّم، کان أصالة عدم الطیب حاکما علی أصالة الحل، کحکومة أصالة عدم التذکیة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فرض عنوان المحرّم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عَلَیْهِمُ الْخَبائِثَ</w:t>
      </w:r>
      <w:r>
        <w:rPr>
          <w:rStyle w:val="FootnoteAnchor"/>
          <w:rtl w:val="true"/>
        </w:rPr>
        <w:footnoteReference w:id="431"/>
      </w:r>
      <w:r>
        <w:rPr>
          <w:rFonts w:ascii="IRNazanin" w:hAnsi="IRNazanin" w:eastAsia="IRNazanin"/>
          <w:color w:val="111111"/>
          <w:sz w:val="28"/>
          <w:sz w:val="28"/>
          <w:szCs w:val="28"/>
          <w:rtl w:val="true"/>
          <w:lang w:bidi="fa-IR"/>
        </w:rPr>
        <w:t>و نحوه أمرا وجودیّا دون عنوان المحلّل، کان أصالة عدم الخباثة حاکما علی أصل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اتّحد مقتضاهما، و إن فرض کلّ من عنوانی المحرّم و المحلّل وجودیّا کان أصالة عدم کلّ منهما معارضا بأصالة عدم الآخر، و تساقطا، و سلم أصالة الإباحة منهما، فیرجع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قرّره الاستاد فی المباحث السابقة و لکن عدل عنه أخیرا بما عرفت من منع المعارضة فی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الماتن</w:t>
      </w:r>
      <w:r>
        <w:rPr>
          <w:rStyle w:val="FootnoteAnchor"/>
          <w:rtl w:val="true"/>
        </w:rPr>
        <w:footnoteReference w:id="432"/>
      </w:r>
      <w:r>
        <w:rPr>
          <w:rFonts w:ascii="Amiri" w:hAnsi="Amiri" w:eastAsia="Amiri" w:cs="Amiri"/>
          <w:color w:val="111111"/>
          <w:sz w:val="28"/>
          <w:sz w:val="28"/>
          <w:szCs w:val="28"/>
          <w:rtl w:val="true"/>
          <w:lang w:bidi="ar-SA"/>
        </w:rPr>
        <w:t>عن المحقّق</w:t>
      </w:r>
      <w:r>
        <w:rPr>
          <w:rStyle w:val="FootnoteAnchor"/>
          <w:rtl w:val="true"/>
        </w:rPr>
        <w:footnoteReference w:id="433"/>
      </w:r>
      <w:r>
        <w:rPr>
          <w:rFonts w:ascii="IRNazanin" w:hAnsi="IRNazanin" w:eastAsia="IRNazanin"/>
          <w:color w:val="111111"/>
          <w:sz w:val="28"/>
          <w:sz w:val="28"/>
          <w:szCs w:val="28"/>
          <w:rtl w:val="true"/>
          <w:lang w:bidi="fa-IR"/>
        </w:rPr>
        <w:t>و الشهید</w:t>
      </w:r>
      <w:r>
        <w:rPr>
          <w:rStyle w:val="FootnoteAnchor"/>
          <w:rtl w:val="true"/>
        </w:rPr>
        <w:footnoteReference w:id="434"/>
      </w:r>
      <w:r>
        <w:rPr>
          <w:rFonts w:ascii="IRNazanin" w:hAnsi="IRNazanin" w:eastAsia="IRNazanin"/>
          <w:color w:val="111111"/>
          <w:sz w:val="28"/>
          <w:sz w:val="28"/>
          <w:szCs w:val="28"/>
          <w:rtl w:val="true"/>
          <w:lang w:bidi="fa-IR"/>
        </w:rPr>
        <w:t>الثانیین من أنّ الحیوان المتولّد من طاهر و نجس، لا یتبعهما فی الإسم، و لیس له مماثل، الأصل فیه الطهارة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إطلاقه من نظر و منع، و ذلک لأنّه إن کان الوجه فی حرمته أصالة عدم التذکیة،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إن ارید من الأصل الأصل العملی و هو الاستصحاب، فإنّما یحسن مع الشکّ فی تحقّق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قبیل الشکّ فی قبول التذکیة بعد إحراز تحقّقها أعنی الشبهة الحکمیّة بعد إحراز الموضوع</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منه الأصل اللفظیّ، فإنّما یحسن مع الشکّ فی قبول التذکیة، و وجود عموم یدلّ علی عدم جواز التذکیة کلّ حیوان إلّا ما أخرجه الدلیل، و هو غیر موجود، بل الموجود فی الأدلّة عکسه، أعنی وجود عموم یدلّ علی جواز تذکیة کلّ حیوان إلّا ما أخرجه الدلیل، و ذلک لأنّ فی أصالة جواز تذکیة کلّ </w:t>
      </w:r>
    </w:p>
    <w:p>
      <w:pPr>
        <w:pStyle w:val="BookText"/>
        <w:rPr/>
      </w:pPr>
      <w:r>
        <w:rPr>
          <w:rFonts w:ascii="IRNazanin" w:hAnsi="IRNazanin" w:eastAsia="IRNazanin"/>
          <w:color w:val="111111"/>
          <w:sz w:val="28"/>
          <w:sz w:val="28"/>
          <w:szCs w:val="28"/>
          <w:rtl w:val="true"/>
          <w:lang w:bidi="fa-IR"/>
        </w:rPr>
        <w:t>حیوان إلّا ما أخرجه الدلیل أو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وجهان مبنیّان علی إطلاق المستثنی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ذَکَّیْتُمْ</w:t>
      </w:r>
      <w:r>
        <w:rPr>
          <w:rStyle w:val="FootnoteAnchor"/>
          <w:rtl w:val="true"/>
        </w:rPr>
        <w:footnoteReference w:id="435"/>
      </w:r>
      <w:r>
        <w:rPr>
          <w:rFonts w:ascii="IRNazanin" w:hAnsi="IRNazanin" w:eastAsia="IRNazanin"/>
          <w:color w:val="111111"/>
          <w:sz w:val="28"/>
          <w:sz w:val="28"/>
          <w:szCs w:val="28"/>
          <w:rtl w:val="true"/>
          <w:lang w:bidi="fa-IR"/>
        </w:rPr>
        <w:t>أی کلّما ذبحتم بشرائطه المقرّرة له، من استقبال و نحوه، سواء ثبت قابلیّته للتذکیة أم لم یثبت، أو عدم إطلاقه لما لم یثبت قابلیّته للتذکیة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عموم یدلّ علی جواز تذکیة کلّ حیوان إلّا ما أخرجه الدلیل و عدمه مبنیّ علی ثبوت الحقیقة الشرعیّة فی التذکیة حتی لا یجوز التمسّک بعمومها و عدم ثبوتها حتّی یجوز التمسّک بعمومها المقتضی جواز تذکیة کلّ حیوان إلّا ما أخرجه الدلیل، إلّا أنّ الظاهر و الأصل عدم ثبوت الحقیقة الشرعیّة فی التذکیة و بقاؤها فی المعنی اللغویّ، و هو الذبح، أو ما فی حکمه، و خروج الشروط الشرعیّة المعتبرة فیه عن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سلّمنا و تنزّلنا عن عموم التذکیة، و بنینا علی إهمالها و إجمالها من حیث العموم و عدمه، فمجرّد الشکّ فی قابلیة التذکیة و مجری أصالة عدم التذکیة لا یثبت حرمة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الحالة السابقة لعدم قابلیة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ترتّب الوجود علی 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ترتّب العناوین الموجودة للمحرّمات من المیتة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أصالة العدم، لکون الأصل فی مثله مثبتا، فیعود المرجعیة إلی أصالة الإباحة و الحلّیّة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أنّه إن کان الوجه فی أصالة حرمة اللحوم هو أصالة عدم التذکیة فهو غیر وجیه لما عرفت من أنّ کلّا من الأصل العملی و اللفظی هو جواز التذکیة کلّ حیوان إلّا ما أخرجه الدلیل، و حلّیّة کلّ لحکم إلّا ما أخرجه الدلیل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الوجه هو أصالة الحرمة فی اللحوم،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کون الأصل فی </w:t>
      </w:r>
    </w:p>
    <w:p>
      <w:pPr>
        <w:pStyle w:val="BookText"/>
        <w:rPr/>
      </w:pPr>
      <w:r>
        <w:rPr>
          <w:rFonts w:ascii="IRNazanin" w:hAnsi="IRNazanin" w:eastAsia="IRNazanin"/>
          <w:color w:val="111111"/>
          <w:sz w:val="28"/>
          <w:sz w:val="28"/>
          <w:szCs w:val="28"/>
          <w:rtl w:val="true"/>
          <w:lang w:bidi="fa-IR"/>
        </w:rPr>
        <w:t>اللحوم الحرمة أو الحلّیّة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 السَّبُعُ إِلَّا ما ذَکَّیْتُمْ</w:t>
      </w:r>
      <w:r>
        <w:rPr>
          <w:rStyle w:val="FootnoteAnchor"/>
          <w:rtl w:val="true"/>
        </w:rPr>
        <w:footnoteReference w:id="436"/>
      </w:r>
      <w:r>
        <w:rPr>
          <w:rFonts w:ascii="IRNazanin" w:hAnsi="IRNazanin" w:eastAsia="IRNazanin"/>
          <w:color w:val="111111"/>
          <w:sz w:val="28"/>
          <w:sz w:val="28"/>
          <w:szCs w:val="28"/>
          <w:rtl w:val="true"/>
          <w:lang w:bidi="fa-IR"/>
        </w:rPr>
        <w:t>فی تخصیص عموم الحرمة باستثناء المذکّی الواقعی، فما لم یعلم تذکیته لم یعلم استثناؤه و خروجه، فهو باق تحت أصالة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فِی ما أُوحِیَ إِلَیَّ مُحَرَّماً عَلی طاعِمٍ یَطْعَمُهُ إِلَّا أَنْ یَکُونَ مَیْتَةً</w:t>
      </w:r>
      <w:r>
        <w:rPr>
          <w:rStyle w:val="FootnoteAnchor"/>
          <w:rtl w:val="true"/>
        </w:rPr>
        <w:footnoteReference w:id="437"/>
      </w:r>
      <w:r>
        <w:rPr>
          <w:rFonts w:ascii="IRNazanin" w:hAnsi="IRNazanin" w:eastAsia="IRNazanin"/>
          <w:color w:val="111111"/>
          <w:sz w:val="28"/>
          <w:sz w:val="28"/>
          <w:szCs w:val="28"/>
          <w:rtl w:val="true"/>
          <w:lang w:bidi="fa-IR"/>
        </w:rPr>
        <w:t xml:space="preserve">الآیة، فی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المیتة الواقعیة، فما لم یعلم کونه میتة لم یعلم استثناؤه و خروجه، فهو باق تحت أصالة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مرجعیّة العموم و حکومته علی إجمال مخصّصه، و لو کان الإجمال فی مصداق المخصّص لا مفهومه إلّا أنّ فی صحّة هذا المبنی نظر،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صحّته، فالأظهر حکومة أصالة الحرمة و عموم الآیة الأولی علی أصالة الحلّیّة المستفادة من الآیة الثانیة، و ذلک لأنّ الحصر المستفاد من الآیة الثانیة حصر إضافی لا حقیقی حتّی یؤخذ بعمومه، و إلّا للزم التخصیص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مقتضی الأصل اللفظی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مقتضی الأصل العملی فإن فرضنا کون المیتة الّتی هی موضوع النجاسة و الحرمة عبارة عمّا لم یذکّ حیوانه، أو لم یذکر اسم اللّه علیه، کما لو فرضنا حرمة أکل الحیوان الحیّ، و کون التذکیة سببا لحلّیّته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بعض أساتیدنا الاتّفاق عن شیخه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الأصل العملی عند الشکّ هو الحرمة لأنّه من قبیل الشکّ فی رافعیّة الموجود، و الأصل عندنا عدمه</w:t>
      </w:r>
      <w:r>
        <w:rPr>
          <w:rFonts w:eastAsia="IRNazanin" w:cs="IRNazanin"/>
          <w:color w:val="111111"/>
          <w:sz w:val="28"/>
          <w:szCs w:val="28"/>
          <w:rtl w:val="true"/>
          <w:lang w:bidi="fa-IR"/>
        </w:rPr>
        <w:t xml:space="preserve">. </w:t>
      </w:r>
      <w:bookmarkStart w:id="1145" w:name="pg12856_162807"/>
    </w:p>
    <w:p>
      <w:pPr>
        <w:pStyle w:val="BookText"/>
        <w:rPr/>
      </w:pPr>
      <w:bookmarkEnd w:id="1145"/>
      <w:r>
        <w:rPr>
          <w:rFonts w:ascii="IRNazanin" w:hAnsi="IRNazanin" w:eastAsia="IRNazanin"/>
          <w:color w:val="111111"/>
          <w:sz w:val="28"/>
          <w:sz w:val="28"/>
          <w:szCs w:val="28"/>
          <w:rtl w:val="true"/>
          <w:lang w:bidi="fa-IR"/>
        </w:rPr>
        <w:t>فإن أورد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عدم التذکیة حینئذ معارض بمثله، و هو أصالة عدم الموت حتف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مثبت لموضوع المیتة، و الأصل المثبت غیر حجّة عندنا</w:t>
      </w:r>
      <w:r>
        <w:rPr>
          <w:rFonts w:eastAsia="IRNazanin" w:cs="IRNazanin"/>
          <w:color w:val="111111"/>
          <w:sz w:val="28"/>
          <w:szCs w:val="28"/>
          <w:rtl w:val="true"/>
          <w:lang w:bidi="fa-IR"/>
        </w:rPr>
        <w:t>.</w:t>
      </w:r>
    </w:p>
    <w:p>
      <w:pPr>
        <w:pStyle w:val="Heading4"/>
        <w:numPr>
          <w:ilvl w:val="3"/>
          <w:numId w:val="1"/>
        </w:numPr>
        <w:rPr/>
      </w:pPr>
      <w:bookmarkStart w:id="1146" w:name="__RefHeading___Toc2647162_3224264995"/>
      <w:bookmarkStart w:id="1147" w:name="_Toc452"/>
      <w:bookmarkEnd w:id="1146"/>
      <w:r>
        <w:rPr>
          <w:rtl w:val="true"/>
        </w:rPr>
        <w:t>[</w:t>
      </w:r>
      <w:r>
        <w:rPr>
          <w:rtl w:val="true"/>
        </w:rPr>
        <w:t>حکومة الأصل السببی علی الأصل المسبّبی</w:t>
      </w:r>
      <w:r>
        <w:rPr>
          <w:rtl w:val="true"/>
        </w:rPr>
        <w:t>]</w:t>
      </w:r>
      <w:bookmarkEnd w:id="1147"/>
    </w:p>
    <w:p>
      <w:pPr>
        <w:pStyle w:val="BookText"/>
        <w:rPr/>
      </w:pPr>
      <w:r>
        <w:rPr>
          <w:rFonts w:ascii="IRNazanin" w:hAnsi="IRNazanin" w:eastAsia="IRNazanin"/>
          <w:color w:val="111111"/>
          <w:sz w:val="28"/>
          <w:sz w:val="28"/>
          <w:szCs w:val="28"/>
          <w:rtl w:val="true"/>
          <w:lang w:bidi="fa-IR"/>
        </w:rPr>
        <w:t>فقد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 فبابتناء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المیتة کالتذکیة أمرا وجودیا، و أمّا علی تقدیر کونه عدمیّا عبارة عن عدم التذکیة، کما هو مفروض الکلام، فأصالة عدم التذکیة حاکم علی أصالة عدم الحرمة، و مزیل لأصالة عدم الموت من قبیل حکومة الأصل فی الشکّ السببی علی الأصل فی الشکّ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الأصل فی الشکّ السببی علی الأصل فی الشکّ المسبّبی مبنیّ علی مذهب جماعة، و أمّا علی مذهب آخرین فهو معارض إن لم یکن محکوما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المبتنی علی مذهب جماعة تقدیمه هو الأصل الجاری فی الحکم، کاستصحاب نجاسة الثوب المغسول بمشکوک الکرّیة، حیث إنّ الشکّ فی نجاسة مشکوک الکرّیة مسبّب عن الشکّ فی نجاسة الثوب المغسول به، بخلاف الشکّ فی نجاسة الثوب، فإنّه غیر مسبّب عن الشکّ فی کرّیة المغسول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الأصل السببی المزیل الجاری فی الموضوع فلا خلاف فی حکومته علی الأصل فی مسبّبه،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فبمنع مثبتیّة أصالة عدم التذکیة لموضوع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فکمنع مثبتیّة أصالة عدم الدّین لموضوع وجوب الحجّ، و هو الاستطاعة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الأصل المثبت المختلف فی حجّیّته إنّما هو الأصل المقتضی لموضوع غیر شرعیّ، کأصالة عدم جفاف بلل النجاسة المقتضی </w:t>
      </w:r>
      <w:bookmarkStart w:id="1148" w:name="pg12856_162808"/>
    </w:p>
    <w:p>
      <w:pPr>
        <w:pStyle w:val="BookText"/>
        <w:rPr/>
      </w:pPr>
      <w:bookmarkEnd w:id="1148"/>
      <w:r>
        <w:rPr>
          <w:rFonts w:ascii="IRNazanin" w:hAnsi="IRNazanin" w:eastAsia="IRNazanin"/>
          <w:color w:val="111111"/>
          <w:sz w:val="28"/>
          <w:sz w:val="28"/>
          <w:szCs w:val="28"/>
          <w:rtl w:val="true"/>
          <w:lang w:bidi="fa-IR"/>
        </w:rPr>
        <w:t>لموضوع نجاسة ملاقیه و هو تبلّل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الأصل المقتضی رفع المانع عن الموضوع کأصالة عدم الدّین المانع من تحقّق الاستطاعة، و أصالة عدم التذکیة المانع من تحقّق الموت فلا خلاف و لا ریب فی اعتباره و حجّیّته</w:t>
      </w:r>
      <w:r>
        <w:rPr>
          <w:rFonts w:eastAsia="IRNazanin" w:cs="IRNazanin"/>
          <w:color w:val="111111"/>
          <w:sz w:val="28"/>
          <w:szCs w:val="28"/>
          <w:rtl w:val="true"/>
          <w:lang w:bidi="fa-IR"/>
        </w:rPr>
        <w:t>.</w:t>
      </w:r>
    </w:p>
    <w:p>
      <w:pPr>
        <w:pStyle w:val="Heading4"/>
        <w:numPr>
          <w:ilvl w:val="3"/>
          <w:numId w:val="1"/>
        </w:numPr>
        <w:rPr/>
      </w:pPr>
      <w:bookmarkStart w:id="1149" w:name="__RefHeading___Toc2647164_3224264995"/>
      <w:bookmarkStart w:id="1150" w:name="_Toc453"/>
      <w:bookmarkEnd w:id="1149"/>
      <w:r>
        <w:rPr>
          <w:rtl w:val="true"/>
        </w:rPr>
        <w:t>[</w:t>
      </w:r>
      <w:r>
        <w:rPr>
          <w:rtl w:val="true"/>
        </w:rPr>
        <w:t>أکل الحیوان الحیّ</w:t>
      </w:r>
      <w:r>
        <w:rPr>
          <w:rtl w:val="true"/>
        </w:rPr>
        <w:t>]</w:t>
      </w:r>
      <w:bookmarkEnd w:id="1150"/>
    </w:p>
    <w:p>
      <w:pPr>
        <w:pStyle w:val="BookText"/>
        <w:rPr/>
      </w:pPr>
      <w:r>
        <w:rPr>
          <w:rFonts w:ascii="IRNazanin" w:hAnsi="IRNazanin" w:eastAsia="IRNazanin"/>
          <w:color w:val="111111"/>
          <w:sz w:val="28"/>
          <w:sz w:val="28"/>
          <w:szCs w:val="28"/>
          <w:rtl w:val="true"/>
          <w:lang w:bidi="fa-IR"/>
        </w:rPr>
        <w:t>و إن فرضنا کون المیتة عبارة عمّا زهق روحه بحتف الأنف، کما لو فرضنا حلّیّة أکل الحیوان الحیّ کطهارته، و کون الموت حتف الأنف سببا لحرمته، کما هو سبب لنجاسته، کان مقتضی الأصل عند الشکّ هو حلّیّته و طهارته، لأنّه من قبیل الشکّ فی رافعیّة الموجود، و الأصل عندنا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عرفت ورود نقل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أکل الحیوان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موت الحیوان عند أکله و علسه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ما أمکن بلعه حیّا، کالعصافیر الصغار و ما یشبهها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الإجماع علی حرمة بلع الحیوان الحیّ لو سلّم هو اشتماله علی الأجزاء المحرّمة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نهوض أدلّة حرمة الجزء المحرّم من الحیوان إلی حرمة أکل المشتمل علی ذلک الجزء، و صدق أکل الجزء المحرّم علی أکل المشتمل علی ذلک الجزء إشکال، مضافا إلی إشکال الحکم بتحریم ما یحرم من الحیوان الکبار فی الحیوان الصغار الغیر المتمیّز فیها الجزء المحرّم عن غیره لاستلزامه تحریم جمیعه أو أکثره للاشتباه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استجود الشهید فی الرّوضة</w:t>
      </w:r>
      <w:r>
        <w:rPr>
          <w:rStyle w:val="FootnoteAnchor"/>
          <w:rtl w:val="true"/>
        </w:rPr>
        <w:footnoteReference w:id="439"/>
      </w:r>
      <w:r>
        <w:rPr>
          <w:rFonts w:ascii="IRNazanin" w:hAnsi="IRNazanin" w:eastAsia="IRNazanin"/>
          <w:color w:val="111111"/>
          <w:sz w:val="28"/>
          <w:sz w:val="28"/>
          <w:szCs w:val="28"/>
          <w:rtl w:val="true"/>
          <w:lang w:bidi="fa-IR"/>
        </w:rPr>
        <w:t>اختصاص حکم التحریم بالنعم و نحوها من الحیوان الوحشی دون العصفور و ما أشبهه</w:t>
      </w:r>
      <w:r>
        <w:rPr>
          <w:rFonts w:eastAsia="IRNazanin" w:cs="IRNazanin"/>
          <w:color w:val="111111"/>
          <w:sz w:val="28"/>
          <w:szCs w:val="28"/>
          <w:rtl w:val="true"/>
          <w:lang w:bidi="fa-IR"/>
        </w:rPr>
        <w:t xml:space="preserve">. </w:t>
      </w:r>
      <w:bookmarkStart w:id="1151" w:name="pg12856_162809"/>
    </w:p>
    <w:p>
      <w:pPr>
        <w:pStyle w:val="BookText"/>
        <w:rPr/>
      </w:pPr>
      <w:bookmarkEnd w:id="1151"/>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حرمة بلع الحیوان الحیّ، من جهة استلزامه الموت، أو من جهة اشتماله علی الجزء المحرّم، فهو خروج عن محلّ الفرض، و هو حرمته من جهة عدم الذبح المدّعی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تحقّق هذا الإجماع المحکیّ علی حرمة أکل الحیوان الحیّ إشکال، بل ادّعی استادنا الآخر العلّامة عدم وجدانه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فرضنا إجمال معنی المیتة کان المرجع إلی قاعدة اخری، و هی قاعدة الحلّ و الطهارة دون شی‌ء من الأصلین المذکورین</w:t>
      </w:r>
      <w:r>
        <w:rPr>
          <w:rFonts w:eastAsia="IRNazanin" w:cs="IRNazanin"/>
          <w:color w:val="111111"/>
          <w:sz w:val="28"/>
          <w:szCs w:val="28"/>
          <w:rtl w:val="true"/>
          <w:lang w:bidi="fa-IR"/>
        </w:rPr>
        <w:t>.</w:t>
      </w:r>
    </w:p>
    <w:p>
      <w:pPr>
        <w:pStyle w:val="Heading4"/>
        <w:numPr>
          <w:ilvl w:val="3"/>
          <w:numId w:val="1"/>
        </w:numPr>
        <w:rPr/>
      </w:pPr>
      <w:bookmarkStart w:id="1152" w:name="__RefHeading___Toc2647166_3224264995"/>
      <w:bookmarkStart w:id="1153" w:name="_Toc454"/>
      <w:bookmarkEnd w:id="1152"/>
      <w:r>
        <w:rPr>
          <w:rtl w:val="true"/>
        </w:rPr>
        <w:t>[</w:t>
      </w:r>
      <w:r>
        <w:rPr>
          <w:rtl w:val="true"/>
        </w:rPr>
        <w:t>الأصل فی کلّ حیوان جواز تذکیته و قابلیته لها</w:t>
      </w:r>
      <w:r>
        <w:rPr>
          <w:rtl w:val="true"/>
        </w:rPr>
        <w:t>]</w:t>
      </w:r>
      <w:bookmarkEnd w:id="1153"/>
    </w:p>
    <w:p>
      <w:pPr>
        <w:pStyle w:val="BookText"/>
        <w:rPr/>
      </w:pPr>
      <w:r>
        <w:rPr>
          <w:rFonts w:ascii="IRNazanin" w:hAnsi="IRNazanin" w:eastAsia="IRNazanin"/>
          <w:color w:val="111111"/>
          <w:sz w:val="28"/>
          <w:sz w:val="28"/>
          <w:szCs w:val="28"/>
          <w:rtl w:val="true"/>
          <w:lang w:bidi="fa-IR"/>
        </w:rPr>
        <w:t>فتلخّص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کلّ حیوان جواز التذکیة و قابلیّته لها، إلّا ما خرج دون عدم جوازه، و أنّ الأصل فی اللحوم أیضا الحلّیّة دون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الوجه من أصالة الحرمة فی اللحوم الغلبة و الاستقراء، بدعوی أنّ من استقرأ أنواع الحیوانات وجد أکثرها و أغلبها محرّمة، سیما الحیوانات البحریّة، فإنّه لا یحلّ منها إلّا ذو الفلس من سمکة، بخلاف سائر أنواعه، و کذا الحیوانات الأهلیّة و البریّة، فإنّها لا یحلّ منها إلّا الأنعام الثلاثة، بخلاف سائر أنواعها من الحشرات و المسوخ و السباع و البراغیث و القمّل و الیربوع و القنفذ و الوبر و نحوها، و کذا من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غلبة نوع المحرّمات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سلّمت هی و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معارضة بغلبة أفراد المحلّلات علی أنواع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الشکّ و الرجوع أیضا إلی أصل الاباحة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وجه أصالة حرمة اللحوم کون الطیب المعلّق علیه الحلّ صفة زائدة وجودیّة، فکلّ ما شکّ فی کونه طیبا الأصل عدم إحلال الشارع 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کون الطیب صفة زائدة وجودیّة، بل الخباثة المعلّق </w:t>
      </w:r>
      <w:bookmarkStart w:id="1154" w:name="pg12856_162810"/>
    </w:p>
    <w:p>
      <w:pPr>
        <w:pStyle w:val="BookText"/>
        <w:rPr/>
      </w:pPr>
      <w:bookmarkEnd w:id="1154"/>
      <w:r>
        <w:rPr>
          <w:rFonts w:ascii="IRNazanin" w:hAnsi="IRNazanin" w:eastAsia="IRNazanin"/>
          <w:color w:val="111111"/>
          <w:sz w:val="28"/>
          <w:sz w:val="28"/>
          <w:szCs w:val="28"/>
          <w:rtl w:val="true"/>
          <w:lang w:bidi="fa-IR"/>
        </w:rPr>
        <w:t>علیها الحرمة صفة زائدة وجودیّة، و الطیب وصف عدمیّ، کالطهارة و النجاسة، و الأصل فی مشکوک الاستطابة هو الحلّیّة و عدم الخباثة، کالأصل فی مشکوک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تعارض الأصلین، و کون کلّ من الاستطابة و الخباثة صفة زائدة وجودیّة، فالمرجع إلی أصالة الإباحة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ما فیه من منع التعارض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الوجه هو ما حکی عن الفاضل الهندی</w:t>
      </w:r>
      <w:r>
        <w:rPr>
          <w:rStyle w:val="FootnoteAnchor"/>
          <w:rtl w:val="true"/>
        </w:rPr>
        <w:footnoteReference w:id="440"/>
      </w:r>
      <w:r>
        <w:rPr>
          <w:rFonts w:ascii="IRNazanin" w:hAnsi="IRNazanin" w:eastAsia="IRNazanin"/>
          <w:color w:val="111111"/>
          <w:sz w:val="28"/>
          <w:sz w:val="28"/>
          <w:szCs w:val="28"/>
          <w:rtl w:val="true"/>
          <w:lang w:bidi="fa-IR"/>
        </w:rPr>
        <w:t>من أنّ کلّا من النجاسات و المحلّلات محصورة بدلیل الاستقراء، فإذا لم یدخل فی المحصور منها کان الأصل طهارته و حرمة لحمه، و مراده من هذا الأصل ظاهرا هو الأصل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عموم مفهوم حصر النجاسات و المحلّلات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الأصل معارض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بعموم مفهوم حصر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المحرّمات أیضا محصورة فی الشریعة کالمحلّلات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المرجع فی تعارضهما إلی الأصل العملی، و هو الإباحة و الحلّیّة،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العکس، کما علیه الحدس</w:t>
      </w:r>
      <w:r>
        <w:rPr>
          <w:rFonts w:eastAsia="IRNazanin" w:cs="IRNazanin"/>
          <w:color w:val="111111"/>
          <w:sz w:val="28"/>
          <w:szCs w:val="28"/>
          <w:rtl w:val="true"/>
          <w:lang w:bidi="fa-IR"/>
        </w:rPr>
        <w:t>).</w:t>
      </w:r>
    </w:p>
    <w:p>
      <w:pPr>
        <w:pStyle w:val="Heading4"/>
        <w:numPr>
          <w:ilvl w:val="3"/>
          <w:numId w:val="1"/>
        </w:numPr>
        <w:rPr/>
      </w:pPr>
      <w:bookmarkStart w:id="1155" w:name="__RefHeading___Toc2647168_3224264995"/>
      <w:bookmarkStart w:id="1156" w:name="_Toc455"/>
      <w:bookmarkEnd w:id="1155"/>
      <w:r>
        <w:rPr>
          <w:rtl w:val="true"/>
        </w:rPr>
        <w:t>[</w:t>
      </w:r>
      <w:r>
        <w:rPr>
          <w:rtl w:val="true"/>
        </w:rPr>
        <w:t>مجری أصالة الحلیة فی اللحوم</w:t>
      </w:r>
      <w:r>
        <w:rPr>
          <w:rtl w:val="true"/>
        </w:rPr>
        <w:t>]</w:t>
      </w:r>
      <w:bookmarkEnd w:id="115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جمیع ما ذکرنا أنّ الأصل فی الحیوانات هو جواز التذکیة إلّا ما خرج، و أنّ الأصل فی اللحوم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خرج، و انتفاء وجه وجیه لأصالة الحرمة فی اللحوم المحکیّ عن المحقّق و الشهید الثانیین</w:t>
      </w:r>
      <w:r>
        <w:rPr>
          <w:rStyle w:val="FootnoteAnchor"/>
          <w:rtl w:val="true"/>
        </w:rPr>
        <w:footnoteReference w:id="441"/>
      </w:r>
      <w:r>
        <w:rPr>
          <w:rFonts w:ascii="IRNazanin" w:hAnsi="IRNazanin" w:eastAsia="IRNazanin"/>
          <w:color w:val="111111"/>
          <w:sz w:val="28"/>
          <w:sz w:val="28"/>
          <w:szCs w:val="28"/>
          <w:rtl w:val="true"/>
          <w:lang w:bidi="fa-IR"/>
        </w:rPr>
        <w:t xml:space="preserve">بأبلغ وجه، و أنّه لیس فی البین أصل موضوعیّ حاکم علی أصالة الحلّیّة فی اللحوم، إلّا إذا کان الشکّ ناشئا عن الشکّ فی تحقّق التذکیة لیکون الشبهة موضوعیة، أو عن الشکّ فی قبول التذکیة مع فرض التذکیة أمرا وجودیّا، و إلّا فلا، کما عرفت </w:t>
      </w:r>
      <w:bookmarkStart w:id="1157" w:name="pg12856_162811"/>
    </w:p>
    <w:p>
      <w:pPr>
        <w:pStyle w:val="BookText"/>
        <w:rPr/>
      </w:pPr>
      <w:bookmarkEnd w:id="1157"/>
      <w:r>
        <w:rPr>
          <w:rFonts w:ascii="IRNazanin" w:hAnsi="IRNazanin" w:eastAsia="IRNazanin"/>
          <w:color w:val="111111"/>
          <w:sz w:val="28"/>
          <w:sz w:val="28"/>
          <w:szCs w:val="28"/>
          <w:rtl w:val="true"/>
          <w:lang w:bidi="fa-IR"/>
        </w:rPr>
        <w:t>التفصیل بالتکمیل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لکنّ الظاهر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ذَکَّیْتُمْ</w:t>
      </w:r>
      <w:r>
        <w:rPr>
          <w:rStyle w:val="FootnoteAnchor"/>
          <w:rtl w:val="true"/>
        </w:rPr>
        <w:footnoteReference w:id="442"/>
      </w:r>
      <w:r>
        <w:rPr>
          <w:rFonts w:ascii="IRNazanin" w:hAnsi="IRNazanin" w:eastAsia="IRNazanin"/>
          <w:color w:val="111111"/>
          <w:sz w:val="28"/>
          <w:sz w:val="28"/>
          <w:szCs w:val="28"/>
          <w:rtl w:val="true"/>
          <w:lang w:bidi="fa-IR"/>
        </w:rPr>
        <w:t>کون التذکیة أمرا وجودیّا لا عدمیا و إلّا لاقتضت البلاغة تبدیله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کان مذکّی أو ما بقی علی التذکیة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کثیر من النصوص الحکم بالتذکیة حتی یعلم کونه میتة کموثّقة سماعة عن الصادق علیه السّلام فی تقلید السّیف فی الصلاة فیه الفراء و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یعلم أنّه میتة</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الروایة أخصّ من المدّعی،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جواز خصوص الصلاة فی ما لم یعلم أنّه میتة لا یلزم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الملازمة فلعلّها من جهة الامارات الشرعیة الدالّة علی التذکیة کید المسلم و نحوه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مفاسد الالتزام بالاحتیاط لیست بأقلّ من مفاسد ارتکاب المشتبه</w:t>
      </w:r>
      <w:r>
        <w:rPr>
          <w:rFonts w:eastAsia="IRNazanin" w:cs="IRNazanin"/>
          <w:color w:val="111111"/>
          <w:sz w:val="28"/>
          <w:szCs w:val="28"/>
          <w:rtl w:val="true"/>
          <w:lang w:bidi="fa-IR"/>
        </w:rPr>
        <w:t>».</w:t>
      </w:r>
    </w:p>
    <w:p>
      <w:pPr>
        <w:pStyle w:val="Heading4"/>
        <w:numPr>
          <w:ilvl w:val="3"/>
          <w:numId w:val="1"/>
        </w:numPr>
        <w:rPr/>
      </w:pPr>
      <w:bookmarkStart w:id="1158" w:name="__RefHeading___Toc2647170_3224264995"/>
      <w:bookmarkStart w:id="1159" w:name="_Toc456"/>
      <w:bookmarkEnd w:id="1158"/>
      <w:r>
        <w:rPr>
          <w:rtl w:val="true"/>
        </w:rPr>
        <w:t>[</w:t>
      </w:r>
      <w:r>
        <w:rPr>
          <w:rtl w:val="true"/>
        </w:rPr>
        <w:t>الردّ علی الماتن فی مقایسته بین مفاسد الاحتیاط و مفاسد ارتکاب المشتبه</w:t>
      </w:r>
      <w:r>
        <w:rPr>
          <w:rtl w:val="true"/>
        </w:rPr>
        <w:t>]</w:t>
      </w:r>
      <w:bookmarkEnd w:id="11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مفاسد الالتزام بالاحتیاط لیس إلّا لزوم التعسّر أو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 أو المنهی لإفضائه إلی الوسواس و اعتبار الالتباس، و بعد فرض عدم الالتزام بما یلزم المحذور المنفیّ أو المنهیّ لا مفسدة یمنع من الاحتیاط، بخلاف مفاسد ارتکاب الشبهات، فإنّه معرض الوقوع فی المحرّمات، و الاقتحام فی الهلکات، و التجرّی فی الخطرات لکثرة المشتبهات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أفتی المفتی بأصل البراءة و الإباحة فیها کلّیّة فی کلّها أو عمل به فی جزئیّاتها انفتح باب التجرّی و التعدّی علی الجهال بما لا یأمن من الضلال </w:t>
      </w:r>
      <w:bookmarkStart w:id="1160" w:name="pg12856_162812"/>
    </w:p>
    <w:p>
      <w:pPr>
        <w:pStyle w:val="BookText"/>
        <w:rPr/>
      </w:pPr>
      <w:bookmarkEnd w:id="1160"/>
      <w:r>
        <w:rPr>
          <w:rFonts w:ascii="IRNazanin" w:hAnsi="IRNazanin" w:eastAsia="IRNazanin"/>
          <w:color w:val="111111"/>
          <w:sz w:val="28"/>
          <w:sz w:val="28"/>
          <w:szCs w:val="28"/>
          <w:rtl w:val="true"/>
          <w:lang w:bidi="fa-IR"/>
        </w:rPr>
        <w:t>و الإضلال، و الخروج عن العدل و الاعتدال، فی کلّ مشتبه الحرام و الحلال، بما ینافی حکمة الحکیم المتعال، و مصالح الحال و الأحوال، و یوجب الخلل و الاختلال، و سوء الفعال فی أحکام الحرام و الحلال</w:t>
      </w:r>
      <w:r>
        <w:rPr>
          <w:rFonts w:eastAsia="IRNazanin" w:cs="IRNazanin"/>
          <w:color w:val="111111"/>
          <w:sz w:val="28"/>
          <w:szCs w:val="28"/>
          <w:rtl w:val="true"/>
          <w:lang w:bidi="fa-IR"/>
        </w:rPr>
        <w:t>.</w:t>
      </w:r>
    </w:p>
    <w:p>
      <w:pPr>
        <w:pStyle w:val="Heading4"/>
        <w:numPr>
          <w:ilvl w:val="3"/>
          <w:numId w:val="1"/>
        </w:numPr>
        <w:rPr/>
      </w:pPr>
      <w:bookmarkStart w:id="1161" w:name="__RefHeading___Toc2647172_3224264995"/>
      <w:bookmarkStart w:id="1162" w:name="_Toc457"/>
      <w:bookmarkEnd w:id="1161"/>
      <w:r>
        <w:rPr>
          <w:rtl w:val="true"/>
        </w:rPr>
        <w:t>[</w:t>
      </w:r>
      <w:r>
        <w:rPr>
          <w:rtl w:val="true"/>
        </w:rPr>
        <w:t>التعریض بما تعارف فی الأزمنة الأخیرة</w:t>
      </w:r>
      <w:r>
        <w:rPr>
          <w:rtl w:val="true"/>
        </w:rPr>
        <w:t>]</w:t>
      </w:r>
      <w:bookmarkEnd w:id="1162"/>
    </w:p>
    <w:p>
      <w:pPr>
        <w:pStyle w:val="BookText"/>
        <w:rPr/>
      </w:pPr>
      <w:r>
        <w:rPr>
          <w:rFonts w:ascii="IRNazanin" w:hAnsi="IRNazanin" w:eastAsia="IRNazanin"/>
          <w:color w:val="111111"/>
          <w:sz w:val="28"/>
          <w:sz w:val="28"/>
          <w:szCs w:val="28"/>
          <w:rtl w:val="true"/>
          <w:lang w:bidi="fa-IR"/>
        </w:rPr>
        <w:t>کما تری إفضاء الفتوی بغیر الحظر و التقوی إلی ما تری و جری، من تجاهر العباد فی جمیع البلاد و السواد بالفساد و الإفساد، و سوء الاعتیاد بالوافور و الملاهی، و القلیان و الچاهی، و استصغار المعاصی، و الاقتحام فی المناهی و النواهی، و انفتاح أبواب المحظورات من الملهیات و الإسراف و التبذیرات و المکروهات و المحرّمات، بل هجروا کلّ المستحبّات، و جل الواجبات من النوافل و التلاوات، و محافظة أوقات الصلوات و الجمعة و الجماعات، و قیام اللیل و صیام النهار و وظائف الساعات، و هجر العبادات و المجاهدات، بواسطة استغراق الأوقات بالملهیات و القهوات إلی غیر النهایات و أبعد الغایات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داخلا فی الشبهة فی طریق الحکم</w:t>
      </w:r>
      <w:r>
        <w:rPr>
          <w:rFonts w:eastAsia="IRNazanin" w:cs="IRNazanin"/>
          <w:color w:val="111111"/>
          <w:sz w:val="28"/>
          <w:szCs w:val="28"/>
          <w:rtl w:val="true"/>
          <w:lang w:bidi="fa-IR"/>
        </w:rPr>
        <w:t>».</w:t>
      </w:r>
    </w:p>
    <w:p>
      <w:pPr>
        <w:pStyle w:val="Heading4"/>
        <w:numPr>
          <w:ilvl w:val="3"/>
          <w:numId w:val="1"/>
        </w:numPr>
        <w:rPr/>
      </w:pPr>
      <w:bookmarkStart w:id="1163" w:name="__RefHeading___Toc2647174_3224264995"/>
      <w:bookmarkStart w:id="1164" w:name="_Toc458"/>
      <w:bookmarkEnd w:id="1163"/>
      <w:r>
        <w:rPr>
          <w:rtl w:val="true"/>
        </w:rPr>
        <w:t>[</w:t>
      </w:r>
      <w:r>
        <w:rPr>
          <w:rtl w:val="true"/>
        </w:rPr>
        <w:t>التردید بین الحرمة و غیر الوجوب لإجمال دلیل الحرمة فی متعلّقها</w:t>
      </w:r>
      <w:r>
        <w:rPr>
          <w:rtl w:val="true"/>
        </w:rPr>
        <w:t>]</w:t>
      </w:r>
      <w:bookmarkEnd w:id="1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الموضوعیة المتّفق علی البراءة فیها الاصولی و الأخباری أیضا، لا فی الشبهة الحکمیّة المختلف فیه بینهما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فساده فلوضوح الفرق بین الشبهة فی الموضوع الکلّی المستنبط الراجع إلی الشبهة فی الحکم، بل الناشئ عنها کالغناء و الخمر المردّدین من جهة الإطلاق و التقیید بالمطرب و المسکر کما فی ما نحن فیه، و بین الشبهة فی الموضوع الجزئی الصرف الراجع، بل الناشئ عن طروّ الموانع الخارجیّة من ظلمة و بعد و نحوهما، کالمائع المردّد بین الخلّ و الخمر، فإنّ الشبهة الموضوعیة هو الثانی لا الأوّل، لما عرفت من رجوعه إلی الشبهة فی الحکم، فهو من الشبهة فی الحکم</w:t>
      </w:r>
      <w:r>
        <w:rPr>
          <w:rFonts w:eastAsia="IRNazanin" w:cs="IRNazanin"/>
          <w:color w:val="111111"/>
          <w:sz w:val="28"/>
          <w:szCs w:val="28"/>
          <w:rtl w:val="true"/>
          <w:lang w:bidi="fa-IR"/>
        </w:rPr>
        <w:t xml:space="preserve">). </w:t>
      </w:r>
      <w:bookmarkStart w:id="1165" w:name="pg12856_162813"/>
    </w:p>
    <w:p>
      <w:pPr>
        <w:pStyle w:val="BookText"/>
        <w:rPr/>
      </w:pPr>
      <w:bookmarkEnd w:id="116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المسألة الثالثة أن یدور الفعل بین الحرمة و غیر الوجوب من جهة تعارض النصّین، و عدم ثبوت ما یکون مرجّحا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166" w:name="__RefHeading___Toc2647176_3224264995"/>
      <w:bookmarkStart w:id="1167" w:name="_Toc459"/>
      <w:bookmarkEnd w:id="1166"/>
      <w:r>
        <w:rPr>
          <w:rtl w:val="true"/>
        </w:rPr>
        <w:t>[</w:t>
      </w:r>
      <w:r>
        <w:rPr>
          <w:rtl w:val="true"/>
        </w:rPr>
        <w:t>التردید بین الحرمة و غیر الوجوب لتعارض النصّین</w:t>
      </w:r>
      <w:r>
        <w:rPr>
          <w:rtl w:val="true"/>
        </w:rPr>
        <w:t>]</w:t>
      </w:r>
      <w:bookmarkEnd w:id="11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باب 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سوق الکلام؛ تارة إلی تشخیص إمکان موضوع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إمکان تعادل النصّین المتعارضین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تارة إلی تشخیص وقوعه بعد الإمکان و عدمه، و ثالثة إلی تشخیص حکمه بعد الوقوع هل هو الاحتیاط أو البراءة؟ فالکلام إذن فی مراحل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فتفصیل الکلام فیها انّ فی إمکان تعادل النصّین المتعارضین و عدم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العلّامة</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قولان من أصالة الإمکان، و من أنّ جعل التعادل بین الطریقین المختلفین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یرید منه مؤدّی کلّ منهما فی الواقع فیؤدّی إلی التناقض المستحیل علی الحکیم، و إمّا أن یرید من کلاهما الإباحة، ففی العدول عن بیانه بلفظ الإباحة إلی بیانه بالنصّین المتعادلین، لغو ینزّه عنه کلام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اللغویة،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الفرق بین الإباحتین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بین الإباحة الصریحة و المستفادة من مؤدّی النصّین المتعادلین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المصلحة الکامنة فی العدول عن الإباحة الصریحة إلی الإباحة المستفادة من تعادل النصّین المتعارضین، کملاحظة ضرب من التقیة، أو إیقاع المخاطبین فی إعمال الفکر و سلوک سبیل الاجتهاد، أو غیر ذلک من المصالح الکامنة، کمصلحة العدول فی تأدیة المعنی المراد من الحقیقة التی لا یحتاج إلی المئونة إلی المجاز المحتاج إلی مئونة کثیرة</w:t>
      </w:r>
      <w:r>
        <w:rPr>
          <w:rFonts w:eastAsia="IRNazanin" w:cs="IRNazanin"/>
          <w:color w:val="111111"/>
          <w:sz w:val="28"/>
          <w:szCs w:val="28"/>
          <w:rtl w:val="true"/>
          <w:lang w:bidi="fa-IR"/>
        </w:rPr>
        <w:t>.</w:t>
      </w:r>
    </w:p>
    <w:p>
      <w:pPr>
        <w:pStyle w:val="Heading4"/>
        <w:numPr>
          <w:ilvl w:val="3"/>
          <w:numId w:val="1"/>
        </w:numPr>
        <w:rPr/>
      </w:pPr>
      <w:bookmarkStart w:id="1168" w:name="__RefHeading___Toc2647178_3224264995"/>
      <w:bookmarkStart w:id="1169" w:name="_Toc460"/>
      <w:bookmarkEnd w:id="1168"/>
      <w:r>
        <w:rPr>
          <w:rtl w:val="true"/>
        </w:rPr>
        <w:t>[</w:t>
      </w:r>
      <w:r>
        <w:rPr>
          <w:rtl w:val="true"/>
        </w:rPr>
        <w:t xml:space="preserve">إمکان التعادل بین نصّین متعارضین </w:t>
      </w:r>
      <w:r>
        <w:rPr/>
        <w:t>310</w:t>
      </w:r>
      <w:r>
        <w:rPr>
          <w:rtl w:val="true"/>
        </w:rPr>
        <w:t>]</w:t>
      </w:r>
      <w:bookmarkEnd w:id="116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أنّ الأصحّ هو إمکان تعادل النصّین المتعارضین، و عدم المانع من إمکانه، سیما إذا حصل التعادل من غیر جعل الجاعل، بل بالدلالة القهریّة الغیر </w:t>
      </w:r>
      <w:bookmarkStart w:id="1170" w:name="pg12856_162814"/>
    </w:p>
    <w:p>
      <w:pPr>
        <w:pStyle w:val="BookText"/>
        <w:rPr/>
      </w:pPr>
      <w:bookmarkEnd w:id="1170"/>
      <w:r>
        <w:rPr>
          <w:rFonts w:ascii="IRNazanin" w:hAnsi="IRNazanin" w:eastAsia="IRNazanin"/>
          <w:color w:val="111111"/>
          <w:sz w:val="28"/>
          <w:sz w:val="28"/>
          <w:szCs w:val="28"/>
          <w:rtl w:val="true"/>
          <w:lang w:bidi="fa-IR"/>
        </w:rPr>
        <w:t>المقصودة، کما هو محتمل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العلّامة من استحالته فلعلّ مراده استحالة التعادل المقصود منه مؤدّی کلّ منهما فی الواقع لا مطلق 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بیان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وقوعه فممّا لا خلاف و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حکمه بعد الوقوع فقد تصدّی لبیانه الماتن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الروایة</w:t>
      </w:r>
      <w:r>
        <w:rPr>
          <w:rStyle w:val="FootnoteAnchor"/>
          <w:rtl w:val="true"/>
        </w:rPr>
        <w:footnoteReference w:id="445"/>
      </w:r>
      <w:r>
        <w:rPr>
          <w:rFonts w:ascii="IRNazanin" w:hAnsi="IRNazanin" w:eastAsia="IRNazanin"/>
          <w:color w:val="111111"/>
          <w:sz w:val="28"/>
          <w:sz w:val="28"/>
          <w:szCs w:val="28"/>
          <w:rtl w:val="true"/>
          <w:lang w:bidi="fa-IR"/>
        </w:rPr>
        <w:t>و إن کانت أخصّ من أخبار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الأخصّیّة اختصاص التخییر فیها بما لا یتأتّی فیه الاحتیاط، فیقدّم الاحتیاط فی ما یمکن فیه الاحتیاط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کون الحکم الوقف أو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أمّا بحسب المفهوم، فاستلزام التساقط فرض عدم النصّ فی مورد النصّ و خلوّ المورد عن النصّین المتعارضین، بخلاف الوقف، فإنّه لا یستلزم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الثمرة، فیظهر فی استلزام الوقف فی النصّین المتعارضین نفی الثالث بخلاف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فیفارق مسألة تعارض المبیح و الحاظر</w:t>
      </w:r>
      <w:r>
        <w:rPr>
          <w:rFonts w:eastAsia="IRNazanin" w:cs="IRNazanin"/>
          <w:color w:val="111111"/>
          <w:sz w:val="28"/>
          <w:szCs w:val="28"/>
          <w:rtl w:val="true"/>
          <w:lang w:bidi="fa-IR"/>
        </w:rPr>
        <w:t>».</w:t>
      </w:r>
    </w:p>
    <w:p>
      <w:pPr>
        <w:pStyle w:val="Heading4"/>
        <w:numPr>
          <w:ilvl w:val="3"/>
          <w:numId w:val="1"/>
        </w:numPr>
        <w:rPr/>
      </w:pPr>
      <w:bookmarkStart w:id="1171" w:name="__RefHeading___Toc2647180_3224264995"/>
      <w:bookmarkStart w:id="1172" w:name="_Toc461"/>
      <w:bookmarkEnd w:id="1171"/>
      <w:r>
        <w:rPr>
          <w:rtl w:val="true"/>
        </w:rPr>
        <w:t>[</w:t>
      </w:r>
      <w:r>
        <w:rPr>
          <w:rtl w:val="true"/>
        </w:rPr>
        <w:t>الناقل و المقرّر و المبیح و الحاظر</w:t>
      </w:r>
      <w:r>
        <w:rPr>
          <w:rtl w:val="true"/>
        </w:rPr>
        <w:t>]</w:t>
      </w:r>
      <w:bookmarkEnd w:id="1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الافتراق فرض الناقل و المقرّر فی الشبهة الوجوبیّة، و تعارض المبیح و الحاظر فی الشبهة التحریمیة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2647182_3224264995"/>
      <w:bookmarkStart w:id="1174" w:name="_Toc462"/>
      <w:bookmarkEnd w:id="1173"/>
      <w:r>
        <w:rPr>
          <w:rtl w:val="true"/>
        </w:rPr>
        <w:t>[</w:t>
      </w:r>
      <w:r>
        <w:rPr>
          <w:rtl w:val="true"/>
        </w:rPr>
        <w:t xml:space="preserve">التردید بین الحرمة و غیر الوجوب لأجل الشبهة فی الامور الخارجیة </w:t>
      </w:r>
      <w:r>
        <w:rPr>
          <w:rtl w:val="true"/>
        </w:rPr>
        <w:t>«</w:t>
      </w:r>
      <w:r>
        <w:rPr>
          <w:rtl w:val="true"/>
        </w:rPr>
        <w:t>الموضوع الصرف</w:t>
      </w:r>
      <w:r>
        <w:rPr>
          <w:rtl w:val="true"/>
        </w:rPr>
        <w:t>»]</w:t>
      </w:r>
      <w:bookmarkEnd w:id="11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هذه المسألة کلام فی حکم الشبهة فی الموضوع الصرف الدائر بین الحرمة و غیر الوجوب، دون الشبهة الحکمیة، و هی ما من شأن الشارع بیانها، کحکم شرب التتن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 الشبهة فی الموضوع المستنبط، و هو </w:t>
      </w:r>
    </w:p>
    <w:p>
      <w:pPr>
        <w:pStyle w:val="BookText"/>
        <w:rPr/>
      </w:pPr>
      <w:r>
        <w:rPr>
          <w:rFonts w:ascii="IRNazanin" w:hAnsi="IRNazanin" w:eastAsia="IRNazanin"/>
          <w:color w:val="111111"/>
          <w:sz w:val="28"/>
          <w:sz w:val="28"/>
          <w:szCs w:val="28"/>
          <w:rtl w:val="true"/>
          <w:lang w:bidi="fa-IR"/>
        </w:rPr>
        <w:t>المتوقّف تشخیصه علی الاستنباط بمراجعة فهم العرف و نحوه من موضوعات أحکام الشرع و عناوینها، کتشخیص موضوع الغناء و الصعید لرجوعها إلی الشبهة الحکمیة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الشبهة الموضوعیة فی هذه المسألة الموضوعیة الصرفة، و هی الموضوعات الجزئیّة الّتی یکون الباعث علی الشبهة فیها هو طروّ الموانع الخارجیة من ظلمة أو بعد أو عمی، دون إجمال النصّ، أو فقد النصّ، أو تعارض النصّین، ممّا یکون باعثا علی الشبهة فی الحکم، و لهذا خصّ الشبهة الحکمیة بالتقسیم بتلک الأقسام، دون الشبهة الموضوعیة فإنّ الباعث علی الشبهة فیها لیس هو إجمال النصّ، أو فقده، أو تعارضه، حتی یقسم بها، بل هو طروّ الموانع الخارجیّة من ظلمة أو بعد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 امتیازها هو رفع تلک الموانع الخارجیّة و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کان الکلام فی حکمها من المسائل الفقهیّة دون المسائل الاصولیة، لأنّ الاصول هی القواعد الکلّیّة الممهّدة لاستنباط الأحکام الجزئیّة الفرعیة، بخلاف الفقه، فإنّه العلم بالأحکام الجزئیة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تعرّض المصنّف و غیره لتلک الشبهة الموضوعیة فی عداد المسائل الاصولیة فهو من باب التبعیّة طردا للباب، و إلّا فهی خارجة عن محلّ نزاع الاصولی، کما أنّها خارجة عن محل النزاع الفقهی بوفاق الأخباریة و غیرهم علی البراءة فیها و عدم وجدان الخلاف فیها عن أحد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افتراق هذه المسألة عمّا سبقها من المسائل الأخر من وجوه، و إن رجع بعضها إلی بعض</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 الشبهة فی هذه المسألة شبهة فی الموضوع الصرف، بخلاف الشبهة فی السابق، فإنّها إمّا فی الحکم، أو فی الموضوع المستنبط</w:t>
      </w:r>
      <w:r>
        <w:rPr>
          <w:rFonts w:eastAsia="IRNazanin" w:cs="IRNazanin"/>
          <w:color w:val="111111"/>
          <w:sz w:val="28"/>
          <w:szCs w:val="28"/>
          <w:rtl w:val="true"/>
          <w:lang w:bidi="fa-IR"/>
        </w:rPr>
        <w:t xml:space="preserve">. </w:t>
      </w:r>
      <w:bookmarkStart w:id="1175" w:name="pg12856_162816"/>
    </w:p>
    <w:p>
      <w:pPr>
        <w:pStyle w:val="BookText"/>
        <w:rPr/>
      </w:pPr>
      <w:bookmarkEnd w:id="1175"/>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انحصار منشأ الشبهة الحکمیّة فی فقد النصّ، أو إجماله، أو تعارض النصّین، بخلاف الشبهة فی الموضوع الصرف، فإنّ منشأه منحصر فی طروّ الموانع الخارجیّة من ظلمة أو بعد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اندراج الشبهة الحکمیّة بأقسامها الثلاثة فی مسائل الاصول، بخلاف الشبهة فی الموضوع الصرف، فانها من المسائل الفقهیة، فذکرها فی طیّ المسائل الاصولیّة من باب التبعیّة طردا للباب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خروج هذه المسألة عن محلّ نزاع الاصولی و الأخباری، لوفاقهم فیها معا علی البراءة، بخلاف المسألة السابقة، فإنّها محلّ الخلاف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الوجه فی وفاقهم علی البراءة فی الشبهات الموضوعیة، مضافا إلی العمومات المتقدّمة الدالّة علی البراءة من الکتاب و السنّة، هو خصوص النصوص الصریحة فی الشبهات الموضوعیة</w:t>
      </w:r>
      <w:r>
        <w:rPr>
          <w:rFonts w:eastAsia="IRNazanin" w:cs="IRNazanin"/>
          <w:color w:val="111111"/>
          <w:sz w:val="28"/>
          <w:szCs w:val="28"/>
          <w:rtl w:val="true"/>
          <w:lang w:bidi="fa-IR"/>
        </w:rPr>
        <w:t>.</w:t>
      </w:r>
    </w:p>
    <w:p>
      <w:pPr>
        <w:pStyle w:val="Heading4"/>
        <w:numPr>
          <w:ilvl w:val="3"/>
          <w:numId w:val="1"/>
        </w:numPr>
        <w:rPr/>
      </w:pPr>
      <w:bookmarkStart w:id="1176" w:name="__RefHeading___Toc2647184_3224264995"/>
      <w:bookmarkStart w:id="1177" w:name="_Toc463"/>
      <w:bookmarkEnd w:id="1176"/>
      <w:r>
        <w:rPr>
          <w:rtl w:val="true"/>
        </w:rPr>
        <w:t>[</w:t>
      </w:r>
      <w:r>
        <w:rPr>
          <w:rtl w:val="true"/>
        </w:rPr>
        <w:t>عدم استقلال العقل بالبراءة</w:t>
      </w:r>
      <w:r>
        <w:rPr>
          <w:rtl w:val="true"/>
        </w:rPr>
        <w:t>]</w:t>
      </w:r>
      <w:bookmarkEnd w:id="1177"/>
    </w:p>
    <w:p>
      <w:pPr>
        <w:pStyle w:val="BookText"/>
        <w:rPr/>
      </w:pPr>
      <w:r>
        <w:rPr>
          <w:rFonts w:ascii="IRNazanin" w:hAnsi="IRNazanin" w:eastAsia="IRNazanin"/>
          <w:color w:val="111111"/>
          <w:sz w:val="28"/>
          <w:sz w:val="28"/>
          <w:szCs w:val="28"/>
          <w:rtl w:val="true"/>
          <w:lang w:bidi="fa-IR"/>
        </w:rPr>
        <w:t>و أمّا العقل فلم یستقل دلالته علی البراءة مع الإغماض عن تلک الأدلّة الشرعیّة، بل إنّما یستقلّ علی عدم البراءة، لکن لا من باب مقدّمیة الاجتناب عن الشبهة للاجتناب عن الحرام الواقعی کما توهّم، حتی یندفع ذلک الوهم بأنّ الحرام إن کان هو الموضوع الواقعی علی وجه الإطلاق بأن یؤخذ ذلک الإطلاق قیدا فیه، فمقدّمیة الاجتناب عن مطلق المشتبه، و إن سلّمت له، إلّا أنّ وجوب ذی المقدمة المفروض غیر مسلّم، لأنّ الألفاظ و إن لم توضع لخصوص المعلومة، إلا انّها أیضا لم توضع لمطلق الواقعی الأعمّ من المعلومة و المجهولة علی وجه یؤخذ ذلک الإطلاق قیدا فیه، حتّی یکون الاجتناب عن کلّ مشتبه مقدّمة للاجتناب عن الموضوع الواقعی، و ینقلب الشکّ فی التکلیف إلی الشکّ فی المکلّف 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الحرام هو الموضوع المعلوم أو الموضوع الواقعی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وجه الإهمال لا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فمقدّمیة الاجتناب عن کلّ مشتبه للاجتناب عن </w:t>
      </w:r>
      <w:bookmarkStart w:id="1178" w:name="pg12856_162817"/>
    </w:p>
    <w:p>
      <w:pPr>
        <w:pStyle w:val="BookText"/>
        <w:rPr/>
      </w:pPr>
      <w:bookmarkEnd w:id="1178"/>
      <w:r>
        <w:rPr>
          <w:rFonts w:ascii="IRNazanin" w:hAnsi="IRNazanin" w:eastAsia="IRNazanin"/>
          <w:color w:val="111111"/>
          <w:sz w:val="28"/>
          <w:sz w:val="28"/>
          <w:szCs w:val="28"/>
          <w:rtl w:val="true"/>
          <w:lang w:bidi="fa-IR"/>
        </w:rPr>
        <w:t>ذلک الموضوع ممنوعة لا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باب أنّ ارتکاب المشتبه إلقاء للنفس فی التهلکة المنهیّ عنه</w:t>
      </w:r>
      <w:r>
        <w:rPr>
          <w:rStyle w:val="FootnoteAnchor"/>
          <w:rtl w:val="true"/>
        </w:rPr>
        <w:footnoteReference w:id="446"/>
      </w:r>
      <w:r>
        <w:rPr>
          <w:rFonts w:ascii="IRNazanin" w:hAnsi="IRNazanin" w:eastAsia="IRNazanin"/>
          <w:color w:val="111111"/>
          <w:sz w:val="28"/>
          <w:sz w:val="28"/>
          <w:szCs w:val="28"/>
          <w:rtl w:val="true"/>
          <w:lang w:bidi="fa-IR"/>
        </w:rPr>
        <w:t>، کما توهّم، حتی یندفع أیضا بأنّ الإلقاء فی التهلکة و إن کان من الألفاظ الموضوعة للمعانی الواقعیة لا لخصوص المعلومة منها، إلّا انّه لم یوضع للمعنی الواقعی الأعمّ من المعلوم و المجهول علی وجه یؤخذ الإطلاق قیدا فیه، حتی یکون الاجتناب عن المجهول المشتبه أیضا من لوازم الاجتناب عنه، بل إنّما وضع للواقع علی وجه الإجمال و الإهمال فلم یعلم اشتماله لغیر الموضوع المعلوم بأحد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دلالة العقل علی عدم البراءة إنّما هو من باب أنّ قبح العقاب بلا بیان، و إن کان علی تقدیر تسلیم قبحه واردا علی لزوم دفع الضرر المحتمل، و رافعا لموضوعه، إلا أنّ مسلّمیّة قبحه إنّما هو بحسب الشرع دون العقل، فیسلم لزوم دفع الضرر المحتمل العقلی من وارد و رافع عقلیّ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احتمال المصلحة فی عدم بیان الضرر الاخروی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179" w:name="__RefHeading___Toc2647186_3224264995"/>
      <w:bookmarkStart w:id="1180" w:name="_Toc464"/>
      <w:bookmarkEnd w:id="1179"/>
      <w:r>
        <w:rPr>
          <w:rtl w:val="true"/>
        </w:rPr>
        <w:t>[</w:t>
      </w:r>
      <w:r>
        <w:rPr>
          <w:rtl w:val="true"/>
        </w:rPr>
        <w:t>امتناع احتمال المصلحة فی عدم بیان الضرر الأخروی</w:t>
      </w:r>
      <w:r>
        <w:rPr>
          <w:rtl w:val="true"/>
        </w:rPr>
        <w:t>]</w:t>
      </w:r>
      <w:bookmarkEnd w:id="11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التسلیم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بامتناع تسلیم احتمال المصلحة فی عدم بیان الضرر الاخروی، و وجهه علی ما قاله الاستاد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فرض بیان الضرر الاخروی من جملة الألطاف المطلقة الواجبة علی الحکیم کوجود الإمام، فیستحیل فرض المصلحة فی عدم بیانه کاستحالة فرضها فی عدم وجود الإمام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استناد احتمال عدم البیان إلی إخفاء البیان و عدم الوصول إلیه، لا إلی عدم وجوده أصلا، کإمکان استناد عدم وجدان الإمام إلی اختفائه لا عدم </w:t>
      </w:r>
      <w:bookmarkStart w:id="1181" w:name="pg12856_162818"/>
    </w:p>
    <w:p>
      <w:pPr>
        <w:pStyle w:val="BookText"/>
        <w:rPr/>
      </w:pPr>
      <w:bookmarkEnd w:id="1181"/>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التوجیه غیر وجیه، لأنّ البیان الّذی هو من الألطاف الواجبة علی الحکیم مطلقا لا مشروطا کوجود الإمام، إنّما هو بیان کلّیّ اضرار الاخرویة، و أمّا الضرر الجزئی من أضرار الاخرویة فیمکن أن یکون فی عدم بیانه مع وکول الامر فیه إلی العقل مصلحة، و لیس کعدم بیان کلّیّ أضرار الاخرویة، إذ لا یمکن وکول الأمر فی کلیهما إلی العقل حتّی یتخلّص عن مفسدة عدم بیانه</w:t>
      </w:r>
      <w:r>
        <w:rPr>
          <w:rFonts w:eastAsia="IRNazanin" w:cs="IRNazanin"/>
          <w:color w:val="111111"/>
          <w:sz w:val="28"/>
          <w:szCs w:val="28"/>
          <w:rtl w:val="true"/>
          <w:lang w:bidi="fa-IR"/>
        </w:rPr>
        <w:t>.</w:t>
      </w:r>
    </w:p>
    <w:p>
      <w:pPr>
        <w:pStyle w:val="Heading4"/>
        <w:numPr>
          <w:ilvl w:val="3"/>
          <w:numId w:val="1"/>
        </w:numPr>
        <w:rPr/>
      </w:pPr>
      <w:bookmarkStart w:id="1182" w:name="__RefHeading___Toc2647188_3224264995"/>
      <w:bookmarkStart w:id="1183" w:name="_Toc465"/>
      <w:bookmarkEnd w:id="1182"/>
      <w:r>
        <w:rPr>
          <w:rtl w:val="true"/>
        </w:rPr>
        <w:t>[</w:t>
      </w:r>
      <w:r>
        <w:rPr>
          <w:rtl w:val="true"/>
        </w:rPr>
        <w:t>أقسام الضرر و أحکامها</w:t>
      </w:r>
      <w:r>
        <w:rPr>
          <w:rtl w:val="true"/>
        </w:rPr>
        <w:t>]</w:t>
      </w:r>
      <w:bookmarkEnd w:id="1183"/>
    </w:p>
    <w:p>
      <w:pPr>
        <w:pStyle w:val="BookText"/>
        <w:rPr/>
      </w:pPr>
      <w:r>
        <w:rPr>
          <w:rFonts w:ascii="IRNazanin" w:hAnsi="IRNazanin" w:eastAsia="IRNazanin"/>
          <w:color w:val="111111"/>
          <w:sz w:val="28"/>
          <w:sz w:val="28"/>
          <w:szCs w:val="28"/>
          <w:rtl w:val="true"/>
          <w:lang w:bidi="fa-IR"/>
        </w:rPr>
        <w:t>ثمّ محصّل الکلام فی أقسام دفع الضرر و أحکامه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رءوس أقسام الضرر فهی أنّ الضرر إمّا محض أو معارض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المحض إمّا دنیویّ أو اخروی، و المعارض إمّا معارض بضرر مثله أو بمنفعة و المعارض بضرر مثله إمّا دنیویّان، و أخرویّان، أو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المعارض بالمنفعة أیضا إمّا دنیویّان، أو اخرویّان، أو الضرر دنیویّ و المنفعة اخرویّة،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رءوس أقسامه إلی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الضرر المحض فهو ممّا یقتضی العقل القطع بلزوم دفعه مطلقا، سواء کان دنیویّا أم أخرویّا، بل و سواء کان قطعیّا أم ظنّیا أم شکّیّا أم وهمیّا، لکن لا بالوهم الغیر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المعارض بمثله فالدنیویّان و الاخرویّان من أقسامه یقدّم فیه دفع الأرجح منهما بحسب الکثرة و القلّة، أو بحسب الشدّة و الضعف فی نفس الضررین، أو فی مدرکیهما، کتقدّم القطع علی الظنّی، و الظنّی علی الوهمیّ، حسب ما یقتضیه النظر الصائب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المختلفان فیقدّم دفع الضرر الاخرویّ منهما و لو کان أقلّ قلیل علی دفع الضرر الدنیویّ و لو کان أکثر من أن یحصی مطلقا، لورود دلیل دفع الضرر </w:t>
      </w:r>
      <w:bookmarkStart w:id="1184" w:name="pg12856_162819"/>
    </w:p>
    <w:p>
      <w:pPr>
        <w:pStyle w:val="BookText"/>
        <w:rPr/>
      </w:pPr>
      <w:bookmarkEnd w:id="1184"/>
      <w:r>
        <w:rPr>
          <w:rFonts w:ascii="IRNazanin" w:hAnsi="IRNazanin" w:eastAsia="IRNazanin"/>
          <w:color w:val="111111"/>
          <w:sz w:val="28"/>
          <w:sz w:val="28"/>
          <w:szCs w:val="28"/>
          <w:rtl w:val="true"/>
          <w:lang w:bidi="fa-IR"/>
        </w:rPr>
        <w:t>الاخرویّ أو حکومته علی دلیل دفع الضرر الدنیویّ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الضرر المعارض بمنفعة فحکمه حکم الضررین المتعارضین، ففی الدنیویّین و الاخرویّین منهما یقدّم دفع الأرجح فالأرجح، بحسب ما ذکر من وجوه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المختلفین یقدّم دفع الضرر الاخرویّ علی جلب المنفعة الدنیویّة و جلب المنفعة الاخرویّة علی دفع الضرر الدنیوی لما تقدّم من حکومة دلیل الاخرویّ علی دلیل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لسید أساتید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الضوابط</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عثرات فی بعض أحکام صور دفع الضرر قد تعرّضنا لها سابقا عند استدلال المصنّف علی حجّیّة مطلق الظنّ بدفع الضرر المظنون فی ضمن أدلّته العقلیّة، و من شاء راجع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الکلام فی الشبهة الموضوعیّة المحکومة بالإباحة ما إذا لم یکن هناک أصل موضوعی یقتضی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185" w:name="__RefHeading___Toc2647190_3224264995"/>
      <w:bookmarkStart w:id="1186" w:name="_Toc466"/>
      <w:bookmarkEnd w:id="1185"/>
      <w:r>
        <w:rPr>
          <w:rtl w:val="true"/>
        </w:rPr>
        <w:t>[</w:t>
      </w:r>
      <w:r>
        <w:rPr>
          <w:rtl w:val="true"/>
        </w:rPr>
        <w:t>اعتبار عدم أصل موضوعی فی جریان أصل الاباحة فی الشبهة الموضوعیة التحریمیة</w:t>
      </w:r>
      <w:r>
        <w:rPr>
          <w:rtl w:val="true"/>
        </w:rPr>
        <w:t>]</w:t>
      </w:r>
      <w:bookmarkEnd w:id="11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یورد علی اشتراط الإباحة فی الشبهات الموضوعیة بهذا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عدم حصول العلاقة الزوجیة فی المرأة المردّدة بین الزوجة و الأجنبیّة، و عدم حصول الملکیّة فی الثوب المردّد بین المغصوب و الملک معارض بأصالة عدم زوجیة المرأة للغیر، و عدم ملکیّة الغیر للثوب، و مقتضی تعارضهما التساقط، و الرجوع إلی أصل الإباحة، فکیف تحکم فیهما بالحرمة؟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بصراحة روایة سعد</w:t>
      </w:r>
      <w:r>
        <w:rPr>
          <w:rStyle w:val="FootnoteAnchor"/>
          <w:rtl w:val="true"/>
        </w:rPr>
        <w:footnoteReference w:id="448"/>
      </w:r>
      <w:r>
        <w:rPr>
          <w:rFonts w:ascii="IRNazanin" w:hAnsi="IRNazanin" w:eastAsia="IRNazanin"/>
          <w:color w:val="111111"/>
          <w:sz w:val="28"/>
          <w:sz w:val="28"/>
          <w:szCs w:val="28"/>
          <w:rtl w:val="true"/>
          <w:lang w:bidi="fa-IR"/>
        </w:rPr>
        <w:t>المتقدّمة علی کون الأصل الإباحة فی الثوب المردّد بین الغصب و الملک، و فی العبد المردّد بین الحرّ و الملک، و المرأة المردّدة بین الزوجة و الرضیعة</w:t>
      </w:r>
      <w:r>
        <w:rPr>
          <w:rFonts w:eastAsia="IRNazanin" w:cs="IRNazanin"/>
          <w:color w:val="111111"/>
          <w:sz w:val="28"/>
          <w:szCs w:val="28"/>
          <w:rtl w:val="true"/>
          <w:lang w:bidi="fa-IR"/>
        </w:rPr>
        <w:t xml:space="preserve">. </w:t>
      </w:r>
      <w:bookmarkStart w:id="1187" w:name="pg12856_162820"/>
    </w:p>
    <w:p>
      <w:pPr>
        <w:pStyle w:val="BookText"/>
        <w:rPr/>
      </w:pPr>
      <w:bookmarkEnd w:id="1187"/>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 فبأنّ أصالة عدم زوجیّة المرأة لغیرک لا یثبت زوجیّتها لک، و أصالة عدم ملکیّة الثوب للغیر لا یثبت ملکیّته لک، لکونه من الآثار الغیر الشرعیّة، فلا تثبت بالاصول إلّا علی القول بحجیّة الأصل المثبت، أو القول بعدم توقّف الحلّیّة فی المناکح و الأملاک علی إحراز سبب و عنوان محلّل وراء رفع سبب الحرمة و عنوان الحرام و لو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فبأنّ الحکم بالإباحة فی روایة سعد المتقدّمة إنّما هو مستند فی مثال الثوب و العبد إلی الید بحیث لو لا الید فیهما لکان الأصل فیهما الحرمة، و فی مثال الزوجة إلی أصالة عدم تحقّق النسب و الرضاع لا إلی مجرّد 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المحرّمات الخارجیّة المعلومة أکثر بمراتب من المحرّمات الکلّیّة</w:t>
      </w:r>
      <w:r>
        <w:rPr>
          <w:rFonts w:eastAsia="IRNazanin" w:cs="IRNazanin"/>
          <w:color w:val="111111"/>
          <w:sz w:val="28"/>
          <w:szCs w:val="28"/>
          <w:rtl w:val="true"/>
          <w:lang w:bidi="fa-IR"/>
        </w:rPr>
        <w:t>».</w:t>
      </w:r>
    </w:p>
    <w:p>
      <w:pPr>
        <w:pStyle w:val="Heading4"/>
        <w:numPr>
          <w:ilvl w:val="3"/>
          <w:numId w:val="1"/>
        </w:numPr>
        <w:rPr/>
      </w:pPr>
      <w:bookmarkStart w:id="1188" w:name="__RefHeading___Toc2647192_3224264995"/>
      <w:bookmarkStart w:id="1189" w:name="_Toc467"/>
      <w:bookmarkEnd w:id="1188"/>
      <w:r>
        <w:rPr>
          <w:rtl w:val="true"/>
        </w:rPr>
        <w:t>[</w:t>
      </w:r>
      <w:r>
        <w:rPr>
          <w:rtl w:val="true"/>
        </w:rPr>
        <w:t>ندرة الحلال الخارجی المعلوم الحلّیة</w:t>
      </w:r>
      <w:r>
        <w:rPr>
          <w:rtl w:val="true"/>
        </w:rPr>
        <w:t>]</w:t>
      </w:r>
      <w:bookmarkEnd w:id="11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الأمر کذلک إلّا أنّ الحلال الخارجی المعلوم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جدّا، بحیث حصر تمثیله فی المناهج</w:t>
      </w:r>
      <w:r>
        <w:rPr>
          <w:rStyle w:val="FootnoteAnchor"/>
          <w:rtl w:val="true"/>
        </w:rPr>
        <w:footnoteReference w:id="449"/>
      </w:r>
      <w:r>
        <w:rPr>
          <w:rFonts w:ascii="IRNazanin" w:hAnsi="IRNazanin" w:eastAsia="IRNazanin"/>
          <w:color w:val="111111"/>
          <w:sz w:val="28"/>
          <w:sz w:val="28"/>
          <w:szCs w:val="28"/>
          <w:rtl w:val="true"/>
          <w:lang w:bidi="fa-IR"/>
        </w:rPr>
        <w:t>بمثل ماء المطر النازل من السماء، لخصوص المحیز لها، مع إمکان منع العلم بحلّیّته أیضا من جهة آلة الحیازة و محلّها و حال المحیز، إذ کثیرا ما یکون المحیز محجورا فی الواقع من الحیازة بفسق أو ارتداد أو دین مانع لم یعلم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یکاد یظهر من الأخبار المختلفة ما تطمئنّ به النفس</w:t>
      </w:r>
      <w:r>
        <w:rPr>
          <w:rFonts w:eastAsia="IRNazanin" w:cs="IRNazanin"/>
          <w:color w:val="111111"/>
          <w:sz w:val="28"/>
          <w:szCs w:val="28"/>
          <w:rtl w:val="true"/>
          <w:lang w:bidi="fa-IR"/>
        </w:rPr>
        <w:t>».</w:t>
      </w:r>
    </w:p>
    <w:p>
      <w:pPr>
        <w:pStyle w:val="Heading4"/>
        <w:numPr>
          <w:ilvl w:val="3"/>
          <w:numId w:val="1"/>
        </w:numPr>
        <w:rPr/>
      </w:pPr>
      <w:bookmarkStart w:id="1190" w:name="__RefHeading___Toc2647194_3224264995"/>
      <w:bookmarkStart w:id="1191" w:name="_Toc468"/>
      <w:bookmarkEnd w:id="1190"/>
      <w:r>
        <w:rPr>
          <w:rtl w:val="true"/>
        </w:rPr>
        <w:t>[</w:t>
      </w:r>
      <w:r>
        <w:rPr>
          <w:rtl w:val="true"/>
        </w:rPr>
        <w:t>إمکان التوصّل إلی ظهور مطمئن مع اختلاف الأخبار فی أیّ باب</w:t>
      </w:r>
      <w:r>
        <w:rPr>
          <w:rtl w:val="true"/>
        </w:rPr>
        <w:t>]</w:t>
      </w:r>
      <w:bookmarkEnd w:id="119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باب من أبواب الاصول و الفروع لم تختلف فیه الأخبار؟ و مع ذلک لا یکاد یخفی فیه الظهور المطمئنّ به النفس لمن جدّ وجد</w:t>
      </w:r>
      <w:r>
        <w:rPr>
          <w:rStyle w:val="FootnoteAnchor"/>
          <w:rtl w:val="true"/>
        </w:rPr>
        <w:footnoteReference w:id="450"/>
      </w:r>
      <w:r>
        <w:rPr>
          <w:rFonts w:ascii="IRNazanin" w:hAnsi="IRNazanin" w:eastAsia="IRNazanin"/>
          <w:color w:val="111111"/>
          <w:sz w:val="28"/>
          <w:sz w:val="28"/>
          <w:szCs w:val="28"/>
          <w:rtl w:val="true"/>
          <w:lang w:bidi="fa-IR"/>
        </w:rPr>
        <w:t xml:space="preserve">خصوصا مسألة کیفیّة علم الأنبیاء و کمیّته الّتی هی کسائر المعارف الخمس یکون اختلاف </w:t>
      </w:r>
    </w:p>
    <w:p>
      <w:pPr>
        <w:pStyle w:val="BookText"/>
        <w:rPr/>
      </w:pPr>
      <w:r>
        <w:rPr>
          <w:rFonts w:ascii="Amiri" w:hAnsi="Amiri" w:eastAsia="Amiri" w:cs="Amiri"/>
          <w:color w:val="111111"/>
          <w:sz w:val="28"/>
          <w:sz w:val="28"/>
          <w:szCs w:val="28"/>
          <w:rtl w:val="true"/>
          <w:lang w:bidi="ar-SA"/>
        </w:rPr>
        <w:t>نصوصها من قبیل اختلاف المحکم و المتشابه، و النصّ و الظاهر، بل و مورد جمیع وجوه أصناف المرجّحات الدلالتیة و السندیة و الداخلیّة و الخارجیّة، و وجوه القرائن العقلیّة و النقلیّة بحیث لا یکاد یخفی فیه الظهور، بل القطع بجمیع أصنافه لمن جدّ وجد،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کتبنا فی سالف الزمان رسائل فی المعارف و المعرفة لإثبات عموم کیفیّة علم الإمام و کمیّته، و الجمع بین المحکمات و المتشابهات من الآیات و الأخبار بأبلغ وجه من وجوه الأدلّة الأربع، ذلِکَ مِنْ فَضْلِ اللَّهِ عَلَیْنا وَ عَلَی النَّاسِ وَ لکِنَّ أَکْثَرَ النَّاسِ لا یَشْکُرُونَ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وکول علم ذلک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الأولویّة مبنیّ علی کون المسألة من تفاصیل الاصول الخارجة عن محلّ التکلیف بها، و من المشکلات الّتی یردّ حکمها إلی اللّه و رسوله بحدیث التثلیث</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المبنی بکلا شقّیه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فرض الإشکال فحلّه بما تقدّم من المجاهدة و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خروجها عن محلّ التکلیف فأظهر منعا، لأنّ معرفة مراتب خلفاء الرحمن من الأصول الواجب علی المکلّفین من الإنس و الجانّ بنصّ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الاهتمام بمثله أولی من الاهتمام فی المسائل الفرعیّة قطعا، لکفایة التقلید فی ما دونه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الدلیل المذکور أولی بالدلالة علی وجوب الاجتناب من الشبهة </w:t>
      </w:r>
      <w:bookmarkStart w:id="1192" w:name="pg12856_162822"/>
    </w:p>
    <w:p>
      <w:pPr>
        <w:pStyle w:val="BookText"/>
        <w:rPr/>
      </w:pPr>
      <w:bookmarkEnd w:id="1192"/>
      <w:r>
        <w:rPr>
          <w:rFonts w:ascii="IRNazanin" w:hAnsi="IRNazanin" w:eastAsia="IRNazanin"/>
          <w:color w:val="111111"/>
          <w:sz w:val="28"/>
          <w:sz w:val="28"/>
          <w:szCs w:val="28"/>
          <w:rtl w:val="true"/>
          <w:lang w:bidi="fa-IR"/>
        </w:rPr>
        <w:t xml:space="preserve">فی طریق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الاولویّة أنّ وجوب ذی المقدّمة المفروضة و هو وجوب الاجتناب عن الحرام الواقعی حتی فی صورة الجهل، علی تقدیر ثبوته موقوف فی الشبهة الحکمیة علی انتزاع ذلک الوجوب من ضمّ تکلیف مجهول إلی تکلیف معلوم، بخلاف ذلک الوجوب فی الشبهة الموضوعیّة، فإنّه علی تقدیر ثبوته مستفاد من فرض تعمیم المکلّف به المعلوم و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البیّن عند الدوران بین فرضی تعدّد التکلیف و المکلّف به کان فرض التعمیم فی الموضوع أولی و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لا دخل له لإکمال الدین و عدمه، و لا لکون الحسن و القبح، أو الوجوب و التحریم عقلیین أو شرعیین</w:t>
      </w:r>
      <w:r>
        <w:rPr>
          <w:rFonts w:eastAsia="IRNazanin" w:cs="IRNazanin"/>
          <w:color w:val="111111"/>
          <w:sz w:val="28"/>
          <w:szCs w:val="28"/>
          <w:rtl w:val="true"/>
          <w:lang w:bidi="fa-IR"/>
        </w:rPr>
        <w:t>».</w:t>
      </w:r>
    </w:p>
    <w:p>
      <w:pPr>
        <w:pStyle w:val="Heading4"/>
        <w:numPr>
          <w:ilvl w:val="3"/>
          <w:numId w:val="1"/>
        </w:numPr>
        <w:rPr/>
      </w:pPr>
      <w:bookmarkStart w:id="1193" w:name="__RefHeading___Toc2647196_3224264995"/>
      <w:bookmarkStart w:id="1194" w:name="_Toc469"/>
      <w:bookmarkEnd w:id="1193"/>
      <w:r>
        <w:rPr>
          <w:rtl w:val="true"/>
        </w:rPr>
        <w:t>[</w:t>
      </w:r>
      <w:r>
        <w:rPr>
          <w:rtl w:val="true"/>
        </w:rPr>
        <w:t>توجیه کلام المحدّث الاسترابادی فی البراءة</w:t>
      </w:r>
      <w:r>
        <w:rPr>
          <w:rtl w:val="true"/>
        </w:rPr>
        <w:t>]</w:t>
      </w:r>
      <w:bookmarkEnd w:id="11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توجیه کلام هذا المحدّث بأنّ الغرض من إکمال الدین، و کون الحسن و القبح عقلیّین، و تبعیّة الأحکام للمصالح و المفاسد الواقعیّة لا العلم و الجهل، و بیان الأحکام الواقعیة، و الإلزام بها، و إخزانها عند أهله بوصف أنّها مجهولة عندنا، لیس إلّا الإلزام بها علی کلّ حالی العلم و الجهل، و التوصّل إلیه علی کلّ تقدیر، حذرا من تفویت الواقع و مصلحته و ذاتیّته و إکماله و إخزانه، و إلّا لم یکن وجه لجعله الواقعی، و إلزامه و إکماله و إخزانه عند أهله مع وصف أنّه مجهول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بالبراءة و الاباحة أیضا لا یخلو من المصلحة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الاباحة مصلحة فی نفس الجعل و الجاعل، لا تفوت و لا تنقض بمخالفة الفاعل، بخلاف مصلحة الحکم الإلزامی، فإنّها فی نفس العمل و الالتزام، تفوت بفواته و تنقض بنفیه بالأصل لا محالة، فنفیه بالأصل نقض لغرض الشارع و حکمه و مصالحه المخزونة فی الواقع</w:t>
      </w:r>
      <w:r>
        <w:rPr>
          <w:rFonts w:eastAsia="IRNazanin" w:cs="IRNazanin"/>
          <w:color w:val="111111"/>
          <w:sz w:val="28"/>
          <w:szCs w:val="28"/>
          <w:rtl w:val="true"/>
          <w:lang w:bidi="fa-IR"/>
        </w:rPr>
        <w:t xml:space="preserve">. </w:t>
      </w:r>
      <w:bookmarkStart w:id="1195" w:name="pg12856_162823"/>
    </w:p>
    <w:p>
      <w:pPr>
        <w:pStyle w:val="BookText"/>
        <w:rPr/>
      </w:pPr>
      <w:bookmarkEnd w:id="1195"/>
      <w:r>
        <w:rPr>
          <w:rFonts w:ascii="IRNazanin" w:hAnsi="IRNazanin" w:eastAsia="IRNazanin"/>
          <w:color w:val="111111"/>
          <w:sz w:val="28"/>
          <w:sz w:val="28"/>
          <w:szCs w:val="28"/>
          <w:rtl w:val="true"/>
          <w:lang w:bidi="fa-IR"/>
        </w:rPr>
        <w:t>و علی ذلک یرجع کلام هذا المحدّث إلی کلام سائر الأخباریّة، و ینحصر الجواب عنه فی الجواب عن سائر 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فی العمل بالبراءة فی الشبهات الحکمیّة منافاة و نقض لغرض الشارع و حکمه و مصالحه و بیانه، لکان العمل بها کذلک مطلقا حتی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باطل بالاتّفاق،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المنافاة و النقض إنّما یحصل من العمل بالبراءة لو لم یستند إلی قول الشارع، و أمّا لو استند إلیه فعهدة تدارک ما یفوت من الواقع إنّما هو علی الشارع الجاعل له، کسائر ما لیس دائم المطابقة من مجعولاته و مجعولات کلّ جاعل من الأمارات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إشکال فی رجحان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سوق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الاحتیاط و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رجحانه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ترتّب الثواب علیه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کون المثاب علیه هل هو الانقیاد المقارن للفعل المنقاد و المحتاط به، أو الفعل المقارن للانقیاد و الاحتیاط؟ و هذا هو المنعقد فیه بحث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ثمرة الوجهین فی صیرورة العبادات المعادة احتیاطا من جملة العبادات لیرتّب علیها أحکام العبادة، و عدم صیرورتها کذلک، و فی صیرورة الأعمال المأتیّ بها بعنوان الاحتیاط من باب التسامح فی أدلّة السنن مستحبّة شرعا، لیترتّب علیها لوازم الاستحباب، و عدم صیرورتها کذلک</w:t>
      </w:r>
      <w:r>
        <w:rPr>
          <w:rFonts w:eastAsia="IRNazanin" w:cs="IRNazanin"/>
          <w:color w:val="111111"/>
          <w:sz w:val="28"/>
          <w:szCs w:val="28"/>
          <w:rtl w:val="true"/>
          <w:lang w:bidi="fa-IR"/>
        </w:rPr>
        <w:t>.</w:t>
      </w:r>
    </w:p>
    <w:p>
      <w:pPr>
        <w:pStyle w:val="Heading4"/>
        <w:numPr>
          <w:ilvl w:val="3"/>
          <w:numId w:val="1"/>
        </w:numPr>
        <w:rPr/>
      </w:pPr>
      <w:bookmarkStart w:id="1196" w:name="__RefHeading___Toc2647198_3224264995"/>
      <w:bookmarkStart w:id="1197" w:name="_Toc470"/>
      <w:bookmarkEnd w:id="1196"/>
      <w:r>
        <w:rPr>
          <w:rtl w:val="true"/>
        </w:rPr>
        <w:t>[</w:t>
      </w:r>
      <w:r>
        <w:rPr>
          <w:rtl w:val="true"/>
        </w:rPr>
        <w:t>الکلام فی معنی الاحتیاط</w:t>
      </w:r>
      <w:r>
        <w:rPr>
          <w:rtl w:val="true"/>
        </w:rPr>
        <w:t>]</w:t>
      </w:r>
      <w:bookmarkEnd w:id="11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معنی الاحتیاط، فهو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بالثقة و الوقایة </w:t>
      </w:r>
      <w:bookmarkStart w:id="1198" w:name="pg12856_162824"/>
    </w:p>
    <w:p>
      <w:pPr>
        <w:pStyle w:val="BookText"/>
        <w:rPr/>
      </w:pPr>
      <w:bookmarkEnd w:id="1198"/>
      <w:r>
        <w:rPr>
          <w:rFonts w:ascii="Amiri" w:hAnsi="Amiri" w:eastAsia="Amiri" w:cs="Amiri"/>
          <w:color w:val="111111"/>
          <w:sz w:val="28"/>
          <w:sz w:val="28"/>
          <w:szCs w:val="28"/>
          <w:rtl w:val="true"/>
          <w:lang w:bidi="ar-SA"/>
        </w:rPr>
        <w:t>ممّا یخاف</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بالحائطة لدینک</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بالأحوط، و هو الأوثق و الأحفظ و الأوقی ممّا 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اصطلاح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إتیان الشی‌ء برجاء محبوبیّته و مطلوبیّته للمولی، عکس التجرّی و هو إتیان الشی‌ء مع احتمال مبغوضیّته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الاحتیاط بالاطاعة الحکمیّة، کما یسمّی التجرّی بالمعصیة الحکمیّة، فی مقابل الاطاعة و المعصیة الحقیقیّتین</w:t>
      </w:r>
      <w:r>
        <w:rPr>
          <w:rFonts w:eastAsia="IRNazanin" w:cs="IRNazanin"/>
          <w:color w:val="111111"/>
          <w:sz w:val="28"/>
          <w:szCs w:val="28"/>
          <w:rtl w:val="true"/>
          <w:lang w:bidi="fa-IR"/>
        </w:rPr>
        <w:t>.</w:t>
      </w:r>
    </w:p>
    <w:p>
      <w:pPr>
        <w:pStyle w:val="Heading4"/>
        <w:numPr>
          <w:ilvl w:val="3"/>
          <w:numId w:val="1"/>
        </w:numPr>
        <w:rPr/>
      </w:pPr>
      <w:bookmarkStart w:id="1199" w:name="__RefHeading___Toc2647200_3224264995"/>
      <w:bookmarkStart w:id="1200" w:name="_Toc471"/>
      <w:bookmarkEnd w:id="1199"/>
      <w:r>
        <w:rPr>
          <w:rtl w:val="true"/>
        </w:rPr>
        <w:t>[</w:t>
      </w:r>
      <w:r>
        <w:rPr>
          <w:rtl w:val="true"/>
        </w:rPr>
        <w:t>موارد الاحتیاط و حکمه</w:t>
      </w:r>
      <w:r>
        <w:rPr>
          <w:rtl w:val="true"/>
        </w:rPr>
        <w:t>]</w:t>
      </w:r>
      <w:bookmarkEnd w:id="1200"/>
    </w:p>
    <w:p>
      <w:pPr>
        <w:pStyle w:val="BookText"/>
        <w:rPr/>
      </w:pPr>
      <w:r>
        <w:rPr>
          <w:rFonts w:ascii="IRNazanin" w:hAnsi="IRNazanin" w:eastAsia="IRNazanin"/>
          <w:color w:val="111111"/>
          <w:sz w:val="28"/>
          <w:sz w:val="28"/>
          <w:szCs w:val="28"/>
          <w:rtl w:val="true"/>
          <w:lang w:bidi="fa-IR"/>
        </w:rPr>
        <w:t>و أمّا الکلام فی موارده، فمن البیّن أنّ معنی الاحتیاط و صدقه یعمّ ما عدا معلومی الرجحان و عدم الرجحان من موارد المشکوک، و الموهوم، و المظنون رجحانه، أو عدم رجحانه، و لو بالظنّ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 فمن المعلوم أنّه لا إشکال فی رجحان الاحتیاط عقلا، لاستقلال العقل بحسنة مطلقا، و لا فی ترتّب الثواب علیه شرعا إذا أتی به برجاء الثواب و التماسه لاستفاضة الأخبار بذلک؛ بل قال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بالثواب هنا أولی من الحکم بالعقاب علی تارک الاحتیاط اللازم، بناء علی أنّها فی حکم المعصیة و إن لم یفعل محرّما</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 الأولویّة أنّ رحمته تعالی سبقت غضبه، و ما فی الأخبار الدالّة علی أنّ من نوی حسنة کتبت له حسنة، فإن فعلها کتبت له عشرا، و من نوی معصیة لم تکتب له، فإن فعلها کتبت علیه سیّئة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1201" w:name="pg12856_162825"/>
    </w:p>
    <w:p>
      <w:pPr>
        <w:pStyle w:val="BookText"/>
        <w:rPr/>
      </w:pPr>
      <w:bookmarkEnd w:id="1201"/>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یناقش فی تسمیة ما یستحقّه هذا العامل لمجرّد احتمال الأمر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المناقشة مبنیّة علی ما هو مصطلح أهل الکلام فی تفسیر الثواب بالنفع المستحقّ المقارن للتعظیم، دون ما هو المتبادر عرفا و لغة، مع کون الثواب هو مطلق الجزاء و العوض و لو عن تفضّل و جعل دون استحقاق و انجعال،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المنساق من الثواب المترتّب علی إتیان المحتمل هو الثواب التفضّلی الجعلی لا الاستحقاقی فی المنجعل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یترتّب علیه رفع الحدث،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ترتّب رفع الحدث علیه إنّما هو مبنیّ علی صدق موضوع الطهارة الشرعیّة، و هو مبنیّ علی ترتّب الثواب علی نفسها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قلنا باستحبابه شرعا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الملازمة بین استحبابه الشرعیّ و جزئیّته للوضوء المصحّح للمسح ببلله، فإنّ المعتبر فی المسح کونه ببلل الوضوء لا ببلل آخر و إن استحبّ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یستلزم استحبابه لجزئیّته، کما لا یستلزم غسل الیدین و المضمضة و الاستنشاق لجزئیتها فی الوضوء، و استحباب الأذان و الإقامة لجزئیّتهما للصلاة، إلّا أنّ وقوع استحباب غسل مسترسل اللحیة فی أثناء أجزاء الوضوء یستلزم الملازمة بین استحبابه و جزئیّته، لأنّ استحباب الجملة المعترضة بین أجزاء الوضوء فی غایة البعد عقلا و شرعا</w:t>
      </w:r>
      <w:r>
        <w:rPr>
          <w:rFonts w:eastAsia="IRNazanin" w:cs="IRNazanin"/>
          <w:color w:val="111111"/>
          <w:sz w:val="28"/>
          <w:szCs w:val="28"/>
          <w:rtl w:val="true"/>
          <w:lang w:bidi="fa-IR"/>
        </w:rPr>
        <w:t>.</w:t>
      </w:r>
    </w:p>
    <w:p>
      <w:pPr>
        <w:pStyle w:val="Heading4"/>
        <w:numPr>
          <w:ilvl w:val="3"/>
          <w:numId w:val="1"/>
        </w:numPr>
        <w:rPr/>
      </w:pPr>
      <w:bookmarkStart w:id="1202" w:name="__RefHeading___Toc2647202_3224264995"/>
      <w:bookmarkStart w:id="1203" w:name="_Toc472"/>
      <w:bookmarkEnd w:id="1202"/>
      <w:r>
        <w:rPr>
          <w:rtl w:val="true"/>
        </w:rPr>
        <w:t>[</w:t>
      </w:r>
      <w:r>
        <w:rPr>
          <w:rtl w:val="true"/>
        </w:rPr>
        <w:t>فی تشخیص المثاب علیه عند الاحتیاط</w:t>
      </w:r>
      <w:r>
        <w:rPr>
          <w:rtl w:val="true"/>
        </w:rPr>
        <w:t>]</w:t>
      </w:r>
      <w:bookmarkEnd w:id="120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تشخیص المثاب علیه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إشکال فی رجحان الاحتیاط و الانقیاد و العمل بالأمر الإرشادی، و ترتّب الثواب علیه عقلا و شرعا</w:t>
      </w:r>
      <w:r>
        <w:rPr>
          <w:rFonts w:eastAsia="IRNazanin" w:cs="IRNazanin"/>
          <w:color w:val="111111"/>
          <w:sz w:val="28"/>
          <w:szCs w:val="28"/>
          <w:rtl w:val="true"/>
          <w:lang w:bidi="fa-IR"/>
        </w:rPr>
        <w:t xml:space="preserve">- </w:t>
      </w:r>
      <w:bookmarkStart w:id="1204" w:name="pg12856_162826"/>
    </w:p>
    <w:p>
      <w:pPr>
        <w:pStyle w:val="BookText"/>
        <w:rPr/>
      </w:pPr>
      <w:bookmarkEnd w:id="1204"/>
      <w:r>
        <w:rPr>
          <w:rFonts w:ascii="IRNazanin" w:hAnsi="IRNazanin" w:eastAsia="IRNazanin"/>
          <w:color w:val="111111"/>
          <w:sz w:val="28"/>
          <w:sz w:val="28"/>
          <w:szCs w:val="28"/>
          <w:rtl w:val="true"/>
          <w:lang w:bidi="fa-IR"/>
        </w:rPr>
        <w:t>حسبما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قبح ما یقابله من التجرّی و ترتّب العقاب علیه عقلا و شرعا، فإنّ الفعل کما قد یکون منشأ للإطاعة فی مقابل ما یکون منشأ للمعصیة، کذلک قد یکون منشأ للانقیاد و الاحتیاط المسمّی بالإطاعة الحکمیّة فی مقابل ما یکون منشأ للتجرّی المسمّی بالمعصیة الحکمیّة، و هذا ممّا لا إشکال فیه</w:t>
      </w:r>
      <w:r>
        <w:rPr>
          <w:rFonts w:eastAsia="IRNazanin" w:cs="IRNazanin"/>
          <w:color w:val="111111"/>
          <w:sz w:val="28"/>
          <w:szCs w:val="28"/>
          <w:rtl w:val="true"/>
          <w:lang w:bidi="fa-IR"/>
        </w:rPr>
        <w:t>.</w:t>
      </w:r>
    </w:p>
    <w:p>
      <w:pPr>
        <w:pStyle w:val="Heading4"/>
        <w:numPr>
          <w:ilvl w:val="3"/>
          <w:numId w:val="1"/>
        </w:numPr>
        <w:rPr/>
      </w:pPr>
      <w:bookmarkStart w:id="1205" w:name="__RefHeading___Toc2647204_3224264995"/>
      <w:bookmarkStart w:id="1206" w:name="_Toc473"/>
      <w:bookmarkEnd w:id="1205"/>
      <w:r>
        <w:rPr>
          <w:rtl w:val="true"/>
        </w:rPr>
        <w:t>[</w:t>
      </w:r>
      <w:r>
        <w:rPr>
          <w:rtl w:val="true"/>
        </w:rPr>
        <w:t>حسن الاحتیاط یوجب حسن الفعل المحتاط به</w:t>
      </w:r>
      <w:r>
        <w:rPr>
          <w:rtl w:val="true"/>
        </w:rPr>
        <w:t>]</w:t>
      </w:r>
      <w:bookmarkEnd w:id="1206"/>
    </w:p>
    <w:p>
      <w:pPr>
        <w:pStyle w:val="BookText"/>
        <w:rPr/>
      </w:pPr>
      <w:r>
        <w:rPr>
          <w:rFonts w:ascii="IRNazanin" w:hAnsi="IRNazanin" w:eastAsia="IRNazanin"/>
          <w:color w:val="111111"/>
          <w:sz w:val="28"/>
          <w:sz w:val="28"/>
          <w:szCs w:val="28"/>
          <w:rtl w:val="true"/>
          <w:lang w:bidi="fa-IR"/>
        </w:rPr>
        <w:t>إنّما الإشکال و الخلاف فی أنّ مجرّد حسن ذلک الاحتیاط و الانقیاد و الاسترشاد هل یوجب حسن الفعل المحتاط به، و تعلّق الأمر و الرجحان و الثواب بذلک الفعل المرشد إلیه، أم هو کاشف عن مجرّد حسن الفاعل لذلک الفعل دون حسن الفعل، أو عن حسن الانقیاد المقارن للفعل لا عن نفس الفعل المقارن للانقیاد، بل نفس الفعل باق علی ما کان له من الحکم؟ کالخلاف فی أنّ قبح التجرّی و حرمته هل یوجب قبح الفعل المتجرّی به، أم هو مجرّد قبح الفاعل، أو قبح العزم المقارن للفعل؟</w:t>
      </w:r>
    </w:p>
    <w:p>
      <w:pPr>
        <w:pStyle w:val="BookText"/>
        <w:rPr/>
      </w:pPr>
      <w:r>
        <w:rPr>
          <w:rFonts w:ascii="IRNazanin" w:hAnsi="IRNazanin" w:eastAsia="IRNazanin"/>
          <w:color w:val="111111"/>
          <w:sz w:val="28"/>
          <w:sz w:val="28"/>
          <w:szCs w:val="28"/>
          <w:rtl w:val="true"/>
          <w:lang w:bidi="fa-IR"/>
        </w:rPr>
        <w:t>و مختار المتن هنا العدم، کاختیاره العدم فی مسألة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إیجابه بوجوه مستفادة من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الثواب علی الفعل یوجب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المتن عنه بأنّ ذلک لا یوجب تعلّق الأمر به، بل هو لأجل کونه انقیادا للشارع</w:t>
      </w:r>
      <w:r>
        <w:rPr>
          <w:rStyle w:val="FootnoteAnchor"/>
          <w:rtl w:val="true"/>
        </w:rPr>
        <w:footnoteReference w:id="459"/>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یعنی بهذا الجواب منع ترتّب الثواب علی نفس الفعل المحتاط به، لاحتمال ترتّبه علی حسن الفاعل للاحتیاط و الانقیاد، دون حسن الفعل، أو علی حسن قصد الانقیاد المقارن للفعل، لا علی نفس الفعل المقارن للقصد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العقل إذا استقلّ بحسن هذا الإتیان ثبت بحکم الملازمة الأمر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أیضا بما یکون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بالاحتیاط و الانقیاد أمر إرشادی، و الأمر الارشادی إمّا معلوم، أو مظنون، أو موهوم، أو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 صوره الأربعة إمّا أن یفرض المرشد إلیه لذلک الأمر تعبّدیّا، أو توصّلیا، أو مشکوکا محتمل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ضربت صور الأمر الإرشادی الأربعة فی صور الأمر المرشد إلیه الثلاث بلغت اثنی عشر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الارشادی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تابع کالتأکید إرشادی محض لا یترتّب علی موافقته و مخالفته أزید ممّا یترتّب علی نفس وجود المأمور به، أو عدمه، فیکون مراعی به، بل لا یمکن أن یوجب الأمر الإرشادی أمرا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یوجبه المرشد إلیه لمنافاته التبعیّة و الارشادیّة، و استلزامه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یمکن أن یوجب الأمر المرشد إلیه التعبّد و اعتبار القربة فی المأمور به بنفسه، للزوم نقض غرضه؛ بل استفادة ذلک من شئون الدلیل العقلی فی طریق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تبیّن أنّ الأمر الإرشادی المعلوم لم یوجب الأمر و الحسن الشرعی فی المرشد إلیه، فالمظنون و المشکوک و الموهوم أولی منه فی عدم إیجابه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المرشد إلیه فإن کان معلوم التعبّد أو معلوم التوصّل فبها، و إلّا فالمرجع فی المشکوک المردّد إلی ما هو الأصل فی الأوامر المشکوکة، هل هو التعبّد، أم التوصّل؟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ذلک أنّ حسن الاسترشاد بالأوامر الإرشادیة بأقسامها الاثنی عشر لا یوجب حسن الفعل المرشد إلیه، بل هو مراعی لما فیه من الحسن و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سیرة العلماء و الصلحاء فتوی و عملا علی إعادة العبادات لمجرّد الاحتیاط، و الخروج عن مخالفة النصوص الغیر المعتبرة و الفتاوی النادرة، بالتقریب المقرّر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المختار فی هذه المسألة هو المختار فی مسألة التجرّی، فکما کان المختار عندنا فی مسألة التجرّی هو قبح الفعل المتجرّی به و حرمته بالأدلّة الأربع المذکورة ثمة</w:t>
      </w:r>
      <w:r>
        <w:rPr>
          <w:rStyle w:val="FootnoteAnchor"/>
          <w:rtl w:val="true"/>
        </w:rPr>
        <w:footnoteReference w:id="460"/>
      </w:r>
      <w:r>
        <w:rPr>
          <w:rFonts w:ascii="IRNazanin" w:hAnsi="IRNazanin" w:eastAsia="IRNazanin"/>
          <w:color w:val="111111"/>
          <w:sz w:val="28"/>
          <w:sz w:val="28"/>
          <w:szCs w:val="28"/>
          <w:rtl w:val="true"/>
          <w:lang w:bidi="fa-IR"/>
        </w:rPr>
        <w:t>، کذلک المختار عندنا فی الاحتیاط و الانقیاد هو رجحان فعل المحتاط و المنقاد به بالأدلّة الأربع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الذکری</w:t>
      </w:r>
      <w:r>
        <w:rPr>
          <w:rStyle w:val="FootnoteAnchor"/>
          <w:rtl w:val="true"/>
        </w:rPr>
        <w:footnoteReference w:id="461"/>
      </w:r>
      <w:r>
        <w:rPr>
          <w:rFonts w:ascii="IRNazanin" w:hAnsi="IRNazanin" w:eastAsia="IRNazanin"/>
          <w:color w:val="111111"/>
          <w:sz w:val="28"/>
          <w:sz w:val="28"/>
          <w:szCs w:val="28"/>
          <w:rtl w:val="true"/>
          <w:lang w:bidi="fa-IR"/>
        </w:rPr>
        <w:t>فی خاتمة</w:t>
      </w:r>
      <w:r>
        <w:rPr>
          <w:rStyle w:val="FootnoteAnchor"/>
          <w:rtl w:val="true"/>
        </w:rPr>
        <w:footnoteReference w:id="462"/>
      </w:r>
      <w:r>
        <w:rPr>
          <w:rFonts w:ascii="Amiri" w:hAnsi="Amiri" w:eastAsia="Amiri" w:cs="Amiri"/>
          <w:color w:val="111111"/>
          <w:sz w:val="28"/>
          <w:sz w:val="28"/>
          <w:szCs w:val="28"/>
          <w:rtl w:val="true"/>
          <w:lang w:bidi="ar-SA"/>
        </w:rPr>
        <w:t>قضاء الفوائت علی شرعیّة قضاء الصلاة لمجرّد احتمال خلل فیها موهوم،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463"/>
      </w:r>
      <w:r>
        <w:rPr>
          <w:rFonts w:ascii="Amiri" w:hAnsi="Amiri" w:eastAsia="Amiri" w:cs="Amiri"/>
          <w:color w:val="111111"/>
          <w:sz w:val="28"/>
          <w:sz w:val="28"/>
          <w:szCs w:val="28"/>
          <w:rtl w:val="true"/>
          <w:lang w:bidi="ar-SA"/>
        </w:rPr>
        <w:t>، و اتَّقُوا اللَّهَ حَقَّ تُقاتِهِ</w:t>
      </w:r>
      <w:r>
        <w:rPr>
          <w:rStyle w:val="FootnoteAnchor"/>
          <w:rtl w:val="true"/>
        </w:rPr>
        <w:footnoteReference w:id="46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یُؤْتُونَ ما آتَوْا وَ قُلُوبُهُمْ وَجِلَةٌ أَنَّهُمْ إِلی رَبِّهِمْ راجِعُونَ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أورد علیه الماتن من أنّ أوامر الاحتیاط لا یجدی فی صحّة المحتاط به، لأنّ موضوع التقوی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یتوقّف علیه هذه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إلّا بعد إتیان محتمل العبادة علی وجه یجتمع فیه جمیع ما یعتبر فی العبادة حتی نیّة القربة، و إلّا لم یکن احتیاطا</w:t>
      </w:r>
      <w:r>
        <w:rPr>
          <w:rStyle w:val="FootnoteAnchor"/>
          <w:rtl w:val="true"/>
        </w:rPr>
        <w:footnoteReference w:id="466"/>
      </w:r>
      <w:r>
        <w:rPr>
          <w:rFonts w:ascii="IRNazanin" w:hAnsi="IRNazanin" w:eastAsia="IRNazanin"/>
          <w:color w:val="111111"/>
          <w:sz w:val="28"/>
          <w:sz w:val="28"/>
          <w:szCs w:val="28"/>
          <w:rtl w:val="true"/>
          <w:lang w:bidi="fa-IR"/>
        </w:rPr>
        <w:t>و إرشادا لما فی معنی الاحتیاط و الارشاد من التبعیّة للمرشد إلیه، فلا یجوز أن تکون تلک الأوامر الإرشادیة منشأ للقربة المنویّة، و إلّا لاستلزم الدّور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اجیب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القربة المعتبرة فی العبادة المکرّرة إنّما هی من لوازم إطاعة الأمر الاحتیاطی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 الأمر الاحتیاطی إرشادی تابع للمرشد إلیه فلا یعقل أن یفید القربة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تابع له فیما عدا القربة من اعتبار سائر الأجزاء و الشرائط دون القربة، و ذلک لأنّ تلک القربة المعتبرة بالأمر المرشد إلیه تابعة لوجود الأمر المرشد إلیه، و لمّا ارتفع الأمر المرشد إلیه بواسطة فرض امتثاله و إطاعته ارتفعت القربة الناشیة منه، فلم یبق منشأ لاعتبارها إلّا من الأمر الإرشادی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ابتناء هذا الجواب علی أصالة التعبّد فی الأوامر إلّا ما ثبت من الخارج کونه للتوصّل، و هو مبنی قویّ قرّر وجهه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وجه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یکون تلک الأوامر منشأ للقربة المنویّة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کان من جهة 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النقض بورود الإیراد المذکور فی الأوامر الواقعیّة حسبما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و کون الدّور المذکور معیّا لا ترتیبیّا، أو کون الأمر بالاحتیاط کاشفا و علامة مستلزمة لمقربیّة المأمور به علی وجه الإنّ لا اللمّ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جهة تعلیل أوامر الاحتیاط بالارشاد و التبعیّة لحصول المرشد إلیه، و التوصّل إلیه علی وجه المراعات بمصادفة الواقع لا مطلقا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النقض المذکور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الإرشاد فی الأمر غیر مانع من مطلوبیّة المأمور به علی وجه الإطلاق و النفسیّة لا المراعاة، بل هو مؤکّد للمطلوبیّة النفسیّة، و إلّا لزم خلوّ جمیع الأوامر الشرعیّة عن الطلب المطلق</w:t>
      </w:r>
      <w:r>
        <w:rPr>
          <w:rFonts w:eastAsia="IRNazanin" w:cs="IRNazanin"/>
          <w:color w:val="111111"/>
          <w:sz w:val="28"/>
          <w:szCs w:val="28"/>
          <w:rtl w:val="true"/>
          <w:lang w:bidi="fa-IR"/>
        </w:rPr>
        <w:t xml:space="preserve">. </w:t>
      </w:r>
      <w:bookmarkStart w:id="1207" w:name="pg12856_162830"/>
    </w:p>
    <w:p>
      <w:pPr>
        <w:pStyle w:val="Heading4"/>
        <w:numPr>
          <w:ilvl w:val="3"/>
          <w:numId w:val="1"/>
        </w:numPr>
        <w:rPr/>
      </w:pPr>
      <w:bookmarkStart w:id="1208" w:name="__RefHeading___Toc2647206_3224264995"/>
      <w:bookmarkStart w:id="1209" w:name="_Toc474"/>
      <w:bookmarkEnd w:id="1207"/>
      <w:bookmarkEnd w:id="1208"/>
      <w:r>
        <w:rPr>
          <w:rtl w:val="true"/>
        </w:rPr>
        <w:t>[</w:t>
      </w:r>
      <w:r>
        <w:rPr>
          <w:rtl w:val="true"/>
        </w:rPr>
        <w:t>اخبار من بلغه ثواب</w:t>
      </w:r>
      <w:r>
        <w:rPr>
          <w:rtl w:val="true"/>
        </w:rPr>
        <w:t>]</w:t>
      </w:r>
      <w:bookmarkEnd w:id="1209"/>
    </w:p>
    <w:p>
      <w:pPr>
        <w:pStyle w:val="BookText"/>
        <w:rPr/>
      </w:pPr>
      <w:r>
        <w:rPr>
          <w:rFonts w:ascii="IRNazanin" w:hAnsi="IRNazanin" w:eastAsia="IRNazanin"/>
          <w:color w:val="111111"/>
          <w:sz w:val="28"/>
          <w:sz w:val="28"/>
          <w:szCs w:val="28"/>
          <w:rtl w:val="true"/>
          <w:lang w:bidi="fa-IR"/>
        </w:rPr>
        <w:t>هذا مضافا إلی أنّ نصوص من بلغ</w:t>
      </w:r>
      <w:r>
        <w:rPr>
          <w:rStyle w:val="FootnoteAnchor"/>
          <w:rtl w:val="true"/>
        </w:rPr>
        <w:footnoteReference w:id="467"/>
      </w:r>
      <w:r>
        <w:rPr>
          <w:rFonts w:ascii="IRNazanin" w:hAnsi="IRNazanin" w:eastAsia="IRNazanin"/>
          <w:color w:val="111111"/>
          <w:sz w:val="28"/>
          <w:sz w:val="28"/>
          <w:szCs w:val="28"/>
          <w:rtl w:val="true"/>
          <w:lang w:bidi="fa-IR"/>
        </w:rPr>
        <w:t>غیر معلّلة بالإرشاد إلی الواقع، بل و بعض نصوص الاحتیاط</w:t>
      </w:r>
      <w:r>
        <w:rPr>
          <w:rStyle w:val="FootnoteAnchor"/>
          <w:rtl w:val="true"/>
        </w:rPr>
        <w:footnoteReference w:id="468"/>
      </w:r>
      <w:r>
        <w:rPr>
          <w:rFonts w:ascii="IRNazanin" w:hAnsi="IRNazanin" w:eastAsia="IRNazanin"/>
          <w:color w:val="111111"/>
          <w:sz w:val="28"/>
          <w:sz w:val="28"/>
          <w:szCs w:val="28"/>
          <w:rtl w:val="true"/>
          <w:lang w:bidi="fa-IR"/>
        </w:rPr>
        <w:t>أیضا غیر معلّلة به، و لا یتأتّی قاعدة تقیید المطلق بالمقیّد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 الدالّة علی استحباب فعل کلّ ما یحتمل فیه الثواب</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کون الثواب علی حسن الفاعل، أو حسن الرجاء المقارن للفعل دون نفس الفعل، خلاف ظاهر تلک الأخبار جدّا، کما لا یخفی علی المتأمّل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 الثواب فیها من باب التفضّل مترتّبا علی الداعی النفسانی المقارن للعمل، و هو داعی البلوغ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یبعده ترتّب الثواب فی بعض تلک الأخبار علی نفس العمل البالغ</w:t>
      </w:r>
      <w:r>
        <w:rPr>
          <w:rFonts w:eastAsia="IRNazanin" w:cs="IRNazanin"/>
          <w:color w:val="111111"/>
          <w:sz w:val="28"/>
          <w:szCs w:val="28"/>
          <w:rtl w:val="true"/>
          <w:lang w:bidi="fa-IR"/>
        </w:rPr>
        <w:t>.</w:t>
      </w:r>
    </w:p>
    <w:p>
      <w:pPr>
        <w:pStyle w:val="Heading4"/>
        <w:numPr>
          <w:ilvl w:val="3"/>
          <w:numId w:val="1"/>
        </w:numPr>
        <w:rPr/>
      </w:pPr>
      <w:bookmarkStart w:id="1210" w:name="__RefHeading___Toc2647208_3224264995"/>
      <w:bookmarkStart w:id="1211" w:name="_Toc475"/>
      <w:bookmarkEnd w:id="1210"/>
      <w:r>
        <w:rPr>
          <w:rtl w:val="true"/>
        </w:rPr>
        <w:t>[</w:t>
      </w:r>
      <w:r>
        <w:rPr>
          <w:rtl w:val="true"/>
        </w:rPr>
        <w:t>عدم حمل المطلق علی المقید فی المستحبات</w:t>
      </w:r>
      <w:r>
        <w:rPr>
          <w:rtl w:val="true"/>
        </w:rPr>
        <w:t>]</w:t>
      </w:r>
      <w:bookmarkEnd w:id="1211"/>
    </w:p>
    <w:p>
      <w:pPr>
        <w:pStyle w:val="BookText"/>
        <w:rPr/>
      </w:pPr>
      <w:r>
        <w:rPr>
          <w:rFonts w:ascii="IRNazanin" w:hAnsi="IRNazanin" w:eastAsia="IRNazanin"/>
          <w:color w:val="111111"/>
          <w:sz w:val="28"/>
          <w:sz w:val="28"/>
          <w:szCs w:val="28"/>
          <w:rtl w:val="true"/>
          <w:lang w:bidi="fa-IR"/>
        </w:rPr>
        <w:t>و احتمال تقییده ببعض الأخبار الأخر المرتّبة للثواب علی العمل بعنوان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ما قرّر فی محلّه من عدم حمل المطلق علی المقیّد فی المستحبّات، لعدم إحراز اتّحاد المطلوب منهما فی المستحبّات، بخلاف الواجبات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احتمال تخصیص مواردها بصورة تحقّق الاستحباب و کون البالغ هو الثواب الخاصّ لا مطلق الثواب،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ستّة بعد الفطر یعادل صوم الدهر</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عرفة یعادل کذا</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الغفیلة تعادل کذا</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ممّا هو معلوم </w:t>
      </w:r>
    </w:p>
    <w:p>
      <w:pPr>
        <w:pStyle w:val="BookText"/>
        <w:rPr/>
      </w:pPr>
      <w:r>
        <w:rPr>
          <w:rFonts w:ascii="IRNazanin" w:hAnsi="IRNazanin" w:eastAsia="IRNazanin"/>
          <w:color w:val="111111"/>
          <w:sz w:val="28"/>
          <w:sz w:val="28"/>
          <w:szCs w:val="28"/>
          <w:rtl w:val="true"/>
          <w:lang w:bidi="fa-IR"/>
        </w:rPr>
        <w:t>العبادة و الاستحباب من الخارج، و کون البالغ هو الثواب الخاصّ لا مطلق الثواب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تسریح اللحیة أو حفّ الشوارب ثواب</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ممّا لیس بمعلوم العبادة و الاستحباب إلّا من هذا الأمر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مردود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لمطلق الثواب، خصوصا بإطلاق أوامر الاحتیاط لمطلق الشبهات، و بأصالة عدم التخصیص خصوصا بالثواب الخاصّ خصوصا فی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ثالثة بظهورها فی ما بلغ فیه الثواب المحض لا العقاب محضا أو مع الثواب</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کالخبر الضعیف الدالّ علی الحرمة أو الکراهة المحضین أو المتعارضین بما یدلّ علی الثواب، بل و لا فی ضعاف ما دلّ علی استحباب الفعل أو وجوبه دون نفس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أیضا بإطلاق بلوغ الثواب لبلوغه بالمطابقة، و لبلوغه بالالتزام، مضافا إلی تنقیح المناط، و انجبار الدلالة علی تقدیر قصورها بفهم الأصحاب، و شهرة عدم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احتمال اختصاص مورد هذه الأخبار بما إذا کان منشأ الاحتمال خبرا ضعیفا دون ما إذا کان شبهة عقلیّة أو فتوائیة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الاندفاع بتنقیح مناط الحسن و الثواب فی إتیان المحتمل بعنوان الرجاء، و القطع بعدم مدخلیّة خصوص البلوغ، لا فی الإتیان، و لا فی الاحتمال، و لا فی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باستناد غیر مورد من بلغ إلی غیر أخبار من بلغ مثل قوله علیه السّلام فی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کلّ ما یقرّبکم إلی الطاعة فقد أمرتکم به، و کلّ ما </w:t>
      </w:r>
    </w:p>
    <w:p>
      <w:pPr>
        <w:pStyle w:val="BookText"/>
        <w:rPr/>
      </w:pPr>
      <w:r>
        <w:rPr>
          <w:rFonts w:ascii="IRNazanin" w:hAnsi="IRNazanin" w:eastAsia="IRNazanin"/>
          <w:color w:val="111111"/>
          <w:sz w:val="28"/>
          <w:sz w:val="28"/>
          <w:szCs w:val="28"/>
          <w:rtl w:val="true"/>
          <w:lang w:bidi="fa-IR"/>
        </w:rPr>
        <w:t>یبعّدکم عن المعصیة فقد نهیتکم عنه</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لا شکّ أنّ الاحتیاط، و إتیان الفعل برجاء المحبوبیّة، مقرّب إلی الطاعة، فتکون مأمورا به بهذا الحدیث، و إن لم یشمله خصوص أخبار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فاستقلاله بحسن الانقیاد بإتیان شی‌ء رجاء مطلوبیّته للمولی، و التماس محبوبیّته له، و أنّه إطاعة حکمیّة و إن لم یصادف الواقع، کاستقلاله بقبح التجرّی و أنّه عصیان و طغیان مع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استبعاد أن یکون احتمال الشی‌ء موافقا للشی‌ء فی الحکم فیدفعه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استبعاد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یخلو من الأشباه و النظائر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احتمال الضرر للقطع به فی رفعه عن الشریعة، و احتمال البراءة للقطع بها فی الحکم بالبراءة، و احتمال الطهارة للقطع بها فی الحکم بالطهارة، و احتمال الاشتغال للقطع به فی موارد الاشتغال، و احتمال الشی‌ء للیقین به فی موارد الاستصحاب، إلی غیر ذلک من الأشباه و النظائر الشرعیة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فلاستقرار سیرة المفتین علی الإفتاء باستحباب الفعل فی موارد الاحتیاط و إن لم یعلم المقلّد کون الفعل ممّا شکّ فی کونه عبادة، و لم یأت بداعی احتمال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ارید بالاحتیاط معناه الحقیقی، و هو إتیان الفعل بداعی احتمال المطلوبیّة لم یجز للمجتهد الإفتاء باستحبابه، إلّا مع التقیید بإتیانه بداعی الاحتمال حتی یصدق علیه عنوان الاحتیاط، مع استقرار سیرة المفتین علی خلافه</w:t>
      </w:r>
      <w:r>
        <w:rPr>
          <w:rFonts w:eastAsia="IRNazanin" w:cs="IRNazanin"/>
          <w:color w:val="111111"/>
          <w:sz w:val="28"/>
          <w:szCs w:val="28"/>
          <w:rtl w:val="true"/>
          <w:lang w:bidi="fa-IR"/>
        </w:rPr>
        <w:t xml:space="preserve">. </w:t>
      </w:r>
      <w:bookmarkStart w:id="1212" w:name="pg12856_162833"/>
    </w:p>
    <w:p>
      <w:pPr>
        <w:pStyle w:val="BookText"/>
        <w:rPr/>
      </w:pPr>
      <w:bookmarkEnd w:id="1212"/>
      <w:r>
        <w:rPr>
          <w:rFonts w:ascii="IRNazanin" w:hAnsi="IRNazanin" w:eastAsia="IRNazanin"/>
          <w:color w:val="111111"/>
          <w:sz w:val="28"/>
          <w:sz w:val="28"/>
          <w:szCs w:val="28"/>
          <w:rtl w:val="true"/>
          <w:lang w:bidi="fa-IR"/>
        </w:rPr>
        <w:t>فعلم من ذلک تحقّق الإجماع علی استحباب نفس الفعل المحتاط فیه، لا خصوص الداعی المقارن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انّ الظاهر اختصاص أدلّة البراءة بصورة الشکّ فی الوجوب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13" w:name="__RefHeading___Toc2647210_3224264995"/>
      <w:bookmarkStart w:id="1214" w:name="_Toc476"/>
      <w:bookmarkEnd w:id="1213"/>
      <w:r>
        <w:rPr>
          <w:rtl w:val="true"/>
        </w:rPr>
        <w:t>[</w:t>
      </w:r>
      <w:r>
        <w:rPr>
          <w:rtl w:val="true"/>
        </w:rPr>
        <w:t>اختصاص البراءة بالشک فی الوجوب التعیینی أصلا أو عرضا</w:t>
      </w:r>
      <w:r>
        <w:rPr>
          <w:rtl w:val="true"/>
        </w:rPr>
        <w:t>]</w:t>
      </w:r>
      <w:bookmarkEnd w:id="12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صور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بین أصل الوجوب و عدمه، و تارة بین الوجوب العینی و الکفائی، و تارة بین التعیینی و التخییری، و تارة بین المطلق و المشروط، و تارة بین النفسی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حکمها انّ الکلام تارة فی مقتضی الأصل اللفظی فیها، و تارة فی مقتضی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 اللفظی،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المتبادر من الأمر عند الإطلاق هو الوجوب النفسی العینی التعیینی المطلق، لا الندب و لا الوجوب الغیری و الکفائی و التخییری و المشروط، فإنّ ذلک کلّه خلاف الظاهر المتبادر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استناد بعضهم التبادر المتعلّق بأصل الوجوب إلی الوضع، و بأحد کیفیّاته الأربعة المذکورة إلی الإطلاق أو الانصراف مع فرض اتّحاد التبادر و إن تعدّد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مدفع لهذا الإشکال إلّا بمنع اتّحاد التبادر و فرض تعدّده بتعدّد متعلّقه، أو فرض اتّحاد وصفه بالوضعی فی الجمیع کما علیه القوانین</w:t>
      </w:r>
      <w:r>
        <w:rPr>
          <w:rStyle w:val="FootnoteAnchor"/>
          <w:rtl w:val="true"/>
        </w:rPr>
        <w:footnoteReference w:id="476"/>
      </w:r>
      <w:r>
        <w:rPr>
          <w:rFonts w:ascii="IRNazanin" w:hAnsi="IRNazanin" w:eastAsia="IRNazanin"/>
          <w:color w:val="111111"/>
          <w:sz w:val="28"/>
          <w:sz w:val="28"/>
          <w:szCs w:val="28"/>
          <w:rtl w:val="true"/>
          <w:lang w:bidi="fa-IR"/>
        </w:rPr>
        <w:t>، أو بالاطلاق فی الجمیع کما علیه الفصول</w:t>
      </w:r>
      <w:r>
        <w:rPr>
          <w:rStyle w:val="FootnoteAnchor"/>
          <w:rtl w:val="true"/>
        </w:rPr>
        <w:footnoteReference w:id="477"/>
      </w:r>
      <w:r>
        <w:rPr>
          <w:rFonts w:ascii="IRNazanin" w:hAnsi="IRNazanin" w:eastAsia="IRNazanin"/>
          <w:color w:val="111111"/>
          <w:sz w:val="28"/>
          <w:sz w:val="28"/>
          <w:szCs w:val="28"/>
          <w:rtl w:val="true"/>
          <w:lang w:bidi="fa-IR"/>
        </w:rPr>
        <w:t>، و وافقه بعض أساتیدنا الفحول، و إلّا فکیف یمکن اتّصاف الشی‌ء الواحد بالوصفین المتضادّین؟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فمن مقتضیات ذلک الأصل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w:t>
      </w:r>
    </w:p>
    <w:p>
      <w:pPr>
        <w:pStyle w:val="BookText"/>
        <w:rPr/>
      </w:pPr>
      <w:r>
        <w:rPr>
          <w:rFonts w:ascii="IRNazanin" w:hAnsi="IRNazanin" w:eastAsia="IRNazanin"/>
          <w:color w:val="111111"/>
          <w:sz w:val="28"/>
          <w:sz w:val="28"/>
          <w:szCs w:val="28"/>
          <w:rtl w:val="true"/>
          <w:lang w:bidi="fa-IR"/>
        </w:rPr>
        <w:t>انصراف ظاهر الأمر عن أحد قیوده الخمسة المذکورة، و دار الأمر بین الاستحباب و الوجوب الکفائی، أو التخییری، أو المشروط، أو الغیری، هو تقدیم الندب علی سائر أخویه المخالفة للظاهر، ثم تقدیم الوجوب الغیری علی سائر أخواته لکون کلّ من الندب و الوجوب الغیری أقرب مجازات الأمر عرفا من سائر أخواته من المجازات بواسطة أغلبیّة الاستعمال و آنسیته حتی قیل بحقیقة الأمر فیهما دون مجازیّته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دار الأمر بین غیر الندب و الوجوب الغیری، کما لو دار بین الوجوب الکفائی و التخییری، أو الوجوب المشروط و الکفائی فلیس أصل لفظی فی البین، بل یتعیّن مرجعیّة الأصل العملی فیهما، کما یتعیّن مرجعیّة سائر الصور المتقدّمة إذا فرض انتفاء الأصل اللفظی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مرجعیّة الأصل العملی فی تلک الصور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دار الأمر بین الوجوب العینی و الاستحباب، فلا ریب فی أنّ الأصل عدم الوجوب، و مرجعیّة الأصل بجمیع معانیه فی نفی الوجوب من قبح العقاب العقلی و الشرعی، و قاعدة عدم الدلیل دلیل العدم، و استصحاب عدم الوجوب، و 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الوجوب بشی‌ء من هذه الاصول لا یثبت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نکن نحن فی صدد إثبات الاستحباب، بل الغرض الحال نفی الوجوب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غرضنا إثبات الاستحباب بنفی الوجوب کان لنا فی تلک الاصول العدمیّة ما یثبته،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الأدلّة الاجتهادیّة لا الاصول، و کسائر اخواته من أصالة العدم، و قبح العقاب بلا بیان بناء علی حجّیّة الأصل المثبت، أو بناء علی أنّ الوجوب عبارة عن تأکّد </w:t>
      </w:r>
      <w:bookmarkStart w:id="1215" w:name="pg12856_162835"/>
    </w:p>
    <w:p>
      <w:pPr>
        <w:pStyle w:val="BookText"/>
        <w:rPr/>
      </w:pPr>
      <w:bookmarkEnd w:id="1215"/>
      <w:r>
        <w:rPr>
          <w:rFonts w:ascii="IRNazanin" w:hAnsi="IRNazanin" w:eastAsia="IRNazanin"/>
          <w:color w:val="111111"/>
          <w:sz w:val="28"/>
          <w:sz w:val="28"/>
          <w:szCs w:val="28"/>
          <w:rtl w:val="true"/>
          <w:lang w:bidi="fa-IR"/>
        </w:rPr>
        <w:t>الرجحان الندبیّ لا مباین له، فإذا رفع التأکّد بأیّ أصل من الاصول العدمیّة ثبت الرجحان الاستحبابیّ الباقی، کثبوت الأقلّ بمجرّد رفع الأکثر فی سائر موارد الشکّ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لنا الاکتفاء فی إثبات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بأدلّة التسامح فی السنن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إن کان الشکّ و الدوران بین الوجوب التخییری و الاستحباب فقد تکفّله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اختصاص أدلّة البراءة بصورة الشکّ فی الوجوب التعیینی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16" w:name="__RefHeading___Toc2647212_3224264995"/>
      <w:bookmarkStart w:id="1217" w:name="_Toc477"/>
      <w:bookmarkEnd w:id="1216"/>
      <w:r>
        <w:rPr>
          <w:rtl w:val="true"/>
        </w:rPr>
        <w:t>[</w:t>
      </w:r>
      <w:r>
        <w:rPr>
          <w:rtl w:val="true"/>
        </w:rPr>
        <w:t>اختصاص البراءة بالشک فی الوجوب التعیینی أصلا أو عرضا</w:t>
      </w:r>
      <w:r>
        <w:rPr>
          <w:rtl w:val="true"/>
        </w:rPr>
        <w:t>]</w:t>
      </w:r>
      <w:bookmarkEnd w:id="12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الظاهر من لفظ الوجوب و تقدیر المؤاخذة فی حدیث رفعه هو رفع الوجوب التعیینی لا التخییری، و اختصاص أدلّة البراءة عن التکلیف برفع ما فیه الکلفة و المشقّة من الإلزامیّات المحضة، لا الغیر الإلزامیات، کالندب و الکراهة، و لا الإلزامیات الغیر المحضة کالوجوب التخییری، حیث إنّه فی سعة من کلفة التعیینی، إلّا أنّ الظاهر من عموم أدلّة الرفع</w:t>
      </w:r>
      <w:r>
        <w:rPr>
          <w:rStyle w:val="FootnoteAnchor"/>
          <w:rtl w:val="true"/>
        </w:rPr>
        <w:footnoteReference w:id="479"/>
      </w:r>
      <w:r>
        <w:rPr>
          <w:rFonts w:ascii="IRNazanin" w:hAnsi="IRNazanin" w:eastAsia="IRNazanin"/>
          <w:color w:val="111111"/>
          <w:sz w:val="28"/>
          <w:sz w:val="28"/>
          <w:szCs w:val="28"/>
          <w:rtl w:val="true"/>
          <w:lang w:bidi="fa-IR"/>
        </w:rPr>
        <w:t>و الوضع</w:t>
      </w:r>
      <w:r>
        <w:rPr>
          <w:rStyle w:val="FootnoteAnchor"/>
          <w:rtl w:val="true"/>
        </w:rPr>
        <w:footnoteReference w:id="480"/>
      </w:r>
      <w:r>
        <w:rPr>
          <w:rFonts w:ascii="Amiri" w:hAnsi="Amiri" w:eastAsia="Amiri" w:cs="Amiri"/>
          <w:color w:val="111111"/>
          <w:sz w:val="28"/>
          <w:sz w:val="28"/>
          <w:szCs w:val="28"/>
          <w:rtl w:val="true"/>
          <w:lang w:bidi="ar-SA"/>
        </w:rPr>
        <w:t>و السعة</w:t>
      </w:r>
      <w:r>
        <w:rPr>
          <w:rStyle w:val="FootnoteAnchor"/>
          <w:rtl w:val="true"/>
        </w:rPr>
        <w:footnoteReference w:id="481"/>
      </w:r>
      <w:r>
        <w:rPr>
          <w:rFonts w:ascii="IRNazanin" w:hAnsi="IRNazanin" w:eastAsia="IRNazanin"/>
          <w:color w:val="111111"/>
          <w:sz w:val="28"/>
          <w:sz w:val="28"/>
          <w:szCs w:val="28"/>
          <w:rtl w:val="true"/>
          <w:lang w:bidi="fa-IR"/>
        </w:rPr>
        <w:t>و عموم حذف المتعلّق فیها، و تنقیح المناط منها، عموم مجری البراءة عن التکلیف بجمیع الأقسام، بل و عن جمیع ما عدا الإباحة من الأحکام و لو کان ندبا أو کراهة کما عرفته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جریان أصالة العدم تفصیل</w:t>
      </w:r>
      <w:r>
        <w:rPr>
          <w:rFonts w:eastAsia="IRNazanin" w:cs="IRNazanin"/>
          <w:color w:val="111111"/>
          <w:sz w:val="28"/>
          <w:szCs w:val="28"/>
          <w:rtl w:val="true"/>
          <w:lang w:bidi="fa-IR"/>
        </w:rPr>
        <w:t>».</w:t>
      </w:r>
    </w:p>
    <w:p>
      <w:pPr>
        <w:pStyle w:val="Heading4"/>
        <w:numPr>
          <w:ilvl w:val="3"/>
          <w:numId w:val="1"/>
        </w:numPr>
        <w:rPr/>
      </w:pPr>
      <w:bookmarkStart w:id="1218" w:name="__RefHeading___Toc2647214_3224264995"/>
      <w:bookmarkStart w:id="1219" w:name="_Toc478"/>
      <w:bookmarkEnd w:id="1218"/>
      <w:r>
        <w:rPr>
          <w:rtl w:val="true"/>
        </w:rPr>
        <w:t>[</w:t>
      </w:r>
      <w:r>
        <w:rPr>
          <w:rtl w:val="true"/>
        </w:rPr>
        <w:t>أصالة العدم و افتراقها عن أصالة البراءة</w:t>
      </w:r>
      <w:r>
        <w:rPr>
          <w:rtl w:val="true"/>
        </w:rPr>
        <w:t>]</w:t>
      </w:r>
      <w:bookmarkEnd w:id="121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الفرق بین البراءة و أصالة العدم، فمن جهة رجوع البراءة إلی الأصل الشرعی، بخلاف أصالة العدم، فإنّه راجع إلی الأصل العقلی، و هو قبح </w:t>
      </w:r>
      <w:bookmarkStart w:id="1220" w:name="pg12856_162836"/>
    </w:p>
    <w:p>
      <w:pPr>
        <w:pStyle w:val="BookText"/>
        <w:rPr/>
      </w:pPr>
      <w:bookmarkEnd w:id="1220"/>
      <w:r>
        <w:rPr>
          <w:rFonts w:ascii="IRNazanin" w:hAnsi="IRNazanin" w:eastAsia="IRNazanin"/>
          <w:color w:val="111111"/>
          <w:sz w:val="28"/>
          <w:sz w:val="28"/>
          <w:szCs w:val="28"/>
          <w:rtl w:val="true"/>
          <w:lang w:bidi="fa-IR"/>
        </w:rPr>
        <w:t>العقاب بلا بیان، أو الدلیل العقلی، و هو قاعدة عدم الوجدان دلیل العدم، أو استصحاب العدم المعتبر فیه ملاحظة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یفرق بینهما معنی بأحد الوجوه المذکورة لم یفرق بینهما حکما بالتفصیل المفصّل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تفصیل لأنّه إن کان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21" w:name="__RefHeading___Toc2647216_3224264995"/>
      <w:bookmarkStart w:id="1222" w:name="_Toc479"/>
      <w:bookmarkEnd w:id="1221"/>
      <w:r>
        <w:rPr>
          <w:rtl w:val="true"/>
        </w:rPr>
        <w:t>[</w:t>
      </w:r>
      <w:r>
        <w:rPr>
          <w:rtl w:val="true"/>
        </w:rPr>
        <w:t>التخییر العقلی و التخییر الشرعی</w:t>
      </w:r>
      <w:r>
        <w:rPr>
          <w:rtl w:val="true"/>
        </w:rPr>
        <w:t>]</w:t>
      </w:r>
      <w:bookmarkEnd w:id="12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 التفصیل فهو التفصیل بین التخییر العقلی الدائر بین أفراد الکلّی الواجب بالوجوب المتّحد الّذی لا تعدّد فیه، بالنسبة إلی مشکوک الفردیة له، و بین التخییر الشرعی الدائر بین أقسام الواجبات العدیدة، بالنسبة إلی مشکوک القسیمیة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التفصیل، فلما فی المتن من أنّ وجوب التخییری العقلی بین الکلّی و فرده لیس إلّا وجوب واحد لا تعدّد فیه حتی یستصحب عدمه فی مشکوک الفردیّة، و ذلک لعدم إحراز العدم السابق فی مشکوک الفردیّة للکلّی، و کون الشکّ فیه شکّا فی الحادث الغیر المسبوق بالعدم الأزلی حتی یستصحب عدمه، بخلاف الوجوب التخییری الشرعی بالنسبة إلی مشکوک القسیمیة، فإنّه وجوب متعدّد آخر غیر وجوب قسیمه، و الشکّ فیه شکّ فی الحدوث المسبوق بالعدم السابق الأزلی، فیستصحب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ممّا ذکرنا،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کون المسلّم هل قصد المصلّی بالخصوص لیتعیّن الجواب علیه، أو بالعموم لیکفی جواب الغیر عنه من باب الاکتفاء فی الواجب الکفائی بمن به الکفایة، کان الأصل عدم وجوبه العینی علی المصلّی، کما لو شکّ فی أصل التسلیم الموجب للجواب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4"/>
        <w:numPr>
          <w:ilvl w:val="3"/>
          <w:numId w:val="1"/>
        </w:numPr>
        <w:rPr/>
      </w:pPr>
      <w:bookmarkStart w:id="1223" w:name="__RefHeading___Toc2647218_3224264995"/>
      <w:bookmarkStart w:id="1224" w:name="_Toc480"/>
      <w:bookmarkEnd w:id="1223"/>
      <w:r>
        <w:rPr>
          <w:rtl w:val="true"/>
        </w:rPr>
        <w:t>[</w:t>
      </w:r>
      <w:r>
        <w:rPr>
          <w:rtl w:val="true"/>
        </w:rPr>
        <w:t>استصحاب کلّیّ الوجوب لا یثبت قسما منه</w:t>
      </w:r>
      <w:r>
        <w:rPr>
          <w:rtl w:val="true"/>
        </w:rPr>
        <w:t>]</w:t>
      </w:r>
      <w:bookmarkEnd w:id="122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دفع ما یقال من استصحاب عدم سقوط الواجب من </w:t>
      </w:r>
      <w:bookmarkStart w:id="1225" w:name="pg12856_162837"/>
    </w:p>
    <w:p>
      <w:pPr>
        <w:pStyle w:val="BookText"/>
        <w:rPr/>
      </w:pPr>
      <w:bookmarkEnd w:id="1225"/>
      <w:r>
        <w:rPr>
          <w:rFonts w:ascii="IRNazanin" w:hAnsi="IRNazanin" w:eastAsia="IRNazanin"/>
          <w:color w:val="111111"/>
          <w:sz w:val="28"/>
          <w:sz w:val="28"/>
          <w:szCs w:val="28"/>
          <w:rtl w:val="true"/>
          <w:lang w:bidi="fa-IR"/>
        </w:rPr>
        <w:t>التسلیم بجواب الغیر، أو أنّ الاشتغال الیقینی بوجوب الجواب یقتضی البراءة الیقینیّة، و عدم کفایة جواب الغیر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دفعه أنّ استصحاب کلّی الوجوب الدائر بین العینیّ و الکفائیّ لا یثبت خصوص العینیّ منه، إلّا علی الأصل المثبت، و انّ اقتضاء الاشتغال الیقینی إنّما هو بقدر الیقین بالاشتغال لا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اشتبه حکمه الشرعی من جهة إجمال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26" w:name="__RefHeading___Toc2647220_3224264995"/>
      <w:bookmarkStart w:id="1227" w:name="_Toc481"/>
      <w:bookmarkEnd w:id="1226"/>
      <w:r>
        <w:rPr>
          <w:rtl w:val="true"/>
        </w:rPr>
        <w:t>[</w:t>
      </w:r>
      <w:r>
        <w:rPr>
          <w:rtl w:val="true"/>
        </w:rPr>
        <w:t>الشبهة الوجوبیة لإجمال النصّ</w:t>
      </w:r>
      <w:r>
        <w:rPr>
          <w:rtl w:val="true"/>
        </w:rPr>
        <w:t>]</w:t>
      </w:r>
      <w:bookmarkEnd w:id="12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النصّ الموجب لاشتباه الحکم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الحکم المستفاد من النصّ، کما فی لفظ الأمر علی القول باشتراکه بین الوجوب و الندب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موضوعه المستنبط دون حکمه، کلفظ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یعلم حکمه من الوجوب أو الاستحباب، و لکن لم یعلم موضوعه علی القول بالصحیحی هل هو مع السورة أم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موضوعه الصرف دون حکمه و دون موضوعه المستنبط، کالشخص الدائر بین الحرّ و العبد للمرید عتقه کفّارة</w:t>
      </w:r>
      <w:r>
        <w:rPr>
          <w:rFonts w:eastAsia="IRNazanin" w:cs="IRNazanin"/>
          <w:color w:val="111111"/>
          <w:sz w:val="28"/>
          <w:szCs w:val="28"/>
          <w:rtl w:val="true"/>
          <w:lang w:bidi="fa-IR"/>
        </w:rPr>
        <w:t>.</w:t>
      </w:r>
    </w:p>
    <w:p>
      <w:pPr>
        <w:pStyle w:val="Heading4"/>
        <w:numPr>
          <w:ilvl w:val="3"/>
          <w:numId w:val="1"/>
        </w:numPr>
        <w:rPr/>
      </w:pPr>
      <w:bookmarkStart w:id="1228" w:name="__RefHeading___Toc2647222_3224264995"/>
      <w:bookmarkStart w:id="1229" w:name="_Toc482"/>
      <w:bookmarkEnd w:id="1228"/>
      <w:r>
        <w:rPr>
          <w:rtl w:val="true"/>
        </w:rPr>
        <w:t>[</w:t>
      </w:r>
      <w:r>
        <w:rPr>
          <w:rtl w:val="true"/>
        </w:rPr>
        <w:t>ما یدخل فی نزاع هذا الباب</w:t>
      </w:r>
      <w:r>
        <w:rPr>
          <w:rtl w:val="true"/>
        </w:rPr>
        <w:t>]</w:t>
      </w:r>
      <w:bookmarkEnd w:id="1229"/>
    </w:p>
    <w:p>
      <w:pPr>
        <w:pStyle w:val="BookText"/>
        <w:rPr/>
      </w:pPr>
      <w:r>
        <w:rPr>
          <w:rFonts w:ascii="IRNazanin" w:hAnsi="IRNazanin" w:eastAsia="IRNazanin"/>
          <w:color w:val="111111"/>
          <w:sz w:val="28"/>
          <w:sz w:val="28"/>
          <w:szCs w:val="28"/>
          <w:rtl w:val="true"/>
          <w:lang w:bidi="fa-IR"/>
        </w:rPr>
        <w:t>أمّا اشتباه الحکم الناشئ عن إجمال حکم النصّ، فلا ریب فی دخوله فی محلّ البحث و النزاع فی مجری البراءة و الاحتیاط، کما لا نزاع فی خروج الإجمال فی الموضوع المستنبط عنه للاتّفاق من الفریقین علی البراءة فیها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إجمال النصّ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إجمال موضوعه المستنبط و 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الاشتباه منه دائرا بین الأقلّ و الأکثر، کالشکّ بین الأجزاء و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ارتباطیّة عندنا معاشر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داخل فی محلّ هذا البحث و النزاع فی مجری البراءة أو الاحتیاط، لرجوعه إلی الشکّ فی التکلیف </w:t>
      </w:r>
      <w:bookmarkStart w:id="1230" w:name="pg12856_162838"/>
    </w:p>
    <w:p>
      <w:pPr>
        <w:pStyle w:val="BookText"/>
        <w:rPr/>
      </w:pPr>
      <w:bookmarkEnd w:id="1230"/>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المخالف فیه کالمخالف فی سابقه خاصّا بالأخباریّة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الاشتباه منه دائرا بین المتباینین، کالظهر و الجمعة یوم الجمعة، و الأجزاء و الشروط الارتباطیة، عند من زعم رجوع الشکّ فیها إلی الشکّ بین المتباینین، لم یدخل فی هذا البحث و النزاع فی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مرجع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 و بین الإیراد الأوّل هو رجوع الأوّل إلی منع الدلیل علی جواز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إلی استحالة الدلیل علیه لمعارضته للقواعد العدلیّة من تبعیّة الأحکام للمصالح و الحکم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یرجع ذلک إلی دعوی کون حکم اللّه هو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31" w:name="__RefHeading___Toc2647224_3224264995"/>
      <w:bookmarkStart w:id="1232" w:name="_Toc483"/>
      <w:bookmarkEnd w:id="1231"/>
      <w:r>
        <w:rPr>
          <w:rtl w:val="true"/>
        </w:rPr>
        <w:t>[</w:t>
      </w:r>
      <w:r>
        <w:rPr>
          <w:rtl w:val="true"/>
        </w:rPr>
        <w:t>مناقشة ردّ الماتن علی الاخباریة فی مورد الشبهة الوجوبیة لإجمال النصّ</w:t>
      </w:r>
      <w:r>
        <w:rPr>
          <w:rtl w:val="true"/>
        </w:rPr>
        <w:t>]</w:t>
      </w:r>
      <w:bookmarkEnd w:id="12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بالبراءة المستندة إلی حکم العقل بقبح العقاب بلا بیان، و إن لم یرجع إلی دعوی کون حکم اللّه هو الاستحباب بحسب القول، إلّا أنّه یرجع إلیه بحسب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حکم اللّه عند الأخباریّة کنبوّة النبیّ صلی اللّه علیه و آله فی وجوب التحفّظ علیه مطلقا، و عدم جواز التخلّف عنه فعلا، کما لا یجوز التخلّف عنه قولا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فالعمل بالبراءة عمّا کان بتلک المثابة فی المطلوبیّة نقض لغرض الطالب لا یجوز الاعتماد علیه البتّة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 المصنّف عن الأخباریّة المانعین من العمل بالبراءة لا یتوجّه علی مذهب الأخباریّة، علی کلّ من شقّی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استنادها إلی قبح العقاب بلا بیان، أو الظنّ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تخلّفها الواقع المفروض عندهم، کنبوّة النبیّ صلی اللّه علیه و آله علی کلا شقّیها و عدم استلزامها الواقع، و لا المؤمّن من تخلّفه عندهم، </w:t>
      </w:r>
      <w:bookmarkStart w:id="1233" w:name="pg12856_162839"/>
    </w:p>
    <w:p>
      <w:pPr>
        <w:pStyle w:val="BookText"/>
        <w:rPr/>
      </w:pPr>
      <w:bookmarkEnd w:id="1233"/>
      <w:r>
        <w:rPr>
          <w:rFonts w:ascii="IRNazanin" w:hAnsi="IRNazanin" w:eastAsia="IRNazanin"/>
          <w:color w:val="111111"/>
          <w:sz w:val="28"/>
          <w:sz w:val="28"/>
          <w:szCs w:val="28"/>
          <w:rtl w:val="true"/>
          <w:lang w:bidi="fa-IR"/>
        </w:rPr>
        <w:t>کما لا یخفی، بل الجواب المتوجّه علی مذهبهم هو النقض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بمجری البراءة فی صورة فقدان النصّ عندهم، و فی الشبهات الموضوعیّة باتّفاقهم مع عدم الفارق، سیما بین ما لا نصّ فیه، و ما اجمل فیه النصّ</w:t>
      </w:r>
      <w:r>
        <w:rPr>
          <w:rFonts w:eastAsia="IRNazanin" w:cs="IRNazanin"/>
          <w:color w:val="111111"/>
          <w:sz w:val="28"/>
          <w:szCs w:val="28"/>
          <w:rtl w:val="true"/>
          <w:lang w:bidi="fa-IR"/>
        </w:rPr>
        <w:t>.</w:t>
      </w:r>
    </w:p>
    <w:p>
      <w:pPr>
        <w:pStyle w:val="Heading4"/>
        <w:numPr>
          <w:ilvl w:val="3"/>
          <w:numId w:val="1"/>
        </w:numPr>
        <w:rPr/>
      </w:pPr>
      <w:bookmarkStart w:id="1234" w:name="__RefHeading___Toc2647226_3224264995"/>
      <w:bookmarkStart w:id="1235" w:name="_Toc484"/>
      <w:bookmarkEnd w:id="1234"/>
      <w:r>
        <w:rPr>
          <w:rtl w:val="true"/>
        </w:rPr>
        <w:t>[</w:t>
      </w:r>
      <w:r>
        <w:rPr>
          <w:rtl w:val="true"/>
        </w:rPr>
        <w:t>عدم ذاتیة المصالح و المفاسد و الحکم</w:t>
      </w:r>
      <w:r>
        <w:rPr>
          <w:rtl w:val="true"/>
        </w:rPr>
        <w:t>]</w:t>
      </w:r>
      <w:bookmarkEnd w:id="1235"/>
    </w:p>
    <w:p>
      <w:pPr>
        <w:pStyle w:val="BookText"/>
        <w:rPr/>
      </w:pPr>
      <w:r>
        <w:rPr>
          <w:rFonts w:ascii="IRNazanin" w:hAnsi="IRNazanin" w:eastAsia="IRNazanin"/>
          <w:color w:val="111111"/>
          <w:sz w:val="28"/>
          <w:sz w:val="28"/>
          <w:szCs w:val="28"/>
          <w:rtl w:val="true"/>
          <w:lang w:bidi="fa-IR"/>
        </w:rPr>
        <w:t>و الحلّ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الأحکام الشرعیّة و إن کانت عندنا تابعة للمصالح و الحکم الخفیّة إلّا أنّها لیست بذاتیات لا یمکن الانفکاک، بل هی تتغیّر و تتبدّل بالوجوه و الاعتبارات، فکما أنّ فرض الدلیل علی حکم الشارع بالبراءة فی ما لا نصّ فیه یکشف عن تبدّل المصلحة باعتبار اختصاص نبیّنا صلی اللّه علیه و آله بزیادة التفضّل، بواسطة التساهل و التسامح و التسهیل علی امّته و فی شریعته، کذلک فرض الدلیل علی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بالبراءة فیما أجمل فیه النصّ یکشف عن تلک المصلحة، و لا ینفکّ عن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یدخل فی مواردها</w:t>
      </w:r>
      <w:r>
        <w:rPr>
          <w:rFonts w:eastAsia="IRNazanin" w:cs="IRNazanin"/>
          <w:color w:val="111111"/>
          <w:sz w:val="28"/>
          <w:szCs w:val="28"/>
          <w:rtl w:val="true"/>
          <w:lang w:bidi="fa-IR"/>
        </w:rPr>
        <w:t>».</w:t>
      </w:r>
    </w:p>
    <w:p>
      <w:pPr>
        <w:pStyle w:val="Heading4"/>
        <w:numPr>
          <w:ilvl w:val="3"/>
          <w:numId w:val="1"/>
        </w:numPr>
        <w:rPr/>
      </w:pPr>
      <w:bookmarkStart w:id="1236" w:name="__RefHeading___Toc2647228_3224264995"/>
      <w:bookmarkStart w:id="1237" w:name="_Toc485"/>
      <w:bookmarkEnd w:id="1236"/>
      <w:r>
        <w:rPr>
          <w:rtl w:val="true"/>
        </w:rPr>
        <w:t>[</w:t>
      </w:r>
      <w:r>
        <w:rPr>
          <w:rtl w:val="true"/>
        </w:rPr>
        <w:t>فی شمول اخبار من بلغ للشبهة الوجوبیة و عدمه</w:t>
      </w:r>
      <w:r>
        <w:rPr>
          <w:rtl w:val="true"/>
        </w:rPr>
        <w:t>]</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موردها معلومیّة بلوغ الثواب، کمورد النصّ الضعیف، أو تعارض النصّین، لا مورد احتماله، أو إجماله المفروض فیه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قدّمنا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تنقیح المناط عدم مدخلیّة السماع و لا المسموع، فضلا عن العلم به فی حسنه، بل المناط هو حسنه العقلیّ و الشرعیّ و الانقیاد الحکمیّ لو لم یکن سماع و لا مسموع کصرف احتماله فضلا عن إجماله المفروض فیه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المسألة الثالثة فیما اشتبه حکمه الشرعیّ من جهة تعارض النصّین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38" w:name="__RefHeading___Toc2647230_3224264995"/>
      <w:bookmarkStart w:id="1239" w:name="_Toc486"/>
      <w:bookmarkEnd w:id="1238"/>
      <w:r>
        <w:rPr>
          <w:rtl w:val="true"/>
        </w:rPr>
        <w:t>[</w:t>
      </w:r>
      <w:r>
        <w:rPr>
          <w:rtl w:val="true"/>
        </w:rPr>
        <w:t>الشبهة الوجوبیة من جهة تعارض النصّین</w:t>
      </w:r>
      <w:r>
        <w:rPr>
          <w:rtl w:val="true"/>
        </w:rPr>
        <w:t>]</w:t>
      </w:r>
      <w:bookmarkEnd w:id="123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تعارض النصّین فی المقام هو تعادلهما، لا مطلق </w:t>
      </w:r>
      <w:bookmarkStart w:id="1240" w:name="pg12856_162840"/>
    </w:p>
    <w:p>
      <w:pPr>
        <w:pStyle w:val="BookText"/>
        <w:rPr/>
      </w:pPr>
      <w:bookmarkEnd w:id="1240"/>
      <w:r>
        <w:rPr>
          <w:rFonts w:ascii="IRNazanin" w:hAnsi="IRNazanin" w:eastAsia="IRNazanin"/>
          <w:color w:val="111111"/>
          <w:sz w:val="28"/>
          <w:sz w:val="28"/>
          <w:szCs w:val="28"/>
          <w:rtl w:val="true"/>
          <w:lang w:bidi="fa-IR"/>
        </w:rPr>
        <w:t>التعارض و إلا کان المرجع إلی إعمال المرجّحات الدلالتیّة و السندیّة لا الاصول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الموهوم فی امتناع التعادل قد سبق منّا دفعه بأبلغ وجه، فلیراجع</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1" w:name="__RefHeading___Toc2647232_3224264995"/>
      <w:bookmarkStart w:id="1242" w:name="_Toc487"/>
      <w:bookmarkEnd w:id="1241"/>
      <w:r>
        <w:rPr>
          <w:rtl w:val="true"/>
        </w:rPr>
        <w:t>[</w:t>
      </w:r>
      <w:r>
        <w:rPr>
          <w:rtl w:val="true"/>
        </w:rPr>
        <w:t>إشارة إلی المراد من النصّین المتعادلین</w:t>
      </w:r>
      <w:r>
        <w:rPr>
          <w:rtl w:val="true"/>
        </w:rPr>
        <w:t>]</w:t>
      </w:r>
      <w:bookmarkEnd w:id="1242"/>
    </w:p>
    <w:p>
      <w:pPr>
        <w:pStyle w:val="BookText"/>
        <w:rPr/>
      </w:pPr>
      <w:r>
        <w:rPr>
          <w:rFonts w:ascii="IRNazanin" w:hAnsi="IRNazanin" w:eastAsia="IRNazanin"/>
          <w:color w:val="111111"/>
          <w:sz w:val="28"/>
          <w:sz w:val="28"/>
          <w:szCs w:val="28"/>
          <w:rtl w:val="true"/>
          <w:lang w:bidi="fa-IR"/>
        </w:rPr>
        <w:t>و المراد من النصّین المتعادلین هو مطلق الدلیلین المتعادلین، و لو کانا إجماعین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النصّین من باب المثال، أو إرجاع غیر النصّین إلی النصّین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تعارض النصّین فی المقام و إن اختلف عن تعارض النصّین المتقدّم من حیث إنّ متعلّق التعارض ثمّة هو الحرمة و غیر الوجوب، و متعلّق التعارض هنا هو الوجوب و غیر الحرمة، إلّا أنّ المسألتین متّحدان بحسب الحکم و الوجوه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الماتن المسألة ذات قولین، مع فرضه المسألة السابقة ذات وجوه سبعة، إنّما هو من باب الاقتصار لا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نقله الامام علیه السّلام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یبعده أنّ النقل بالمعنی لیس من وظیفة الامام علیه السّلام، خصوصا النقل المخالف للواقع، بل و للظاهر، من حیث استناد شبهة ثبوت التکبیر للنهوض فی الظاهر إلی عموم التکبیر لکلّ انتقال، لا إلی خصوص التکبیر للنهوض</w:t>
      </w:r>
      <w:r>
        <w:rPr>
          <w:rFonts w:eastAsia="IRNazanin" w:cs="IRNazanin"/>
          <w:color w:val="111111"/>
          <w:sz w:val="28"/>
          <w:szCs w:val="28"/>
          <w:rtl w:val="true"/>
          <w:lang w:bidi="fa-IR"/>
        </w:rPr>
        <w:t>.</w:t>
      </w:r>
    </w:p>
    <w:p>
      <w:pPr>
        <w:pStyle w:val="Heading4"/>
        <w:numPr>
          <w:ilvl w:val="3"/>
          <w:numId w:val="1"/>
        </w:numPr>
        <w:rPr/>
      </w:pPr>
      <w:bookmarkStart w:id="1243" w:name="__RefHeading___Toc2647234_3224264995"/>
      <w:bookmarkStart w:id="1244" w:name="_Toc488"/>
      <w:bookmarkEnd w:id="1243"/>
      <w:r>
        <w:rPr>
          <w:rtl w:val="true"/>
        </w:rPr>
        <w:t>[</w:t>
      </w:r>
      <w:r>
        <w:rPr>
          <w:rtl w:val="true"/>
        </w:rPr>
        <w:t>التحقیق فی الجواب علی التوقیع المرویّ فی الاحتجاج</w:t>
      </w:r>
      <w:r>
        <w:rPr>
          <w:rtl w:val="true"/>
        </w:rPr>
        <w:t>]</w:t>
      </w:r>
      <w:bookmarkEnd w:id="124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فالأقرب فی الجواب عن جمیع ما فی التوقیع من الإشکال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اعتبار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جوابه علیه السّلام مبنیّ علی الطفرة عن جواب ما لیس بمهمّ سؤله، و لا جوابه إلی جواب ما هو الأهمّ بالسؤال و الأتمّ بالمقال و الأبلغ بمقتضی الحال،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الْأَهِلَّةِ قُلْ هِیَ مَواقِیتُ لِلنَّاسِ وَ الْحَجِ</w:t>
      </w:r>
      <w:r>
        <w:rPr>
          <w:rStyle w:val="FootnoteAnchor"/>
          <w:rtl w:val="true"/>
        </w:rPr>
        <w:footnoteReference w:id="484"/>
      </w:r>
      <w:bookmarkStart w:id="1245" w:name="pg12856_162841"/>
    </w:p>
    <w:p>
      <w:pPr>
        <w:pStyle w:val="BookText"/>
        <w:rPr/>
      </w:pPr>
      <w:bookmarkEnd w:id="1245"/>
      <w:r>
        <w:rPr>
          <w:rFonts w:ascii="Amiri" w:hAnsi="Amiri" w:eastAsia="Amiri" w:cs="Amiri"/>
          <w:color w:val="111111"/>
          <w:sz w:val="28"/>
          <w:sz w:val="28"/>
          <w:szCs w:val="28"/>
          <w:rtl w:val="true"/>
          <w:lang w:bidi="ar-SA"/>
        </w:rPr>
        <w:t>و یَسْئَلُونَکَ ما ذا یُنْفِقُونَ قُلْ ما أَنْفَقْتُمْ مِنْ خَیْرٍ فَلِلْوالِدَیْنِ وَ الْأَقْرَبِینَ</w:t>
      </w:r>
      <w:r>
        <w:rPr>
          <w:rStyle w:val="FootnoteAnchor"/>
          <w:rtl w:val="true"/>
        </w:rPr>
        <w:footnoteReference w:id="485"/>
      </w:r>
      <w:r>
        <w:rPr>
          <w:rFonts w:ascii="Amiri" w:hAnsi="Amiri" w:eastAsia="Amiri" w:cs="Amiri"/>
          <w:color w:val="111111"/>
          <w:sz w:val="28"/>
          <w:sz w:val="28"/>
          <w:szCs w:val="28"/>
          <w:rtl w:val="true"/>
          <w:lang w:bidi="ar-SA"/>
        </w:rPr>
        <w:t>و یَسْئَلُونَکَ عَنِ الرُّوحِ قُلِ الرُّوحُ مِنْ أَمْرِ رَبِّی وَ ما أُوتِیتُمْ مِنَ الْعِلْمِ إِلَّا قَلِیلًا</w:t>
      </w:r>
      <w:r>
        <w:rPr>
          <w:rStyle w:val="FootnoteAnchor"/>
          <w:rtl w:val="true"/>
        </w:rPr>
        <w:footnoteReference w:id="486"/>
      </w:r>
      <w:r>
        <w:rPr>
          <w:rFonts w:ascii="Amiri" w:hAnsi="Amiri" w:eastAsia="Amiri" w:cs="Amiri"/>
          <w:color w:val="111111"/>
          <w:sz w:val="28"/>
          <w:sz w:val="28"/>
          <w:szCs w:val="28"/>
          <w:rtl w:val="true"/>
          <w:lang w:bidi="ar-SA"/>
        </w:rPr>
        <w:t>و جواب الصدیق علیه السّلام حیث سئل نَبِّئْنا بِتَأْوِیلِهِ</w:t>
      </w:r>
      <w:r>
        <w:rPr>
          <w:rStyle w:val="FootnoteAnchor"/>
          <w:rtl w:val="true"/>
        </w:rPr>
        <w:footnoteReference w:id="487"/>
      </w:r>
      <w:r>
        <w:rPr>
          <w:rFonts w:ascii="Amiri" w:hAnsi="Amiri" w:eastAsia="Amiri" w:cs="Amiri"/>
          <w:color w:val="111111"/>
          <w:sz w:val="28"/>
          <w:sz w:val="28"/>
          <w:szCs w:val="28"/>
          <w:rtl w:val="true"/>
          <w:lang w:bidi="ar-SA"/>
        </w:rPr>
        <w:t>، قالَ لا یَأْتِیکُما طَعامٌ تُرْزَقانِهِ إِلَّا نَبَّأْتُکُما بِتَأْوِیلِهِ</w:t>
      </w:r>
      <w:r>
        <w:rPr>
          <w:rStyle w:val="FootnoteAnchor"/>
          <w:rtl w:val="true"/>
        </w:rPr>
        <w:footnoteReference w:id="488"/>
      </w:r>
      <w:r>
        <w:rPr>
          <w:rFonts w:ascii="Amiri" w:hAnsi="Amiri" w:eastAsia="Amiri" w:cs="Amiri"/>
          <w:color w:val="111111"/>
          <w:sz w:val="28"/>
          <w:sz w:val="28"/>
          <w:szCs w:val="28"/>
          <w:rtl w:val="true"/>
          <w:lang w:bidi="ar-SA"/>
        </w:rPr>
        <w:t>، یا صاحِبَیِ السِّجْنِ أَ أَرْبابٌ مُتَفَرِّقُونَ خَیْرٌ أَمِ اللَّهُ الْواحِدُ الْقَهَّارُ</w:t>
      </w:r>
      <w:r>
        <w:rPr>
          <w:rStyle w:val="FootnoteAnchor"/>
          <w:rtl w:val="true"/>
        </w:rPr>
        <w:footnoteReference w:id="489"/>
      </w:r>
      <w:r>
        <w:rPr>
          <w:rFonts w:ascii="IRNazanin" w:hAnsi="IRNazanin" w:eastAsia="IRNazanin"/>
          <w:color w:val="111111"/>
          <w:sz w:val="28"/>
          <w:sz w:val="28"/>
          <w:szCs w:val="28"/>
          <w:rtl w:val="true"/>
          <w:lang w:bidi="fa-IR"/>
        </w:rPr>
        <w:t>فأجاب طفرة عن سؤالهم بما هو أبلغ بمقتضی حالهم و أنسب بمقالهم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ما نحن فیه لمّا کان سؤالا عن مسألة استحباب التکبیر و عدمه فی النهوض إلی القیام، و هی مسألة غیر خفیّة و غیر مهمّة، خصوصا من مثل الشیخ الحمیری السائل الّذی هو من أصحاب الإجماع، و کان الأهمّ و الأبلغ بحال السائل و زمانه و عموم البلوی به بحسب ما یعلمه الإمام علیه السّلام البلیغ فی الکلام، الحکیم الطبیب بمرضی الأنام، إنّما هو الطفرة عن جوابه إلی الجواب عمّا هو أهمّ فتوی و أعمّ بلوی،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تعارض الأخبار و حکم اختلافها الّتی هی من المسائل الاصولیّة الغامضة المهمّة الّتی ارتدّ فیها الشلمغانی و غیره من رؤساء الشیعة ممّن لم یفهم حکمها و لا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هذا کلّه مع قطع النظر عن الأخبار بأن یکون تقدّم الناقل لمجرّد قاعدة أولویّة التأسیس من التأکید</w:t>
      </w:r>
      <w:r>
        <w:rPr>
          <w:rFonts w:eastAsia="IRNazanin" w:cs="IRNazanin"/>
          <w:color w:val="111111"/>
          <w:sz w:val="28"/>
          <w:szCs w:val="28"/>
          <w:rtl w:val="true"/>
          <w:lang w:bidi="fa-IR"/>
        </w:rPr>
        <w:t>».</w:t>
      </w:r>
    </w:p>
    <w:p>
      <w:pPr>
        <w:pStyle w:val="Heading4"/>
        <w:numPr>
          <w:ilvl w:val="3"/>
          <w:numId w:val="1"/>
        </w:numPr>
        <w:rPr/>
      </w:pPr>
      <w:bookmarkStart w:id="1246" w:name="__RefHeading___Toc2647236_3224264995"/>
      <w:bookmarkStart w:id="1247" w:name="_Toc489"/>
      <w:bookmarkEnd w:id="1246"/>
      <w:r>
        <w:rPr>
          <w:rtl w:val="true"/>
        </w:rPr>
        <w:t>[</w:t>
      </w:r>
      <w:r>
        <w:rPr>
          <w:rtl w:val="true"/>
        </w:rPr>
        <w:t>رفع المنافاة عمّا یتراءی من التنافی بین مسألتین نقلهما الماتن عن الأصحاب</w:t>
      </w:r>
      <w:r>
        <w:rPr>
          <w:rtl w:val="true"/>
        </w:rPr>
        <w:t>]</w:t>
      </w:r>
      <w:bookmarkEnd w:id="1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المنافاة اللازم من اختلاف حکم المسألتین وجوه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اختلاف موضوعیهما بالتباین الکلّیّ، بأن یفرض موضوع حکمهم بتقدیم الناقل هو خصوص الخبر المفید للحرمة علی المفید للإباحة، لا </w:t>
      </w:r>
      <w:bookmarkStart w:id="1248" w:name="pg12856_162842"/>
    </w:p>
    <w:p>
      <w:pPr>
        <w:pStyle w:val="BookText"/>
        <w:rPr/>
      </w:pPr>
      <w:bookmarkEnd w:id="1248"/>
      <w:r>
        <w:rPr>
          <w:rFonts w:ascii="IRNazanin" w:hAnsi="IRNazanin" w:eastAsia="IRNazanin"/>
          <w:color w:val="111111"/>
          <w:sz w:val="28"/>
          <w:sz w:val="28"/>
          <w:szCs w:val="28"/>
          <w:rtl w:val="true"/>
          <w:lang w:bidi="fa-IR"/>
        </w:rPr>
        <w:t>مطلق الناقل، و لو کان مفیدا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حکمهم بتقدیم المقرّر هو خصوص الخبر المفید للوجوب بالنسبة إلی المفید للإباحة، دون المفید للحرمة بالنسبة إلی المفید للإباحة، بناء علی أنّ موضوعی المسألتین و إن کانا مطلقین، إلّا أنّ المراد من کلّ من المطلقین غیر ما ارید من الآخر، تقییدا للمطلق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قیل من اختلاف حکمی المسألتین، و فرض اتّحاد حکمهما، بأن یفرض المخالف من العامّة أو ممّن لم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اختلاف الجهة، و النظر فی اختلاف حکمی المسألتین، بأن یفرض جهة حکمهم بتقدیم الناقل النظر إلی مقتضی نفس مدلولی الخبرین، أعنی النظر إلی مجرّد قاعدة أولویّة التأسیس من التأکید، مع قطع النظر عن الأخبار الدالّة علی الإباحة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جهة حکمهم بتقدیم المقرّر علی الناقل هو النظر إلی الأخبار الواردة علی الأولویّة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یدور الحکم بین الوجوب و غیر الحرمة من جهة الاشتباه فی موضوع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49" w:name="__RefHeading___Toc2647238_3224264995"/>
      <w:bookmarkStart w:id="1250" w:name="_Toc490"/>
      <w:bookmarkEnd w:id="1249"/>
      <w:r>
        <w:rPr>
          <w:rtl w:val="true"/>
        </w:rPr>
        <w:t>[</w:t>
      </w:r>
      <w:r>
        <w:rPr>
          <w:rtl w:val="true"/>
        </w:rPr>
        <w:t>الشبهة الموضوعیة فی الوجوب</w:t>
      </w:r>
      <w:r>
        <w:rPr>
          <w:rtl w:val="true"/>
        </w:rPr>
        <w:t>]</w:t>
      </w:r>
      <w:bookmarkEnd w:id="12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موضوع الحکم موضوعه الصّرف، لا المستنبط، لأنّ الاشتباه فی الموضوع المستنبط قد تقدّم الکلام فیه فی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المسألة الرابعة من مسائل دوران الحکم بین الحرمة و غیر الوجوب معقودة فی الموضوع الصرف، کذلک المسألة الرابعة من مسائل دوران الحکم بین الوجوب و غیر الحرمة معقودة فی الموضوع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المسألة فحکم سائر المسائل الأربعة، لما تقدّم فیها من الأدلّة علی البراءة، إلّا أنّه تختصّ هذه المسألة و تنفرد عن أخواتها بإشکالات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المشهور بوجوب الاحتیاط فی ما إذا تردّدت الفائتة بین </w:t>
      </w:r>
      <w:bookmarkStart w:id="1251" w:name="pg12856_162843"/>
    </w:p>
    <w:p>
      <w:pPr>
        <w:pStyle w:val="BookText"/>
        <w:rPr/>
      </w:pPr>
      <w:bookmarkEnd w:id="1251"/>
      <w:r>
        <w:rPr>
          <w:rFonts w:ascii="IRNazanin" w:hAnsi="IRNazanin" w:eastAsia="IRNazanin"/>
          <w:color w:val="111111"/>
          <w:sz w:val="28"/>
          <w:sz w:val="28"/>
          <w:szCs w:val="28"/>
          <w:rtl w:val="true"/>
          <w:lang w:bidi="fa-IR"/>
        </w:rPr>
        <w:t>الأقلّ و الأکثر، مع حکمهم بالبراءة فی حقّ الناس المتردّد بین الأقلّ و الأکثر، بل و فی ما لو تردّد ما فات عن أبویه، و فی ما تحمّله بالإجارة بین الأقلّ و الأکثر، بل و فی ما لو تردّد الفائت عن نفسه بین العصر فقط و بین العصر و الظهر معا، مع أنّ الفرق بین الموارد المذکورة و ما نحن فیه غیر بیّن، بل و لا مبیّن إلّا من 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الفرق المبیّن، و فارقیّته بین الموارد من دعوی کون الشکّ فی ما نحن فیه شکّ فی السقوط الّذی هو مجری الاحتیاط، و فی سائر الموارد شکّ فی الثبوت الّذی هو مجری البراءة</w:t>
      </w:r>
      <w:r>
        <w:rPr>
          <w:rFonts w:eastAsia="IRNazanin" w:cs="IRNazanin"/>
          <w:color w:val="111111"/>
          <w:sz w:val="28"/>
          <w:szCs w:val="28"/>
          <w:rtl w:val="true"/>
          <w:lang w:bidi="fa-IR"/>
        </w:rPr>
        <w:t>.</w:t>
      </w:r>
    </w:p>
    <w:p>
      <w:pPr>
        <w:pStyle w:val="Heading4"/>
        <w:numPr>
          <w:ilvl w:val="3"/>
          <w:numId w:val="1"/>
        </w:numPr>
        <w:rPr/>
      </w:pPr>
      <w:bookmarkStart w:id="1252" w:name="__RefHeading___Toc2647240_3224264995"/>
      <w:bookmarkStart w:id="1253" w:name="_Toc491"/>
      <w:bookmarkEnd w:id="1252"/>
      <w:r>
        <w:rPr>
          <w:rtl w:val="true"/>
        </w:rPr>
        <w:t>[</w:t>
      </w:r>
      <w:r>
        <w:rPr>
          <w:rtl w:val="true"/>
        </w:rPr>
        <w:t>حکم المشهور بحجّیة الظن فی قضاء الفوائت</w:t>
      </w:r>
      <w:r>
        <w:rPr>
          <w:rtl w:val="true"/>
        </w:rPr>
        <w:t>]</w:t>
      </w:r>
      <w:bookmarkEnd w:id="1253"/>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المشهور أیضا بحجّیّة الظنّ، و جواز الاکتفاء به فی قضاء الفوائت، مع حکمهم بعدم حجّیته، و عدم جواز الاکتفاء به، فی سائر الموضوعات الصرفة</w:t>
      </w:r>
      <w:r>
        <w:rPr>
          <w:rFonts w:eastAsia="IRNazanin" w:cs="IRNazanin"/>
          <w:color w:val="111111"/>
          <w:sz w:val="28"/>
          <w:szCs w:val="28"/>
          <w:rtl w:val="true"/>
          <w:lang w:bidi="fa-IR"/>
        </w:rPr>
        <w:t>.</w:t>
      </w:r>
    </w:p>
    <w:p>
      <w:pPr>
        <w:pStyle w:val="Heading4"/>
        <w:numPr>
          <w:ilvl w:val="3"/>
          <w:numId w:val="1"/>
        </w:numPr>
        <w:rPr/>
      </w:pPr>
      <w:bookmarkStart w:id="1254" w:name="__RefHeading___Toc2647242_3224264995"/>
      <w:bookmarkStart w:id="1255" w:name="_Toc492"/>
      <w:bookmarkEnd w:id="1254"/>
      <w:r>
        <w:rPr>
          <w:rtl w:val="true"/>
        </w:rPr>
        <w:t>[</w:t>
      </w:r>
      <w:r>
        <w:rPr>
          <w:rtl w:val="true"/>
        </w:rPr>
        <w:t>حکم المشهور بالاحتیاط عند تردد الفائتة بین الأقلّ و الأکثر</w:t>
      </w:r>
      <w:r>
        <w:rPr>
          <w:rtl w:val="true"/>
        </w:rPr>
        <w:t>]</w:t>
      </w:r>
      <w:bookmarkEnd w:id="1255"/>
    </w:p>
    <w:p>
      <w:pPr>
        <w:pStyle w:val="BookText"/>
        <w:rPr/>
      </w:pPr>
      <w:r>
        <w:rPr>
          <w:rFonts w:ascii="IRNazanin" w:hAnsi="IRNazanin" w:eastAsia="IRNazanin"/>
          <w:color w:val="111111"/>
          <w:sz w:val="28"/>
          <w:sz w:val="28"/>
          <w:szCs w:val="28"/>
          <w:rtl w:val="true"/>
          <w:lang w:bidi="fa-IR"/>
        </w:rPr>
        <w:t>أمّا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حکم المشهور بوجوب الاحتیاط فی ما نحن فیه ففی تقریبه و توجیهه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الأکثر من باب المقدّمة لتحصیل ما فات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یضعّفه إمکان منع الدلیل علی وجوب ذی المقدّمة، و هو تحصیل قضاء ما فات فی الواقع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الأکثر من جهة کون الألفاظ موضوعة للمعانی الواقعیّة علی المذاهب المشهور المنصور، لا لخصوص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و إن کانت موضوعة للمعانی الواقعیّة إلّا أنّه لا علی وجه الإطلاق و العموم الشامل للمعلوم و غیر العلوم، بل إنّما هی موضوعة للواقع علی وجه الإهمال و السکوت عن صورتی العلم و الجهل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سلّمنا فالتکلیف المتعلّق بتلک الموضوعات الواقعیّة مهملة لا إطلاق </w:t>
      </w:r>
    </w:p>
    <w:p>
      <w:pPr>
        <w:pStyle w:val="BookText"/>
        <w:rPr/>
      </w:pPr>
      <w:r>
        <w:rPr>
          <w:rFonts w:ascii="IRNazanin" w:hAnsi="IRNazanin" w:eastAsia="IRNazanin"/>
          <w:color w:val="111111"/>
          <w:sz w:val="28"/>
          <w:sz w:val="28"/>
          <w:szCs w:val="28"/>
          <w:rtl w:val="true"/>
          <w:lang w:bidi="fa-IR"/>
        </w:rPr>
        <w:t>فیها یعمّ صورتی العلم و الجهل،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تمّ شی‌ء من هذین الوجهین استلزم وجوب الاحتیاط بالأکثر فی جمیع الموارد حتی فی حقوق الناس، و لم یلتزم به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المنساق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هو وجوب قضاء مطلق الفائت الواقعی علی ما هو علیه فی الواقع من الکیفیّة و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المنساق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بیان الحکم الکبرویّ،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الفائت فی الجملة، فی مقابل توهّم عدم وجوبه بالمرّة، و أمّا مقدار الفائت و کمّیته عند الاشتباه فمسکوت عنه، و لیس الکلام مسوقا لبیان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للسؤال عن حکم الفائت المشتبه مقداره بالخصوص، کان مقتضی ظاهر انطباق الجواب علی السؤال هو انسیاقه إلی بیان الحکم الصغرویّ، و مطلوبیّة قضاء الفائت الواقعی علی ما هو علیه من الکمّیّة و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خلاف الفرض، إذ لم تقف علی نصّ من نصوص قضاء الفوائت یکون مورده خصوص صورة الاشتباه، إلّا الوارد فی قضاء النوافل مع قصور دلالته علی المدّعی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الواجب فی الذمّة و عدم براءة الذمّة إلّا بإتیان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اقتضی الاستصحاب الاحتیاط فی ما نحن فیه، لاقتضاه فی جمیع الموارد حتی فی حقوق الناس الدائرة بین الأقلّ و الأکثر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المعتبر فی مجری الاستصحاب هو الیقین السابق، و لیس فی ما </w:t>
      </w:r>
    </w:p>
    <w:p>
      <w:pPr>
        <w:pStyle w:val="BookText"/>
        <w:rPr/>
      </w:pPr>
      <w:r>
        <w:rPr>
          <w:rFonts w:ascii="IRNazanin" w:hAnsi="IRNazanin" w:eastAsia="IRNazanin"/>
          <w:color w:val="111111"/>
          <w:sz w:val="28"/>
          <w:sz w:val="28"/>
          <w:szCs w:val="28"/>
          <w:rtl w:val="true"/>
          <w:lang w:bidi="fa-IR"/>
        </w:rPr>
        <w:t>نحن فیه یقین سابق بما عدا الأقلّ، فلا وجه لاعتبار إتیان الأکثر المشکوک بشکّ بدویّ صرف من دون سبق الیقین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الشغل الیقینی القاضی بالبراءة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فی الاستصحاب من النقض و الحلّ المتقدّمین، فإنّ المعتبر فی مجری قاعدة الشغل أیضا هو الیقین السابق و إن لم یعتبر فیها ما اعتبر فی مجری الاستصحاب من 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لیس فیما نحن فیه یقین سابق بما عدا الأقلّ و إن فرضت تعلّق الیقین السابق بالمجمل الدائر بین الأقل و الأکثر، و مطلوبیّة ذلک المجمل من المکلّف بوصف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فلا دلیل علی وقوع هذا الفرض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رجع استناد الاحتیاط بالأکثر إلی إطلاق مطلوبیّة المجمل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لا إلی قاعدة الاشتغال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و الشهرة المحصّلة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 بفرض استنادهما فی کلام الشیخ</w:t>
      </w:r>
      <w:r>
        <w:rPr>
          <w:rStyle w:val="FootnoteAnchor"/>
          <w:rtl w:val="true"/>
        </w:rPr>
        <w:footnoteReference w:id="492"/>
      </w:r>
      <w:r>
        <w:rPr>
          <w:rFonts w:ascii="Amiri" w:hAnsi="Amiri" w:eastAsia="Amiri" w:cs="Amiri"/>
          <w:color w:val="111111"/>
          <w:sz w:val="28"/>
          <w:sz w:val="28"/>
          <w:szCs w:val="28"/>
          <w:rtl w:val="true"/>
          <w:lang w:bidi="ar-SA"/>
        </w:rPr>
        <w:t>و العلّامة</w:t>
      </w:r>
      <w:r>
        <w:rPr>
          <w:rStyle w:val="FootnoteAnchor"/>
          <w:rtl w:val="true"/>
        </w:rPr>
        <w:footnoteReference w:id="493"/>
      </w:r>
      <w:r>
        <w:rPr>
          <w:rFonts w:ascii="IRNazanin" w:hAnsi="IRNazanin" w:eastAsia="IRNazanin"/>
          <w:color w:val="111111"/>
          <w:sz w:val="28"/>
          <w:sz w:val="28"/>
          <w:szCs w:val="28"/>
          <w:rtl w:val="true"/>
          <w:lang w:bidi="fa-IR"/>
        </w:rPr>
        <w:t>و الشهیدین</w:t>
      </w:r>
      <w:r>
        <w:rPr>
          <w:rStyle w:val="FootnoteAnchor"/>
          <w:rtl w:val="true"/>
        </w:rPr>
        <w:footnoteReference w:id="494"/>
      </w:r>
      <w:r>
        <w:rPr>
          <w:rFonts w:ascii="IRNazanin" w:hAnsi="IRNazanin" w:eastAsia="IRNazanin"/>
          <w:color w:val="111111"/>
          <w:sz w:val="28"/>
          <w:sz w:val="28"/>
          <w:szCs w:val="28"/>
          <w:rtl w:val="true"/>
          <w:lang w:bidi="fa-IR"/>
        </w:rPr>
        <w:t>و الریاض</w:t>
      </w:r>
      <w:r>
        <w:rPr>
          <w:rStyle w:val="FootnoteAnchor"/>
          <w:rtl w:val="true"/>
        </w:rPr>
        <w:footnoteReference w:id="495"/>
      </w:r>
      <w:r>
        <w:rPr>
          <w:rFonts w:ascii="IRNazanin" w:hAnsi="IRNazanin" w:eastAsia="IRNazanin"/>
          <w:color w:val="111111"/>
          <w:sz w:val="28"/>
          <w:sz w:val="28"/>
          <w:szCs w:val="28"/>
          <w:rtl w:val="true"/>
          <w:lang w:bidi="fa-IR"/>
        </w:rPr>
        <w:t>و من تبعهم إلی ما لا یصلح للمدرکیّة بالفرض من المدارک المتقدّمة، کالاستصحاب و قاعدة الاشتغال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لم نقف فی کلامهم علی الاستناد إلی ذلک المدرک حملناهم علی الاستناد إلی مدرک صحیح وصل إلیهم و إن لم یصل إلینا بناء علی حجّیّة نقلهم </w:t>
      </w:r>
      <w:bookmarkStart w:id="1256" w:name="pg12856_162846"/>
    </w:p>
    <w:p>
      <w:pPr>
        <w:pStyle w:val="BookText"/>
        <w:rPr/>
      </w:pPr>
      <w:bookmarkEnd w:id="1256"/>
      <w:r>
        <w:rPr>
          <w:rFonts w:ascii="Amiri" w:hAnsi="Amiri" w:eastAsia="Amiri" w:cs="Amiri"/>
          <w:color w:val="111111"/>
          <w:sz w:val="28"/>
          <w:sz w:val="28"/>
          <w:szCs w:val="28"/>
          <w:rtl w:val="true"/>
          <w:lang w:bidi="ar-SA"/>
        </w:rPr>
        <w:t>الإجماع و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أداء الصلاة الواجبة فی وقتها، فیترتّب علیه وجوب قضاء کلّ ما لم یعلم أدائه فی وقته، إلی آخر ما تصدّی الماتن فی تقریبه و تزییفه مفصّلا</w:t>
      </w:r>
      <w:r>
        <w:rPr>
          <w:rFonts w:eastAsia="IRNazanin" w:cs="IRNazanin"/>
          <w:color w:val="111111"/>
          <w:sz w:val="28"/>
          <w:szCs w:val="28"/>
          <w:rtl w:val="true"/>
          <w:lang w:bidi="fa-IR"/>
        </w:rPr>
        <w:t>.</w:t>
      </w:r>
    </w:p>
    <w:p>
      <w:pPr>
        <w:pStyle w:val="Heading4"/>
        <w:numPr>
          <w:ilvl w:val="3"/>
          <w:numId w:val="1"/>
        </w:numPr>
        <w:rPr/>
      </w:pPr>
      <w:bookmarkStart w:id="1257" w:name="__RefHeading___Toc2647244_3224264995"/>
      <w:bookmarkStart w:id="1258" w:name="_Toc493"/>
      <w:bookmarkEnd w:id="1257"/>
      <w:r>
        <w:rPr>
          <w:rtl w:val="true"/>
        </w:rPr>
        <w:t>[</w:t>
      </w:r>
      <w:r>
        <w:rPr>
          <w:rtl w:val="true"/>
        </w:rPr>
        <w:t>مناقشات فی کلمات الماتن حول الأداء و القضاء</w:t>
      </w:r>
      <w:r>
        <w:rPr>
          <w:rtl w:val="true"/>
        </w:rPr>
        <w:t>]</w:t>
      </w:r>
      <w:bookmarkEnd w:id="1258"/>
    </w:p>
    <w:p>
      <w:pPr>
        <w:pStyle w:val="BookText"/>
        <w:rPr/>
      </w:pPr>
      <w:r>
        <w:rPr>
          <w:rFonts w:ascii="IRNazanin" w:hAnsi="IRNazanin" w:eastAsia="IRNazanin"/>
          <w:color w:val="111111"/>
          <w:sz w:val="28"/>
          <w:sz w:val="28"/>
          <w:szCs w:val="28"/>
          <w:rtl w:val="true"/>
          <w:lang w:bidi="fa-IR"/>
        </w:rPr>
        <w:t>و أمّا الفرق الّذی نقله الماتن</w:t>
      </w:r>
      <w:r>
        <w:rPr>
          <w:rStyle w:val="FootnoteAnchor"/>
          <w:rtl w:val="true"/>
        </w:rPr>
        <w:footnoteReference w:id="496"/>
      </w:r>
      <w:r>
        <w:rPr>
          <w:rFonts w:ascii="IRNazanin" w:hAnsi="IRNazanin" w:eastAsia="IRNazanin"/>
          <w:color w:val="111111"/>
          <w:sz w:val="28"/>
          <w:sz w:val="28"/>
          <w:szCs w:val="28"/>
          <w:rtl w:val="true"/>
          <w:lang w:bidi="fa-IR"/>
        </w:rPr>
        <w:t>عن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الشیخ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نحن فیه و بین سائر الموارد، فالکلام تارة فی تحقّق ذلک الفرق و عدمه، و أخری فی فارقیّته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 الکلام فی الفرق المذکور هو دعوی رجوع الشکّ فی ما نحن فیه إلی الشکّ فی السقوط، و فی سائر الموارد إلی الشکّ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خصّ المثال لما نحن فیه بما لو عرض الشکّ فی مقدار الفائت بعد تخلّل العلم به، و عروض النسیان علیه، حتی یرجع الشکّ فیه إلی الشکّ فی السقوط، بخلاف صورة عدم تخلّل العلم و عروض النسیان، مثل ما لو شکّ المفیق من سکرته، أو المستیقظ من نومته، فی مقدار الفائت منه حال السکرة و النوم، أو شکّ الملتفت إلی بطلان طهارته فی مقدار الفائت منه بتلک الطهارة، فإنّه من قبیل الشکّ فی الثبوت، و الأصل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إن تمّ فلا إشکال فی فارقیّته، کما لو شکّ المکلّف فی صحّة صلاة المصلّی علی جنازة، فإنّه عند الشکّ فی الثبوت یسقط، کما لو تکلّف المکلّف بعد وقوع الصلاة المشکوکة من الغیر علی الجنازة، و عند الشکّ فی السقوط لا یسقط، کما لو تکلّف قبل وقوع الصلاة علیها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الشأن فی إثبات هذا الفرق فی ما نحن فیه فإنّه فی حیّز النظر، بل المنع، ضرورة أنّ الشکّ فی سقوط التکلیف بالأقلّ فی ما مثّل به للشکّ فی </w:t>
      </w:r>
    </w:p>
    <w:p>
      <w:pPr>
        <w:pStyle w:val="BookText"/>
        <w:rPr/>
      </w:pPr>
      <w:r>
        <w:rPr>
          <w:rFonts w:ascii="IRNazanin" w:hAnsi="IRNazanin" w:eastAsia="IRNazanin"/>
          <w:color w:val="111111"/>
          <w:sz w:val="28"/>
          <w:sz w:val="28"/>
          <w:szCs w:val="28"/>
          <w:rtl w:val="true"/>
          <w:lang w:bidi="fa-IR"/>
        </w:rPr>
        <w:t>السقوط کصورة تخلّل العلم و عروض النسیان علی مقدار الفائت، إنّما هو شکّ سار راجع إلی الشکّ فی ثبوت التکلیف بالأکثر قطعا، و لیس شکّا فی سقوط المنسیّ بواسطة عروض النسیان، أو سقوط الأکثر بفعل الأقلّ قطعا، و إنّما هو راجع فی الحقیقة إلی الشکّ فی ثبوت التکلیف بالأکثر حال النسیان، لا مسقطیّة النسیان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مثال ما لو شکّ المکلّف فی صحّة صلاة المصلّی علی جنازة حیث کان مکلّفا قبل وقوع تلک الصلاة علیها، فإنّه شکّ فی السقوط و مسقطیّة الصلاة المشکوکة الواقعة من الغیر عن صلاته المکلّف بها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الفرق المذکور بین ما نحن فیه و بین سائر الموارد من الشکّ فی السقوط و الثبوت و إن کان فرقا فارقا إلا أنّه غیر محقّق فی ما نحن فیه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أمثلة الشکّ فی مقدار الفائت کلّها من قبیل الشکّ فی الثبوت، سواء تخلّل العلم و عرض النسیان بعده فیها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 ذلک أنّ تخلّل العلم و عروض النسیان فی مقدار الفائت لو أوجب صیرورة الشکّ من قبیل الشکّ فی السقوط الموجب لاستصحاب الاشتغال و الاحتیاط بالأکثر، لأوجبه فی الدیون من حقوق الناس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خلافه، و عدم تفصیل أحد فی مجری البراءة عند الشکّ فی الأکثر فیها بین صورة تخلّل العلم و عروض النسیان، و بین عدمه فی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علی القول بکون القضاء بأمر جدید کون کلّ من الأداء و القضاء تکلیفا مغایرا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کون القضاء بأمر جدید و تغایر تکلیفی الأداء و القضاء لا یقتضی تغایر مطلوبیهما و موضوعیهما المانع من مجری قاعدتی الاستصحاب و الاشتغال،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یکشف عن ذلک تعلّق أمر الأداء بنفس الفعل، و أمر القضاء بوصف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تعلّق القضاء بوصف الفوت لا یوجب المغایرة بین الفائت و قضائه فی نفس الفعل، کالمغایرة بین الأصل و بدله، کالتیمّم بدل الوضوء، و الکفّارة بدل المعصیة، و الفدیة بدل المفدی عنه، و الحسنة بدل السیّئة، بل لا مغایرة بینهما إلّا فی وقت الفعل، کمغایرة فرد لفرد آخر من أفراد الکلّی الجامع لهما و إن اختلف الزمان و المکان، فإنّ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 نفس ما لم تفعله فی وقته، لا افعل بدله، أو فدیته، أو کفّارته من الأبدال المبائنة لأصلها و مبدلها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بعض ما دلّ علی أنّ لکلّ من الفرائض بدلا و هو قضاءه عدا الولایة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تفاوت الفریضة للولایة من حیث بدلیّة القضاء للفریضة حتی من الغیر کالولیّ و الأجیر و المتبرّع، و عدم بدلیّة شی‌ء منها للولایة الفائتة لا یستلزم تفاوت القضاء للأداء و تغایرهما فی نفس الفعل المطلوب و إن اختلفا من حیث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مجری لقاعدة الاشتغال و استصحابه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تغایر المطلوب بتغایر الطلب، و تغایر الموضوع بتغایر حکمه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عرفت منع تبدّل الموضوع بمجرّد تبدّل حکمه، خصوصا تبدّل الموضوع علی الوجه المانع من مجری الاستصحاب و الاشتغال، فإنّ المدار فی </w:t>
      </w:r>
      <w:bookmarkStart w:id="1259" w:name="pg12856_162849"/>
    </w:p>
    <w:p>
      <w:pPr>
        <w:pStyle w:val="BookText"/>
        <w:rPr/>
      </w:pPr>
      <w:bookmarkEnd w:id="1259"/>
      <w:r>
        <w:rPr>
          <w:rFonts w:ascii="IRNazanin" w:hAnsi="IRNazanin" w:eastAsia="IRNazanin"/>
          <w:color w:val="111111"/>
          <w:sz w:val="28"/>
          <w:sz w:val="28"/>
          <w:szCs w:val="28"/>
          <w:rtl w:val="true"/>
          <w:lang w:bidi="fa-IR"/>
        </w:rPr>
        <w:t>انسحاب الحکم السابق إلی اللاحق بقاعدتی الاستصحاب و الاشتغال علی بقاء موضوعه علی وجه المسامحة العرفیة، لا المداقّة الفلسفیة، و إلّا لا نسدّ باب الاستصحاب فی الأحکام و صار قیاسا، کما زعمه الأخباریة المانعین منه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بطریق أولی، فتأمّل</w:t>
      </w:r>
      <w:r>
        <w:rPr>
          <w:rFonts w:eastAsia="IRNazanin" w:cs="IRNazanin"/>
          <w:color w:val="111111"/>
          <w:sz w:val="28"/>
          <w:szCs w:val="28"/>
          <w:rtl w:val="true"/>
          <w:lang w:bidi="fa-IR"/>
        </w:rPr>
        <w:t>».</w:t>
      </w:r>
    </w:p>
    <w:p>
      <w:pPr>
        <w:pStyle w:val="Heading4"/>
        <w:numPr>
          <w:ilvl w:val="3"/>
          <w:numId w:val="1"/>
        </w:numPr>
        <w:rPr/>
      </w:pPr>
      <w:bookmarkStart w:id="1260" w:name="__RefHeading___Toc2647246_3224264995"/>
      <w:bookmarkStart w:id="1261" w:name="_Toc494"/>
      <w:bookmarkEnd w:id="1260"/>
      <w:r>
        <w:rPr>
          <w:rtl w:val="true"/>
        </w:rPr>
        <w:t>[</w:t>
      </w:r>
      <w:r>
        <w:rPr>
          <w:rtl w:val="true"/>
        </w:rPr>
        <w:t>عدم استلزام الاحتیاط فی قضاء النوافل للاحتیاط فی قضاء الفرائض</w:t>
      </w:r>
      <w:r>
        <w:rPr>
          <w:rtl w:val="true"/>
        </w:rPr>
        <w:t>]</w:t>
      </w:r>
      <w:bookmarkEnd w:id="1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أولویّة الاحتیاط فی الفریضة من الاحتیاط فی النافلة، لا یقتضی بوجوب الاحتیاط المدّعی فی الفریضة بعد فرض استحبابه فی النافلة قطعا، بل یقتضی بأولویّته فی الفریضة علی الوجه المطلوب فی النافلة، و هو الندب، أو صورة العلم الإجمالی بکثرة الفائت دون الشکّ المفروض فی محلّ الکلام، فالاحتیاط فی قضاء النوافل لا یقتضی الاحتیاط فی قضاء الفرائض للفرق الفارق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کون الاحتیاط فی المقیس علیه مندوب و لا کلام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أنّه معلوم الکثرة، و فی ما نحن فیه مشکوک، مضافا إلی کون الاحتیاط بالأکثر خلاف الأصل فیقتصر فیه علی مورد النصّ، مضافا إلی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حتّی لا یدری کم صلّی من کثرته</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حتی یحتمل الوفاء، لا حتّی یعلم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الاشکال الثالث الموعود علیه فی أوّل المسألة،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الظنّ، و جواز الاکتفاء به فی مقدار الفائت علی القول بوجوب الاحتیاط فی ما نحن فیه، مع عدم حجّیته، و عدم جواز الاکتفاء به فی سائر الموضوعات الصرفة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یندفع بأنّ البانین علی الاحتیاط فی قضاء الفوائت لمّا رأوا أنّ الابتلاء به </w:t>
      </w:r>
      <w:bookmarkStart w:id="1262" w:name="pg12856_162850"/>
    </w:p>
    <w:p>
      <w:pPr>
        <w:pStyle w:val="BookText"/>
        <w:rPr/>
      </w:pPr>
      <w:bookmarkEnd w:id="1262"/>
      <w:r>
        <w:rPr>
          <w:rFonts w:ascii="IRNazanin" w:hAnsi="IRNazanin" w:eastAsia="IRNazanin"/>
          <w:color w:val="111111"/>
          <w:sz w:val="28"/>
          <w:sz w:val="28"/>
          <w:szCs w:val="28"/>
          <w:rtl w:val="true"/>
          <w:lang w:bidi="fa-IR"/>
        </w:rPr>
        <w:t>من عمومات البلوی، بل لا یکاد یسلم منه الأوحدین بحیث یستلزم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الاکتفاء بالظنّ و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و الحرج المنفیّین عن الشریعة بالکتاب</w:t>
      </w:r>
      <w:r>
        <w:rPr>
          <w:rStyle w:val="FootnoteAnchor"/>
          <w:rtl w:val="true"/>
        </w:rPr>
        <w:footnoteReference w:id="501"/>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تخلّصوا بالفرار عن ذلک بحجّیّة الظنّ، و الاکتفاء بالمظنون فیه، جبرا لعسر الاحتیاط، و تلافیا للحرج اللازم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فی حکم دوران الأمر بین الوجوب و الحرمة</w:t>
      </w:r>
      <w:r>
        <w:rPr>
          <w:rFonts w:eastAsia="IRNazanin" w:cs="IRNazanin"/>
          <w:color w:val="111111"/>
          <w:sz w:val="28"/>
          <w:szCs w:val="28"/>
          <w:rtl w:val="true"/>
          <w:lang w:bidi="fa-IR"/>
        </w:rPr>
        <w:t>».</w:t>
      </w:r>
    </w:p>
    <w:p>
      <w:pPr>
        <w:pStyle w:val="Heading4"/>
        <w:numPr>
          <w:ilvl w:val="3"/>
          <w:numId w:val="1"/>
        </w:numPr>
        <w:rPr/>
      </w:pPr>
      <w:bookmarkStart w:id="1263" w:name="__RefHeading___Toc2647248_3224264995"/>
      <w:bookmarkStart w:id="1264" w:name="_Toc495"/>
      <w:bookmarkEnd w:id="1263"/>
      <w:r>
        <w:rPr>
          <w:rtl w:val="true"/>
        </w:rPr>
        <w:t>[</w:t>
      </w:r>
      <w:r>
        <w:rPr>
          <w:rtl w:val="true"/>
        </w:rPr>
        <w:t>دوران الأمر بین الوجوب و الحرمة من جهة عدم الدلیل</w:t>
      </w:r>
      <w:r>
        <w:rPr>
          <w:rtl w:val="true"/>
        </w:rPr>
        <w:t>]</w:t>
      </w:r>
      <w:bookmarkEnd w:id="12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أمثلة ذلک من الشبهات الحکمیّة کثیرة من الطهارة إلی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انحصر الطهارة الخبثیّة أو الحدثیّة فی غسالة النجس، أو غسالة الاستنجاء، أو المستعمل فی رفع الحدثین، أو القلیل النجس المتمّم کرّا، أو البئر الملاقی للنجس قبل النزح المطهّر له، أو النابع القلیل الملاقی للنجاسة، أو الکرّ المتغیّر تقدیرا لا حسّا، أو الزائل تغیّره من قبل نفسه، أو الانهار الکبار المملوکة الّتی لم یأذن المالک استعمال الغیر منها، إلی غیر ذلک ممّا یدور الأمر فیه عند الانحصار بین وجوب الاستعمال علی القول بالطهارة و الإباحة، و حرمته علی القول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الباب دوران الأمر فی دفن المرتدّ الفطری فی مقابر المسلمین و علی آداب المسلمین إذا مات عن توبة بین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بقبول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المیّت الموصی بنقله إلی المشاهد، فإنّه علی القول بجواز النقل یجب العمل بالوصیّة، و علی القول بعدم جوازه یحرم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 العیدین، فإنّه علی اشتراطه بحضور الامام علیه السّلام یحرم فی زمان الغیبة، و علی عدمه یجب</w:t>
      </w:r>
      <w:r>
        <w:rPr>
          <w:rFonts w:eastAsia="IRNazanin" w:cs="IRNazanin"/>
          <w:color w:val="111111"/>
          <w:sz w:val="28"/>
          <w:szCs w:val="28"/>
          <w:rtl w:val="true"/>
          <w:lang w:bidi="fa-IR"/>
        </w:rPr>
        <w:t xml:space="preserve">. </w:t>
      </w:r>
      <w:bookmarkStart w:id="1265" w:name="pg12856_162851"/>
    </w:p>
    <w:p>
      <w:pPr>
        <w:pStyle w:val="BookText"/>
        <w:rPr/>
      </w:pPr>
      <w:bookmarkEnd w:id="1265"/>
      <w:r>
        <w:rPr>
          <w:rFonts w:ascii="IRNazanin" w:hAnsi="IRNazanin" w:eastAsia="IRNazanin"/>
          <w:color w:val="111111"/>
          <w:sz w:val="28"/>
          <w:sz w:val="28"/>
          <w:szCs w:val="28"/>
          <w:rtl w:val="true"/>
          <w:lang w:bidi="fa-IR"/>
        </w:rPr>
        <w:t>و من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علی المرتضعة من لبن العاقد عشر رضعات، أو من لبن إخوة العاقد خمسة عشر رضعة، حیث یدور الأمر فی حقّ المضاجعة و الوطی بین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نشر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إحباء الولد الأکبر من ترکة المدیون أو المستغرق بالدیون، 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وجوب قتل المرتدّ الفطری التائب 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العلم بجنس التکلیف المردّد بین نوعی الوجوب و الحرمة کالعلم بنوع التکلیف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العلم بجنس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الإلزام الدائر بین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بنوعه، کالطلب الدائر بین الوجوب و الندب فی نفی الثالث، و عدم إمکان الرجوع فیه إلی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صدق العلم، لا الجهل علی ما علم نوع التکلیف المردّد، فیشمله عموم أدلّة التکلیف، لا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موضوع الجهل، لا العلم علی ما علم جنسه المردّد بین نوعیه، فیشمله أدلّة البراءة، لا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مقام التعارض، فافهم</w:t>
      </w:r>
      <w:r>
        <w:rPr>
          <w:rFonts w:eastAsia="IRNazanin" w:cs="IRNazanin"/>
          <w:color w:val="111111"/>
          <w:sz w:val="28"/>
          <w:szCs w:val="28"/>
          <w:rtl w:val="true"/>
          <w:lang w:bidi="fa-IR"/>
        </w:rPr>
        <w:t>».</w:t>
      </w:r>
    </w:p>
    <w:p>
      <w:pPr>
        <w:pStyle w:val="Heading4"/>
        <w:numPr>
          <w:ilvl w:val="3"/>
          <w:numId w:val="1"/>
        </w:numPr>
        <w:rPr/>
      </w:pPr>
      <w:bookmarkStart w:id="1266" w:name="__RefHeading___Toc2647250_3224264995"/>
      <w:bookmarkStart w:id="1267" w:name="_Toc496"/>
      <w:bookmarkEnd w:id="1266"/>
      <w:r>
        <w:rPr>
          <w:rtl w:val="true"/>
        </w:rPr>
        <w:t>[</w:t>
      </w:r>
      <w:r>
        <w:rPr>
          <w:rtl w:val="true"/>
        </w:rPr>
        <w:t>إشارة إلی الفرق بین هذه المسألة و بین صورة تعارض النصّین</w:t>
      </w:r>
      <w:r>
        <w:rPr>
          <w:rtl w:val="true"/>
        </w:rPr>
        <w:t>]</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الفرق الفارق بین النصّین المتعارضین و ما نحن فیه من الاحتمالین، بأنّه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الفرق المذکور بینهما من جهة اعتبار الأخبار من باب الموضوعیّة و السببیّة، فلا مانع من مقایسة ما نحن فیه علی حجّیّة الأخبار المحکوم فی متعارضیهما بالتخییر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انتفاء الفرق بینهما من جهة الموضوعیّة، و کون احتماله احتمالا موهوما لا یبطل الاستدلال بالمقایسة و اتّحاد المناط، إلّا أنّ مجرّد الفرق بینهما، باعتبار عموم حجّیّة الأخبار للمتعارضین دون المحتملین، کاف فی </w:t>
      </w:r>
      <w:bookmarkStart w:id="1268" w:name="pg12856_162852"/>
    </w:p>
    <w:p>
      <w:pPr>
        <w:pStyle w:val="BookText"/>
        <w:rPr/>
      </w:pPr>
      <w:bookmarkEnd w:id="1268"/>
      <w:r>
        <w:rPr>
          <w:rFonts w:ascii="IRNazanin" w:hAnsi="IRNazanin" w:eastAsia="IRNazanin"/>
          <w:color w:val="111111"/>
          <w:sz w:val="28"/>
          <w:sz w:val="28"/>
          <w:szCs w:val="28"/>
          <w:rtl w:val="true"/>
          <w:lang w:bidi="fa-IR"/>
        </w:rPr>
        <w:t>الفارقیة، و بطلان الاحتمال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العمل، فتأمّل</w:t>
      </w:r>
      <w:r>
        <w:rPr>
          <w:rFonts w:eastAsia="IRNazanin" w:cs="IRNazanin"/>
          <w:color w:val="111111"/>
          <w:sz w:val="28"/>
          <w:szCs w:val="28"/>
          <w:rtl w:val="true"/>
          <w:lang w:bidi="fa-IR"/>
        </w:rPr>
        <w:t>».</w:t>
      </w:r>
    </w:p>
    <w:p>
      <w:pPr>
        <w:pStyle w:val="Heading4"/>
        <w:numPr>
          <w:ilvl w:val="3"/>
          <w:numId w:val="1"/>
        </w:numPr>
        <w:rPr/>
      </w:pPr>
      <w:bookmarkStart w:id="1269" w:name="__RefHeading___Toc2647252_3224264995"/>
      <w:bookmarkStart w:id="1270" w:name="_Toc497"/>
      <w:bookmarkEnd w:id="1269"/>
      <w:r>
        <w:rPr>
          <w:rtl w:val="true"/>
        </w:rPr>
        <w:t>[</w:t>
      </w:r>
      <w:r>
        <w:rPr>
          <w:rtl w:val="true"/>
        </w:rPr>
        <w:t>هل انّ منعهم من الرجوع إلی قول ثالث من حیث العمل أم مطلق؟</w:t>
      </w:r>
      <w:r>
        <w:rPr>
          <w:rtl w:val="true"/>
        </w:rPr>
        <w:t>]</w:t>
      </w:r>
      <w:bookmarkEnd w:id="1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تقیید منعهم من الرجوع إلی قول ثالث فی المسألة من حیث العمل مناف لإطلاق المنع منه، بل و لعموم النکرة فی سیاق النفی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بل و لصریح المنع من الرجوع إلی الأصل، بل و لصریح تعلیل المنع باستلزامه المخالفة و طرح قول الإمام علیه السّلام، و بأنّه لو جاز مخالفة حکمه المردّد لجاز مخالفة حکمه المتعیّن، بل و لصریح تفریعه علی المنع منع اتّفاقهم بعد الاختلاف، و ابطال القول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أنّ المخالفة الالتزامیّة ربّما تؤدّی إلی المخالفة العملیّة تدریجا، أو أنّها و إن کانت مخالفة قولیّة صوریّة لا عملیة إلّا أنّها لا تخلو من شائبة التجرّی و التجاسر القبیح، فالتوقّف فی مثل المسألة خیر من الاقتحام فی معرض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أدلّة الاباحة فی محتمل الحرمة ینصرف إلی محتمل الحرمة و غیر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71" w:name="__RefHeading___Toc2647254_3224264995"/>
      <w:bookmarkStart w:id="1272" w:name="_Toc498"/>
      <w:bookmarkEnd w:id="1271"/>
      <w:r>
        <w:rPr>
          <w:rtl w:val="true"/>
        </w:rPr>
        <w:t>[</w:t>
      </w:r>
      <w:r>
        <w:rPr>
          <w:rtl w:val="true"/>
        </w:rPr>
        <w:t>مناقشة دعوی الماتن من انصراف أدلة الاباحة إلی محتمل الحرمة و غیر الوجوب</w:t>
      </w:r>
      <w:r>
        <w:rPr>
          <w:rtl w:val="true"/>
        </w:rPr>
        <w:t>]</w:t>
      </w:r>
      <w:bookmarkEnd w:id="12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الانصراف یتوقّف علی وجود صارف، و هو مفقود و الأصل أیضا عدمه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الانصراف علی تقدیر وجود الصارف له إنّما یتأتّی فی المطلقات لا العمومات،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الحرام بعینه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حجب اللّه علمه فهو موضوع</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1273" w:name="pg12856_162853"/>
    </w:p>
    <w:p>
      <w:pPr>
        <w:pStyle w:val="BookText"/>
        <w:rPr/>
      </w:pPr>
      <w:bookmarkEnd w:id="127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أدلّة نفی التکلیف عمّا لم یعلم نوع التکلیف لا یفید إلّا عدم المؤاخذة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74" w:name="__RefHeading___Toc2647256_3224264995"/>
      <w:bookmarkStart w:id="1275" w:name="_Toc499"/>
      <w:bookmarkEnd w:id="1274"/>
      <w:r>
        <w:rPr>
          <w:rtl w:val="true"/>
        </w:rPr>
        <w:t>[</w:t>
      </w:r>
      <w:r>
        <w:rPr>
          <w:rtl w:val="true"/>
        </w:rPr>
        <w:t>مناقشة کلام الماتن من حصر إفادة أدلة نفی التکلیف عمّا لم یعلم نوعه فی عدم المؤاخذة</w:t>
      </w:r>
      <w:r>
        <w:rPr>
          <w:rtl w:val="true"/>
        </w:rPr>
        <w:t>]</w:t>
      </w:r>
      <w:bookmarkEnd w:id="12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یفید إلّا عدم المؤاخذة دون البراءة و الإباحة إنّما هو أدلّة نفی التکلیف عن البهائم، و من فی حکمها، من الصبیّ و المجنون، فی قبح المؤاخذة و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نفی التکلیف عن المکلّف العاقل البالغ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أنّها مستلزمة لإثبات البراءة، و الإباحة الظاهریّة، فی موارد الشبهات مطلقا، بحیث لا یخلو واقعة عن 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علیه تفریعهم علی تلک الأدلّة النافیة الفتوی بالبراءة و الإباحة من أوّل الفقه إلی آخره، لا مجرّد نفی المؤاخذة المنفیّة عن البهائم و المجانین، و تسمیتهم مدلول تلک الأدلّة النافیة بالحکم الظاهری و الواقعی الثانوی، و عدّهم إیّاه فی عداد الأحکام الشرعیّة، و حصرهم حکم الشبهات فی حکمی البراءة و الاحتیاط دون القول بمجرّد نفی التکلیف، و عدم مناقشة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کثرة مناقشاتهم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نفی التکلیف بأنّها لا تفید إلّا نفی المؤاخذة، لا البراءة و الإباحة الّذی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السیّئات أولی من اکتساب الحسنات</w:t>
      </w:r>
      <w:r>
        <w:rPr>
          <w:rFonts w:eastAsia="IRNazanin" w:cs="IRNazanin"/>
          <w:color w:val="111111"/>
          <w:sz w:val="28"/>
          <w:szCs w:val="28"/>
          <w:rtl w:val="true"/>
          <w:lang w:bidi="fa-IR"/>
        </w:rPr>
        <w:t>».</w:t>
      </w:r>
    </w:p>
    <w:p>
      <w:pPr>
        <w:pStyle w:val="Heading4"/>
        <w:numPr>
          <w:ilvl w:val="3"/>
          <w:numId w:val="1"/>
        </w:numPr>
        <w:rPr/>
      </w:pPr>
      <w:bookmarkStart w:id="1276" w:name="__RefHeading___Toc2647258_3224264995"/>
      <w:bookmarkStart w:id="1277" w:name="_Toc500"/>
      <w:bookmarkEnd w:id="1276"/>
      <w:r>
        <w:rPr>
          <w:rtl w:val="true"/>
        </w:rPr>
        <w:t>[</w:t>
      </w:r>
      <w:r>
        <w:rPr>
          <w:rtl w:val="true"/>
        </w:rPr>
        <w:t>مناقشة فی مفاد الحدیث من انّ اجتناب السیئات أولی من اکتساب الحسنات</w:t>
      </w:r>
      <w:r>
        <w:rPr>
          <w:rtl w:val="true"/>
        </w:rPr>
        <w:t>]</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الحسنات فی لسان المعصومین هی المندوبات دون الواجبات، فإنّ الواجبات فی لسانهم یعبّر عنها غالبا بالفروض، فلا شهادة فی الخبر علی المطلوب</w:t>
      </w:r>
      <w:r>
        <w:rPr>
          <w:rFonts w:eastAsia="IRNazanin" w:cs="IRNazanin"/>
          <w:color w:val="111111"/>
          <w:sz w:val="28"/>
          <w:szCs w:val="28"/>
          <w:rtl w:val="true"/>
          <w:lang w:bidi="fa-IR"/>
        </w:rPr>
        <w:t>.</w:t>
      </w:r>
    </w:p>
    <w:p>
      <w:pPr>
        <w:pStyle w:val="Heading4"/>
        <w:numPr>
          <w:ilvl w:val="3"/>
          <w:numId w:val="1"/>
        </w:numPr>
        <w:rPr/>
      </w:pPr>
      <w:bookmarkStart w:id="1278" w:name="__RefHeading___Toc2647260_3224264995"/>
      <w:bookmarkStart w:id="1279" w:name="_Toc501"/>
      <w:bookmarkEnd w:id="1278"/>
      <w:r>
        <w:rPr>
          <w:rtl w:val="true"/>
        </w:rPr>
        <w:t>[</w:t>
      </w:r>
      <w:r>
        <w:rPr>
          <w:rtl w:val="true"/>
        </w:rPr>
        <w:t>الاستشهاد للقول بالحرمة فی دوران الأمر بین الوجوب و الحرمة لعدم الدلیل</w:t>
      </w:r>
      <w:r>
        <w:rPr>
          <w:rtl w:val="true"/>
        </w:rPr>
        <w:t>]</w:t>
      </w:r>
      <w:bookmarkEnd w:id="127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یشهد له بأوامر الحثّ علی التقوی، و حصر قبول تمام الأعمال من الاصول و الفروع فی التقوی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r>
        <w:rPr>
          <w:rStyle w:val="FootnoteAnchor"/>
          <w:rtl w:val="true"/>
        </w:rPr>
        <w:footnoteReference w:id="50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تفسیره بالورع عن محارم اللّه،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أفضل الأعمال؟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الجواب بأنّ ترک الواجب من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یشهد له بأنّ جمیع الحدود و التعزیرات الشرعیّة إنّما رتّب شرعا علی فعل المحرّمات دون ترک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یحتمل أن یکون ذلک من جهة أنّ ترک الواجب أعظم عقوبة من فعل المحرّمات، و لهذا لم یرتّب علیه حدّ و تعزیر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یشهد له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الحلال و الحرام إلّا و غلب الحرام الحلال</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الحلال 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اجتماعهما هو الشبهة الموضوعیّة لا الحکمیّة الّتی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بمعارضة الخبر بما هو أقوی سندا و دلالة،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فلا بدّ من حمل الخبر علی الاستحباب کسائر أخبار الاحتیاط، أو فرض الحرام منصوبا لا مرفوعا لیکون هو المغلوب، لا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مقصود الحرمة یتأتّی بالترک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ترک المحرّمات من التوصّلیّات المطلوبة مطلقا، بخلاف </w:t>
      </w:r>
      <w:bookmarkStart w:id="1280" w:name="pg12856_162855"/>
    </w:p>
    <w:p>
      <w:pPr>
        <w:pStyle w:val="BookText"/>
        <w:rPr/>
      </w:pPr>
      <w:bookmarkEnd w:id="1280"/>
      <w:r>
        <w:rPr>
          <w:rFonts w:ascii="IRNazanin" w:hAnsi="IRNazanin" w:eastAsia="IRNazanin"/>
          <w:color w:val="111111"/>
          <w:sz w:val="28"/>
          <w:sz w:val="28"/>
          <w:szCs w:val="28"/>
          <w:rtl w:val="true"/>
          <w:lang w:bidi="fa-IR"/>
        </w:rPr>
        <w:t>فعل الواجبات، فإنّه قد یکون من التعبّدیّات المطلوبة فی حال دون حال، أو فی وقت دون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مطلوبیّة الشی‌ء علی وجه الإطلاق لا یترجّح علی مطلوبیّة الشی‌ء علی وجه التقیید إن لم یکن الترجیح بالعکس، نظرا إلی تقدیم المقیّد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الترجیح به فهو أخصّ من المدّعی لعدم نهوضه فی ما فرض الواجب المحتمل توصّلیا کالحرام، أو احتمل کونه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الترجیح بهذا إن کان له محصّلا فهو راجع إلی الترجیح بأولویّة دفع المفسدة من جلب المنفعة، لا مرجّح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یضعف الاستصحاب بمعارضة استصحاب التخییر الحاکم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حکومته أنّ الشکّ فی جواز العدول مسبّب عن الشکّ فی استمرار التخییر، فاستصحاب التخییر مزیل للشکّ فی جواز العدول، بخلاف استصحاب الحکم المختار، فإنّه مزال، نظیر استصحاب طهارة الماء المشکوک الکریّة، حیث یزیل الشکّ فی طهارة المغسول به، بخلاف استصحاب نجاسة الثوب المغسول به، فإنّه مزال، لا مزیل للشکّ فی کرّیّة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فالحکم فیه کما فی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81" w:name="__RefHeading___Toc2647262_3224264995"/>
      <w:bookmarkStart w:id="1282" w:name="_Toc502"/>
      <w:bookmarkEnd w:id="1281"/>
      <w:r>
        <w:rPr>
          <w:rtl w:val="true"/>
        </w:rPr>
        <w:t>[</w:t>
      </w:r>
      <w:r>
        <w:rPr>
          <w:rtl w:val="true"/>
        </w:rPr>
        <w:t>دوران الأمر بین الوجوب و الحرمة لإجمال الدلیل</w:t>
      </w:r>
      <w:r>
        <w:rPr>
          <w:rtl w:val="true"/>
        </w:rPr>
        <w:t>]</w:t>
      </w:r>
      <w:bookmarkEnd w:id="128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تتّحد هذه المسألة مع المسألة السابقة فی الحکم إذا اتّحدتا فی الموضوع، و هو الدلالة علی نفی الثالث، و أمّا إذا فرضنا عدم دلالة الدلیل المجمل الدائر بین الوجوب و الحرمة علی نفی احتمال ثالث فی المسألة، فمقتضی القاعدة فیه التساقط و الرجوع إلی الأصل الأوّلی فی فرض عدم النصّ، من رأس لا الحکم بالتوقّف بالنسبة إلی الواقع و البناء علی خلوّ الواقعة عن حکم فی الظاهر، </w:t>
      </w:r>
      <w:bookmarkStart w:id="1283" w:name="pg12856_162856"/>
    </w:p>
    <w:p>
      <w:pPr>
        <w:pStyle w:val="BookText"/>
        <w:rPr/>
      </w:pPr>
      <w:bookmarkEnd w:id="1283"/>
      <w:r>
        <w:rPr>
          <w:rFonts w:ascii="IRNazanin" w:hAnsi="IRNazanin" w:eastAsia="IRNazanin"/>
          <w:color w:val="111111"/>
          <w:sz w:val="28"/>
          <w:sz w:val="28"/>
          <w:szCs w:val="28"/>
          <w:rtl w:val="true"/>
          <w:lang w:bidi="fa-IR"/>
        </w:rPr>
        <w:t>کما هو أوجه وجوه المسألة السابقة المفروض فیها نفی الثالث للقولین المتعارضین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2647264_3224264995"/>
      <w:bookmarkStart w:id="1285" w:name="_Toc503"/>
      <w:bookmarkEnd w:id="1284"/>
      <w:r>
        <w:rPr>
          <w:rtl w:val="true"/>
        </w:rPr>
        <w:t>[</w:t>
      </w:r>
      <w:r>
        <w:rPr>
          <w:rtl w:val="true"/>
        </w:rPr>
        <w:t>دوران الأمر بین الوجوب و الحرمة لتعارض الأدلّة</w:t>
      </w:r>
      <w:r>
        <w:rPr>
          <w:rtl w:val="true"/>
        </w:rPr>
        <w:t>]</w:t>
      </w:r>
      <w:bookmarkEnd w:id="12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القاعدة، فیختلف باختلاف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تقدیر عدم دلالة النصّین المتعارضین علی نفی الثالث، یکون أوجه الوجوه فیها هو التساقط و الرجوع إلی الأصل الأوّلی المفروض فی ما یفرض فیه عدم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تقدیر دلالتهما علی نفی الثالث و لو بالالتزام البیّن بالمعنی الأعمّ، کدلالة الأمر بالشی‌ء علی نفی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باعتبار الأخبار من باب الموضوعیّة و السببیّة، ناسب أن یکون الحکم فیه هو التخییر، کالتخییر فی إنقاذ الغریقین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الفرق کون التخییر فی إنقاذ الغریقین واقعی لکون المفروض مطلوبیّة إنقاذهما معا فی الواقع، و التخییر إنّما جاء من جهة فرض عدم القدرة علی الجمع بینهما بعد عدم المرجّح، و فیما نحن فیه ظاهریّ من جهة کون المفروض مطلوبیّة أحدهما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باعتبارها من باب الطریقیّة، ناسب أن یکون الحکم فی المسألة هو حکم المسألة السابقة، أعنی التوقّف فی الحکم الواقعی و البناء علی البراءة، أو خلوّ الواقع عن حکم حیث لا یحتاج إلیه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التساقط 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المفهوم، فهو استلزام التساقط فرض عدم النصّ فی مورد النصّ، و خلوّ المورد عن النصّین المتعارضین، بخلاف الوقف، فإنّه لا یستلزم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الثمرة، فتظهر فی استلزام الوقف فی النصّین المتعادلین نفی الثالث، بخلاف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من حیث القاعدة الأوّلیّة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حیث الدلیل فالنصوص و الفتاوی متّفقة علی التخییر فی مسألة </w:t>
      </w:r>
    </w:p>
    <w:p>
      <w:pPr>
        <w:pStyle w:val="BookText"/>
        <w:rPr/>
      </w:pPr>
      <w:r>
        <w:rPr>
          <w:rFonts w:ascii="IRNazanin" w:hAnsi="IRNazanin" w:eastAsia="IRNazanin"/>
          <w:color w:val="111111"/>
          <w:sz w:val="28"/>
          <w:sz w:val="28"/>
          <w:szCs w:val="28"/>
          <w:rtl w:val="true"/>
          <w:lang w:bidi="fa-IR"/>
        </w:rPr>
        <w:t>تعارض الأخبار إلّا ممن لا یعبأ بمخالفته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من وجوه المسألة إنّما هی امّهات الوجوه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واقعیّ أو ظاهریّ، و علی کلّ منهما إمّا استمراریّ أو بدویّ، أو التفصیل بین ما ینوی الالتزام به من التخییرین، فیلزم ذلک دون غیره، أو التخییر بین المختار و التخییر و مرجعه إلی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التساقط مع الرجوع بعده إلی الإباحة لأصله أو الحرمة لأصله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مع ترجیح جانب الحرمة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المتعارضین بحمل الأمر علی الإذن و النهی علی الکراهة، کما علیه الشهید الثانی</w:t>
      </w:r>
      <w:r>
        <w:rPr>
          <w:rStyle w:val="FootnoteAnchor"/>
          <w:rtl w:val="true"/>
        </w:rPr>
        <w:footnoteReference w:id="509"/>
      </w:r>
      <w:r>
        <w:rPr>
          <w:rFonts w:ascii="IRNazanin" w:hAnsi="IRNazanin" w:eastAsia="IRNazanin"/>
          <w:color w:val="111111"/>
          <w:sz w:val="28"/>
          <w:sz w:val="28"/>
          <w:szCs w:val="28"/>
          <w:rtl w:val="true"/>
          <w:lang w:bidi="fa-IR"/>
        </w:rPr>
        <w:t>و ابن أبی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الوجوه إلی عشرة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التخییر الواقعی، فمبنیّ علی اعتبار الأخبار من باب الموضوعیّة مطلقا، و لو کانت 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التخییر الظاهری، فمبنیّ علی اعتبارها من باب الموضوعیّة فی الجملة، لا بالجملة، أو التعبّد بأخبار التخییر و لو فرض اعتبارها من باب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التساقط، فمبنیّ علی عدم اعتبار دلالة المتعارضین علی نفی الثالث و الرجوع إلی الأصل فی فرض انتفاء الدلیل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التوقّف، فهو اعتبار الأخبار من باب الطریقیّة، و اعتبار دلالة المتعارضین علی انتفاء الثالث، فیتوقّف بالنسبة إلی الحکم الواقعی، و یبنی فی الظاهر علی خلوّ الواقعة عن حکم حیث لا مرجّح فی البین، و لا احتیاج إلی الحکم فی الظاهر</w:t>
      </w:r>
      <w:r>
        <w:rPr>
          <w:rFonts w:eastAsia="IRNazanin" w:cs="IRNazanin"/>
          <w:color w:val="111111"/>
          <w:sz w:val="28"/>
          <w:szCs w:val="28"/>
          <w:rtl w:val="true"/>
          <w:lang w:bidi="fa-IR"/>
        </w:rPr>
        <w:t xml:space="preserve">. </w:t>
      </w:r>
      <w:bookmarkStart w:id="1286" w:name="pg12856_162858"/>
    </w:p>
    <w:p>
      <w:pPr>
        <w:pStyle w:val="BookText"/>
        <w:rPr/>
      </w:pPr>
      <w:bookmarkEnd w:id="1286"/>
      <w:r>
        <w:rPr>
          <w:rFonts w:ascii="IRNazanin" w:hAnsi="IRNazanin" w:eastAsia="IRNazanin"/>
          <w:color w:val="111111"/>
          <w:sz w:val="28"/>
          <w:sz w:val="28"/>
          <w:szCs w:val="28"/>
          <w:rtl w:val="true"/>
          <w:lang w:bidi="fa-IR"/>
        </w:rPr>
        <w:t>و أمّا وجه الجمع، فمبنیّ علی أولویّة الجمع مهما أمکن من الطرح، أو علی فرض کون الجمع بین الأمر و النهی بحمل الأمر علی الإذن و النهی علی الکراهة، من أقرب مجازات الجمع بینهما، المعیّن بحکم العرف و العقل المصیر إلیه عند تعذّر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الجمع لو سلّم لا یتأتّی فی جمیع صور المتعارضین، و لو کانا بلفظ الوجوب و الحرمة، بل یختصّ بلفظ الأمر و النهی، لأنّ حمل الوجوب علی الإذن لیس کحمل الأمر علیه فی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وجوه المسألة و توجیه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أوجه الأوجه منها، بل المستقرب علیه الاتّفاق إلّا ممّن لا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التخییر الظاهری، لتضافر الأخبار السلیمة عن المعارض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الأخذ بأحدهما لا تحیّر،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الأخذ بأحدهما إنّما یرفع حکم الحیرة فی الظاهر، لا نفس الحیرة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یتفرّع جواز عدول المقلّد عن مجتهده إلی مجتهد آخر اختیارا، و عدم جوازه إلّا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مثّل له باشتباه الحلیلة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287" w:name="__RefHeading___Toc2647266_3224264995"/>
      <w:bookmarkStart w:id="1288" w:name="_Toc504"/>
      <w:bookmarkEnd w:id="1287"/>
      <w:r>
        <w:rPr>
          <w:rtl w:val="true"/>
        </w:rPr>
        <w:t>[</w:t>
      </w:r>
      <w:r>
        <w:rPr>
          <w:rtl w:val="true"/>
        </w:rPr>
        <w:t>دوران الأمر بین الوجوب و الحرمة للاشتباه فی الموضوع</w:t>
      </w:r>
      <w:r>
        <w:rPr>
          <w:rtl w:val="true"/>
        </w:rPr>
        <w:t>]</w:t>
      </w:r>
      <w:bookmarkEnd w:id="12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فی حکم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مسائل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ما لم یمکن فی البین أصل الموضوعی حاکم علی ما یقتضیه الأصل الحکمی فی المسألة، فإنّ الکلام إنّما هو فیما یقتضیه الأصل الحکمی فی المسألة لا غیر، لأنّ الأصل الموضوعی أمر غیر مطّرد، بل هو مختلف باختلاف الموارد و المواضع، فلیس الکلام فی المسألة إلّا کسائر مسائل الباب فی ما لم یکن فی البین أصل موضوعی</w:t>
      </w:r>
      <w:r>
        <w:rPr>
          <w:rFonts w:eastAsia="IRNazanin" w:cs="IRNazanin"/>
          <w:color w:val="111111"/>
          <w:sz w:val="28"/>
          <w:szCs w:val="28"/>
          <w:rtl w:val="true"/>
          <w:lang w:bidi="fa-IR"/>
        </w:rPr>
        <w:t>.</w:t>
      </w:r>
    </w:p>
    <w:p>
      <w:pPr>
        <w:pStyle w:val="Heading4"/>
        <w:numPr>
          <w:ilvl w:val="3"/>
          <w:numId w:val="1"/>
        </w:numPr>
        <w:rPr/>
      </w:pPr>
      <w:bookmarkStart w:id="1289" w:name="__RefHeading___Toc2647268_3224264995"/>
      <w:bookmarkStart w:id="1290" w:name="_Toc505"/>
      <w:bookmarkEnd w:id="1289"/>
      <w:r>
        <w:rPr>
          <w:rtl w:val="true"/>
        </w:rPr>
        <w:t>[</w:t>
      </w:r>
      <w:r>
        <w:rPr>
          <w:rtl w:val="true"/>
        </w:rPr>
        <w:t>دراسة التمثیل المذکور للمسألة</w:t>
      </w:r>
      <w:r>
        <w:rPr>
          <w:rtl w:val="true"/>
        </w:rPr>
        <w:t>]</w:t>
      </w:r>
      <w:bookmarkEnd w:id="129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یتّضح لک وجه عدم صحّة التمثیل للمسألة باشتباه الحلیلة </w:t>
      </w:r>
    </w:p>
    <w:p>
      <w:pPr>
        <w:pStyle w:val="BookText"/>
        <w:rPr/>
      </w:pPr>
      <w:r>
        <w:rPr>
          <w:rFonts w:ascii="IRNazanin" w:hAnsi="IRNazanin" w:eastAsia="IRNazanin"/>
          <w:color w:val="111111"/>
          <w:sz w:val="28"/>
          <w:sz w:val="28"/>
          <w:szCs w:val="28"/>
          <w:rtl w:val="true"/>
          <w:lang w:bidi="fa-IR"/>
        </w:rPr>
        <w:t>الواجب وطئها بالأجنبیّة، لاشتماله علی الأصل الموضوعی، و هو أصالة عدم الزوجیّة بینهما الحاکم علی ما یخالفه و یوافقه أصالة عدم الوجوب، فیتعیّن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صحّة التمثیل أیضا بالخلّ المحلوف علی شربه المشتبه بالخمر، لاشتماله أیضا علی الأصل الموضوعی، و هو أصالة عدم الحلف علیه الحاکم علی ما یخالفه و یوافقه أیضا أصالة الإباحة، فیتعیّن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فرض الماتن المثل للمسألة فی ما إذا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الفسق و العدالة، فهو و إن کان أولی من المثالین السابقین، نظرا إلی معارضة الأصل الموضوعی فیه، و هو أصالة عدم الفسق بمثله، و هو أصالة عدم العدالة، بناء علی أن کلّا من الفسق و العدالة وجودیّان، و أنّه لا واسطة بینهما، فیکون وجود الأصل الموضوعی فیه کعدمه، إلّا أنّ الأولی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قاله الاستاد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التمثیل بما لو نذر شیئا ثمّ اشتبه المنذور علیه هل هو وطی الحلیلة، أو ترک وطیها، أو هو فعل شی‌ء، أو ترکه؟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الاستاد بهذا المثال و إن کان أقرب من مثال المصنّف من جهة أنّ الفعل و الترک من الأضداد الّتی لا ثالث بینهما، بخلاف الفسق و العدالة علی بعض الوجوه، إلّا انّه أبعد من جهة خروج مثاله عمّا نحن فیه من باب الشکّ فی التکلیف و دخوله فی الشکّ فی المکلّف به، و ذلک لأنّ المعیار المائز بین الشکّ فی التکلیف و المکلّف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علمنا نوع التکلیف، و جهلنا متعلّقه، سواء کان التکلیف وجوبیّا أو تحریمیّا، فالشکّ إنّما هو فی المکلّف به، لا التکلیف لعلمنا به، و أمّا إذا علمنا جنس التکلیف، و جهلنا نوعه، فیکون الشکّ حینئذ فی التکلیف، کما إذا علمنا الالزام، و جهلنا هل هو علی وجه الوجوب أو الحرمة، </w:t>
      </w:r>
      <w:bookmarkStart w:id="1291" w:name="pg12856_162860"/>
    </w:p>
    <w:p>
      <w:pPr>
        <w:pStyle w:val="BookText"/>
        <w:rPr/>
      </w:pPr>
      <w:bookmarkEnd w:id="1291"/>
      <w:r>
        <w:rPr>
          <w:rFonts w:ascii="IRNazanin" w:hAnsi="IRNazanin" w:eastAsia="IRNazanin"/>
          <w:color w:val="111111"/>
          <w:sz w:val="28"/>
          <w:sz w:val="28"/>
          <w:szCs w:val="28"/>
          <w:rtl w:val="true"/>
          <w:lang w:bidi="fa-IR"/>
        </w:rPr>
        <w:t>فالشکّ فی التکلیف، لأنّا ما علمناه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یتّفق مورد یکون الشکّ فی بادئ الرأی فی المکلّف به، إلّا أنّه بعد التأمّل یرجع إلی الشکّ فی التکلیف، کدوران الأمر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الاستقلالیّ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الأمر إلی العلم التفصیلی فی الأقلّ و الشکّ الصرف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عدم انطباق شی‌ء من الأمثلة المذکورة علی ما نحن فیه</w:t>
      </w:r>
      <w:r>
        <w:rPr>
          <w:rFonts w:eastAsia="IRNazanin" w:cs="IRNazanin"/>
          <w:color w:val="111111"/>
          <w:sz w:val="28"/>
          <w:szCs w:val="28"/>
          <w:rtl w:val="true"/>
          <w:lang w:bidi="fa-IR"/>
        </w:rPr>
        <w:t>.</w:t>
      </w:r>
    </w:p>
    <w:p>
      <w:pPr>
        <w:pStyle w:val="Heading4"/>
        <w:numPr>
          <w:ilvl w:val="3"/>
          <w:numId w:val="1"/>
        </w:numPr>
        <w:rPr/>
      </w:pPr>
      <w:bookmarkStart w:id="1292" w:name="__RefHeading___Toc2647270_3224264995"/>
      <w:bookmarkStart w:id="1293" w:name="_Toc506"/>
      <w:bookmarkEnd w:id="1292"/>
      <w:r>
        <w:rPr>
          <w:rtl w:val="true"/>
        </w:rPr>
        <w:t>[</w:t>
      </w:r>
      <w:r>
        <w:rPr>
          <w:rtl w:val="true"/>
        </w:rPr>
        <w:t>التمثیل الصحیح للمسألة</w:t>
      </w:r>
      <w:r>
        <w:rPr>
          <w:rtl w:val="true"/>
        </w:rPr>
        <w:t>]</w:t>
      </w:r>
      <w:bookmarkEnd w:id="1293"/>
    </w:p>
    <w:p>
      <w:pPr>
        <w:pStyle w:val="BookText"/>
        <w:rPr/>
      </w:pPr>
      <w:r>
        <w:rPr>
          <w:rFonts w:ascii="IRNazanin" w:hAnsi="IRNazanin" w:eastAsia="IRNazanin"/>
          <w:color w:val="111111"/>
          <w:sz w:val="28"/>
          <w:sz w:val="28"/>
          <w:szCs w:val="28"/>
          <w:rtl w:val="true"/>
          <w:lang w:bidi="fa-IR"/>
        </w:rPr>
        <w:t>نعم، قد مثّل له بعض أصحاب البحث مثال منطبق سلیم عن کلّ ما ذکر، و هو جهر الخنثی فی الجهریّة، و إخفاتها الدائر بین الوجوب و الحرمة علی تقدیری ذکوریّته و أنوثیّته، و کذا لبسها کلّا من مختصّی الرجال و الإناث، و کذلک کشف رأسها فی الإحرام الدائر بین الوجوب و الحرمة علی تقدیری الذکوریّة و الانوثیّة</w:t>
      </w:r>
      <w:r>
        <w:rPr>
          <w:rFonts w:eastAsia="IRNazanin" w:cs="IRNazanin"/>
          <w:color w:val="111111"/>
          <w:sz w:val="28"/>
          <w:szCs w:val="28"/>
          <w:rtl w:val="true"/>
          <w:lang w:bidi="fa-IR"/>
        </w:rPr>
        <w:t>.</w:t>
      </w:r>
    </w:p>
    <w:p>
      <w:pPr>
        <w:pStyle w:val="Heading3"/>
        <w:numPr>
          <w:ilvl w:val="2"/>
          <w:numId w:val="1"/>
        </w:numPr>
        <w:rPr/>
      </w:pPr>
      <w:bookmarkStart w:id="1294" w:name="__RefHeading___Toc2647272_3224264995"/>
      <w:bookmarkStart w:id="1295" w:name="_Toc507"/>
      <w:bookmarkEnd w:id="1294"/>
      <w:r>
        <w:rPr>
          <w:rtl w:val="true"/>
        </w:rPr>
        <w:t>[</w:t>
      </w:r>
      <w:r>
        <w:rPr>
          <w:rtl w:val="true"/>
        </w:rPr>
        <w:t>الکلام فی اصل الاشتغال</w:t>
      </w:r>
      <w:r>
        <w:rPr>
          <w:rtl w:val="true"/>
        </w:rPr>
        <w:t>]</w:t>
      </w:r>
      <w:bookmarkEnd w:id="1295"/>
    </w:p>
    <w:p>
      <w:pPr>
        <w:pStyle w:val="Heading4"/>
        <w:numPr>
          <w:ilvl w:val="3"/>
          <w:numId w:val="1"/>
        </w:numPr>
        <w:rPr/>
      </w:pPr>
      <w:bookmarkStart w:id="1296" w:name="__RefHeading___Toc2647274_3224264995"/>
      <w:bookmarkStart w:id="1297" w:name="_Toc508"/>
      <w:bookmarkEnd w:id="1296"/>
      <w:r>
        <w:rPr>
          <w:rtl w:val="true"/>
        </w:rPr>
        <w:t>اشارة</w:t>
      </w:r>
      <w:bookmarkEnd w:id="129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الموضع الثانی فی الشکّ فی المکلّف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تشخیص موضوع المسألة ینبغی الکلام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صورها،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وجوهها و أقوالها،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تشخیص موضوعها علی وجه تمتاز الشبهة المحصورة عن الغیر المحصورة فسیأتی تعرّض المصنّف له فی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محصّل صور هذه المسألة فبعد تشخیص موضوعها، هو دوران الأمر بین الحرام و غیر الواجب، أو الواجب و غیر الحرام، أو الحرام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انقسام کلّ من هذه الصور الثلاثة إلی الشبهة فی الموضوع، و إلی الشبهة فی الحکم، تبلغ الصور ستّة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باعتبار انقسامها إلی کون الشبهة إمّا من جهة طروّ الموانع الخارجیّة من ظلمة و نحوه، أو من جهة فقد النصّ، أو إجماله، أو تعارض النصّین، تبلغ أربعة </w:t>
      </w:r>
      <w:bookmarkStart w:id="1298" w:name="pg12856_162861"/>
    </w:p>
    <w:p>
      <w:pPr>
        <w:pStyle w:val="BookText"/>
        <w:rPr/>
      </w:pPr>
      <w:bookmarkEnd w:id="1298"/>
      <w:r>
        <w:rPr>
          <w:rFonts w:ascii="IRNazanin" w:hAnsi="IRNazanin" w:eastAsia="IRNazanin"/>
          <w:color w:val="111111"/>
          <w:sz w:val="28"/>
          <w:sz w:val="28"/>
          <w:szCs w:val="28"/>
          <w:rtl w:val="true"/>
          <w:lang w:bidi="fa-IR"/>
        </w:rPr>
        <w:t>و عشرین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انقسامها إلی کون الدوران تارة بین المتباینین، و أخری بین الأقلّ و الأکثر تبلغ ثمانیة و أربعین صورة و هو منتهی الأقسام و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نقسمها أیضا باعتبار انقسام الدوران بین الأقلّ و الأکثر إلی الارتباطی و الاستقلالی لرجوع الارتباطی إلی الشکّ فی التکلیف، و مفروض هذا البحث الشکّ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بیان صور المسألة بعد تشخیص موضوعها</w:t>
      </w:r>
      <w:r>
        <w:rPr>
          <w:rFonts w:eastAsia="IRNazanin" w:cs="IRNazanin"/>
          <w:color w:val="111111"/>
          <w:sz w:val="28"/>
          <w:szCs w:val="28"/>
          <w:rtl w:val="true"/>
          <w:lang w:bidi="fa-IR"/>
        </w:rPr>
        <w:t>.</w:t>
      </w:r>
    </w:p>
    <w:p>
      <w:pPr>
        <w:pStyle w:val="Heading4"/>
        <w:numPr>
          <w:ilvl w:val="3"/>
          <w:numId w:val="1"/>
        </w:numPr>
        <w:rPr/>
      </w:pPr>
      <w:bookmarkStart w:id="1299" w:name="__RefHeading___Toc2647276_3224264995"/>
      <w:bookmarkStart w:id="1300" w:name="_Toc509"/>
      <w:bookmarkEnd w:id="1299"/>
      <w:r>
        <w:rPr>
          <w:rtl w:val="true"/>
        </w:rPr>
        <w:t>[</w:t>
      </w:r>
      <w:r>
        <w:rPr>
          <w:rtl w:val="true"/>
        </w:rPr>
        <w:t>وجوه المسألة و أقوالها</w:t>
      </w:r>
      <w:r>
        <w:rPr>
          <w:rtl w:val="true"/>
        </w:rPr>
        <w:t>]</w:t>
      </w:r>
      <w:bookmarkEnd w:id="1300"/>
    </w:p>
    <w:p>
      <w:pPr>
        <w:pStyle w:val="BookText"/>
        <w:rPr/>
      </w:pPr>
      <w:r>
        <w:rPr>
          <w:rFonts w:ascii="Amiri" w:hAnsi="Amiri" w:eastAsia="Amiri" w:cs="Amiri"/>
          <w:color w:val="111111"/>
          <w:sz w:val="28"/>
          <w:sz w:val="28"/>
          <w:szCs w:val="28"/>
          <w:rtl w:val="true"/>
          <w:lang w:bidi="ar-SA"/>
        </w:rPr>
        <w:t>و أمّا وجوه المسألة و أقوالها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جمیع أطراف الشبهة المحصورة مطلقا، تعویلا علی أصالة البراءة، و هو الّذی مال إلیه القوانین و نسبه إلی المجلسی</w:t>
      </w:r>
      <w:r>
        <w:rPr>
          <w:rStyle w:val="FootnoteAnchor"/>
          <w:rtl w:val="true"/>
        </w:rPr>
        <w:footnoteReference w:id="510"/>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مطلقا، و هو المشهور، تعویلا علی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مثلا لکلا قسمی المعلوم منه، کما علیه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بناء العقلاء، کما علیه 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ظنّی</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ارتکاب ما یقصد به التوصّل إلی الحرام، فیحرم للتجرّی، و بین ما لا یقصد به ذلک، فلا یحرم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وجه فی المسألة و إن لم نقف علی تصریح قائل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المتن عن الحدائق</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کان المردّد بین المشتبهین فردا من عنوان، کالخمر مثلا، فیجب الاجتناب، و بین کونه مردّدا بین عنوانین من العناوین المحرّمة، کدوران الحرام المشتبه بین الخمر و المغصوب،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ارتکاب أطراف الشبهة تدریجا فیجوز، و دفعة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بارتکابها دفعة لیس الخلط و مزج الإنائین المشتبهین و شربها دفعة حتی یورد بعدم جواز ذلک بالاتّفاق ضرورة العلم التفصیلی بحرمة المخلوط و الممزوج بالحرام، فیخرج عن محلّ النزاع، و یرجع التفصیل بینه و بین التدریجی إلی الاطلاق، بل المراد بالارتکاب الدفعیّ ارتکابها فی زمان واحد بأن یشرب أحد الإناءین المشتبهین و یریق الآخر مثلا فی المسجد، أو یبیعه بناء علی حرمة بیع النجس بحیث یعلم ارتکاب المخالفة القطعیّة فی زمان واحد، فی قبال العلم الحاصل بها من الارتکاب فی زمانین مختلفین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عدا مقدار الحرام فیحلّ و مقداره فیحرم، إمّا لقیام الدلیل الخارجی القاطع للأصل، کإجماع و نحوه، کما علیه القوانین</w:t>
      </w:r>
      <w:r>
        <w:rPr>
          <w:rStyle w:val="FootnoteAnchor"/>
          <w:rtl w:val="true"/>
        </w:rPr>
        <w:footnoteReference w:id="514"/>
      </w:r>
      <w:r>
        <w:rPr>
          <w:rFonts w:ascii="IRNazanin" w:hAnsi="IRNazanin" w:eastAsia="IRNazanin"/>
          <w:color w:val="111111"/>
          <w:sz w:val="28"/>
          <w:sz w:val="28"/>
          <w:szCs w:val="28"/>
          <w:rtl w:val="true"/>
          <w:lang w:bidi="fa-IR"/>
        </w:rPr>
        <w:t xml:space="preserve">، أو لأجل الرجوع فی العامّ المخصّص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بأدلّة البراءة عمّا لم یعلم، إلی عموم العامّ فی ما عدا المتیقّن من التخصیص، و هو مقدار الحرام، کما عن الفاضل النراقی، حیث بنی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 إلّا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الرجوع إلی عموم القتل فیما عدا المتیقّن من البعض، و هو الواحد، تحکیما لبیان العموم علی إجمال المخصّص</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1301" w:name="pg12856_162863"/>
    </w:p>
    <w:p>
      <w:pPr>
        <w:pStyle w:val="BookText"/>
        <w:rPr/>
      </w:pPr>
      <w:bookmarkEnd w:id="130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بالقرعة بناء علی عمومها لکلّ أمر مشکل</w:t>
      </w:r>
      <w:r>
        <w:rPr>
          <w:rFonts w:eastAsia="IRNazanin" w:cs="IRNazanin"/>
          <w:color w:val="111111"/>
          <w:sz w:val="28"/>
          <w:szCs w:val="28"/>
          <w:rtl w:val="true"/>
          <w:lang w:bidi="fa-IR"/>
        </w:rPr>
        <w:t>.</w:t>
      </w:r>
    </w:p>
    <w:p>
      <w:pPr>
        <w:pStyle w:val="Heading4"/>
        <w:numPr>
          <w:ilvl w:val="3"/>
          <w:numId w:val="1"/>
        </w:numPr>
        <w:rPr/>
      </w:pPr>
      <w:bookmarkStart w:id="1302" w:name="__RefHeading___Toc2647278_3224264995"/>
      <w:bookmarkStart w:id="1303" w:name="_Toc510"/>
      <w:bookmarkEnd w:id="1302"/>
      <w:r>
        <w:rPr>
          <w:rtl w:val="true"/>
        </w:rPr>
        <w:t>[</w:t>
      </w:r>
      <w:r>
        <w:rPr>
          <w:rtl w:val="true"/>
        </w:rPr>
        <w:t>محلّ النزاع فی المسألة</w:t>
      </w:r>
      <w:r>
        <w:rPr>
          <w:rtl w:val="true"/>
        </w:rPr>
        <w:t>]</w:t>
      </w:r>
      <w:bookmarkEnd w:id="1303"/>
    </w:p>
    <w:p>
      <w:pPr>
        <w:pStyle w:val="BookText"/>
        <w:rPr/>
      </w:pPr>
      <w:r>
        <w:rPr>
          <w:rFonts w:ascii="IRNazanin" w:hAnsi="IRNazanin" w:eastAsia="IRNazanin"/>
          <w:color w:val="111111"/>
          <w:sz w:val="28"/>
          <w:sz w:val="28"/>
          <w:szCs w:val="28"/>
          <w:rtl w:val="true"/>
          <w:lang w:bidi="fa-IR"/>
        </w:rPr>
        <w:t>و أمّا محلّ النزاع لهذه الوجوه و الأقوال، ففی ما لم یجر فی المسألة أصل موضوعی کدوران المشتبه بین الزوجة و الأجنبیّة حیث یختصّ بإجراء الأصل الموضوعی، و هو أصالة عدم الزوجیّة المقتضیة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یخرج هذا الفرض عن محلّ النزاع، و یکون النقض به علی مجوزی ارتکاب الشبهة من صاحب الفصول</w:t>
      </w:r>
      <w:r>
        <w:rPr>
          <w:rStyle w:val="FootnoteAnchor"/>
          <w:rtl w:val="true"/>
        </w:rPr>
        <w:footnoteReference w:id="516"/>
      </w:r>
      <w:r>
        <w:rPr>
          <w:rFonts w:ascii="IRNazanin" w:hAnsi="IRNazanin" w:eastAsia="IRNazanin"/>
          <w:color w:val="111111"/>
          <w:sz w:val="28"/>
          <w:sz w:val="28"/>
          <w:szCs w:val="28"/>
          <w:rtl w:val="true"/>
          <w:lang w:bidi="fa-IR"/>
        </w:rPr>
        <w:t>نقضا بالفارق، لا ورود له علی المجوّز</w:t>
      </w:r>
      <w:r>
        <w:rPr>
          <w:rFonts w:eastAsia="IRNazanin" w:cs="IRNazanin"/>
          <w:color w:val="111111"/>
          <w:sz w:val="28"/>
          <w:szCs w:val="28"/>
          <w:rtl w:val="true"/>
          <w:lang w:bidi="fa-IR"/>
        </w:rPr>
        <w:t>.</w:t>
      </w:r>
    </w:p>
    <w:p>
      <w:pPr>
        <w:pStyle w:val="Heading4"/>
        <w:numPr>
          <w:ilvl w:val="3"/>
          <w:numId w:val="1"/>
        </w:numPr>
        <w:rPr/>
      </w:pPr>
      <w:bookmarkStart w:id="1304" w:name="__RefHeading___Toc2647280_3224264995"/>
      <w:bookmarkStart w:id="1305" w:name="_Toc511"/>
      <w:bookmarkEnd w:id="1304"/>
      <w:r>
        <w:rPr>
          <w:rtl w:val="true"/>
        </w:rPr>
        <w:t>[</w:t>
      </w:r>
      <w:r>
        <w:rPr>
          <w:rtl w:val="true"/>
        </w:rPr>
        <w:t>الکلام فی المخالفة القطعیة فی الشبهة المحصورة</w:t>
      </w:r>
      <w:r>
        <w:rPr>
          <w:rtl w:val="true"/>
        </w:rPr>
        <w:t>]</w:t>
      </w:r>
      <w:bookmarkEnd w:id="1305"/>
    </w:p>
    <w:p>
      <w:pPr>
        <w:pStyle w:val="BookText"/>
        <w:rPr/>
      </w:pPr>
      <w:r>
        <w:rPr>
          <w:rFonts w:ascii="IRNazanin" w:hAnsi="IRNazanin" w:eastAsia="IRNazanin"/>
          <w:color w:val="111111"/>
          <w:sz w:val="28"/>
          <w:sz w:val="28"/>
          <w:szCs w:val="28"/>
          <w:rtl w:val="true"/>
          <w:lang w:bidi="fa-IR"/>
        </w:rPr>
        <w:t>و أیضا محلّ النزاع إنّما هو فی الشبهة المحصورة من حیث هی، مع الإغماض عن الحیثیّات الخارجیّة العارضة لها أحیانا، کما فی المقصود به التوصّل إلی الحرام، حیث یوجب عنوان التجرّی فی الارتکاب، و کما فی الوضوء، حیث اختصّ المنع من استعمال الشبهة المحصورة فیه بالنصوص الخاصّة الآمرة بإراقة المشتبه 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الفروج، حیث تأکّد الاحتیاط فیها شرعا و فی الخمر و الدماء حیث یستشعر تأکّد الاحتیاط فیهما من مذاق الشارع، و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أتّقی فی ثلاث الخمر و الدماء، إلخ</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الأشربة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ما ینفی التقیّة فی الدم، کما فی الوسائل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الموارد الخارجة، أو الممکنة خروجها عن محلّ النزاع، بواسطة اشتمالها علی العناوین و الحیثیّات الخارجیّة،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المانع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المانع العقلی هو عدم القدرة و التمکّن </w:t>
      </w:r>
    </w:p>
    <w:p>
      <w:pPr>
        <w:pStyle w:val="BookText"/>
        <w:rPr/>
      </w:pPr>
      <w:r>
        <w:rPr>
          <w:rFonts w:ascii="IRNazanin" w:hAnsi="IRNazanin" w:eastAsia="IRNazanin"/>
          <w:color w:val="111111"/>
          <w:sz w:val="28"/>
          <w:sz w:val="28"/>
          <w:szCs w:val="28"/>
          <w:rtl w:val="true"/>
          <w:lang w:bidi="fa-IR"/>
        </w:rPr>
        <w:t>من امتثال التکلیف، و المفروض وجود القدرة و التمکّن من امتثال التکلیف بالاحتیاط حتی فی الشبهة البدویّة، فضلا عن مورد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وجود المانع العقلی کعدم المقتضی ممّا لم یحتمله الخصم، و لم یعتمد علیه فی تجویزه الارتکاب، بل الظاهر انحصار معتمدهم فی المانع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بعینه تأکید للضمیر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التأسیس خیر من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فی علم البیان من أنّ النفس و العین إنّما یؤکّدان المحکوم علیه لا الحکم، و أنّ تأکید الحکم بتکراره لا بذکر النفس و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للضمیر جی‌ء به للاهتمام فی اعتبار العلم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تأکیدا لضمیر الشی‌ء و هو المعلوم لا العلم، کما هو الظاهر، کان معناه رفع الاشتباه و الإجمال عن المعلوم لا العلم، فیکون المعنی حتی یکون المعلوم الحرمة معلوما بالتفصیل، لا الإجمال، لا حتّی یکون علمه علما حقیقیّا، لا مجازیّا، من الوهم و الخیال، ذلک لما عن البیانیّین من أنّ النفس و العین إنّما یؤکّدان المحکوم علیه، لا الحکم، و أنّ تأکید الحکم إنّما هو بتکریره، لا بذکر النفس و العین، کما أنّ تأکید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العالم، کما احتمله بعض، إنّما هو بإظهار الضمیر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بعینک لا بغیرک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المفاد و المراد</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1306" w:name="pg12856_162865"/>
    </w:p>
    <w:p>
      <w:pPr>
        <w:pStyle w:val="BookText"/>
        <w:rPr/>
      </w:pPr>
      <w:bookmarkEnd w:id="1306"/>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ظهور فی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 لیس هو أولویّة التأسیس من التأکید، فإنّه مشترک بین الحدیثین، بل إنّما هو أمران آخران مختصّان بالحدیث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المعرفة فی تشخیص الامور الجزئیّة من جمیع الجهات، بخلاف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قوله فی الحدیث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علی مورد العلم الإجمالی، لا مجرّد الشبهة البدویّة، بخلاف قوله فی الحدیث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7" w:name="__RefHeading___Toc2647282_3224264995"/>
      <w:bookmarkStart w:id="1308" w:name="_Toc512"/>
      <w:bookmarkEnd w:id="1307"/>
      <w:r>
        <w:rPr>
          <w:rtl w:val="true"/>
        </w:rPr>
        <w:t>[</w:t>
      </w:r>
      <w:r>
        <w:rPr>
          <w:rtl w:val="true"/>
        </w:rPr>
        <w:t>التصویب فی الموضوعات</w:t>
      </w:r>
      <w:r>
        <w:rPr>
          <w:rtl w:val="true"/>
        </w:rPr>
        <w:t>]</w:t>
      </w:r>
      <w:bookmarkEnd w:id="1308"/>
    </w:p>
    <w:p>
      <w:pPr>
        <w:pStyle w:val="BookText"/>
        <w:rPr/>
      </w:pPr>
      <w:r>
        <w:rPr>
          <w:rFonts w:ascii="IRNazanin" w:hAnsi="IRNazanin" w:eastAsia="IRNazanin"/>
          <w:color w:val="111111"/>
          <w:sz w:val="28"/>
          <w:sz w:val="28"/>
          <w:szCs w:val="28"/>
          <w:rtl w:val="true"/>
          <w:lang w:bidi="fa-IR"/>
        </w:rPr>
        <w:t>إلّا أنّ إبقاء الحدیث الثانی علی ذلک الظهور لمّا استلزم حلّیّة الحرام المردّد، فی الواقع دون الظاهر، و تبدیل المفروض حرمته فی الواقع قبل طروّ الشبهة، بالحلال فی الواقع بمجرّد طروّ الشبهة، المنافی للاستصحاب، و المستلزم للتصویب فی الموضوعات الّذی لم یلتزم به أحد حتی المصوّبة، فلا بدّ من فرضه کالحدیث الأوّل فی التجرید عن ذلک الظهور، و الحمل علی الشبهة البدویّة، أو الغیر المحصورة، أو المحصورة الخارج أحد أطرافه عن تحت ابتلاء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 المذکورة،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مخالفة الحکم الظاهریّ المفروض للواقع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المخالفة و لزوم التصویب، لکن نمنع بطلان اللازم من </w:t>
      </w:r>
      <w:bookmarkStart w:id="1309" w:name="pg12856_162866"/>
    </w:p>
    <w:p>
      <w:pPr>
        <w:pStyle w:val="BookText"/>
        <w:rPr/>
      </w:pPr>
      <w:bookmarkEnd w:id="1309"/>
      <w:r>
        <w:rPr>
          <w:rFonts w:ascii="IRNazanin" w:hAnsi="IRNazanin" w:eastAsia="IRNazanin"/>
          <w:color w:val="111111"/>
          <w:sz w:val="28"/>
          <w:sz w:val="28"/>
          <w:szCs w:val="28"/>
          <w:rtl w:val="true"/>
          <w:lang w:bidi="fa-IR"/>
        </w:rPr>
        <w:t>المخالفة و التصویب، لوجود القائل به، کصاحب الحدائق</w:t>
      </w:r>
      <w:r>
        <w:rPr>
          <w:rStyle w:val="FootnoteAnchor"/>
          <w:rtl w:val="true"/>
        </w:rPr>
        <w:footnoteReference w:id="522"/>
      </w:r>
      <w:r>
        <w:rPr>
          <w:rFonts w:ascii="IRNazanin" w:hAnsi="IRNazanin" w:eastAsia="IRNazanin"/>
          <w:color w:val="111111"/>
          <w:sz w:val="28"/>
          <w:sz w:val="28"/>
          <w:szCs w:val="28"/>
          <w:rtl w:val="true"/>
          <w:lang w:bidi="fa-IR"/>
        </w:rPr>
        <w:t>و الشیخ أسد اللّه قدّس سرهما سیما فی 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بطلان اللازم من التصویب و مخالفة الواقع، لکن إنّما هو فی ما لا بدل له، و هنا له بدل، و هو ترک أحد طرفی الشبهة عند ارتکاب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أمّا عن الأوّل، فبأنّ منع لزوم التصویب و المخالفة بین الحکم الظاهری و الواقعی راجع إلی منع المقتضی للاجتناب، و قد فرضنا ثبوته، و الوفاق حتی من الخصم فی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فمبنیّ علی ما قرّر فی أوّل الکتاب من أنّ المشهور المنصور هو بطلان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الثالث، فبعدم صلوح بدلیّة الترک القهریّ لأحد المشتبهین عن 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صلح بدلیّة ترک الضدّ المقارن لفعل ضدّه الآخر عن ذلک الفعل لصلح بدلیّة ترک الزنا المقارن لشرب الخمر عن شرب الخمر، بل و بدلیّة ترک کلّ حرام عن فعل حرام آخر، فیلزم استحلال جمیع المحرّمات، إذ ما من فعل محرّم إلا و یقارنه ترک محرّم آخر، و ما یضع الغاصب رجله علی موضع من الأرض المغصوبة إلّا و یرفعها عن الموضع الأوّل، فیلزم استحلال الثانی لاقترانه بترک الأوّل، و هکذا</w:t>
      </w:r>
      <w:r>
        <w:rPr>
          <w:rFonts w:eastAsia="IRNazanin" w:cs="IRNazanin"/>
          <w:color w:val="111111"/>
          <w:sz w:val="28"/>
          <w:szCs w:val="28"/>
          <w:rtl w:val="true"/>
          <w:lang w:bidi="fa-IR"/>
        </w:rPr>
        <w:t>.</w:t>
      </w:r>
    </w:p>
    <w:p>
      <w:pPr>
        <w:pStyle w:val="Heading4"/>
        <w:numPr>
          <w:ilvl w:val="3"/>
          <w:numId w:val="1"/>
        </w:numPr>
        <w:rPr/>
      </w:pPr>
      <w:bookmarkStart w:id="1310" w:name="__RefHeading___Toc2647284_3224264995"/>
      <w:bookmarkStart w:id="1311" w:name="_Toc513"/>
      <w:bookmarkEnd w:id="1310"/>
      <w:r>
        <w:rPr>
          <w:rtl w:val="true"/>
        </w:rPr>
        <w:t>[</w:t>
      </w:r>
      <w:r>
        <w:rPr>
          <w:rtl w:val="true"/>
        </w:rPr>
        <w:t>عدم بدلیة الترک المقارن لفعل الضدّ عن ذلک الفعل</w:t>
      </w:r>
      <w:r>
        <w:rPr>
          <w:rtl w:val="true"/>
        </w:rPr>
        <w:t>]</w:t>
      </w:r>
      <w:bookmarkEnd w:id="1311"/>
    </w:p>
    <w:p>
      <w:pPr>
        <w:pStyle w:val="BookText"/>
        <w:rPr/>
      </w:pPr>
      <w:r>
        <w:rPr>
          <w:rFonts w:ascii="IRNazanin" w:hAnsi="IRNazanin" w:eastAsia="IRNazanin"/>
          <w:color w:val="111111"/>
          <w:sz w:val="28"/>
          <w:sz w:val="28"/>
          <w:szCs w:val="28"/>
          <w:rtl w:val="true"/>
          <w:lang w:bidi="fa-IR"/>
        </w:rPr>
        <w:t>و أمّا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الترک المقارن لفعل، من الامور العدمیّة المقارنة قهرا لفعل الشی‌ء، لا یصلح أن یکون بدلا عن ذلک الفعل إلّا بضمیمة الالتزام أو القصد إلی ذلک الترک، أو إرادة الکفّ من الترک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بدلیّة الشی‌ء عن آخر لا یحصل إلّا بجعل الشارع، و لم </w:t>
      </w:r>
      <w:bookmarkStart w:id="1312" w:name="pg12856_162867"/>
    </w:p>
    <w:p>
      <w:pPr>
        <w:pStyle w:val="BookText"/>
        <w:rPr/>
      </w:pPr>
      <w:bookmarkEnd w:id="1312"/>
      <w:r>
        <w:rPr>
          <w:rFonts w:ascii="IRNazanin" w:hAnsi="IRNazanin" w:eastAsia="IRNazanin"/>
          <w:color w:val="111111"/>
          <w:sz w:val="28"/>
          <w:sz w:val="28"/>
          <w:szCs w:val="28"/>
          <w:rtl w:val="true"/>
          <w:lang w:bidi="fa-IR"/>
        </w:rPr>
        <w:t>یثبت فی ما نحن فیه جعله البدلیّة للترک عن الفعل المفروض</w:t>
      </w:r>
      <w:r>
        <w:rPr>
          <w:rFonts w:eastAsia="IRNazanin" w:cs="IRNazanin"/>
          <w:color w:val="111111"/>
          <w:sz w:val="28"/>
          <w:szCs w:val="28"/>
          <w:rtl w:val="true"/>
          <w:lang w:bidi="fa-IR"/>
        </w:rPr>
        <w:t>.</w:t>
      </w:r>
    </w:p>
    <w:p>
      <w:pPr>
        <w:pStyle w:val="Heading4"/>
        <w:numPr>
          <w:ilvl w:val="3"/>
          <w:numId w:val="1"/>
        </w:numPr>
        <w:rPr/>
      </w:pPr>
      <w:bookmarkStart w:id="1313" w:name="__RefHeading___Toc2647286_3224264995"/>
      <w:bookmarkStart w:id="1314" w:name="_Toc514"/>
      <w:bookmarkEnd w:id="1313"/>
      <w:r>
        <w:rPr>
          <w:rtl w:val="true"/>
        </w:rPr>
        <w:t>[</w:t>
      </w:r>
      <w:r>
        <w:rPr>
          <w:rtl w:val="true"/>
        </w:rPr>
        <w:t>تعریض للوجوه فی التخییر</w:t>
      </w:r>
      <w:r>
        <w:rPr>
          <w:rtl w:val="true"/>
        </w:rPr>
        <w:t>]</w:t>
      </w:r>
      <w:bookmarkEnd w:id="1314"/>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قلنا بمقالة المشهور المنصور من أنّ التخییر مطلقا، سواء کان واقعیّا أو ظاهریّا، کما یقع بین الفعلین، کذلک یقع بین الترکین، و بین الترک و الفعل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نقل 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اختصاصه بالفعلین، إلّا ان الترک هنا مع ذلک لا یصلح أن یکون بدلا عن الفعل، و ذلک لأنّا و إن قلنا بظهور التخییر بین الشیئین فی حکمین مستقلّین لکلّ من المخیّر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نقل برجوع التخییر بین الشیئین إلی التکلیف بأحدهما المنتزع حتی یختصّ بالفعلین، و یؤول التخییر بین الترکین کالتخییر بین الاختین و نحوه إلی عدم التخییر، و إلی النهی عن صفة الجمع بینهما، إلّا علی تقدیر رجوع الترک إلی الکفّ و نحوه، و لکن مع ذلک کلّه لا یصلح أن یکون الترک هنا بدلا عن الفعل، لما تقدّم من النقض 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الحاکم فوظیفته أخذ ما یستحقّه المحکوم له علی المحکوم علیه بالأسباب الظاهریّة</w:t>
      </w:r>
      <w:r>
        <w:rPr>
          <w:rFonts w:eastAsia="IRNazanin" w:cs="IRNazanin"/>
          <w:color w:val="111111"/>
          <w:sz w:val="28"/>
          <w:szCs w:val="28"/>
          <w:rtl w:val="true"/>
          <w:lang w:bidi="fa-IR"/>
        </w:rPr>
        <w:t>».</w:t>
      </w:r>
    </w:p>
    <w:p>
      <w:pPr>
        <w:pStyle w:val="Heading4"/>
        <w:numPr>
          <w:ilvl w:val="3"/>
          <w:numId w:val="1"/>
        </w:numPr>
        <w:rPr/>
      </w:pPr>
      <w:bookmarkStart w:id="1315" w:name="__RefHeading___Toc2647288_3224264995"/>
      <w:bookmarkStart w:id="1316" w:name="_Toc515"/>
      <w:bookmarkEnd w:id="1315"/>
      <w:r>
        <w:rPr>
          <w:rtl w:val="true"/>
        </w:rPr>
        <w:t>[</w:t>
      </w:r>
      <w:r>
        <w:rPr>
          <w:rtl w:val="true"/>
        </w:rPr>
        <w:t>وظیفة الحاکم العمل بالأسباب الظاهریة</w:t>
      </w:r>
      <w:r>
        <w:rPr>
          <w:rtl w:val="true"/>
        </w:rPr>
        <w:t>]</w:t>
      </w:r>
      <w:bookmarkEnd w:id="131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تغریم الحاکم المقرّ بشی‌ء لشخصین، بذلک الشی‌ء لأحدهما، و بقیمته للآخر، مع علمه بمخالفة أحد الإقرارین و التغریمین للواقع، لیس من باب الإخبار عن الواقع و الإرشاد و الناظریّة إلیه حتی ینافیه المخالفة المفروضة له، بل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الإخبار عن مقتضی الدلیل فی الظاهر و الإرشاد إلیه، و بیان تکلیف کلّ من الأخذین فی نفسه، مع الإغماض عن تکلیف الآخر، فلم یکن الحاکم علی هذا التقدیر ناقلا للتکلیفین عن الواقع حتّی ینافیه المخالفة المفروضة له، بل إنّما هو ناقل و مترجم تکلیف کلّ من الأخذین، مع الإغماض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المقرّر أنّ نقل الکفر لیس بکفر فضلا عن نقل </w:t>
      </w:r>
      <w:bookmarkStart w:id="1317" w:name="pg12856_162868"/>
    </w:p>
    <w:p>
      <w:pPr>
        <w:pStyle w:val="BookText"/>
        <w:rPr/>
      </w:pPr>
      <w:bookmarkEnd w:id="1317"/>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باب الحکومة و السیاسة الشرعیّة الثابتة للحاکم بعموم أدلّة ولایته و حکومته المنتظم بها امور الناس و مصالحهم معادا و معاشا، مع الإغماض عمّا یلزمه من المخالفة للواقع أحیانا، لاشتماله علی تلک المصلحة المدارکة لتلک المخالفة، و عموم أدلّة حکومة الحکّام، و النیابة عن الإمام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وجه القول المشهور المنصور من وجوب الاجتناب فی الشبهة المحصورة</w:t>
      </w:r>
      <w:r>
        <w:rPr>
          <w:rFonts w:eastAsia="IRNazanin" w:cs="IRNazanin"/>
          <w:color w:val="111111"/>
          <w:sz w:val="28"/>
          <w:szCs w:val="28"/>
          <w:rtl w:val="true"/>
          <w:lang w:bidi="fa-IR"/>
        </w:rPr>
        <w:t>.</w:t>
      </w:r>
    </w:p>
    <w:p>
      <w:pPr>
        <w:pStyle w:val="Heading4"/>
        <w:numPr>
          <w:ilvl w:val="3"/>
          <w:numId w:val="1"/>
        </w:numPr>
        <w:rPr/>
      </w:pPr>
      <w:bookmarkStart w:id="1318" w:name="__RefHeading___Toc2647290_3224264995"/>
      <w:bookmarkStart w:id="1319" w:name="_Toc516"/>
      <w:bookmarkEnd w:id="1318"/>
      <w:r>
        <w:rPr>
          <w:rtl w:val="true"/>
        </w:rPr>
        <w:t>[</w:t>
      </w:r>
      <w:r>
        <w:rPr>
          <w:rtl w:val="true"/>
        </w:rPr>
        <w:t>وجه القول بجواز المخالفة القطعیة فی الشبهة المحصورة</w:t>
      </w:r>
      <w:r>
        <w:rPr>
          <w:rtl w:val="true"/>
        </w:rPr>
        <w:t>]</w:t>
      </w:r>
      <w:bookmarkEnd w:id="1319"/>
    </w:p>
    <w:p>
      <w:pPr>
        <w:pStyle w:val="BookText"/>
        <w:rPr/>
      </w:pPr>
      <w:r>
        <w:rPr>
          <w:rFonts w:ascii="IRNazanin" w:hAnsi="IRNazanin" w:eastAsia="IRNazanin"/>
          <w:color w:val="111111"/>
          <w:sz w:val="28"/>
          <w:sz w:val="28"/>
          <w:szCs w:val="28"/>
          <w:rtl w:val="true"/>
          <w:lang w:bidi="fa-IR"/>
        </w:rPr>
        <w:t>و أمّا وجه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ذکر من وجود المقتضی للاجتناب، من جهة ما هو المشهور المنصور من عدم عموم الخطاب الشفاهی لأمثالنا معاشر الغائبین، بل المعدومین حال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فی الخطاب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عن الرجس</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شامل لأمثالنا، و احتیج فی تعدّی الحکم إلینا إلی أدلّة الاشتراک، و احتمل مخالفتنا للمخاطبین فی ما له مدخلیّة فی الحکم، و کون الحاضرین واجدین لما هو مفقود فینا ممّا له مدخلیّة فی الحکم، کالاتّصاف بالعلم التفصیلی فی ما نحن فیه، و بوجدان السلطان العادل فی صلاة الجمعة، لم یمکن لنا التمسّک بإطلاق ذلک الخطاب، لکن لا لمجرّد عدم عموم الخطاب لنا حتی یقتضی عدم جواز التمسّک بشی‌ء من سائر الإطلاقات، لاشتراک الکلّ فی عدم العموم لنا، بل لاحتمال أن یکون إطلاق الخطاب فی ما نحن فیه، و عدم تقییده بالعلم التفصیلی، من جهة وجدان الحاضرین لذلک القید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وجدانهم لذلک القید إنّما یغنی عن التقیید، و یمنع من الأخذ </w:t>
      </w:r>
    </w:p>
    <w:p>
      <w:pPr>
        <w:pStyle w:val="BookText"/>
        <w:rPr/>
      </w:pPr>
      <w:r>
        <w:rPr>
          <w:rFonts w:ascii="IRNazanin" w:hAnsi="IRNazanin" w:eastAsia="IRNazanin"/>
          <w:color w:val="111111"/>
          <w:sz w:val="28"/>
          <w:sz w:val="28"/>
          <w:szCs w:val="28"/>
          <w:rtl w:val="true"/>
          <w:lang w:bidi="fa-IR"/>
        </w:rPr>
        <w:t>بإطلاقه، إذا کان ذلک القید من الأوصاف الدائمة أو الغالبة لهم، علی وجه یصرف الإطلاق إلی الغالب و لا یشمل النادر، کالاتّصاف بلسان العربیّ فی المخاطبین ب أَوْفُوا بِالْعُقُودِ</w:t>
      </w:r>
      <w:r>
        <w:rPr>
          <w:rStyle w:val="FootnoteAnchor"/>
          <w:rtl w:val="true"/>
        </w:rPr>
        <w:footnoteReference w:id="524"/>
      </w:r>
      <w:r>
        <w:rPr>
          <w:rFonts w:ascii="IRNazanin" w:hAnsi="IRNazanin" w:eastAsia="IRNazanin"/>
          <w:color w:val="111111"/>
          <w:sz w:val="28"/>
          <w:sz w:val="28"/>
          <w:szCs w:val="28"/>
          <w:rtl w:val="true"/>
          <w:lang w:bidi="fa-IR"/>
        </w:rPr>
        <w:t>، حیث إنّه من الأوصاف الدائمة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لا یجوز لنا کما لا یجوز لهم التمسّک بإطلاق الوفاء بالعقود علی جواز العقد بالفارسی، و کما لا اتّصاف بوجدان الإمام فی المخاطبین بوجوب صلاة الجمعة، حیث إنّه من الأوصاف الغالبة فیهم، لغلبة حضورهم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الواجدین معه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أسفارهم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الفاقدین 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 یجوز لنا کما لا یجوز لهم التمسّک بإطلاقه علی وجوب الجمعة مع فقد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ذلک القید من الأوصاف الغیر الدائمة و لا الغالبة الموجبة لصرف الإطلاق إلیه، کالاتّصاف بالعلم التفصیلی، فإنّه لا یکثر علی الاتّصاف بالعلم الإجمالی للمخاطبین، فلا مانع لنا من التمسّک بإطلاقه علی الحالتین، کما لا مانع لهم أیضا من التمسّک به علیهما،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فالتمسّک بإطلاق المطلق و عدمه لیس من ثمرات القول بعموم خطاب المشافهة و عدمه، کما توهّم، بل هو أمر تابع لوجود الإطلاق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إطلاق للمطلق جاز التمسّک به مطلقا للمشافه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یجوز مطلقا لا للمشافه و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المقتضی أیضا، لکن لا من جهة منع عموم الخطاب لغیر المشافه، بل من جهة أنّ الخطاب و الحکم إن تعلّق بأمر عامّ أو بحصّة شایعة، کالعامّ و المطلق و الجنس ممّا یشمل أفراد نفسه، استتبعه عموم الأحوال و الأزمان و الأمکنة العارضة لتلک الأفراد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فإطلاق شی‌ء من جهة الأفراد یستتبعه الإطلاق من سائر الجهات عرفا، </w:t>
      </w:r>
      <w:bookmarkStart w:id="1320" w:name="pg12856_162870"/>
    </w:p>
    <w:p>
      <w:pPr>
        <w:pStyle w:val="BookText"/>
        <w:rPr/>
      </w:pPr>
      <w:bookmarkEnd w:id="1320"/>
      <w:r>
        <w:rPr>
          <w:rFonts w:ascii="IRNazanin" w:hAnsi="IRNazanin" w:eastAsia="IRNazanin"/>
          <w:color w:val="111111"/>
          <w:sz w:val="28"/>
          <w:sz w:val="28"/>
          <w:szCs w:val="28"/>
          <w:rtl w:val="true"/>
          <w:lang w:bidi="fa-IR"/>
        </w:rPr>
        <w:t>بخلاف ما لو تعلّق الخطاب و الحکم بشخص أو أشخاص خاصّة، لم یکن فیه عموم أو إطلاق من جهة الأفراد، فإنّه لا یعمّ سائر الجهات کما فی ما نحن فیه، فإنّ الخطاب و الحکم بالاجتناب عن النجس متعلّق و متوجّه إلی المخاطبین، و هم أشخاص خاصّة لا عموم فیها من جهة الأفراد حتی یستتبعه عموم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حالتی العلم التفصیلی و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حینئذ من الاقتصار فی الخطاب الشخصیّ علی الحالة الّتی خوطب بها، فإن کانت معلومة فبها، و إلّا اقتصر علی المتیقّن من الحالتین، و هو حالة العلم التفصیلی دون الإجمالی، هکذا قرّر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أخصّ من المدّعی، لاختصاصه نفی مقتضی الخطاب من هذه الجهة بخصوص الأحکام المتعلّقة بألفاظ الخطاب، ک 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دون الغیر المتعلّقة بالخطاب،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الخطاب بالحالة الّتی خوطب بها المخاطب فی الواقع لا ینافی عموم حکم المخاطب لحالتیه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صحّة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القائم یجب 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حالتی القیام و القعود؟ فإذا صحّ تعمیم الحکم بالتصریح صحّ بالإطلاق أیضا، فیکون إطلاق الحکم حاکما و مبیّنا لإجمال الخطاب و سکوته دون العکس</w:t>
      </w:r>
      <w:r>
        <w:rPr>
          <w:rFonts w:eastAsia="IRNazanin" w:cs="IRNazanin"/>
          <w:color w:val="111111"/>
          <w:sz w:val="28"/>
          <w:szCs w:val="28"/>
          <w:rtl w:val="true"/>
          <w:lang w:bidi="fa-IR"/>
        </w:rPr>
        <w:t>.</w:t>
      </w:r>
    </w:p>
    <w:p>
      <w:pPr>
        <w:pStyle w:val="Heading4"/>
        <w:numPr>
          <w:ilvl w:val="3"/>
          <w:numId w:val="1"/>
        </w:numPr>
        <w:rPr/>
      </w:pPr>
      <w:bookmarkStart w:id="1321" w:name="__RefHeading___Toc2647292_3224264995"/>
      <w:bookmarkStart w:id="1322" w:name="_Toc517"/>
      <w:bookmarkEnd w:id="1321"/>
      <w:r>
        <w:rPr>
          <w:rtl w:val="true"/>
        </w:rPr>
        <w:t>[</w:t>
      </w:r>
      <w:r>
        <w:rPr>
          <w:rtl w:val="true"/>
        </w:rPr>
        <w:t>دعوی ورود إطلاقات الکتاب فی بیان أصل التشریع</w:t>
      </w:r>
      <w:r>
        <w:rPr>
          <w:rtl w:val="true"/>
        </w:rPr>
        <w:t>]</w:t>
      </w:r>
      <w:bookmarkEnd w:id="132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المقتضی أیضا، لکن لا لما تقدّم من الجهتین المذکورتین، بل لما قیل من أنّ اطلاقات الکتاب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Style w:val="FootnoteAnchor"/>
          <w:rtl w:val="true"/>
        </w:rPr>
        <w:footnoteReference w:id="525"/>
      </w:r>
      <w:r>
        <w:rPr>
          <w:rFonts w:ascii="IRNazanin" w:hAnsi="IRNazanin" w:eastAsia="IRNazanin"/>
          <w:color w:val="111111"/>
          <w:sz w:val="28"/>
          <w:sz w:val="28"/>
          <w:szCs w:val="28"/>
          <w:rtl w:val="true"/>
          <w:lang w:bidi="fa-IR"/>
        </w:rPr>
        <w:t>و نحوه، واردة مورد حکم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أصل التشریع دون الزائد علیه</w:t>
      </w:r>
      <w:r>
        <w:rPr>
          <w:rFonts w:eastAsia="IRNazanin" w:cs="IRNazanin"/>
          <w:color w:val="111111"/>
          <w:sz w:val="28"/>
          <w:szCs w:val="28"/>
          <w:rtl w:val="true"/>
          <w:lang w:bidi="fa-IR"/>
        </w:rPr>
        <w:t xml:space="preserve">. </w:t>
      </w:r>
      <w:bookmarkStart w:id="1323" w:name="pg12856_162871"/>
    </w:p>
    <w:p>
      <w:pPr>
        <w:pStyle w:val="BookText"/>
        <w:rPr/>
      </w:pPr>
      <w:bookmarkEnd w:id="1323"/>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ورود الإطلاق مورد حکم الآخر خلاف ظاهر اللفظ و الغالب منه، فلا یرجع إلیه إلّا بعد ثبوت صارف و مانع خارجیّ، و الأصل عند الشکّ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مقتضی، و المقتضی لا یصار إلی خلافه إلّا بعد ثبوت المانع، و الأصل عند الشکّ فی ثبوته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لو کان مقتضیا للتکلیف لزم اتّحاده مع العلم التفصیلی، فی حجّیّته فی نفسه بالانجعال العقلیّ، و عدم قابلیّته للجعل نفیا و 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المنع من بطلان اللازم، بل هو ملتزم به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لو کان مقتضیا للتکلیف لزم القول بأصالة الحظر فی الأشیاء، حتّی فی الشبهات البدویّة، لأنّ وجود المقتضی کاف فی الحظر، و لزوم دفع الضرر المحتمل، ما لم یثبت المانع العقلی أو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لزوم أصالة الحظر، الأصل الأوّلی، فبطلان اللازم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منه الأصل الثانوی، فالملازمة ممنوعة، لأنّ العلم الإجمالی و إن کان مقتضیا للتکلیف إلّا أنّ المانع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الشبهات البدویّة تلطّفا و امتنانا، و بقی الباقی تحت الأصل الأوّلی، و هو الحظر</w:t>
      </w:r>
      <w:r>
        <w:rPr>
          <w:rFonts w:eastAsia="IRNazanin" w:cs="IRNazanin"/>
          <w:color w:val="111111"/>
          <w:sz w:val="28"/>
          <w:szCs w:val="28"/>
          <w:rtl w:val="true"/>
          <w:lang w:bidi="fa-IR"/>
        </w:rPr>
        <w:t>.</w:t>
      </w:r>
    </w:p>
    <w:p>
      <w:pPr>
        <w:pStyle w:val="Heading4"/>
        <w:numPr>
          <w:ilvl w:val="3"/>
          <w:numId w:val="1"/>
        </w:numPr>
        <w:rPr/>
      </w:pPr>
      <w:bookmarkStart w:id="1324" w:name="__RefHeading___Toc2647294_3224264995"/>
      <w:bookmarkStart w:id="1325" w:name="_Toc518"/>
      <w:bookmarkEnd w:id="1324"/>
      <w:r>
        <w:rPr>
          <w:rtl w:val="true"/>
        </w:rPr>
        <w:t>[</w:t>
      </w:r>
      <w:r>
        <w:rPr>
          <w:rtl w:val="true"/>
        </w:rPr>
        <w:t>ثبوت المقتضی للاجتناب عن الشبهة المحصورة و غیر المحصورة و البدویة</w:t>
      </w:r>
      <w:r>
        <w:rPr>
          <w:rtl w:val="true"/>
        </w:rPr>
        <w:t>]</w:t>
      </w:r>
      <w:bookmarkEnd w:id="1325"/>
    </w:p>
    <w:p>
      <w:pPr>
        <w:pStyle w:val="BookText"/>
        <w:rPr/>
      </w:pPr>
      <w:r>
        <w:rPr>
          <w:rFonts w:ascii="IRNazanin" w:hAnsi="IRNazanin" w:eastAsia="IRNazanin"/>
          <w:color w:val="111111"/>
          <w:sz w:val="28"/>
          <w:sz w:val="28"/>
          <w:szCs w:val="28"/>
          <w:rtl w:val="true"/>
          <w:lang w:bidi="fa-IR"/>
        </w:rPr>
        <w:t>و بالجملة فلا ینبغی الکلام، بل و لا کلام فی ثبوت المقتضی للتکلیف بالاجتناب عن الشبهة المحصورة، بل و عن غیر المحصورة، بل و عن الشبهة البدویّة، علی ما هو المشهور المنصور من لزوم دفع الضرر المحتمل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بتمامیّة قبح العقاب بلا بیان عقلا، انتفی المقتضی للتکلیف فی الشبهات البدویّة خاصّة</w:t>
      </w:r>
      <w:r>
        <w:rPr>
          <w:rFonts w:eastAsia="IRNazanin" w:cs="IRNazanin"/>
          <w:color w:val="111111"/>
          <w:sz w:val="28"/>
          <w:szCs w:val="28"/>
          <w:rtl w:val="true"/>
          <w:lang w:bidi="fa-IR"/>
        </w:rPr>
        <w:t>.</w:t>
      </w:r>
    </w:p>
    <w:p>
      <w:pPr>
        <w:pStyle w:val="Heading4"/>
        <w:numPr>
          <w:ilvl w:val="3"/>
          <w:numId w:val="1"/>
        </w:numPr>
        <w:rPr/>
      </w:pPr>
      <w:bookmarkStart w:id="1326" w:name="__RefHeading___Toc2647296_3224264995"/>
      <w:bookmarkStart w:id="1327" w:name="_Toc519"/>
      <w:bookmarkEnd w:id="1326"/>
      <w:r>
        <w:rPr>
          <w:rtl w:val="true"/>
        </w:rPr>
        <w:t>[</w:t>
      </w:r>
      <w:r>
        <w:rPr>
          <w:rtl w:val="true"/>
        </w:rPr>
        <w:t>قبح العقاب بلا بیان شرعی و لا عقلی</w:t>
      </w:r>
      <w:r>
        <w:rPr>
          <w:rtl w:val="true"/>
        </w:rPr>
        <w:t>]</w:t>
      </w:r>
      <w:bookmarkEnd w:id="132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هو المشهور المنصور من أنّ قبح العقاب بلا بیان شرعیّ لا عقلیّ، و إنّما العقلی هو لزوم دفع الضرر المحتمل، فمن المعلوم من سیاق أدلّته الشرعیّة من حیث ورودها مورد التلطّف و الامتنان بمثل قوله</w:t>
      </w:r>
      <w:r>
        <w:rPr>
          <w:rFonts w:eastAsia="IRNazanin" w:cs="IRNazanin"/>
          <w:color w:val="111111"/>
          <w:sz w:val="28"/>
          <w:szCs w:val="28"/>
          <w:rtl w:val="true"/>
          <w:lang w:bidi="fa-IR"/>
        </w:rPr>
        <w:t xml:space="preserve">: </w:t>
      </w:r>
      <w:bookmarkStart w:id="1328" w:name="pg12856_162872"/>
    </w:p>
    <w:p>
      <w:pPr>
        <w:pStyle w:val="BookText"/>
        <w:rPr/>
      </w:pPr>
      <w:bookmarkEnd w:id="1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 نحوه</w:t>
      </w:r>
      <w:r>
        <w:rPr>
          <w:rStyle w:val="FootnoteAnchor"/>
          <w:rtl w:val="true"/>
        </w:rPr>
        <w:footnoteReference w:id="527"/>
      </w:r>
      <w:r>
        <w:rPr>
          <w:rFonts w:ascii="IRNazanin" w:hAnsi="IRNazanin" w:eastAsia="IRNazanin"/>
          <w:color w:val="111111"/>
          <w:sz w:val="28"/>
          <w:sz w:val="28"/>
          <w:szCs w:val="28"/>
          <w:rtl w:val="true"/>
          <w:lang w:bidi="fa-IR"/>
        </w:rPr>
        <w:t>، هو ثبوت المقتضی للتکلیف حتّی فی الشبهات البدویّة، فضلا عن غیرها</w:t>
      </w:r>
      <w:r>
        <w:rPr>
          <w:rFonts w:eastAsia="IRNazanin" w:cs="IRNazanin"/>
          <w:color w:val="111111"/>
          <w:sz w:val="28"/>
          <w:szCs w:val="28"/>
          <w:rtl w:val="true"/>
          <w:lang w:bidi="fa-IR"/>
        </w:rPr>
        <w:t>.</w:t>
      </w:r>
    </w:p>
    <w:p>
      <w:pPr>
        <w:pStyle w:val="Heading4"/>
        <w:numPr>
          <w:ilvl w:val="3"/>
          <w:numId w:val="1"/>
        </w:numPr>
        <w:rPr/>
      </w:pPr>
      <w:bookmarkStart w:id="1329" w:name="__RefHeading___Toc2647298_3224264995"/>
      <w:bookmarkStart w:id="1330" w:name="_Toc520"/>
      <w:bookmarkEnd w:id="1329"/>
      <w:r>
        <w:rPr>
          <w:rtl w:val="true"/>
        </w:rPr>
        <w:t>[</w:t>
      </w:r>
      <w:r>
        <w:rPr>
          <w:rtl w:val="true"/>
        </w:rPr>
        <w:t>الکلام فی المانع عن تأثیر العلم الإجمالی فی وجوب الاجتناب</w:t>
      </w:r>
      <w:r>
        <w:rPr>
          <w:rtl w:val="true"/>
        </w:rPr>
        <w:t>]</w:t>
      </w:r>
      <w:bookmarkEnd w:id="1330"/>
    </w:p>
    <w:p>
      <w:pPr>
        <w:pStyle w:val="BookText"/>
        <w:rPr/>
      </w:pPr>
      <w:r>
        <w:rPr>
          <w:rFonts w:ascii="IRNazanin" w:hAnsi="IRNazanin" w:eastAsia="IRNazanin"/>
          <w:color w:val="111111"/>
          <w:sz w:val="28"/>
          <w:sz w:val="28"/>
          <w:szCs w:val="28"/>
          <w:rtl w:val="true"/>
          <w:lang w:bidi="fa-IR"/>
        </w:rPr>
        <w:t>و أمّا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فالعقلیّ منه معلوم العدم لما تقدّم، و أمّا الشرعی، فمثل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 إن کان له ظهور فی الشبهة المحصورة، إلا أنّ إبقاءه علی ذلک الظهور لمّا کان مستلزما لحلّیّة الحرام المردّد فی الواقع دون الظاهر، و تبدیل المفروض حرمته فی الواقع قبل طروّ الشبهة بالحلال فی الواقع بمجرّد طروّ الشبهة، المستلزم للتصویب فی الموضوعات الّذی لم یلتزم به أحد حتی المصوّبة، فلا بدّ من تجریده عن ذلک الظهور، و حمله علی الشبهة البدویّة، أو الغیر المحصورة، أو المحصورة الخارج أحد أطرافه عن تحت ابتلاء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 بمنع ثبوت الحرمة الواقعیّة فی المشتبه، حتّی یستلزم تحلیله فی الواقع التصویب بفرض الحدیث الدالّ علی حلّیّة المشتبه، کاشفا عن عدم حرمته فی الواقع، نظیر کاشفیّة المخصّص و المقیّد عن عدم دخول الخاصّ فی المراد من العامّ، و إن أدخل فی مدلوله اللفظی لنکتة، نظرا إلی أنّ الحدیث الدالّ علی حلّیّة المشتبه نسبته إلی ما دلّ علی حرمة الحرام الواقعی فی الواقع من قبیل نسبة الخاصّ إلی العامّ، و نسبة المقیّد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یلزم التصویب و التناقض من تخصیص العمومات و تقیید المطلقات، فکذا هنا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لا الاتّفاق من الخارج علی عدم حلّیّة الحرام المشتبه فی الواقع، و عدم صلوح الاشتباه لتبدیل حکم الواقع فی الواقع، أمکن منع الملازمة </w:t>
      </w:r>
    </w:p>
    <w:p>
      <w:pPr>
        <w:pStyle w:val="BookText"/>
        <w:rPr/>
      </w:pPr>
      <w:r>
        <w:rPr>
          <w:rFonts w:ascii="IRNazanin" w:hAnsi="IRNazanin" w:eastAsia="IRNazanin"/>
          <w:color w:val="111111"/>
          <w:sz w:val="28"/>
          <w:sz w:val="28"/>
          <w:szCs w:val="28"/>
          <w:rtl w:val="true"/>
          <w:lang w:bidi="fa-IR"/>
        </w:rPr>
        <w:t>المذکورة بمنع ثبوت الحرمة الواقعیّة للمشتبه بنحو من التخصیص و التقیید المذکور فی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ثبوت هذا الاتّفاق لا مجال لمنع الحرمة الواقعیّة فی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لنا منع الملازمة المذکورة بمنع ثبوت الحلّیّة الواقعیّة للمشتبه،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له إنّما هو الحلّیّة الظاهریّة فی الظاهر، علی وجه لا ینافی ثبوت الحرمة الواقعیّة له فی الواقع، کما فی الشبهات البدویّة، و الغیر المحصورة، و غیرهما من الأحکام الظاهریّة الثابتة للجاهل حین الجهل فی الواقعة، مع اتّصاف تلک الأحکام بالمخالفة للحکم الواقعی الثابت للواقعة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الماتن الفرق بین الجهلین بصلوح البدویّ منهما لمعذوریّة الجاهل عن الحکم الواقعی المفروض علیه، أو بدلیة الحکم الظاهری عن الواقع بالنسبة إلیه، دون صلوح الجهل فی مورد العلم الإجمالی، ففرق غیر فارق، مضافا إلی اختصاصه بالشبهة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بین الشبهة المحصورة و غیرها من سائر موارد نقض العلم الإجمالی المذکورة فی المتن فلا فرق أصلا، فضلا عن کونه فارقا، فکما ان الجهل فی الشبهة الغیر المحصورة و اخواته یصلح لمعذوریة الجاهل، و بدلیّة الحکم الظاهری عن الواقع فی موارد ذلک الجهل، فلیصلح أیضا لذلک فی الشبهة المحصورة، إذ لا فرق، فضلا عن الفارق من حیث شمول النصّ المفروض و غیره من سائر الحیثیّات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ینحصر الفرق فی أقربیّة العلم الإجمالی الموجود فی الشبهة المحصورة إلی العلم التفصیلی من العلم الإجمالی الموجود فی غیر المحصورة، علی وجه توجب الأقربیّة انصراف ظهور العلم عن العلم البعید الموجود فی غیر المحصور، أو ینحصر الفرق فی إعراض المشهور عن ظهور النصّ المذکور فی </w:t>
      </w:r>
      <w:bookmarkStart w:id="1331" w:name="pg12856_162874"/>
    </w:p>
    <w:p>
      <w:pPr>
        <w:pStyle w:val="BookText"/>
        <w:rPr/>
      </w:pPr>
      <w:bookmarkEnd w:id="1331"/>
      <w:r>
        <w:rPr>
          <w:rFonts w:ascii="IRNazanin" w:hAnsi="IRNazanin" w:eastAsia="IRNazanin"/>
          <w:color w:val="111111"/>
          <w:sz w:val="28"/>
          <w:sz w:val="28"/>
          <w:szCs w:val="28"/>
          <w:rtl w:val="true"/>
          <w:lang w:bidi="fa-IR"/>
        </w:rPr>
        <w:t>الشبهة المحصورة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بمثله الکفایة فی وهن الدلالة و الفارقیّة</w:t>
      </w:r>
      <w:r>
        <w:rPr>
          <w:rFonts w:eastAsia="IRNazanin" w:cs="IRNazanin"/>
          <w:color w:val="111111"/>
          <w:sz w:val="28"/>
          <w:szCs w:val="28"/>
          <w:rtl w:val="true"/>
          <w:lang w:bidi="fa-IR"/>
        </w:rPr>
        <w:t>.</w:t>
      </w:r>
    </w:p>
    <w:p>
      <w:pPr>
        <w:pStyle w:val="Heading4"/>
        <w:numPr>
          <w:ilvl w:val="3"/>
          <w:numId w:val="1"/>
        </w:numPr>
        <w:rPr/>
      </w:pPr>
      <w:bookmarkStart w:id="1332" w:name="__RefHeading___Toc2647300_3224264995"/>
      <w:bookmarkStart w:id="1333" w:name="_Toc521"/>
      <w:bookmarkEnd w:id="1332"/>
      <w:r>
        <w:rPr>
          <w:rtl w:val="true"/>
        </w:rPr>
        <w:t>[</w:t>
      </w:r>
      <w:r>
        <w:rPr>
          <w:rtl w:val="true"/>
        </w:rPr>
        <w:t>عدم صحة رفع الید عن ظهور النصّ بدعوی لزوم التصویب</w:t>
      </w:r>
      <w:r>
        <w:rPr>
          <w:rtl w:val="true"/>
        </w:rPr>
        <w:t>]</w:t>
      </w:r>
      <w:bookmarkEnd w:id="1333"/>
    </w:p>
    <w:p>
      <w:pPr>
        <w:pStyle w:val="BookText"/>
        <w:rPr/>
      </w:pPr>
      <w:r>
        <w:rPr>
          <w:rFonts w:ascii="IRNazanin" w:hAnsi="IRNazanin" w:eastAsia="IRNazanin"/>
          <w:color w:val="111111"/>
          <w:sz w:val="28"/>
          <w:sz w:val="28"/>
          <w:szCs w:val="28"/>
          <w:rtl w:val="true"/>
          <w:lang w:bidi="fa-IR"/>
        </w:rPr>
        <w:t>فتلخّص ممّا ذکرنا أنّه بعد تسلیم ظهور النصّ الذکور فی تحلیل الشبهة المحصورة، لا مجال لرفع الید عنه، بما ذکره الماتن من لزوم التصویب و المنافاة للواقع فی الواقع، لما عرفت من منع تلک الملازمة بالنقض بکثرة المخالفة للعلم الإجمالی فی الشریعة، مضافا إلی الحلّ بما عرفت، إلّا بدعوی وهن الظهور المذکور بواسطة إعراض المشهور، و الانحراف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ظهور الخبر المذکور بملاحظة قوله علیه السّلام فی ذیله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مثل الثوب</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إلی آخره بسیاق القضیّة الحملیّة یعطی اختصاص الحکم المذکور فیها بما کان مثله، و لیس مثله المشتبه بالمحصور، بل الذی مثله إمّا المشتبه الغیر المحصور، أو الشبهة البدویّة، أو خصوص ما کان فیه أمارة الحلّ من ید المسلمین، أو سوقهم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الحاصل أنّ مقصود الشارع من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34" w:name="__RefHeading___Toc2647302_3224264995"/>
      <w:bookmarkStart w:id="1335" w:name="_Toc522"/>
      <w:bookmarkEnd w:id="1334"/>
      <w:r>
        <w:rPr>
          <w:rtl w:val="true"/>
        </w:rPr>
        <w:t>[</w:t>
      </w:r>
      <w:r>
        <w:rPr>
          <w:rtl w:val="true"/>
        </w:rPr>
        <w:t>مقصود الشارع من اخبار الاصل فی نظر الماتن و الجواب عنه</w:t>
      </w:r>
      <w:r>
        <w:rPr>
          <w:rtl w:val="true"/>
        </w:rPr>
        <w:t>]</w:t>
      </w:r>
      <w:bookmarkEnd w:id="13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هذا الحاصل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حال الأصل فی اقتضاء تحلیل أحد المشتبهین بحال الأمارة الظاهریّة القائمة علی تحلیل أحدهما فی استلزام اقتضائه تحلیل کلّ منهما لتعیین الحرمة فی الآخر، أ لا تری لو قامت بیّنة علی حلّیّة أحد المشتبهین تعیّن الحرمة فی الآخر بدلالة الإشارة و الالتزام؟ فالأصل أیضا کالبیّنة فی استلزام تحلیل أحد المشتبهین لتعیین حرمة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الجواب عنه فی المتن منع التنظیر، و بیان الفارق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مدلول أخبار الأصل إنّما هو حلّیّة المشتبه تعبّدا، لا البناء علی کونه الموضوع المحلّل حتی یستلزمه تعیین المحرّم فی المشتبه الآخر، بخلاف </w:t>
      </w:r>
      <w:bookmarkStart w:id="1336" w:name="pg12856_162875"/>
    </w:p>
    <w:p>
      <w:pPr>
        <w:pStyle w:val="BookText"/>
        <w:rPr/>
      </w:pPr>
      <w:bookmarkEnd w:id="1336"/>
      <w:r>
        <w:rPr>
          <w:rFonts w:ascii="IRNazanin" w:hAnsi="IRNazanin" w:eastAsia="IRNazanin"/>
          <w:color w:val="111111"/>
          <w:sz w:val="28"/>
          <w:sz w:val="28"/>
          <w:szCs w:val="28"/>
          <w:rtl w:val="true"/>
          <w:lang w:bidi="fa-IR"/>
        </w:rPr>
        <w:t>مدلول البیّنة و نحوها من الأمارات الشرعیّة، فإنّ الأمارات بمدلولها اللفظی، و بناظریّة أدلّة اعتبارها الشرعی، إنّما یقتضی البناء علی تشخیص موضوع الحکم، لا مجرّد التعبّد بالحکم، و بهذا یفترق الاصول عن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التنظّر و عدم الفارق، لکان مقتضاه البناء علی کون کلّ من المشتبهین کذلک، لاستواء حال الأصل بالنسبة إلی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رفع الید عمّا هو المفروض و المدّعی من حرمة الحرام الواقعی، و إبقاء أحد المشتبهین بدلا عن الآخر، فالأصل إمّا لا یجری فی شی‌ء من المشتبهین، أو یجری فی کلیهما، و لمّا کان الثانی باطلا بالوفاق من الخصم 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الشرط شرط بوصف کونه معلوم التحقّق، لا لذات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شرط الاجتماع شرط تحقّق العلم بالحرام الغیر المعلوم، لا شرط ذات الحرام المعلوم حرمته، و عدم اشتراطه بالاجتماع، بل قد یحصل بالانفراد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شرط علم بشدن، نه کردن حرام است، که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 الحرام علی حرام خاصّ یعذر فیه الجاهل، کالربا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37" w:name="__RefHeading___Toc2647304_3224264995"/>
      <w:bookmarkStart w:id="1338" w:name="_Toc523"/>
      <w:bookmarkEnd w:id="1337"/>
      <w:r>
        <w:rPr>
          <w:rtl w:val="true"/>
        </w:rPr>
        <w:t>[</w:t>
      </w:r>
      <w:r>
        <w:rPr>
          <w:rtl w:val="true"/>
        </w:rPr>
        <w:t>محامل الحرام فی الروایة</w:t>
      </w:r>
      <w:r>
        <w:rPr>
          <w:rtl w:val="true"/>
        </w:rPr>
        <w:t>]</w:t>
      </w:r>
      <w:bookmarkEnd w:id="13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لحمل الحرام فی الروایة المفروضة علی حرام خاصّ یعذر فیه الجاهل محملان آخران غیر الربا، بل أقربان منه جدّا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الحرام المختلط بالحلال فیه علی الحرام الضالّ عن صاحبه کاللقطة، أو الضالّ عنه صاحبه کالمجهول المالک، فیکون نفی البأس عن أخذه من جهة تصدّق الآخذ به عن صاحبه، أو احتسابه علی نفس الآخذ صدقة من جهة فقره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اختلاط الحرام علی اختلاطه عند العامل المأخوذ منه لا اختلاطه عند الآخذ، فیکون نفی البأس عن أخذه للآخذ من جهة خروج أحد طرفی الشبهة عن تحت ابتلاء الآخذ، أو من جهة کون الشی‌ء مأخوذا من ید المسلم، و متفرّعا علی تصرّفه المحمول علی الصحّة عند الشکّ، و لو کان جائرا من عمّال بنی امیّة، إذ لا تقلّ یده عن ید السارق و السلطان الجائر الجائز منهما الشراء، و الأخذ بأحد الوجهین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الحرام علی الحرام علی العامل دون الآخذ، کأموال الخراج و المقاسمة لحرمتها علی الجائر دون الآخذ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المهنی و علیه الرزء</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تکف فی وجوب الاحتیاط و الاجتناب عن جمیع أطراف الشبهة المحصورة مجرّد قاعدة المقدّمیة فلتکف بانضمام الشهرة المحصّلة و الإجماعات المنقولة و الاستقراء الحاصل من تتبّع أکثر موارد الشبهة المحصورة و النصوص الآمرة بالاحتیاط فی مطلق الشبهات</w:t>
      </w:r>
      <w:r>
        <w:rPr>
          <w:rStyle w:val="FootnoteAnchor"/>
          <w:rtl w:val="true"/>
        </w:rPr>
        <w:footnoteReference w:id="531"/>
      </w:r>
      <w:r>
        <w:rPr>
          <w:rFonts w:ascii="IRNazanin" w:hAnsi="IRNazanin" w:eastAsia="IRNazanin"/>
          <w:color w:val="111111"/>
          <w:sz w:val="28"/>
          <w:sz w:val="28"/>
          <w:szCs w:val="28"/>
          <w:rtl w:val="true"/>
          <w:lang w:bidi="fa-IR"/>
        </w:rPr>
        <w:t>، فإنّ کلّ من هذه الوجوه المذکورة إن لم یتمّ دلالته علی المطلوب بنفسه، فبانضمام بعض، و إن لم یتمّ مع ذلک فبانضمام الجمیع، فإنّ القاعدة بانضمام جمیع هذه الامور تکاد أن تفید القطع بالمطلوب جزما، فضلا عن الاطمینان، فإنّ کلّا من هذه الامور و إن کان بنفسه لا یفید زیادة علی الظنّ إلّا أنّه بتراکم جمیع هذه الظنون لا مجال لإنکار القطع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 إنّ القاعدة المذکورة إلخ</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القاعدة المذکورة قاعدة الاحتیاط اللازمة فی الشبهات، </w:t>
      </w:r>
    </w:p>
    <w:p>
      <w:pPr>
        <w:pStyle w:val="BookText"/>
        <w:rPr/>
      </w:pPr>
      <w:r>
        <w:rPr>
          <w:rFonts w:ascii="IRNazanin" w:hAnsi="IRNazanin" w:eastAsia="IRNazanin"/>
          <w:color w:val="111111"/>
          <w:sz w:val="28"/>
          <w:sz w:val="28"/>
          <w:szCs w:val="28"/>
          <w:rtl w:val="true"/>
          <w:lang w:bidi="fa-IR"/>
        </w:rPr>
        <w:t>لا قاعدة البراءة و الإباحة التی تأیّد بها المدارک لمدّعاه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التفصیل فی المسألة أنّ الحرام علی 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عنوان الحرام و متعلّقه إمّا کلاهما مشخّصات، أو کلاهما مردّدان، أو عنوانه مشخّص دون متعلّقه،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المشخّص حکمه و موضوعه حیث إنّه مشخّص العنوان و المتعلّق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المردّد بین الخمر و المرأة الاجنبیّة حیث إنّه علی الأول عنوانه الاجتناب و متعلّقه الخمر و علی الثانی عنوانه لا تَقْرَبُوا الزِّنی</w:t>
      </w:r>
      <w:r>
        <w:rPr>
          <w:rStyle w:val="FootnoteAnchor"/>
          <w:rtl w:val="true"/>
        </w:rPr>
        <w:footnoteReference w:id="533"/>
      </w:r>
      <w:r>
        <w:rPr>
          <w:rFonts w:ascii="IRNazanin" w:hAnsi="IRNazanin" w:eastAsia="IRNazanin"/>
          <w:color w:val="111111"/>
          <w:sz w:val="28"/>
          <w:sz w:val="28"/>
          <w:szCs w:val="28"/>
          <w:rtl w:val="true"/>
          <w:lang w:bidi="fa-IR"/>
        </w:rPr>
        <w:t>و متعلّقه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المردّد بین المائعین و النجس المردّد بین لباس المصلّی و موضع سجدته حیث إنّ عنوانه الاجتناب عن النجس فی التقدیرین و لکن متعلّقه علی الأوّل التلبّس، و علی الثانی السجدة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المردّد بین کونه نجسا أو مال الغیر حیث إنّ المتعلّق مشخّص فی الأکل علی التقدیرین و لکن عنوانه علی الأوّل الاجتناب و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عن طیب نفسه</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إشکال المفصّل بین الحرام المشخّص عنوانه و متعلّقه و بین غیره من سائر الوجوه الثلاثة، أقوی فی المتردّد عنوانه من المتردّد متعلّقه، کما أنّه فی المتردّد عنوانه و متعلّقه أقوی من المتردّد عنوانه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یمکن تثلیث التفصیل </w:t>
      </w:r>
      <w:bookmarkStart w:id="1339" w:name="pg12856_162878"/>
    </w:p>
    <w:p>
      <w:pPr>
        <w:pStyle w:val="BookText"/>
        <w:rPr/>
      </w:pPr>
      <w:bookmarkEnd w:id="1339"/>
      <w:r>
        <w:rPr>
          <w:rFonts w:ascii="IRNazanin" w:hAnsi="IRNazanin" w:eastAsia="IRNazanin"/>
          <w:color w:val="111111"/>
          <w:sz w:val="28"/>
          <w:sz w:val="28"/>
          <w:szCs w:val="28"/>
          <w:rtl w:val="true"/>
          <w:lang w:bidi="fa-IR"/>
        </w:rPr>
        <w:t>فی المسألة و إن اتّحد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عدم الوجه للتفصیل فضلا عن التفاصیل لما فی المتن من الوجهین المذکورین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فلعموم الأدلّة</w:t>
      </w:r>
      <w:r>
        <w:rPr>
          <w:rStyle w:val="FootnoteAnchor"/>
          <w:rtl w:val="true"/>
        </w:rPr>
        <w:footnoteReference w:id="535"/>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الاجتناب عن کل إلخ</w:t>
      </w:r>
      <w:r>
        <w:rPr>
          <w:rFonts w:eastAsia="IRNazanin" w:cs="IRNazanin"/>
          <w:color w:val="111111"/>
          <w:sz w:val="28"/>
          <w:szCs w:val="28"/>
          <w:rtl w:val="true"/>
          <w:lang w:bidi="fa-IR"/>
        </w:rPr>
        <w:t>».</w:t>
      </w:r>
    </w:p>
    <w:p>
      <w:pPr>
        <w:pStyle w:val="Heading4"/>
        <w:numPr>
          <w:ilvl w:val="3"/>
          <w:numId w:val="1"/>
        </w:numPr>
        <w:rPr/>
      </w:pPr>
      <w:bookmarkStart w:id="1340" w:name="__RefHeading___Toc2647306_3224264995"/>
      <w:bookmarkStart w:id="1341" w:name="_Toc524"/>
      <w:bookmarkEnd w:id="1340"/>
      <w:r>
        <w:rPr>
          <w:rtl w:val="true"/>
        </w:rPr>
        <w:t>[</w:t>
      </w:r>
      <w:r>
        <w:rPr>
          <w:rtl w:val="true"/>
        </w:rPr>
        <w:t>فی انّ الاجتناب عن أطراف الشبهة واجب نفسی أو إرشادی</w:t>
      </w:r>
      <w:r>
        <w:rPr>
          <w:rtl w:val="true"/>
        </w:rPr>
        <w:t>]</w:t>
      </w:r>
      <w:bookmarkEnd w:id="13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الثمرة المترتّبة علی کون وجوب الاجتناب عن الشبهة نفسیّا أو إرشادیا، فتظهر فی أصل ترتّب العقاب و عدمه علی الارتکاب الغیر المصادف للحرام، و فی تعدّد العقاب بتعدّد الارتکاب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بالحرمة الإرشادیة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ارتکب أحد الشخصین أکثر أطراف الشبهة المحصورة و لم یتّفق فیها المصادفة للحرام الواقعی و ارتکب الآخر الباقی المتّفق فیه المصادفة، اختصّ عقاب الحرام بالمرتکب ذلک الواحد، و لم یترتّب شی‌ء علی المرتکب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الآخر فیتعدّد العقاب بتعدّد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المسألة فجزئیّ من جزئیّات حرمة التجرّی و عدمها، و مبنیّة علی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بحرمة التجرّی هناک قال بالحرمة الذاتیة فی ارتکاب کلّ من أطراف الشبهة، و بتعدّد العقاب بتعدّده، و من قال بعدم حرمة التجرّی، قال بالحرمة الإرشادیة المنوط عقابها بالمصادفة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التفکیک بین القول بحرمة التجرّی ذاتا فی الجملة، و القول بعدم الحرمة الذاتیة فی ارتکاب أحد طرفی الشبهة، نظرا إلی أخفّیّة التجرّی الکائن فی ضمن ارتکاب محتمل الحرمة من التجرّی الکائن فی ضمن معلوم الحرمة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القول بالحرمة الذاتیة المبتنیة علی حرمة التجرّی فمقدّمتان، </w:t>
      </w:r>
    </w:p>
    <w:p>
      <w:pPr>
        <w:pStyle w:val="BookText"/>
        <w:rPr/>
      </w:pPr>
      <w:r>
        <w:rPr>
          <w:rFonts w:ascii="IRNazanin" w:hAnsi="IRNazanin" w:eastAsia="IRNazanin"/>
          <w:color w:val="111111"/>
          <w:sz w:val="28"/>
          <w:sz w:val="28"/>
          <w:szCs w:val="28"/>
          <w:rtl w:val="true"/>
          <w:lang w:bidi="fa-IR"/>
        </w:rPr>
        <w:t>صغراهما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الغیر المصادف فعله الحرام مساو مع المصادف فعله الحرام من حیث انکشاف خبث السریرة، و صیرورة الفاعل معرضا للطغیان و العصیان مع الخالق المنّان، علی وجه لا یکاد یفترق بین الفعلین و الفاعلین إلّا من حیث المصادفة و عدمها المستندین إلی البخت و الطالع و الاتّفاق الخارجیّ الخارج عن اختیار المکلّف، فلا یصحّ إناطة العقاب بهما، فالفعل الغیر المصادف للحرام بالنسبة إلی فاعله کالمصادف له من جمیع المقتضیات سوی من جهة المانع الخارجیّ الخارج عن اختیاره فلا یصحّ إناطة العقاب به، بل یستحیل أن یعود من طرف المعلول و الفعل أثر حقیقی إلی العلّة و الفاعل، لاستلزامه الدّور، فضلا عن تقدیر عدم وجود المعلول و الفعل الحرام، فیتعیّن علی ذلک مساواة الفاعلین و الفعلین من جمیع الجهات الاختیاریة، و انتفاء الفرق بینهما إلّا من بعض الجهات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إناطة العقاب کالثواب إنّما هما منوطان بالأمور الاختیاریة المستندة إلی المقتضیات الداخلیة دون الخارجیة التی لا مدخلیّة لها فیما هو مناط العقاب و الثواب کما لا یخفی علی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حرمة التجرّی بمعنی حرمة قبح الفعل المتجرّی به کما هو مختار الماتن، نظرا إلی أنّ مصادفة الفعل و عدم مصادفته للحرام و إن خرجا عن القدرة و الاختیار بالأصل، إلا أنّهما لم تخرجا عنه بتوسّط الفعل، و المقدور بالواسطة مقدور، و إذا فرض استناد المصادفة إلی الاختیار فالفرق بینه و بین عدم المصادفة فی ما هو مناط العقاب و الثواب واضح بیّن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استحالة أن یعود من طرف الفعل و المعلول أثر حقیقیّ إلی الفاعل و العلّة، لا ینافی استرجاع الثواب و العقاب منه إلی الفاعل و العلّة، لأنّ الثواب و العقاب لیسا من الآثار الحقیقیة القهریّة للفعل و المعلول، بل هما من الآثار الخارجیّة و إن ترتّبا علی الفعل و المعلول کالأجر و الجزاء</w:t>
      </w:r>
      <w:r>
        <w:rPr>
          <w:rFonts w:eastAsia="IRNazanin" w:cs="IRNazanin"/>
          <w:color w:val="111111"/>
          <w:sz w:val="28"/>
          <w:szCs w:val="28"/>
          <w:rtl w:val="true"/>
          <w:lang w:bidi="fa-IR"/>
        </w:rPr>
        <w:t xml:space="preserve">. </w:t>
      </w:r>
      <w:bookmarkStart w:id="1342" w:name="pg12856_162880"/>
    </w:p>
    <w:p>
      <w:pPr>
        <w:pStyle w:val="BookText"/>
        <w:rPr/>
      </w:pPr>
      <w:bookmarkEnd w:id="1342"/>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حرمة التجرّی ذاتا، لکن لنا منع الصغری، و هو تحقّق التجرّی بمجرّد ارتکاب محتمل الحرمة، و دعوی اختصاصه بارتکاب معلوم الحرمة</w:t>
      </w:r>
      <w:r>
        <w:rPr>
          <w:rFonts w:eastAsia="IRNazanin" w:cs="IRNazanin"/>
          <w:color w:val="111111"/>
          <w:sz w:val="28"/>
          <w:szCs w:val="28"/>
          <w:rtl w:val="true"/>
          <w:lang w:bidi="fa-IR"/>
        </w:rPr>
        <w:t>.</w:t>
      </w:r>
    </w:p>
    <w:p>
      <w:pPr>
        <w:pStyle w:val="Heading4"/>
        <w:numPr>
          <w:ilvl w:val="3"/>
          <w:numId w:val="1"/>
        </w:numPr>
        <w:rPr/>
      </w:pPr>
      <w:bookmarkStart w:id="1343" w:name="__RefHeading___Toc2647308_3224264995"/>
      <w:bookmarkStart w:id="1344" w:name="_Toc525"/>
      <w:bookmarkEnd w:id="1343"/>
      <w:r>
        <w:rPr>
          <w:rtl w:val="true"/>
        </w:rPr>
        <w:t>[</w:t>
      </w:r>
      <w:r>
        <w:rPr>
          <w:rtl w:val="true"/>
        </w:rPr>
        <w:t>فی مقرّبات الحرمة الذاتیة فی ارتکاب أطراف الشبهة</w:t>
      </w:r>
      <w:r>
        <w:rPr>
          <w:rtl w:val="true"/>
        </w:rPr>
        <w:t>]</w:t>
      </w:r>
      <w:bookmarkEnd w:id="1344"/>
    </w:p>
    <w:p>
      <w:pPr>
        <w:pStyle w:val="BookText"/>
        <w:rPr/>
      </w:pPr>
      <w:r>
        <w:rPr>
          <w:rFonts w:ascii="IRNazanin" w:hAnsi="IRNazanin" w:eastAsia="IRNazanin"/>
          <w:color w:val="111111"/>
          <w:sz w:val="28"/>
          <w:sz w:val="28"/>
          <w:szCs w:val="28"/>
          <w:rtl w:val="true"/>
          <w:lang w:bidi="fa-IR"/>
        </w:rPr>
        <w:t>و قد یقرّب الحرمة الذاتیة بمخالفة الاحتیاط فی ما نحن فیه بدعوی الحرمة الذاتیة بمخالفته فی الأشباه و النظائر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المتن من الحرمة الذاتیة فی مخالفة مظنون الضرریّة و إن لم یصادف الضرر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ما فی المتن من حجّیّة الظن فی الضرر الدنیوی، و استناد الحرمة الذاتیة فیه إلی مخالفة دلیل حجّیّة الظن، لا إلی محض المخالفة الذی هو محطّ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فتنظیر ما نحن فیه به تنظیر بغیر نظیر لوجود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استحقاق العقاب لمن ترک الشکر بمجرّد ترک دفع الضرر المحتمل الموجب علیه، و لو لم یصادف وجوب الشکر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إطلاقه، و إنّما هو فی صورة المصادفة بمقتضی تعلیلاتهم، و إن أطلق بعضهم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ترتّب المعصیة و العصیان علی مجرّد ترک صلاة الاحتیاط، و إن تذکّر فی ما بعده تمامیّة الصلاة و عدم الحاجة إلیه، مع کون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کالاحتیاط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التوصّل إلی الواقع و المحاذرة عن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إطلاق العصیان فی ما عدی المصادفة لترک الواجب، کمعرفة مسائل الشکوک حیث صرّح فی محلّه بعدم وجوبها نفسا وراء وجوبها المقدّمیّ العقلیّ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الوفاق علی استحباب الاحتیاط نفسا حتّی فی الشبهات البدویّة، و کلّ من لم یحمل أخبار الاحتیاط علی الوجوب فقد حملها علی الاستحباب النفسی، فلو لم یکن رجحان الاحتیاط ذاتیا لم یکن استحبابه ذاتیا لعدم المقتضی </w:t>
      </w:r>
      <w:bookmarkStart w:id="1345" w:name="pg12856_162881"/>
    </w:p>
    <w:p>
      <w:pPr>
        <w:pStyle w:val="BookText"/>
        <w:rPr/>
      </w:pPr>
      <w:bookmarkEnd w:id="1345"/>
      <w:r>
        <w:rPr>
          <w:rFonts w:ascii="IRNazanin" w:hAnsi="IRNazanin" w:eastAsia="IRNazanin"/>
          <w:color w:val="111111"/>
          <w:sz w:val="28"/>
          <w:sz w:val="28"/>
          <w:szCs w:val="28"/>
          <w:rtl w:val="true"/>
          <w:lang w:bidi="fa-IR"/>
        </w:rPr>
        <w:t>للتفاوت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الأستاد بأنّ استحبابه النفسی لعلّه من بعض الجهات التی لا یتأتّی فی الوجوب من مثل التحرّز و التحرّس عن القساوة و الحراوة و نحوهما</w:t>
      </w:r>
      <w:r>
        <w:rPr>
          <w:rFonts w:eastAsia="IRNazanin" w:cs="IRNazanin"/>
          <w:color w:val="111111"/>
          <w:sz w:val="28"/>
          <w:szCs w:val="28"/>
          <w:rtl w:val="true"/>
          <w:lang w:bidi="fa-IR"/>
        </w:rPr>
        <w:t>.</w:t>
      </w:r>
    </w:p>
    <w:p>
      <w:pPr>
        <w:pStyle w:val="Heading4"/>
        <w:numPr>
          <w:ilvl w:val="3"/>
          <w:numId w:val="1"/>
        </w:numPr>
        <w:rPr/>
      </w:pPr>
      <w:bookmarkStart w:id="1346" w:name="__RefHeading___Toc2647310_3224264995"/>
      <w:bookmarkStart w:id="1347" w:name="_Toc526"/>
      <w:bookmarkEnd w:id="1346"/>
      <w:r>
        <w:rPr>
          <w:rtl w:val="true"/>
        </w:rPr>
        <w:t>[</w:t>
      </w:r>
      <w:r>
        <w:rPr>
          <w:rtl w:val="true"/>
        </w:rPr>
        <w:t>التنظر فی مقرّباتها</w:t>
      </w:r>
      <w:r>
        <w:rPr>
          <w:rtl w:val="true"/>
        </w:rPr>
        <w:t>]</w:t>
      </w:r>
      <w:bookmarkEnd w:id="13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جهة الإرشاد و تعلیل الطلب به لیس کالضدّین مانعة الجمع مع بقاء الأمر و الطلب علی ظاهر الطلب و إلّا لکان جمیع الأوامر الشرعیة مجرّدة و منسلخة عن معنی الطلب إلی مجرّد الإخبار عن خاصّیة المأمور به لأن الأوامر و النواهی الشرعیة بأسرها تابعة للمصالح و المفاسد النفس الأمریّة، فلو کان جهة الإرشاد إلی المصلحة و المفسدة مانعة الجمع مع الطلب لکانت جمیع الأوامر الشرعیة بأسرها أوامر إرشادیة و منسلخة عن معنی الطلب و هو خلاف الواقع و الظاهر، کیف و استعمال الإنشاء فی محض الإخبار علی العکس نادر جدّا، بل الأصل الأصیل، و ظاهر الدلیل کلّیة فی جمیع الإنشائیّات الشرعیة حتی المطابقة للعقل المحض ک أَطِیعُوا اللَّهَ وَ أَطِیعُوا الرَّسُولَ</w:t>
      </w:r>
      <w:r>
        <w:rPr>
          <w:rStyle w:val="FootnoteAnchor"/>
          <w:rtl w:val="true"/>
        </w:rPr>
        <w:footnoteReference w:id="536"/>
      </w:r>
      <w:r>
        <w:rPr>
          <w:rFonts w:ascii="IRNazanin" w:hAnsi="IRNazanin" w:eastAsia="IRNazanin"/>
          <w:color w:val="111111"/>
          <w:sz w:val="28"/>
          <w:sz w:val="28"/>
          <w:szCs w:val="28"/>
          <w:rtl w:val="true"/>
          <w:lang w:bidi="fa-IR"/>
        </w:rPr>
        <w:t>و الأمر بالإحسان</w:t>
      </w:r>
      <w:r>
        <w:rPr>
          <w:rStyle w:val="FootnoteAnchor"/>
          <w:rtl w:val="true"/>
        </w:rPr>
        <w:footnoteReference w:id="537"/>
      </w:r>
      <w:r>
        <w:rPr>
          <w:rFonts w:ascii="IRNazanin" w:hAnsi="IRNazanin" w:eastAsia="IRNazanin"/>
          <w:color w:val="111111"/>
          <w:sz w:val="28"/>
          <w:sz w:val="28"/>
          <w:szCs w:val="28"/>
          <w:rtl w:val="true"/>
          <w:lang w:bidi="fa-IR"/>
        </w:rPr>
        <w:t>، و المنع عن الظلم</w:t>
      </w:r>
      <w:r>
        <w:rPr>
          <w:rStyle w:val="FootnoteAnchor"/>
          <w:rtl w:val="true"/>
        </w:rPr>
        <w:footnoteReference w:id="538"/>
      </w:r>
      <w:r>
        <w:rPr>
          <w:rFonts w:ascii="IRNazanin" w:hAnsi="IRNazanin" w:eastAsia="IRNazanin"/>
          <w:color w:val="111111"/>
          <w:sz w:val="28"/>
          <w:sz w:val="28"/>
          <w:szCs w:val="28"/>
          <w:rtl w:val="true"/>
          <w:lang w:bidi="fa-IR"/>
        </w:rPr>
        <w:t xml:space="preserve">، بل و فی الإنشاءات الطبیب أیضا لا صارف لها عن الطلب إلّا ما أخرجه الدلیل الخارج المقتضی صرف الإرشاد لا غیر، کالطبیب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الدانی عن المتطبب</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بحیث یعلم من الخارج أن لا جهة لطلبه سوی محض الإرشاد إلی خاصّیة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ظهر الفرق فی ذلک بین استناد وجوب الاجتناب إلی العقل و بین استناده إلی الأوامر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المصنّف عدم الفرق ممنوع جدّا</w:t>
      </w:r>
      <w:r>
        <w:rPr>
          <w:rFonts w:eastAsia="IRNazanin" w:cs="IRNazanin"/>
          <w:color w:val="111111"/>
          <w:sz w:val="28"/>
          <w:szCs w:val="28"/>
          <w:rtl w:val="true"/>
          <w:lang w:bidi="fa-IR"/>
        </w:rPr>
        <w:t xml:space="preserve">. </w:t>
      </w:r>
      <w:bookmarkStart w:id="1348" w:name="pg12856_162882"/>
    </w:p>
    <w:p>
      <w:pPr>
        <w:pStyle w:val="BookText"/>
        <w:rPr/>
      </w:pPr>
      <w:bookmarkEnd w:id="134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المفروض أنّ الظن فی باب الضرر طریق شرعی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49" w:name="__RefHeading___Toc2647312_3224264995"/>
      <w:bookmarkStart w:id="1350" w:name="_Toc527"/>
      <w:bookmarkEnd w:id="1349"/>
      <w:r>
        <w:rPr>
          <w:rtl w:val="true"/>
        </w:rPr>
        <w:t>[</w:t>
      </w:r>
      <w:r>
        <w:rPr>
          <w:rtl w:val="true"/>
        </w:rPr>
        <w:t>مناقشات فی کلمات المصنف فی هذا الباب</w:t>
      </w:r>
      <w:r>
        <w:rPr>
          <w:rtl w:val="true"/>
        </w:rPr>
        <w:t>]</w:t>
      </w:r>
      <w:bookmarkEnd w:id="1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مظنون الضرر من السفر و الصوم و الطهارة المائیة و نحوها ممّا حرّمه الشرع، و بین النهی عن ارتکاب الشبهات فی مورد الاحتیاط ممّا حرّمه الشارع و أمر بالاحتیاط فیه، فکما فهم المطلوبیّة الشرعیّة من الأمر الشرعی بالظن و النهی الشرعی عن ترکه، کذلک یفهم المطلوبیّة الشرعیة من الأمر بالاحتیاط و النهی الشرعی عن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حکمهم باستحقاق العقاب لأجل مصادفة الاحتمال للواقع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حکمهم بصورة المصادفة مناف لإطلاق الحکم، و کلّیّة قاعدة وجوب دفع الضرر المحتمل و عقلیته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الاحتیاط التحرّز عن الوقوع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ینافی بقاء طلب الاحتیاط علی ظاهره، و هو المطلوبیّة الشرعیّة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عن ظاهر الطلب و صرفه إلی محض الإخبار یحتاج إلی المخرج و الصارف و إذ لیس فلیس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تشخیص ذلک مشکل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المسألة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أصل المسألة، 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صحّتها و سقمها</w:t>
      </w:r>
      <w:r>
        <w:rPr>
          <w:rFonts w:eastAsia="IRNazanin" w:cs="IRNazanin"/>
          <w:color w:val="111111"/>
          <w:sz w:val="28"/>
          <w:szCs w:val="28"/>
          <w:rtl w:val="true"/>
          <w:lang w:bidi="fa-IR"/>
        </w:rPr>
        <w:t>.</w:t>
      </w:r>
    </w:p>
    <w:p>
      <w:pPr>
        <w:pStyle w:val="Heading4"/>
        <w:numPr>
          <w:ilvl w:val="3"/>
          <w:numId w:val="1"/>
        </w:numPr>
        <w:rPr/>
      </w:pPr>
      <w:bookmarkStart w:id="1351" w:name="__RefHeading___Toc2647314_3224264995"/>
      <w:bookmarkStart w:id="1352" w:name="_Toc528"/>
      <w:bookmarkEnd w:id="1351"/>
      <w:r>
        <w:rPr>
          <w:rtl w:val="true"/>
        </w:rPr>
        <w:t>[</w:t>
      </w:r>
      <w:r>
        <w:rPr>
          <w:rtl w:val="true"/>
        </w:rPr>
        <w:t>اعتبار الابتلاء بالأطراف فی وجوب الاجتناب عنها</w:t>
      </w:r>
      <w:r>
        <w:rPr>
          <w:rtl w:val="true"/>
        </w:rPr>
        <w:t>]</w:t>
      </w:r>
      <w:bookmarkEnd w:id="1352"/>
    </w:p>
    <w:p>
      <w:pPr>
        <w:pStyle w:val="BookText"/>
        <w:rPr/>
      </w:pPr>
      <w:r>
        <w:rPr>
          <w:rFonts w:ascii="IRNazanin" w:hAnsi="IRNazanin" w:eastAsia="IRNazanin"/>
          <w:color w:val="111111"/>
          <w:sz w:val="28"/>
          <w:sz w:val="28"/>
          <w:szCs w:val="28"/>
          <w:rtl w:val="true"/>
          <w:lang w:bidi="fa-IR"/>
        </w:rPr>
        <w:t>أمّا الکلام فی الأوّل، 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مراتب دخول أطراف الشبهة تحت ابتلاء المکلّف، کالکلّی المشکّک، یختلف جدّا أ لا تری أنّ دوران النجاسة بین ماء الإناء و أطرافه، أقرب إلی الابتلاء من دورانه بین الماء و ظهر الإناء؟</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فرض دورانه بین الماء و ظهر الإناء، أقرب من دورانه بین الماء و ما یحاذیه من الأرض</w:t>
      </w:r>
      <w:r>
        <w:rPr>
          <w:rFonts w:eastAsia="IRNazanin" w:cs="IRNazanin"/>
          <w:color w:val="111111"/>
          <w:sz w:val="28"/>
          <w:szCs w:val="28"/>
          <w:rtl w:val="true"/>
          <w:lang w:bidi="fa-IR"/>
        </w:rPr>
        <w:t xml:space="preserve">. </w:t>
      </w:r>
      <w:bookmarkStart w:id="1353" w:name="pg12856_162883"/>
    </w:p>
    <w:p>
      <w:pPr>
        <w:pStyle w:val="BookText"/>
        <w:rPr/>
      </w:pPr>
      <w:bookmarkEnd w:id="1353"/>
      <w:r>
        <w:rPr>
          <w:rFonts w:ascii="IRNazanin" w:hAnsi="IRNazanin" w:eastAsia="IRNazanin"/>
          <w:color w:val="111111"/>
          <w:sz w:val="28"/>
          <w:sz w:val="28"/>
          <w:szCs w:val="28"/>
          <w:rtl w:val="true"/>
          <w:lang w:bidi="fa-IR"/>
        </w:rPr>
        <w:t>و کذلک المحاذاة المفروض أحد طرفی الشبهة یختلف فی البعد و القرب إلی الابتلاء، علی وجه التشکیک، بحیث یکون بعضها معلوم الدخول تحت ابتلاء المکلّف، و بعضها معلوم الخروج، و بعضها مظنون، و بعضها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یکن الدخول تحت الابتلاء من الموضوعات المستنبطة، بل لم یقع التعبیر به عن المسألة فی کلام من سبق علی الماتن، حتی یرجع فی مراتبه المشکوکة إلی العرف أو الظنّ، لا محالة کان المرجع فی مراتبه المشکوکة، و ما فی حکمها من المظنون، إلی أصالة الحظر أو الإباحة، علی الخلاف فی کون الأصل الأوّلی هو الحظر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الأقوی الحظر فی المسألة، و إن قلنا فی غیرها بالإباحة و البراءة، نظرا إلی وجود المقتضی للحظر، و هو العلم الإجمالی بالحرام، و کون الشکّ فی وجود المانع، و الأصل عدمه، و إلی أنّ المتیقّن من حکومة أدلّة البراءة و الإباحة علی أصالة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الشکوک البدویّة، و موارد الشکّ فی المقتضی، لا مورد العلم الإجمالی و وجود المقتضی للحظر، مضافا إلی ما فی المتن من وجه آخر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4" w:name="__RefHeading___Toc2647316_3224264995"/>
      <w:bookmarkStart w:id="1355" w:name="_Toc529"/>
      <w:bookmarkEnd w:id="1354"/>
      <w:r>
        <w:rPr>
          <w:rtl w:val="true"/>
        </w:rPr>
        <w:t>[</w:t>
      </w:r>
      <w:r>
        <w:rPr>
          <w:rtl w:val="true"/>
        </w:rPr>
        <w:t>الأصل الجاری فی مورد الشک فی الابتلاء</w:t>
      </w:r>
      <w:r>
        <w:rPr>
          <w:rtl w:val="true"/>
        </w:rPr>
        <w:t>]</w:t>
      </w:r>
      <w:bookmarkEnd w:id="1355"/>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الدخول تحت ابتلاء المکلّف، هل هو شرط فی تنجّز التکلیف حتی یکون المرجع فی مصادیقه المشکوکة إلی البراءة عن التکلیف، و أصالة عدمه، أم عدمه مانع، حتی یکون المرجع فیها إلی استصحاب قضاء المقتضی، و أصالة عدم المانع؟</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جوّز الرجوع إلی إطلاق المطلق المقیّد بالمجمل المصداقی فی تشخیص المشکوک، و تشخیص الموضوع بالاطلاق، اختار الثانی، و هو الاشتغال، کالماتن فی المقام، و الشهید الثانی فی إلحاق الخنثی بالرجل فی </w:t>
      </w:r>
      <w:bookmarkStart w:id="1356" w:name="pg12856_162884"/>
    </w:p>
    <w:p>
      <w:pPr>
        <w:pStyle w:val="BookText"/>
        <w:rPr/>
      </w:pPr>
      <w:bookmarkEnd w:id="1356"/>
      <w:r>
        <w:rPr>
          <w:rFonts w:ascii="IRNazanin" w:hAnsi="IRNazanin" w:eastAsia="IRNazanin"/>
          <w:color w:val="111111"/>
          <w:sz w:val="28"/>
          <w:sz w:val="28"/>
          <w:szCs w:val="28"/>
          <w:rtl w:val="true"/>
          <w:lang w:bidi="fa-IR"/>
        </w:rPr>
        <w:t>الحدود</w:t>
      </w:r>
      <w:r>
        <w:rPr>
          <w:rStyle w:val="FootnoteAnchor"/>
          <w:rtl w:val="true"/>
        </w:rPr>
        <w:footnoteReference w:id="541"/>
      </w:r>
      <w:r>
        <w:rPr>
          <w:rFonts w:ascii="IRNazanin" w:hAnsi="IRNazanin" w:eastAsia="IRNazanin"/>
          <w:color w:val="111111"/>
          <w:sz w:val="28"/>
          <w:sz w:val="28"/>
          <w:szCs w:val="28"/>
          <w:rtl w:val="true"/>
          <w:lang w:bidi="fa-IR"/>
        </w:rPr>
        <w:t xml:space="preserve">، أخذا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عن دینه</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 الجواهر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یجوّز ذلک کالمشهور المنصور، اختار الأوّل، و هو البراءة، إلّا أن یحرز من الخارج تحقّق المقتضی و مانعیّة الخروج عن تحت ابتلاء المکلّف، کما هو الأقرب إلی النظر فی ما نحن فیه، نظرا إلی أنّ من المعلوم فی الخارج عدم اشتراط تنجّز التکلیف بما وراء العلم و القدرة و العقل و البلوغ المفروض حصولها فی المقام، فیتعیّن مانعیّة الخروج عن الابتلاء، لا شرطیّة الدخول تحت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الدعوی</w:t>
      </w:r>
      <w:r>
        <w:rPr>
          <w:rFonts w:eastAsia="IRNazanin" w:cs="IRNazanin"/>
          <w:color w:val="111111"/>
          <w:sz w:val="28"/>
          <w:szCs w:val="28"/>
          <w:rtl w:val="true"/>
          <w:lang w:bidi="fa-IR"/>
        </w:rPr>
        <w:t>.</w:t>
      </w:r>
    </w:p>
    <w:p>
      <w:pPr>
        <w:pStyle w:val="Heading4"/>
        <w:numPr>
          <w:ilvl w:val="3"/>
          <w:numId w:val="1"/>
        </w:numPr>
        <w:rPr/>
      </w:pPr>
      <w:bookmarkStart w:id="1357" w:name="__RefHeading___Toc2647318_3224264995"/>
      <w:bookmarkStart w:id="1358" w:name="_Toc530"/>
      <w:bookmarkEnd w:id="1357"/>
      <w:r>
        <w:rPr>
          <w:rtl w:val="true"/>
        </w:rPr>
        <w:t>[</w:t>
      </w:r>
      <w:r>
        <w:rPr>
          <w:rtl w:val="true"/>
        </w:rPr>
        <w:t>الخدشة فی اعتبار الابتلاء فی المسألة</w:t>
      </w:r>
      <w:r>
        <w:rPr>
          <w:rtl w:val="true"/>
        </w:rPr>
        <w:t>]</w:t>
      </w:r>
      <w:bookmarkEnd w:id="1358"/>
    </w:p>
    <w:p>
      <w:pPr>
        <w:pStyle w:val="BookText"/>
        <w:rPr/>
      </w:pPr>
      <w:r>
        <w:rPr>
          <w:rFonts w:ascii="IRNazanin" w:hAnsi="IRNazanin" w:eastAsia="IRNazanin"/>
          <w:color w:val="111111"/>
          <w:sz w:val="28"/>
          <w:sz w:val="28"/>
          <w:szCs w:val="28"/>
          <w:rtl w:val="true"/>
          <w:lang w:bidi="fa-IR"/>
        </w:rPr>
        <w:t>و أمّا صحّتها فیمکن الخدشة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دخول طرفی الشبهة تحت الابتلاء من منفردات الماتن الّتی لم یسبقه أحد فی اعتباره، بل لم یعتبره هو أیضا فی الشبهة المحصورة الوجوبیّة، کاشتباه القبلة، حیث صرّح بأنه لو تعذّر علی المشتبه أحد جهات القبلة لم یسقط عنه الصلاة إلی سائر الجهات الباقیة،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أنّه لا فارق من حیث المقتضی للتکلیف، و عدم المانع بین الشبهة المحصورة الوجوبیّة و التحریمیّة، فإذا کان تعذّر أحد أطراف الشبهة مسقطا لتنجّز التکلیف به فی التحریمیّة، فلیکن مسقطا فی الوجوبیّة أیضا، و إذا لم یکن مسقطا فی الوجوبیّة، فلا ینبغی أن یکون مسقطا فی التحریمیّة أیضا، لعدم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قلت من الإشکال فی تشخیص محلّ الابتلاء و عدمه، لا محلّ له بعد إناطتک الحکم باستهجان العرف تنجّز التکلیف و عدمه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إناطة الحکم باستهجان تنجّز التکلیف و عدمه، إنّما هو إناطة الحکم بالابتلاء الشخصی و عدمه، لا الابتلاء النوعی و لازم ذلک دوران </w:t>
      </w:r>
    </w:p>
    <w:p>
      <w:pPr>
        <w:pStyle w:val="BookText"/>
        <w:rPr/>
      </w:pPr>
      <w:r>
        <w:rPr>
          <w:rFonts w:ascii="IRNazanin" w:hAnsi="IRNazanin" w:eastAsia="IRNazanin"/>
          <w:color w:val="111111"/>
          <w:sz w:val="28"/>
          <w:sz w:val="28"/>
          <w:szCs w:val="28"/>
          <w:rtl w:val="true"/>
          <w:lang w:bidi="fa-IR"/>
        </w:rPr>
        <w:t>حکم الشبهة المحصورة من الاجتناب و عدمه مدار إرادة المکلّف و عدمه، فکلّما أراد المکلّف تناوله من أطراف الشبهة المحصورة دخل تحت ابتلاء المکلّف، و إن امتنع شرعا، ککونه ملکا للغیر، و کلّما لم یرد المکلّف تناوله خرج عن ابتلاء المکلف، و ان لم یمتنع لا عقلا و لا شرعا، بل و ان وجب علیه تناوله دفعا لمرض و نحوه، فلزم إناطته تنجّز حکم الشبهة المحصورة بإرادة المکلّف التناول، و هو کما تری شرط زائد خارج عن شروط التنجّز الأربعة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البلوغ و 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إناطة تنجّز الحکم علی الابتلاء و عدمه إنّما یبتنی علی القول بتعلّق الأحکام بالأفراد، و أمّا علی المشهور المنصور الّذی علیه الماتن أیضا من تعلّقها بالطبائع، فلا یدور تنجّزه مدار الابتلاء بالأفراد و عدمه، بل هو دائر مدار القدرة علی الامتثال و عدمه، و لو بواسطة الفرد الّذی یعدّ مقدّمة لتلک الطبیعة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ففرض خروج بعض الأفراد عن تحت القدرة الفعلیّة مع بقاء بعضها الآخر، لیس إلّا کخروج بعض مقدّمات الفعل عن تحت القدرة مع بقاء بعضها الآخر، فی عدم اقتضائه عقلا سقوط التکلیف الکلّی رأسا، إلّا من السبیل الخارج عن مقدوره دون السبیل الباقی تحت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الاستهجان العرفی، النهی عمّا لم یدخل تحت ابتلاء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ما لو تعلّق النهی عنه بخصوصه علی الوجه المخصوص، 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الغیر المقدور، أو الغیر المبتلی بالمنهیّ لا تفعله، من جهة عدم مطابقته لمقتضی الحال المعتبر فی البلاغة المفروض انتفاء مثله فی خطابات الشرع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تعلّقت بأنواع المکلّفین علی وجه الکلّیّة، کما هو الواقع فی جمیع خطابات الشرع فیکفی فی صحّته، و تنجّزه، و بلاغته، و رفع استهجانه العرفی </w:t>
      </w:r>
    </w:p>
    <w:p>
      <w:pPr>
        <w:pStyle w:val="BookText"/>
        <w:rPr/>
      </w:pPr>
      <w:r>
        <w:rPr>
          <w:rFonts w:ascii="IRNazanin" w:hAnsi="IRNazanin" w:eastAsia="IRNazanin"/>
          <w:color w:val="111111"/>
          <w:sz w:val="28"/>
          <w:sz w:val="28"/>
          <w:szCs w:val="28"/>
          <w:rtl w:val="true"/>
          <w:lang w:bidi="fa-IR"/>
        </w:rPr>
        <w:t>المستند إلی عدم البلاغة، بمجرّد القدرة الشأنیّة و التمکّن العقلی و لو فی بعض أفراد المکلّفین، و لا یتوقّف علی وجود المقدور فعلا، فضلا عن القدرة الفعلیّة بالخصوص فی کلّ فرد، خصوصا فی النواهی الحاصل امتثالها بمجرّد الترک، و هو من إفادات غیر واحد من أساتیدنا الأعلام، کالعلّامة الإیروانی و شیخنا الکاظمینی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توهّم المتوهّم اشتراط الدخول تحت الابتلاء ناشئ عن توهّم أنّ استهجان خطاب غیر المبتلی بالشی‌ء تنجیزا مستند إلی انتفاء شی‌ء من شرائط تنجیزه و الحال انّه إنّما یستند استهجانه إلی عدم البلاغة الّتی هی مطابقة الکلام لمقتضی الحال فی خصوص المقام المفروض انتفاء وقوع مثله فی خطابات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المستفاد من صحیحة علیّ بن جعفر 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رعف فامتخط، فصار ذلک الدم قطعا صغارا، فأصاب إناءه، هل یصحّ الوضوء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شی‌ء یستبین فی الماء فلا بأس، و إن کان شیئا بیّنا فلا تتوضّا منه</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صحّة سنده، و الإغماض عن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کالإجماع التقییدی غیر معلوم الوجه، إذ لم یعلم استناد الحکم بطهارة الماء إلی خروج أحد طرفی الشبهة عن تحت ابتلاء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لعلّه مستند إلی القول بعدم نجاسة الملاقی لنحو رءوس الإبر الّتی لا تدرک بالطرف من الدم، کما هو مذهب الشیخ</w:t>
      </w:r>
      <w:r>
        <w:rPr>
          <w:rStyle w:val="FootnoteAnchor"/>
          <w:rtl w:val="true"/>
        </w:rPr>
        <w:footnoteReference w:id="544"/>
      </w:r>
      <w:r>
        <w:rPr>
          <w:rFonts w:ascii="IRNazanin" w:hAnsi="IRNazanin" w:eastAsia="IRNazanin"/>
          <w:color w:val="111111"/>
          <w:sz w:val="28"/>
          <w:sz w:val="28"/>
          <w:szCs w:val="28"/>
          <w:rtl w:val="true"/>
          <w:lang w:bidi="fa-IR"/>
        </w:rPr>
        <w:t>و من تبعه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إلی القول بعدم وجوب الاجتناب عن مطلق الشبهة المحصورة، کما عن </w:t>
      </w:r>
      <w:bookmarkStart w:id="1359" w:name="pg12856_162887"/>
    </w:p>
    <w:p>
      <w:pPr>
        <w:pStyle w:val="BookText"/>
        <w:rPr/>
      </w:pPr>
      <w:bookmarkEnd w:id="1359"/>
      <w:r>
        <w:rPr>
          <w:rFonts w:ascii="IRNazanin" w:hAnsi="IRNazanin" w:eastAsia="IRNazanin"/>
          <w:color w:val="111111"/>
          <w:sz w:val="28"/>
          <w:sz w:val="28"/>
          <w:szCs w:val="28"/>
          <w:rtl w:val="true"/>
          <w:lang w:bidi="fa-IR"/>
        </w:rPr>
        <w:t>الأردبیلی</w:t>
      </w:r>
      <w:r>
        <w:rPr>
          <w:rStyle w:val="FootnoteAnchor"/>
          <w:rtl w:val="true"/>
        </w:rPr>
        <w:footnoteReference w:id="545"/>
      </w:r>
      <w:r>
        <w:rPr>
          <w:rFonts w:ascii="IRNazanin" w:hAnsi="IRNazanin" w:eastAsia="IRNazanin"/>
          <w:color w:val="111111"/>
          <w:sz w:val="28"/>
          <w:sz w:val="28"/>
          <w:szCs w:val="28"/>
          <w:rtl w:val="true"/>
          <w:lang w:bidi="fa-IR"/>
        </w:rPr>
        <w:t>و المدارک</w:t>
      </w:r>
      <w:r>
        <w:rPr>
          <w:rStyle w:val="FootnoteAnchor"/>
          <w:rtl w:val="true"/>
        </w:rPr>
        <w:footnoteReference w:id="546"/>
      </w:r>
      <w:r>
        <w:rPr>
          <w:rFonts w:ascii="IRNazanin" w:hAnsi="IRNazanin" w:eastAsia="IRNazanin"/>
          <w:color w:val="111111"/>
          <w:sz w:val="28"/>
          <w:sz w:val="28"/>
          <w:szCs w:val="28"/>
          <w:rtl w:val="true"/>
          <w:lang w:bidi="fa-IR"/>
        </w:rPr>
        <w:t>متأیّدا بتلک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فرض الصحیحة موردها الشبهة البدویّة، بأن یکون المسئول فیها عن إصابته الإناء علی وجه یشکّ معه إصابة الماء، أو علی وجه یتبیّن منه عدم إصابة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فرض موردها الشبهة الغیر المحصورة، کما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دلالة فی نفس الصحیحة، و لا فیما یفتی به من مضمونها علی ما أفتی به الماتن فی الشبهة المحصورة من التفصیل بین ما یدخل تحت ابتلاء المکلّف و ما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ما قیل من ضعف السند، و من معارضته بروایة هذا الراوی عن هذا المرویّ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رعف و هو یتوضّأ فقطر قطرة فی إنائه، هل یصحّ 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ذیل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النصّ، فافهم</w:t>
      </w:r>
      <w:r>
        <w:rPr>
          <w:rFonts w:eastAsia="IRNazanin" w:cs="IRNazanin"/>
          <w:color w:val="111111"/>
          <w:sz w:val="28"/>
          <w:szCs w:val="28"/>
          <w:rtl w:val="true"/>
          <w:lang w:bidi="fa-IR"/>
        </w:rPr>
        <w:t>».</w:t>
      </w:r>
    </w:p>
    <w:p>
      <w:pPr>
        <w:pStyle w:val="Heading4"/>
        <w:numPr>
          <w:ilvl w:val="3"/>
          <w:numId w:val="1"/>
        </w:numPr>
        <w:rPr/>
      </w:pPr>
      <w:bookmarkStart w:id="1360" w:name="__RefHeading___Toc2647320_3224264995"/>
      <w:bookmarkStart w:id="1361" w:name="_Toc531"/>
      <w:bookmarkEnd w:id="1360"/>
      <w:r>
        <w:rPr>
          <w:rtl w:val="true"/>
        </w:rPr>
        <w:t>[</w:t>
      </w:r>
      <w:r>
        <w:rPr>
          <w:rtl w:val="true"/>
        </w:rPr>
        <w:t>حکم ملاقاة أحد أطراف الشبهة المحصورة</w:t>
      </w:r>
      <w:r>
        <w:rPr>
          <w:rtl w:val="true"/>
        </w:rPr>
        <w:t>]</w:t>
      </w:r>
      <w:bookmarkEnd w:id="1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الصحیحة علی التفصیل فی الشبهة المحصورة بین الابتلاء و عدمه، و إن لم یوجب ما زعمه المدارک من خروجها عن قاعدة الشبهة المحصورة بالمرّة و الکلّیّة</w:t>
      </w:r>
      <w:r>
        <w:rPr>
          <w:rStyle w:val="FootnoteAnchor"/>
          <w:rtl w:val="true"/>
        </w:rPr>
        <w:footnoteReference w:id="548"/>
      </w:r>
      <w:r>
        <w:rPr>
          <w:rFonts w:ascii="IRNazanin" w:hAnsi="IRNazanin" w:eastAsia="IRNazanin"/>
          <w:color w:val="111111"/>
          <w:sz w:val="28"/>
          <w:sz w:val="28"/>
          <w:szCs w:val="28"/>
          <w:rtl w:val="true"/>
          <w:lang w:bidi="fa-IR"/>
        </w:rPr>
        <w:t>، إلّا أنّه یوجبه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خروج غیر محلّ الابتلاء عن القاعدة بالتخصّص و الخروج الموضوعی، لا بالتخصیص و الخروج الحکمی، لإرجاع الشکّ فیه إلی الشکّ فی أصل تنجّز التکلیف، لا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یحکم بتنجّس ملاقیه؟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فی تحقّق وجوه المسألة، ینبغی تحریر محلّ النزاع فی </w:t>
      </w:r>
    </w:p>
    <w:p>
      <w:pPr>
        <w:pStyle w:val="BookText"/>
        <w:rPr/>
      </w:pPr>
      <w:r>
        <w:rPr>
          <w:rFonts w:ascii="IRNazanin" w:hAnsi="IRNazanin" w:eastAsia="IRNazanin"/>
          <w:color w:val="111111"/>
          <w:sz w:val="28"/>
          <w:sz w:val="28"/>
          <w:szCs w:val="28"/>
          <w:rtl w:val="true"/>
          <w:lang w:bidi="fa-IR"/>
        </w:rPr>
        <w:t>حکم الملاقی للشبهة المحصورة، و هو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حکم الملاقی للشبهة المحصورة مبنیّ و متفرّع علی القول بوجوب الاجتناب عن أصل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وجوب الاجتناب مطلقا، أو عمّا عدا مقدار الحرام فلا نزاع فی الملاقی مطلقا علی الإطلاق، و مقیّدا للملاقی بما عدا الباقی من مقدار الحرام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النزاع لیس فی حکم الملاقی للشبهة المحصورة مطلقا، بل إنّما هو فی حکم الملاقی لخصوص ما یجب الاجتناب عنه، فیعتبر فی نزاع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الاجتناب، ککلّ من أطراف الشبهة علی القول بالاجتناب مطلقا، و الباقی من مقدار الحرام علی القول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حکم الملاقی لأحد طرفی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الملاقی لجمیع أطرافها فلا نزاع فی تنجّسه و حرمته، لتبدّل الشبهة حینئذ بالعلم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حکم الملاقی لیس فی حکمه الوضعی، کالنجاسة، و الفسق، و الضمان، و الحدّ، و نحوها، لاستتباع الأحکام الوضعیّة و ترتّبها علی العناوین الواقعیّة دون المشتبهة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حکمه الشرعیّ الواقعیّ، و هو وجوب الاجتناب عنه شرعا فی الواقع، لأنّ الأحکام الشرعیّة الواقعیّة إنّما تتبع موضوعاتها الواقعیّة أیضا، لا العناوین المشتبهة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إنّما النزاع فی حکمه العقلیّ الظاهریّ، و هو وجوب الاجتناب عنه عقلا فی الظاهر لمحض الاحتیاط، و من باب المقدّمة، و التحذّر عن الوقوع فی خلاف الواقع دون النجاسة، و الحدّ، و الضمان، فإنّها تتبع العناوین الواقعیّة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المذکور لا یختصّ بنفس الملاقی للشبهة المحصورة، </w:t>
      </w:r>
    </w:p>
    <w:p>
      <w:pPr>
        <w:pStyle w:val="BookText"/>
        <w:rPr/>
      </w:pPr>
      <w:r>
        <w:rPr>
          <w:rFonts w:ascii="IRNazanin" w:hAnsi="IRNazanin" w:eastAsia="IRNazanin"/>
          <w:color w:val="111111"/>
          <w:sz w:val="28"/>
          <w:sz w:val="28"/>
          <w:szCs w:val="28"/>
          <w:rtl w:val="true"/>
          <w:lang w:bidi="fa-IR"/>
        </w:rPr>
        <w:t>بل یعمّ الملاقی لها بنفسه، أو بواسطة، أو بوسائط محصورة، أو غیر محصورة، فیعمّ النزاع للملاقی للشبهة، و للملاقی للملاقی لها، و للملاقی للملاقی للملاقی، و هکذا إلی 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توسّط الملاقی، بل و لا تعدّده، فارقا فی حکم المسألة و إنّما المناط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وجب الاجتناب عن الملاقی، وجب عن ملاقی الملاقی له، و عن ملاقی الملاقی الملاقی له،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یجب لم یجب عن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فی مجری هذا النزاع علی کلّ من قولیه بین الملاقی و ملاقیه، إلّا إذا انتهی عدد ملاقی الملاقی إلی غیر المحصور، فیلحقه حکمه، و یخرج عن عنوان 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لو وجد مع الملاقی لأحد المشتبهین ملاقی المشتبه الآخر دخل فی الشبهة المحصورة، و لحقه حکمها، و خرج عن عنوان هذا النزاع أیضا، سواء بقیا المشتبهان معا، أم فقدا معا، أم فقد أحدهما و بقی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بقیا الملاقیان لهما معا أم فقد أحدهما و بقی الآخر، لأنّ کلّ موجود من الملاقیین یصیر حینئذ من أطراف الشبهة المحصورة، و کلّ مفقود من المشتبهین یقوم ملاقیه مقامه فی وجوب الاجتناب عنه، إلّا إذا فرض العلم الإجمالی بین الموجود و المفقود حاصلا بعد فقد المفقود، فلا یؤثّر الاجتناب عن الموجود الباقی، بناء علی اشتراط التأثیر بدخول جمیع الأطراف تحت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نزاع فی ثبوت المقتضی للاجتناب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للشبهة، و هو التّجنب عنه من باب المقدّمة للتحرّز عن مخالفة الواقع اللازم عقلا بقاعدة دفع الضرر المحتمل، بعد فرض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نزاع فی انتفاء المانع العقلی منه، و إنّما النزاع فی وجود المانع </w:t>
      </w:r>
      <w:bookmarkStart w:id="1362" w:name="pg12856_162890"/>
    </w:p>
    <w:p>
      <w:pPr>
        <w:pStyle w:val="BookText"/>
        <w:rPr/>
      </w:pPr>
      <w:bookmarkEnd w:id="1362"/>
      <w:r>
        <w:rPr>
          <w:rFonts w:ascii="IRNazanin" w:hAnsi="IRNazanin" w:eastAsia="IRNazanin"/>
          <w:color w:val="111111"/>
          <w:sz w:val="28"/>
          <w:sz w:val="28"/>
          <w:szCs w:val="28"/>
          <w:rtl w:val="true"/>
          <w:lang w:bidi="fa-IR"/>
        </w:rPr>
        <w:t>الشرعیّ، و هو المؤمّن من درک المخالفة للواقع من مجری أصالة الإباحة، و أصالة الطهارة، و البراءة عن وجوب الاجتناب، و عدم ذلک المانع الشرعی، فالمجوّز لارتکاب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التزامه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افتراقهما بسلامة مجری الأصل الموضوعی، و هو أصالة الطهارة، و عدم الملاقاة مع النجس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 لم یسلم منه مجری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المعارضة بالمثل، و الموجب للاجتناب عنه کالاجتناب عن الأصل مبنیّ علی عدم المانع الشرعیّ منه کعدمه فی الأصل، و علی عدم فارقیّة الفرق المذکور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محلّ النزاع من تلک الجهات فی المسألة، فلنرجع إلی تحقّق الحقّ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1363" w:name="__RefHeading___Toc2647322_3224264995"/>
      <w:bookmarkStart w:id="1364" w:name="_Toc532"/>
      <w:bookmarkEnd w:id="1363"/>
      <w:r>
        <w:rPr>
          <w:rtl w:val="true"/>
        </w:rPr>
        <w:t>[</w:t>
      </w:r>
      <w:r>
        <w:rPr>
          <w:rtl w:val="true"/>
        </w:rPr>
        <w:t>محصّل الکلام و المبانی فی المسألة</w:t>
      </w:r>
      <w:r>
        <w:rPr>
          <w:rtl w:val="true"/>
        </w:rPr>
        <w:t>]</w:t>
      </w:r>
      <w:bookmarkEnd w:id="1364"/>
    </w:p>
    <w:p>
      <w:pPr>
        <w:pStyle w:val="BookText"/>
        <w:rPr/>
      </w:pPr>
      <w:r>
        <w:rPr>
          <w:rFonts w:ascii="IRNazanin" w:hAnsi="IRNazanin" w:eastAsia="IRNazanin"/>
          <w:color w:val="111111"/>
          <w:sz w:val="28"/>
          <w:sz w:val="28"/>
          <w:szCs w:val="28"/>
          <w:rtl w:val="true"/>
          <w:lang w:bidi="fa-IR"/>
        </w:rPr>
        <w:t>محصّل الکلام فی حکم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ثبت وجوب الاجتناب عن کلّ من المشتبهین من باب المقدّمة بحکم العقل، و بناء العقلاء، فهل یحکم أیضا بوجوب الاجتناب عن ملاقی کلّ من المشتبهین، أم لا؟</w:t>
      </w:r>
    </w:p>
    <w:p>
      <w:pPr>
        <w:pStyle w:val="BookText"/>
        <w:rPr/>
      </w:pPr>
      <w:r>
        <w:rPr>
          <w:rFonts w:ascii="IRNazanin" w:hAnsi="IRNazanin" w:eastAsia="IRNazanin"/>
          <w:color w:val="111111"/>
          <w:sz w:val="28"/>
          <w:sz w:val="28"/>
          <w:szCs w:val="28"/>
          <w:rtl w:val="true"/>
          <w:lang w:bidi="fa-IR"/>
        </w:rPr>
        <w:t>وجهان، بل قولان مبنیّان علی أنّ تنجّس الملاقی هل هو من آثار حکم النجاسة، و هو لزوم الاجتناب، حتّی یدور مداره وجودا و عدما، کما استدلّ السیّد</w:t>
      </w:r>
      <w:r>
        <w:rPr>
          <w:rStyle w:val="FootnoteAnchor"/>
          <w:rtl w:val="true"/>
        </w:rPr>
        <w:footnoteReference w:id="549"/>
      </w:r>
      <w:r>
        <w:rPr>
          <w:rFonts w:ascii="Amiri" w:hAnsi="Amiri" w:eastAsia="Amiri" w:cs="Amiri"/>
          <w:color w:val="111111"/>
          <w:sz w:val="28"/>
          <w:sz w:val="28"/>
          <w:szCs w:val="28"/>
          <w:rtl w:val="true"/>
          <w:lang w:bidi="ar-SA"/>
        </w:rPr>
        <w:t>علی تنجّس الماء القلیل بملاقاة النجاسة بوجوب هجر النجاسات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استدلّ المعصوم علیه السّلام فی روایة عمر علی حرمة الطعام الملاقی للفأرة المیتة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حرّم المیتة</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هو من آثار عین النجاسة الواقعیّة حتی یدور مدار عنوان النجس الواقعی وجودا و عدما، نظیر وجوب الحدّ للخمر، فبمجرّد الشکّ فی ثبوته للملاقی جری فیه أصل الطهارة و الإباحة، لکون الشبهة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الشبهة الموضوعیّة و الشکّ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الشکّ البدویّ؟</w:t>
      </w:r>
    </w:p>
    <w:p>
      <w:pPr>
        <w:pStyle w:val="BookText"/>
        <w:rPr/>
      </w:pPr>
      <w:r>
        <w:rPr>
          <w:rFonts w:ascii="IRNazanin" w:hAnsi="IRNazanin" w:eastAsia="IRNazanin"/>
          <w:color w:val="111111"/>
          <w:sz w:val="28"/>
          <w:sz w:val="28"/>
          <w:szCs w:val="28"/>
          <w:rtl w:val="true"/>
          <w:lang w:bidi="fa-IR"/>
        </w:rPr>
        <w:t>و الأقوی الثانی، لمنع دلالة الآیة و الروایة المتقدّمتین علی ملازمة حکم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فلعدم دلالة وجوب هجر النجس علی وجوب هجر الملاقی بوجه من الوجوه إلّا بتوسّط بعض الأمارات الخارجیّة، کما یستفاد نجاسة البلل المشتبه من جهة استظهار تقدیم الشارع الظاهر، أو استصحاب بقاء البول فی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مثبتا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أصالة الطهارة فی هذا المورد، بل قد یحکی 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کالفیض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الاجتناب عن ملاقی النجاسات مطلقا</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بحث آخر عن تنجیس المتنجّس و عدمه، و نسب الثانی إلی الفیض رحمه اللّه فی الحدائق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فلاحظ مفاتیح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سلّمنا دلالة الآیة فإنّما هی علی هجر ما یلاقی النجس، لا هجر ما یلاقی المحتمل للنجس</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سلّمنا أیضا دلالة الآیة علی هجر ما یلاقی المحتمل للنجاسة، کدلالة وجوب التوضّی بعد خروج البلل المشتبه قبل الاستبراء علی نجاسة ذلک البلل، فلا نسلّم دلالة العقل علی وجوب الاجتناب عن کلّ من المشتبهین من باب المقدّمة، علی وجوب الاجتناب عن ملاقی کلّ منهما، فإنّ الوجوب </w:t>
      </w:r>
      <w:bookmarkStart w:id="1365" w:name="pg12856_162892"/>
    </w:p>
    <w:p>
      <w:pPr>
        <w:pStyle w:val="BookText"/>
        <w:rPr/>
      </w:pPr>
      <w:bookmarkEnd w:id="1365"/>
      <w:r>
        <w:rPr>
          <w:rFonts w:ascii="IRNazanin" w:hAnsi="IRNazanin" w:eastAsia="IRNazanin"/>
          <w:color w:val="111111"/>
          <w:sz w:val="28"/>
          <w:sz w:val="28"/>
          <w:szCs w:val="28"/>
          <w:rtl w:val="true"/>
          <w:lang w:bidi="fa-IR"/>
        </w:rPr>
        <w:t>المستفاد من العقل وجوب إرشادیّ، بخلاف المستفاد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فمضافا إلی ضعف سندها، لا تدلّ علی الملازمة بین حرمة الشی‌ء و حرمة ملاقیه، لعین ما مرّ فی الآیة، بل الظاهر دلالتها علی الملازمة بین نجاسة الشی‌ء و نجاسة ملاقیه، لا حرمة الشی‌ء و حرمة ملاقیه، و ذلک لأنّ الظاهر من الحرمة فیها النجاسة، لأنّ مجرّد التحریم لا یدلّ علی النجاسة، فضلا عن تنجّس الملاقی، إلّا بارتکاب التخصیص فیها بإخراج ما عدا النجاسات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کالمسکرات الغیر المائعة، و السمومات المضرّة، و الخبائث، و المغصوب من أموال الناس، حیث إنّ التحریم فی کلّ من هذه المحرّمات لا یقتضی تحریم ملاقیها، و ارتکاب التخصیص بإخراجها عن تعلیل الروایة حرمة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تری، تخصیص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جهة التحذّر عن ورود هذا المحذور فی الروایة من حملها علی إرادة الملازمة بین نجاسة الشی‌ء و نجاسة ملاقیه، لا تحریم الشی‌ء و تحریم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الروایة سندا علی المدّعی فی ما نحن فیه، و هو تحریم الملاقی للشبهة المحصورة، لأنّ المفروض تحریم کلّ من طرفی الشبهة لا نجاسته حتی یستلزم نجاسة ملاقیه</w:t>
      </w:r>
      <w:r>
        <w:rPr>
          <w:rFonts w:eastAsia="IRNazanin" w:cs="IRNazanin"/>
          <w:color w:val="111111"/>
          <w:sz w:val="28"/>
          <w:szCs w:val="28"/>
          <w:rtl w:val="true"/>
          <w:lang w:bidi="fa-IR"/>
        </w:rPr>
        <w:t>.</w:t>
      </w:r>
    </w:p>
    <w:p>
      <w:pPr>
        <w:pStyle w:val="Heading4"/>
        <w:numPr>
          <w:ilvl w:val="3"/>
          <w:numId w:val="1"/>
        </w:numPr>
        <w:rPr/>
      </w:pPr>
      <w:bookmarkStart w:id="1366" w:name="__RefHeading___Toc2647324_3224264995"/>
      <w:bookmarkStart w:id="1367" w:name="_Toc533"/>
      <w:bookmarkEnd w:id="1366"/>
      <w:r>
        <w:rPr>
          <w:rtl w:val="true"/>
        </w:rPr>
        <w:t>[</w:t>
      </w:r>
      <w:r>
        <w:rPr>
          <w:rtl w:val="true"/>
        </w:rPr>
        <w:t>المرجع فی حکم الملاقی إلی الاصول و هی</w:t>
      </w:r>
      <w:r>
        <w:rPr>
          <w:rtl w:val="true"/>
        </w:rPr>
        <w:t xml:space="preserve">: </w:t>
      </w:r>
      <w:r>
        <w:rPr>
          <w:rtl w:val="true"/>
        </w:rPr>
        <w:t>أصالة البراءة و الإباحة، و الطهارة، و الاستصحاب</w:t>
      </w:r>
      <w:r>
        <w:rPr>
          <w:rtl w:val="true"/>
        </w:rPr>
        <w:t>]</w:t>
      </w:r>
      <w:bookmarkEnd w:id="1367"/>
    </w:p>
    <w:p>
      <w:pPr>
        <w:pStyle w:val="BookText"/>
        <w:rPr/>
      </w:pPr>
      <w:r>
        <w:rPr>
          <w:rFonts w:ascii="IRNazanin" w:hAnsi="IRNazanin" w:eastAsia="IRNazanin"/>
          <w:color w:val="111111"/>
          <w:sz w:val="28"/>
          <w:sz w:val="28"/>
          <w:szCs w:val="28"/>
          <w:rtl w:val="true"/>
          <w:lang w:bidi="fa-IR"/>
        </w:rPr>
        <w:t>و إذ قد تبیّن عدم دلالة الآیة، و لا الروایة، علی الملازمة بین تحریم الشی‌ء و تحریم ملاقیه، فالمرجع فی حکم الملاقی إلی الاصول،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و الإباحة، و الطهارة، مضافا إلی الاستصحاب الموضوعی، و هو استصحاب عدم الملاقاة للنجس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مرجعیّة هذا الأصل سوی ما یتخیّل 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معارضة أصالة عدم ملاقاة الملاقی مع النجس لأصالة عدم ملاقاته مع الطاهر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یدفعه أنّ الملاقاة مع الطاهر ممّا لم یترتّب علیه أثر فی العناوین الشرعیّة </w:t>
      </w:r>
    </w:p>
    <w:p>
      <w:pPr>
        <w:pStyle w:val="BookText"/>
        <w:rPr/>
      </w:pPr>
      <w:r>
        <w:rPr>
          <w:rFonts w:ascii="IRNazanin" w:hAnsi="IRNazanin" w:eastAsia="IRNazanin"/>
          <w:color w:val="111111"/>
          <w:sz w:val="28"/>
          <w:sz w:val="28"/>
          <w:szCs w:val="28"/>
          <w:rtl w:val="true"/>
          <w:lang w:bidi="fa-IR"/>
        </w:rPr>
        <w:t>حتی یکون الأصل عدمه، بخلاف الملاقاة مع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المقرّر أنّ ما لیس له أثر من الاصول لا یعارض ما له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حکومة مجری الأصل فی الملاقی لکونه سببیّا، علی مجری الأصل فی الملاقی لکونه مسببیّا، و الشکّ فیه مسبّب عن الشکّ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المتن من أن استتباع الشکّ المسبّب للشکّ السببی فی الحکم إنّما هو فی ما لم یمنع مانع من مجری الأصل فی السببی، و أمّا فیما منعه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مجری الأصل فی المسبّب، و انقطاع استتباعه الشکّ السببی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استتباع الشکّ المسبّب للشکّ السببی، و حکومة الأصل فی السببی علی الأصل فی المسبّب، إنّما هو فی خصوص ما لو ثبت الاتّحاد و الملازمة بین حکمی الشکّ السببی و المسبّب، کما فی طهارة الماء المستلزمة لإباحة الشرب منه، و لطهارة المتنجّس المغسول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عدم الدلیل علی الاتّحاد و الملازمة فی ما نحن فیه، لا عقلا و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وجهه، فتأمّل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التأمّل الإشارة إلی إمکان الاعتراض بأنّ مقتضی جریان أصالة الاحتیاط فی الشکّ السببی الّذی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عدم جریان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لحکومة الأصل فی الشکّ السببی علی الأصل فی الشکّ المسبّبی، أو بأنّ علّة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تحصیل العلم بالموافقة القطعیّة، موجود فی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حصول العلم بالموافقة القطعیّة لو کان علّة تامّة للزوم الموافقة القطعیّة للزم الاجتناب عن غیر الشبهة المحصورة من الشبهات البدویّة أیضا، بل العلّة التامّة هی مطلوبیّة العلم بالموافقة، و المفروض عدم الدلیل علی المطلوبیّة، لا عقلا و لا شرعا، فی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ما اخترناه فی سابق الأیّام، وفاقا لغیر واحد من مشایخنا الأعلام، و لکن لمّا راجعنا المسألة مجدّدا عند شیخنا الکاظمینی و جدّد النظر عنده، قوی فی نظرنا الرجوع عمّا کنا علیه، و الموافقة لشیخنا الکاظمینی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المقتضی للاجتناب،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المقتضی المشترک بینهما، فهو التحذّر عن الاقتحام فی النجاسة الواقعیّة المطلوب اجتنابها بعموم انصراف موضوع النجس إلی النجس الواقعی الشامل لصورتی العلم به، و إن لم نقل بعموم خطاب التکلیف به أصالة، فإنّ ذلک کما یقتضی الاجتناب عن نفس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المقدّمة العلمیّة تحصیلا للمطلوب الواقعی، کذلک یقتضی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المقدّمة العلمیّة تحصیلا له أیضا، من غیر فرق أصلا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المانع المشترک بینهما، فلانحصار المانع فی الشرعی، و هو أصالة البراءة، و أصالة الطهارة، و استصحابها، فکما أنّ تلک الاصول غیر مانعة و لا جاریة فی نفس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المعارضة، أو الترجیح بلا مرجّح، أو غیر ذلک من الوجوه المقرّرة، فکذلک تلک الاصول غیر مانعة و لا جاریة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تلک الجهات، و دعوی الفرق غیر فارق لمن تأمّل</w:t>
      </w:r>
      <w:r>
        <w:rPr>
          <w:rFonts w:eastAsia="IRNazanin" w:cs="IRNazanin"/>
          <w:color w:val="111111"/>
          <w:sz w:val="28"/>
          <w:szCs w:val="28"/>
          <w:rtl w:val="true"/>
          <w:lang w:bidi="fa-IR"/>
        </w:rPr>
        <w:t xml:space="preserve">. </w:t>
      </w:r>
      <w:bookmarkStart w:id="1368" w:name="pg12856_162895"/>
    </w:p>
    <w:p>
      <w:pPr>
        <w:pStyle w:val="BookText"/>
        <w:rPr/>
      </w:pPr>
      <w:bookmarkEnd w:id="136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تصریحهم بأنّه لو تلف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فی الاجتناب، و الحال انّه لا فرق بینه و بین بقاء الملاقی من حیث تسرّی قاعدة المقدّمیة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محکیّ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اشتبه أحد الإناءین المشتبهین بإناء ثالث طاهر وجب اجتناب الثلاثة جمیعا</w:t>
      </w:r>
      <w:r>
        <w:rPr>
          <w:rStyle w:val="FootnoteAnchor"/>
          <w:rtl w:val="true"/>
        </w:rPr>
        <w:footnoteReference w:id="553"/>
      </w:r>
      <w:r>
        <w:rPr>
          <w:rFonts w:ascii="IRNazanin" w:hAnsi="IRNazanin" w:eastAsia="IRNazanin"/>
          <w:color w:val="111111"/>
          <w:sz w:val="28"/>
          <w:sz w:val="28"/>
          <w:szCs w:val="28"/>
          <w:rtl w:val="true"/>
          <w:lang w:bidi="fa-IR"/>
        </w:rPr>
        <w:t>، لعین ما یقتضی الاجتناب عن الأوّلین من قاعدة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انّه لا فرق أیضا من حیث تسرّی قاعدة المقدّمیة بین الملاقی لأحد المشتبهین و بین المشتبه بأحدهما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من تلک الحیثیّة بین بقاء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تلفه، فالتزامهم بالاجتناب فی هذین الفرعین دون ما نحن فیه کالتحکّم الصرف، کالتزامهم بالاجتناب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اجتناب مستصحب النجاسة، و إن لم یستلزم النجاسة، و لکنّه یقتضی اجتناب ملاقیه، کذلک اجتناب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یستلزم النجاسة، و لکنّه یقتضی اجتناب ملاقیه، لعدم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مجری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قاعدة دفع الضرر المحتمل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نصوص الاحتیاط شرعا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سببیا علی مجری الأصل، البراءة، و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مسبّبیا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69" w:name="__RefHeading___Toc2647326_3224264995"/>
      <w:bookmarkStart w:id="1370" w:name="_Toc534"/>
      <w:bookmarkEnd w:id="1369"/>
      <w:r>
        <w:rPr>
          <w:rtl w:val="true"/>
        </w:rPr>
        <w:t>[</w:t>
      </w:r>
      <w:r>
        <w:rPr>
          <w:rtl w:val="true"/>
        </w:rPr>
        <w:t>حکم الاضطرار إلی بعض أطراف الشبهة المحصورة أو تلف بعضها</w:t>
      </w:r>
      <w:r>
        <w:rPr>
          <w:rtl w:val="true"/>
        </w:rPr>
        <w:t>]</w:t>
      </w:r>
      <w:bookmarkEnd w:id="13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بالتفصیل المذکور غیر مختصّ بصورة الاضطرار إلی البعض، بل یعمّ صورة تلف البعض أیضا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انتفی حکم البعض بواسطة قیام أمارة شرعیّة کالبیّنة أو القرعة </w:t>
      </w:r>
    </w:p>
    <w:p>
      <w:pPr>
        <w:pStyle w:val="BookText"/>
        <w:rPr/>
      </w:pPr>
      <w:r>
        <w:rPr>
          <w:rFonts w:ascii="IRNazanin" w:hAnsi="IRNazanin" w:eastAsia="IRNazanin"/>
          <w:color w:val="111111"/>
          <w:sz w:val="28"/>
          <w:sz w:val="28"/>
          <w:szCs w:val="28"/>
          <w:rtl w:val="true"/>
          <w:lang w:bidi="fa-IR"/>
        </w:rPr>
        <w:t>علی تعیین المحرّم أو النجس، جاز ارتکاب الباقی مطلقا من دون 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انتفی حکم البعض من غیر أمارة شرعیّة، فلا فرق فی إتیان التفصیل المذکور بین استناد انتفاء الحکم إلی الاضطرار، أو إلی انتفاء الموضوع کالتلف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أنّ العلم الإجمالی کالعلم التفصیلی المقتضی للتکلیف، فکما أنّ الاضطرار إلی الشی‌ء المعیّن من الموانع الّتی إذا سبق علی العلم التفصیلی المقتضی للتکلیف رفع موضوعه عن مورد الاضطرار و إذا تأخر عنه، أو کان المضطر إلیه غیر معیّن، رفع حکمه عن مورد الاضطرار بمقدار مانعیّة الاضطرار لا أزید، کذلک الاضطرار إلی الشی‌ء المعیّن إذا سبق علی العلم الإجمالی المقتضی للاحتیاط رفع موضوعه، فلم یبق لتبعیض حکمه، و هو الاحتیاط مسرح، و إذا تأخّر عنه، أو کان المضطرّ إلیه غیر معیّن رفع حکمه عن مورد الاضطرار بمقدار مانعیّة الاضطرار لا أزید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التکلیف بعد تنجّزه یقتضی الامتثال بالعلم التفصیلی، و إذا وجد المانع عنه فبالظنّ التفصیلی، و إذا وجد المانع عنه فبالظنّ الإجمالی، و هکذا إلی أن یصل المانع إلی حدّ الوهم و لم یسقط التکلیف بعد تنجّزه فی شی‌ء من مراتب وجود المانع إلّا بمقدار مانعیّة المانع بحکم العقل، و العرف، و مقدار مانعیّة الاضطرار إلی أحد المشتبهین معیّنا إذا حصل بعد العلم الإجمالی المقتضی لحرمة المخالفة القطعیّة، و لوجوب الموافقة القطعیّة، هو منع وجوب الموافقة القطعیّة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حرمة المخالفة القطعیّة القاضیة بوجوب الاجتناب عن الباقی الغیر المضطرّ إلیه، سلیمة عن المانع و المعارض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مقدار مانعیّة الاضطرار إلی أحدهما علی البدل، و لو حصل قبل العلم الإجمالی، هو منع وجوب الموافقة القطعیّة، لا منع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 الاضطرار المتقدّم علی العلم الإجمالی إلی أحد المشتبهین علی التعیین، رافعا لموضوع العلم الإجمالی، أنّ هذا الاضطرار بعد تعلّقه بالمعیّن المحتمل لکونه الحرام واقعا لم یبق فی المشتبه الآخر إلّا مجرّد احتمال الحرمة، فینقلب موضوع العلم الإجمالی بالحرمة إلی مجرّد الشکّ البدویّ، و هو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أنّ الاضطرار المتأخّر عن العلم الإجمالی، إلی أحد المشتبهین معیّنا، و الاضطرار إلی أحدهما علی البدل، لم یرفعا موضوع العلم الإجمالی، و إنّما یرفعان حکمه بمقدار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الأخیرة، فوجهه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فی الواقع إنّما یتعلّق بالمباح المعیّن و إن قنع فی الظاهر بأحد محتملاته لا علی التعیین، کما قنع فی الأخذ بالحالة السابقة فی الاستصحاب، فیبقی موضوع العلم الإجمالی، و هو الحرام الواقعی، و ما قنع الشارع به عنه اضطرارا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الاولی فوجهه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یعلم تعلّق الاضطرار بالمباح واقعا، إلّا أنّ مجرّد احتمال تعلّقه به لا بالحرام کاف فی بقاء موضوع العلم الإجمالی بالحرام المنجّز للتکلیف، فتدبّر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الفرق المذکور بین الصورة الاولی و سائر الصور الثلاثة، بکون الاضطرار المتقدّم علی العلم الإجمالی إلی أحد المشتبهین علی التعیین رافعا لموضوع العلم الإجمالی، بخلافه فی سائر الصور الأربع، إنّما هو مبنیّ علی ما ذهب إلیه الماتن هو فی التنبیه السابق من أنّ خروج أحد أطراف الشبهة من تحت الابتلاء مانع من تنجّز التکلیف، أو أنّ دخوله شرط فی تنجّزه</w:t>
      </w:r>
      <w:r>
        <w:rPr>
          <w:rFonts w:eastAsia="IRNazanin" w:cs="IRNazanin"/>
          <w:color w:val="111111"/>
          <w:sz w:val="28"/>
          <w:szCs w:val="28"/>
          <w:rtl w:val="true"/>
          <w:lang w:bidi="fa-IR"/>
        </w:rPr>
        <w:t xml:space="preserve">. </w:t>
      </w:r>
      <w:bookmarkStart w:id="1371" w:name="pg12856_162898"/>
    </w:p>
    <w:p>
      <w:pPr>
        <w:pStyle w:val="BookText"/>
        <w:rPr/>
      </w:pPr>
      <w:bookmarkEnd w:id="1371"/>
      <w:r>
        <w:rPr>
          <w:rFonts w:ascii="IRNazanin" w:hAnsi="IRNazanin" w:eastAsia="IRNazanin"/>
          <w:color w:val="111111"/>
          <w:sz w:val="28"/>
          <w:sz w:val="28"/>
          <w:szCs w:val="28"/>
          <w:rtl w:val="true"/>
          <w:lang w:bidi="fa-IR"/>
        </w:rPr>
        <w:t>و أمّا علی ما ذهب إلیه استادنا العلّامة من أنّ متعلّق الأحکام الطبائع لا الأفراد، و أنّ الدخول و الخروج تحت الابتلاء، لا مدخلیّة له فی شی‌ء من شروط التنجیز، فمن البیّن أنّ تقدّم الاضطرار کتأخّره، و تعیین المضطرّ إلیه کعدم تعیینه، لا یرفعان موضوع العلم الإجمالی، و لا یمنعان من اقتضاء المقتضی لتنجیز حکمه المتعلّق بالطبائع المطلقة من قید الأفراد و غیرها، خصوصا علی تقدیر عدم کون العلم کالعقل و القدرة من الشروط العقلیّة لتنجیز التکلیف حتی یکون تأخیره مانعا من تحقّق التکلیف قبله، بل الجهل عذر و العلم کاشف عن سبق تنجّز الأحکام الواقعیّة علی وجه یستوی فیه العالم و الجاهل، بل الموجود و المعدوم، کما هو مذهب المخطّئة، و عدم انحصار التکلیف بالظاهر و مؤدّی الطرق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یصدّقه قاعدة وجوب دفع الضرر المحتمل الملزم بها وجوب شکر المنعم، و وجوب تحصیل المعرفة، و النظر فی المعجزة، و صحّة عقوبة جمیع الکفرة، حتّی المخدّرات فی الحجر علی کلّ ما یفوتهم من الاصول و الفروع، و لو کانت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یجب علی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72" w:name="__RefHeading___Toc2647328_3224264995"/>
      <w:bookmarkStart w:id="1373" w:name="_Toc535"/>
      <w:bookmarkEnd w:id="1372"/>
      <w:r>
        <w:rPr>
          <w:rtl w:val="true"/>
        </w:rPr>
        <w:t>[</w:t>
      </w:r>
      <w:r>
        <w:rPr>
          <w:rtl w:val="true"/>
        </w:rPr>
        <w:t>تدریجیة المشتبهات</w:t>
      </w:r>
      <w:r>
        <w:rPr>
          <w:rtl w:val="true"/>
        </w:rPr>
        <w:t>]</w:t>
      </w:r>
      <w:bookmarkEnd w:id="1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مبنی هذین الوجهین أنّ الخطاب هل یتوقّف تنجّزه علی وجود موضوعه، و الأمر الآتی غیر موجود فعلا، أو أنّ الزمان لا دخل له فی الخطاب، و لیس هو إلّا قیدا للمطلوب، فالتکلیف یتعلّق بما سیأتی؟ فمعنی وجوب الحجّ علی المستطیع أنّه یجب علیه فی زمان الحجّ فی الوقت المقرّر له، لا أنّ وجوبه مشروط بحضور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لیس قیدا فی الطلب مع وجود الطلب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حکموا بوجوب المسافرة للحجّ علی النائی قبل دخول وقته، و حمل الماء فی السفر للعالم بعدم وجدانه فی الوقت</w:t>
      </w:r>
      <w:r>
        <w:rPr>
          <w:rFonts w:eastAsia="IRNazanin" w:cs="IRNazanin"/>
          <w:color w:val="111111"/>
          <w:sz w:val="28"/>
          <w:szCs w:val="28"/>
          <w:rtl w:val="true"/>
          <w:lang w:bidi="fa-IR"/>
        </w:rPr>
        <w:t>.</w:t>
      </w:r>
    </w:p>
    <w:p>
      <w:pPr>
        <w:pStyle w:val="Heading4"/>
        <w:numPr>
          <w:ilvl w:val="3"/>
          <w:numId w:val="1"/>
        </w:numPr>
        <w:rPr/>
      </w:pPr>
      <w:bookmarkStart w:id="1374" w:name="__RefHeading___Toc2647330_3224264995"/>
      <w:bookmarkStart w:id="1375" w:name="_Toc536"/>
      <w:bookmarkEnd w:id="1374"/>
      <w:r>
        <w:rPr>
          <w:rtl w:val="true"/>
        </w:rPr>
        <w:t>[</w:t>
      </w:r>
      <w:r>
        <w:rPr>
          <w:rtl w:val="true"/>
        </w:rPr>
        <w:t>الواجب المعلّق و الواجب المشروط</w:t>
      </w:r>
      <w:r>
        <w:rPr>
          <w:rtl w:val="true"/>
        </w:rPr>
        <w:t>]</w:t>
      </w:r>
      <w:bookmarkEnd w:id="137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بمثل ذلک فرّق الفصول بین الواجب المعلّق و المشروط، حیث قسّم </w:t>
      </w:r>
    </w:p>
    <w:p>
      <w:pPr>
        <w:pStyle w:val="BookText"/>
        <w:rPr/>
      </w:pPr>
      <w:r>
        <w:rPr>
          <w:rFonts w:ascii="IRNazanin" w:hAnsi="IRNazanin" w:eastAsia="IRNazanin"/>
          <w:color w:val="111111"/>
          <w:sz w:val="28"/>
          <w:sz w:val="28"/>
          <w:szCs w:val="28"/>
          <w:rtl w:val="true"/>
          <w:lang w:bidi="fa-IR"/>
        </w:rPr>
        <w:t>الواجب إلی ما یتعلّق وجوبه بالمکلّف، و لا یتوقّف حصوله علی أمر غیر مقدور له، کالمعرفة و یسمّی منجّزا، و إلی ما یتعلّق وجوبه به، و یتوقّف حصوله علی أمر غیر مقدور له، کالحجّ فإنّ وجوبه یتعلّق بالمکلّف من أوّل زمن الاستطاعة أو خروج الرفقة، و یتوقّف فعله علی مجی‌ء وقته و هو غیر مقدور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بینه و بین الواجب المشروط بأنّ التوقّف فی الأوّل للفعل، و فی الثانی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نفسه بأنّه مع توقّف الفعل علی أمر غیر مقدور امتنع الوجوب قبله، لاستلزامه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المراد من وجوبه قبله أن یکون الزمان المتقدّم ظرفا للوجوب و الفعل معا، بل المراد أنّه یجب علی المکلّف فی الزمان السابق أن یأتی بالفعل فی الزمان اللاحق، کما یجب علی المکلّف فی المکان الممنوع من العبادة فیه أن یأتی بها خارجه، فالزمان السابق ظرف للطلب، و اللاحق ظرف له و للمطلوب معا، ففرق حینئذ بین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کذا فافعل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 فی وقت کذا</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فرّع علی الفرق المذکور ثمرات عدیدة، و إن أورد علیه بوجوه غیر وجیهة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فعلی هذا التقدیر یکون الخطاب متوجّها إلی الفرد الغیر الموجود من المشتبهین، فیدخل ذلک فی عنوان الشبهة المحصورة و یتعلّق به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یجب علی الزوج الاجتناب عنها تمام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الفرض إنّما یتمّ فیما لو کانت مستدامة الدم فی تمام الشهر </w:t>
      </w:r>
    </w:p>
    <w:p>
      <w:pPr>
        <w:pStyle w:val="BookText"/>
        <w:rPr/>
      </w:pPr>
      <w:r>
        <w:rPr>
          <w:rFonts w:ascii="IRNazanin" w:hAnsi="IRNazanin" w:eastAsia="IRNazanin"/>
          <w:color w:val="111111"/>
          <w:sz w:val="28"/>
          <w:sz w:val="28"/>
          <w:szCs w:val="28"/>
          <w:rtl w:val="true"/>
          <w:lang w:bidi="fa-IR"/>
        </w:rPr>
        <w:t>و إلّا فیتضیّق دائرة الاجتناب بمقدار زمان اشتباه الدمین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 غیره، و فی ما لو أغمض عن نصوص جعل اختیار حیضها إلیها فی ما شاءت من أیّام استمرار الدم</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الأظهر هنا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التفصیل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العرف حیث یعدّون الابتلاء فی الیوم الواحد أو اللیلة الواحدة بالابتلاء دفعة عند العرف، بخلاف الابتلاء فی أوّل الشهر مع الابتلاء فی آخره، فإنّهم لا یعدّونه من الابتلاء دفعة بحسب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 وجه الفرق اختلاف خطابات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توضیحه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خطاب یفید مثل إفادة قوله تعالی أَحَلَّ اللَّهُ الْبَیْعَ</w:t>
      </w:r>
      <w:r>
        <w:rPr>
          <w:rStyle w:val="FootnoteAnchor"/>
          <w:rtl w:val="true"/>
        </w:rPr>
        <w:footnoteReference w:id="556"/>
      </w:r>
      <w:r>
        <w:rPr>
          <w:rFonts w:ascii="IRNazanin" w:hAnsi="IRNazanin" w:eastAsia="IRNazanin"/>
          <w:color w:val="111111"/>
          <w:sz w:val="28"/>
          <w:sz w:val="28"/>
          <w:szCs w:val="28"/>
          <w:rtl w:val="true"/>
          <w:lang w:bidi="fa-IR"/>
        </w:rPr>
        <w:t>من حرمة الشی‌ء فی الواقع من دون اعتبار شی‌ء زائد من زمان أو وصف، فحکمه حکم الشبهة المحصورة لثبوت التکلیف فعلا، و مقتضاه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کان من قبیل أَقِمِ الصَّلاةَ لِدُلُوکِ الشَّمْسِ</w:t>
      </w:r>
      <w:r>
        <w:rPr>
          <w:rStyle w:val="FootnoteAnchor"/>
          <w:rtl w:val="true"/>
        </w:rPr>
        <w:footnoteReference w:id="5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اقرائک</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فی اعتبار شی‌ء آخر، فحکمه غیر حکمها لتقیید الخطاب بقید یجب إحرازه فی فعلیّته، فقبل زمان وجود القید لا یثبت الحکم الّذی أفاده الخطاب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شکّ فی کون الخطاب من أیّ القسمین، فالأقوی الاحتیاط، لأصالة </w:t>
      </w:r>
    </w:p>
    <w:p>
      <w:pPr>
        <w:pStyle w:val="BookText"/>
        <w:rPr/>
      </w:pPr>
      <w:r>
        <w:rPr>
          <w:rFonts w:ascii="IRNazanin" w:hAnsi="IRNazanin" w:eastAsia="IRNazanin"/>
          <w:color w:val="111111"/>
          <w:sz w:val="28"/>
          <w:sz w:val="28"/>
          <w:szCs w:val="28"/>
          <w:rtl w:val="true"/>
          <w:lang w:bidi="fa-IR"/>
        </w:rPr>
        <w:t>عدم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جریان الاستصحاب الطهر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وجود العلم الإجمالی بانتقاض الطهر إمّا فی خصوص المقدار الباقی أو قبل ذلک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من التقدیرین لا مجری لاستصحاب الطهر فی خصوص المقدار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الفرق بین الاصول اللفظیّة و العملیّة،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الفرق مبنیّ علی اعتبار العلم الإجمالی و 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هو المفروض فی المقام من عدم اعتبار شی‌ء من العلم، و الواقع فی المقام سوی ما ینحصر فی مؤدّی الظاهر و العلم التفصیلی، فلم یبق فرق بین الاصول اللفظیّة و العملیّة من حیث التعبّد، و عدم الموصلیّة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لانصرافها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هذا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ندور وجود الخنثی بحیث یکاد أن یلحق بالممتنعات العادیّة کالعنقاء، إلّا أنّه غیر وجیه، لکن لا لأنّ ندور الوجود، و إن بلغ ما بلغ، لا یوجب الانصراف ما لم ینضمّ إلیه ندور الاستعمال، حتی یضعف بأنّ ندور الوجود البالغ بتلک المثابة لا ینفکّ عن ندور الاستعمال، بل لأنّ الغلبة الموجبة لانصراف الأحکام، إنّما هی فی الشبهات الحکمیّة، مثل النهی عن حلق اللحی المنصرف إلی لحاء الرجال دون لحیة النساء المتّفقة أحیانا، لندورها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الشبهات الموضوعیّة المفروض أنّ اشتباه الحکم فیها من جهة اشتباه الموضوع، لا الحکم، فندور ذلک الموضوع لا یوجب انصراف الحکم المقرّر له فی الواقع بالفرض قطعا و جزما، کما فی الخنثی المفروض ثبوت أحد حکمی الرجل و المرأة علیه فی الواقع قطعا، و أنّ الاشتباه فی حکمه ناشئ عن اشتباه </w:t>
      </w:r>
      <w:bookmarkStart w:id="1376" w:name="pg12856_162902"/>
    </w:p>
    <w:p>
      <w:pPr>
        <w:pStyle w:val="BookText"/>
        <w:rPr/>
      </w:pPr>
      <w:bookmarkEnd w:id="1376"/>
      <w:r>
        <w:rPr>
          <w:rFonts w:ascii="IRNazanin" w:hAnsi="IRNazanin" w:eastAsia="IRNazanin"/>
          <w:color w:val="111111"/>
          <w:sz w:val="28"/>
          <w:sz w:val="28"/>
          <w:szCs w:val="28"/>
          <w:rtl w:val="true"/>
          <w:lang w:bidi="fa-IR"/>
        </w:rPr>
        <w:t>موضوعه بین معلومی الحکم فی الواقع، فندور مثل ذلک الموضوع و إن بلغ حدّ الامتناع لا یوجب صرف الحکم المفروض ثبوته له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أشار الماتن بأنّ دعوی الانصراف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 الأصحاب التسویة</w:t>
      </w:r>
      <w:r>
        <w:rPr>
          <w:rFonts w:eastAsia="IRNazanin" w:cs="IRNazanin"/>
          <w:color w:val="111111"/>
          <w:sz w:val="28"/>
          <w:szCs w:val="28"/>
          <w:rtl w:val="true"/>
          <w:lang w:bidi="fa-IR"/>
        </w:rPr>
        <w:t>».</w:t>
      </w:r>
    </w:p>
    <w:p>
      <w:pPr>
        <w:pStyle w:val="Heading4"/>
        <w:numPr>
          <w:ilvl w:val="3"/>
          <w:numId w:val="1"/>
        </w:numPr>
        <w:rPr/>
      </w:pPr>
      <w:bookmarkStart w:id="1377" w:name="__RefHeading___Toc2647332_3224264995"/>
      <w:bookmarkStart w:id="1378" w:name="_Toc537"/>
      <w:bookmarkEnd w:id="1377"/>
      <w:r>
        <w:rPr>
          <w:rtl w:val="true"/>
        </w:rPr>
        <w:t>[</w:t>
      </w:r>
      <w:r>
        <w:rPr>
          <w:rtl w:val="true"/>
        </w:rPr>
        <w:t>تسویة الأصحاب فی الشبهة المحصورة بین کون الأصل الجاری فی کل واحد من المشتبهین هو الحلّ أو الحرمة</w:t>
      </w:r>
      <w:r>
        <w:rPr>
          <w:rtl w:val="true"/>
        </w:rPr>
        <w:t>]</w:t>
      </w:r>
      <w:bookmarkEnd w:id="13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نزاع المجوّزین لارتکاب الشبهة المحصورة فی الجملة أو بالجملة، هل یختصّ بما لو کانت الحالة السابقة فی ما قبل الاشتباه هو الحلّیّة و الطهارة، کما لو عرضت النجاسة المشتبهة، أو الحرمة المشتبهة علی معلومی الطهارة و الحلّیّة، أم یعمّ ما لو کانت الحالة السابقة فی ما قبل الاشتباه هو الحرمة و النجاسة، کما لو عرضت الطهارة و الحلّیة علی أحد معلومی النجاسة و الحرمة، و ما لم یعلم الحالة السابقة فیهما أصلا؟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الأصحاب و أدلّتهم هو تعمیم جواز المجوّزین فی المسألة، و عدم اختصاص جوازهم بالأوّل، کما لا یختصّ بالمحرّمات المالیّة و نحوها، بل یعمّ ظاهرا الأنفس و الأعراض و الخمر و نحوها،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أدلّة نفی العسر 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79" w:name="__RefHeading___Toc2647334_3224264995"/>
      <w:bookmarkStart w:id="1380" w:name="_Toc538"/>
      <w:bookmarkEnd w:id="1379"/>
      <w:r>
        <w:rPr>
          <w:rtl w:val="true"/>
        </w:rPr>
        <w:t>[</w:t>
      </w:r>
      <w:r>
        <w:rPr>
          <w:rtl w:val="true"/>
        </w:rPr>
        <w:t>هل المدار فی نفی الحکم العسر و الحرجی علی العسر الشخصی أو العسر النوعی</w:t>
      </w:r>
      <w:r>
        <w:rPr>
          <w:rtl w:val="true"/>
        </w:rPr>
        <w:t>]</w:t>
      </w:r>
      <w:bookmarkEnd w:id="13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المدار علی العسر الشخصیّ المنوط بخصوص کلّ شخص شخص من آحاد المکلّفین، لئلّا یلزم من نفیه عمّن تحقّق فی حقّه العسر من الأشخاص، نفیه عمّن لم یتحقّق فی حقّه العسر منهم، أم المدار علی العسر النوعی المنوط بتحقّقه فی نوع المکلّفین و أغلبهم، و إن لم یتحقّق فی نادر الأشخاص، لیلزم من نفیه عن النوع، نفیه عن کلّ شخص شخص، و إن لم یتحقّق فی حقّه العسر؟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العسر علّة للحکم، لیلزم اطّراده فی جمیع موارد حکمه، أم حکمة له، لیکتفی فی نفیه عن الکلّ بوجوده فی الغالب؟ </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التفصیل بین العسر الرافع للتکالیف الثابت نوعها فی الشریعة، فیدور رفع العسر مدار تحقّقه فی الشخص، فلا یستلزم نفیه عمّن تحقّق فی حقّه، نفیه عمّن لم یتحقّق فی حقّه، و بین الدافع لأصل تشریع التکلیف و تنجّزه فی الشریعة، فیدور مدار تحقّق العسر فی نوع المکلّفین و أغلبهم فینفی عن کلّ شخص و إن لم یتحقّق علیه العسر بذلک التکلیف، کما فی تشریع القصر علی المسافر، و الطهارة فی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ارتفاعه عن النوع و الغالب لو لم یستلزم ارتفاعه عن الشخص و النادر الباقی أیضا، لاستلزم إیقاع المکلّف فی حیص و بیص من جهة تشخیص اندراج نفسه فی کلّ آن من الآنات الطاریة علیه، و کلّ حال من الأحوال العارضة له، تحت نوع الغالب، لیلحقه حکم الرفع، أو النادر لئلّا یلحقه الحکم، فیلزم من وجود نفی العسر عدمه، و من عدمه وجوده، 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المستفاد من الاستقراء و التتبع کون أحکام الشارع و سیاساته، مبنیّة علی طبق سائر أحکام العقلاء و سیاساتهم فی إلحاق الشخص فی الحکم بالنوع، و النادر بالغالب، لا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إلحاق النوع بالشخص، و الغالب بالنادر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فلهذا لم یرتفع العسر فی الشقّ الأوّل عن النوع و الغالب بواسطة ارتفاعه عن الشخص و النادر، و ارتفع فی الشقّ الثانی عن الشخص و النادر بواسطة ارتفاعه عن النوع 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التفصیل المذکور من العسر المنفیّ، یستلزم استعماله فی أکثر من معنی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ممنوعة،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العسر المنفیّ أمر بسیط، و اختلافه بالرفع و الدفع ناشئ عن اختلاف محلّ العسر المنفیّ، فلا یلزم استعماله فی أکثر من معنی إذا ارید من نفیه الرفع و الدفع، کما لا یلزم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أرضی أن یکون </w:t>
      </w:r>
    </w:p>
    <w:p>
      <w:pPr>
        <w:pStyle w:val="BookText"/>
        <w:rPr/>
      </w:pPr>
      <w:r>
        <w:rPr>
          <w:rFonts w:ascii="IRNazanin" w:hAnsi="IRNazanin" w:eastAsia="IRNazanin"/>
          <w:color w:val="111111"/>
          <w:sz w:val="28"/>
          <w:sz w:val="28"/>
          <w:szCs w:val="28"/>
          <w:rtl w:val="true"/>
          <w:lang w:bidi="fa-IR"/>
        </w:rPr>
        <w:t>فی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إذا ارید منه إخراج الموجود فیه من الفاسقین، و عدم إدخال الخارج عنه من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اختلاف العسر المدفوع و المرفوع بالذات، لا بالخارج، إلّا أنّ بینهما جامع یجمعهما فی إرادة و هو نفی العسر، فإنّه لا یقصر عن العالم الجامع لأفراده المتباینة بالتشخیص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 ذلک کلّه أنّ الظاهر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w:t>
      </w:r>
      <w:r>
        <w:rPr>
          <w:rStyle w:val="FootnoteAnchor"/>
          <w:rtl w:val="true"/>
        </w:rPr>
        <w:footnoteReference w:id="559"/>
      </w:r>
      <w:r>
        <w:rPr>
          <w:rFonts w:ascii="Amiri" w:hAnsi="Amiri" w:eastAsia="Amiri" w:cs="Amiri"/>
          <w:color w:val="111111"/>
          <w:sz w:val="28"/>
          <w:sz w:val="28"/>
          <w:szCs w:val="28"/>
          <w:rtl w:val="true"/>
          <w:lang w:bidi="ar-SA"/>
        </w:rPr>
        <w:t>وَ ما جَعَلَ عَلَیْکُمْ فِی الدِّینِ مِنْ حَرَجٍ</w:t>
      </w:r>
      <w:r>
        <w:rPr>
          <w:rStyle w:val="FootnoteAnchor"/>
          <w:rtl w:val="true"/>
        </w:rPr>
        <w:footnoteReference w:id="560"/>
      </w:r>
      <w:r>
        <w:rPr>
          <w:rFonts w:ascii="IRNazanin" w:hAnsi="IRNazanin" w:eastAsia="IRNazanin"/>
          <w:color w:val="111111"/>
          <w:sz w:val="28"/>
          <w:sz w:val="28"/>
          <w:szCs w:val="28"/>
          <w:rtl w:val="true"/>
          <w:lang w:bidi="fa-IR"/>
        </w:rPr>
        <w:t>هو علّیّة العسر لکلّ من الرفع و الدفع، و دورانه وجودا و عدما مدار الأشخاص، و عدم لحوق الفاقد للعسر بالواجد له فی الحکم، کما فی المقام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مقام الدفع فاستتباعه للغالب، و إلحاق النادر به، فإنّما هو من جهة ضمیمة إحراز اتّحاد التکلیف، و عدم تبعّضه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العسر اللازم لأغلب المکلّفین من توجّه بعض الأحکام و تنجّزها علیهم، و إن استلزم الدفع و المنع من تنجّز ذلک الحکم العسری علی خصوص المتعسّر علیهم فقط، کما فی مقام الرفع، إلّا أنّه بضمیمة علمنا من الخارج بالإجماع المرکّب، و عدم القول بالفصل، و عدم تبعّض الحکم فی المکلّفین یعلم إلحاق سائر المکلّفین الغیر المتعسّر علیهم ذلک الحکم بالمتعسّر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فدورانه مدار النوع و تخلّفه عن العلّیّة فی مقام الدفع إنّما نشأ من ضمیمة الدلیل الخارجی إلی أدلّة العسر، لا من مجرّد دلیل العسر، حتّی یلزم استعماله فی أکثر من معنی واحد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الکلام منّا فی قاعدة العسر مستقصیا فی شرح مقدّمات الانسداد </w:t>
      </w:r>
      <w:bookmarkStart w:id="1381" w:name="pg12856_162905"/>
    </w:p>
    <w:p>
      <w:pPr>
        <w:pStyle w:val="BookText"/>
        <w:rPr/>
      </w:pPr>
      <w:bookmarkEnd w:id="1381"/>
      <w:r>
        <w:rPr>
          <w:rFonts w:ascii="Amiri" w:hAnsi="Amiri" w:eastAsia="Amiri" w:cs="Amiri"/>
          <w:color w:val="111111"/>
          <w:sz w:val="28"/>
          <w:sz w:val="28"/>
          <w:szCs w:val="28"/>
          <w:rtl w:val="true"/>
          <w:lang w:bidi="ar-SA"/>
        </w:rPr>
        <w:t>من المجلّد الأوّل</w:t>
      </w:r>
      <w:r>
        <w:rPr>
          <w:rStyle w:val="FootnoteAnchor"/>
          <w:rtl w:val="true"/>
        </w:rPr>
        <w:footnoteReference w:id="561"/>
      </w:r>
      <w:r>
        <w:rPr>
          <w:rFonts w:ascii="IRNazanin" w:hAnsi="IRNazanin" w:eastAsia="IRNazanin"/>
          <w:color w:val="111111"/>
          <w:sz w:val="28"/>
          <w:sz w:val="28"/>
          <w:szCs w:val="28"/>
          <w:rtl w:val="true"/>
          <w:lang w:bidi="fa-IR"/>
        </w:rPr>
        <w:t>، فلیراجعه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ورد من دوران الأحکام مدار السهولة علی الغالب</w:t>
      </w:r>
      <w:r>
        <w:rPr>
          <w:rFonts w:eastAsia="IRNazanin" w:cs="IRNazanin"/>
          <w:color w:val="111111"/>
          <w:sz w:val="28"/>
          <w:szCs w:val="28"/>
          <w:rtl w:val="true"/>
          <w:lang w:bidi="fa-IR"/>
        </w:rPr>
        <w:t>».</w:t>
      </w:r>
    </w:p>
    <w:p>
      <w:pPr>
        <w:pStyle w:val="Heading4"/>
        <w:numPr>
          <w:ilvl w:val="3"/>
          <w:numId w:val="1"/>
        </w:numPr>
        <w:rPr/>
      </w:pPr>
      <w:bookmarkStart w:id="1382" w:name="__RefHeading___Toc2647336_3224264995"/>
      <w:bookmarkStart w:id="1383" w:name="_Toc539"/>
      <w:bookmarkEnd w:id="1382"/>
      <w:r>
        <w:rPr>
          <w:rtl w:val="true"/>
        </w:rPr>
        <w:t>[</w:t>
      </w:r>
      <w:r>
        <w:rPr>
          <w:rtl w:val="true"/>
        </w:rPr>
        <w:t>مناقشة کلام الماتن فی ما ورد من دوران الأحکام مدار السهولة علی الغالب</w:t>
      </w:r>
      <w:r>
        <w:rPr>
          <w:rtl w:val="true"/>
        </w:rPr>
        <w:t>]</w:t>
      </w:r>
      <w:bookmarkEnd w:id="13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دورانه مدار الغالب إنّما هو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کالید، و السوق، و البلد حسبما ورد من أنّ ما غلب علیه المسلمون</w:t>
      </w:r>
      <w:r>
        <w:rPr>
          <w:rStyle w:val="FootnoteAnchor"/>
          <w:rtl w:val="true"/>
        </w:rPr>
        <w:footnoteReference w:id="56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فلم یرد خبر من الأخبار فی دورانها مدار السهولة علی الغالب، سوی ما یستنبط من ضمیمة إجماع مرکّب و نحوه إلی دلیل العسر فی خصوص مقام الدفع، لا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الشبهة الغیر المحصورة لیست بواقعة حکم فیها بحکم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84" w:name="__RefHeading___Toc2647338_3224264995"/>
      <w:bookmarkStart w:id="1385" w:name="_Toc540"/>
      <w:bookmarkEnd w:id="1384"/>
      <w:r>
        <w:rPr>
          <w:rtl w:val="true"/>
        </w:rPr>
        <w:t>[</w:t>
      </w:r>
      <w:r>
        <w:rPr>
          <w:rtl w:val="true"/>
        </w:rPr>
        <w:t>مناقشة کلام الماتن من عدم شمول أدلّة العسر للشبهة الغیر المحصورة</w:t>
      </w:r>
      <w:r>
        <w:rPr>
          <w:rtl w:val="true"/>
        </w:rPr>
        <w:t>]</w:t>
      </w:r>
      <w:bookmarkEnd w:id="1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تعدّد واقعة الشبهة الغیر المحصورة بحسب الأموال، و الأعراض، و النفوس، و الأحکام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 و المیتة و الخبائث، و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کالنجاسة و تعدّد أحکامها الثابتة من حیث المقتضی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 و النجس و مال الغیر و الأعراض و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المانع العقلی و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من فرض العسر فیها مانعا و دافعا للحکم الغیر الثابت، کمشقّة السفر المانع من الإتمام فیه، و عسر الاجتناب عن الحدید المانع من ثبوت نجاسته، بل یقتضی رفعه الحکم الثابت من حیث المقتضی و عدم المانع، مضافا إلی إمکان منع أصل العسر فی اجتناب أکثر وقایع الشبهة الغیر المحصورة، و إلی خروج أکثر موارده عن تحت الابتلاء</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تعدّد وقائع الشبهة الغیر المحصورة غیر مانع من إلحاق الواقعة الغیر العسرة بالواقعة العسرة منها، لأنّ المدار فی الإلحاق إن </w:t>
      </w:r>
    </w:p>
    <w:p>
      <w:pPr>
        <w:pStyle w:val="BookText"/>
        <w:rPr/>
      </w:pPr>
      <w:r>
        <w:rPr>
          <w:rFonts w:ascii="IRNazanin" w:hAnsi="IRNazanin" w:eastAsia="IRNazanin"/>
          <w:color w:val="111111"/>
          <w:sz w:val="28"/>
          <w:sz w:val="28"/>
          <w:szCs w:val="28"/>
          <w:rtl w:val="true"/>
          <w:lang w:bidi="fa-IR"/>
        </w:rPr>
        <w:t>کان علی مقام الدفع، فمن المعلوم أنّ تعدّد وقائع الشبهة لا یصیّرها من مقام الرفع المانع من الإلحاق، و إن کان علی ضمیمة الإجماع المرکّب و نحوها إلی دلیل العسر، نظرا إلی ظهور دلیل نفی العسر فی غلبة العسر، و دورانه مدار الشخص، إلّا إذا استفید الإلحاق من ضمیمة الإجماع المرکّب علی اتّحاد التکلیف و عدم تبعّضه و اختلافه، فمن البیّن أیضا أنّه کما فرض إلحاق الشخص الغیر المعسور علیه التکلیف بالشخص المعسور علیه فی دفع التکلیف عنه بضمیمة الإجماع المرکّب و نحوه إلی دلیل العسر فی الواقعة الواحدة، کذلک یمکن إلحاق الواقعة الغیر المعسورة علی الناس اجتنابها من الشبهة الغیر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کشبهة الرضیعة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بالواقعة المعسورة علی الناس اجتنابها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کشبهة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إجماع مرکّب و نحوه إلی دلیل نفی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المدار فی الإلحاق علی تحقّق العسر فی غالب المکلّفین لیلحق النادر به، فمن البیّن أیضا أنّ تعدّد وقائع الشبهة الغیر المحصورة لا یمنع من تحقّق غلبه العسر فی کلّ من وقائعها المتعدّدة علی غالب المکلّفین الموجب لإلحاق النادر بهم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کلّا من وقائع الشبهة الغیر المحصورة حتی واقعة اشتباه الرضیعة بغیرها، إنّما هی کواقعة اشتباه النجس بالطاهر، ممّا یعسر الاجتناب عنه علی أغلب المکلّفین؟ نظرا إلی أنّ الاجتناب عن غالب المحلّلات بواسطة اختلاطها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بمحرّم واحد، و تغلیب محرّم واحد علی المحلّلات العدیدة الغیر المحصورة، ممّا یعسر علی غالب المکلّفین بداهة فی کلّ واقعة من الوقائع، و لو لم یکن واقعة الطهارة و النجاسة، کما لا یخفی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الغالب المعهود إناطة الأحکام بالعسر النوعی، و هو إلحاق النادر بالغالب من أفراد نوع واحد، و أمّا إلحاق الغالب من الوقائع المختلفة نوعها بالغالب من أفراد نوع واحد، کإلحاق واقعة الشبهة الغیر المحصورة من الخمر، </w:t>
      </w:r>
      <w:bookmarkStart w:id="1386" w:name="pg12856_162907"/>
    </w:p>
    <w:p>
      <w:pPr>
        <w:pStyle w:val="BookText"/>
        <w:rPr/>
      </w:pPr>
      <w:bookmarkEnd w:id="1386"/>
      <w:r>
        <w:rPr>
          <w:rFonts w:ascii="IRNazanin" w:hAnsi="IRNazanin" w:eastAsia="IRNazanin"/>
          <w:color w:val="111111"/>
          <w:sz w:val="28"/>
          <w:sz w:val="28"/>
          <w:szCs w:val="28"/>
          <w:rtl w:val="true"/>
          <w:lang w:bidi="fa-IR"/>
        </w:rPr>
        <w:t>و من الخبائث، و من المیتة، و من مال الناس، و من الرضیعة، و من الأجنبیّة، و غیرها من أنواع المحرّمات بالعسر الغالب فی أفراد الشبهة الغیر المحصورة بالنجاسة، لجامع الاشتراک بینهما فی جنس الحرام، فهو عسر جنسی، لا شخصیّ و لا نوعیّ، فهو أشبه شی‌ء بالقیاس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الحاصل انّ أخبار الحلّ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2647340_3224264995"/>
      <w:bookmarkStart w:id="1388" w:name="_Toc541"/>
      <w:bookmarkEnd w:id="1387"/>
      <w:r>
        <w:rPr>
          <w:rtl w:val="true"/>
        </w:rPr>
        <w:t>[</w:t>
      </w:r>
      <w:r>
        <w:rPr>
          <w:rtl w:val="true"/>
        </w:rPr>
        <w:t>مناقشة کلام المصنف فی اخبار الحلّ</w:t>
      </w:r>
      <w:r>
        <w:rPr>
          <w:rtl w:val="true"/>
        </w:rPr>
        <w:t>]</w:t>
      </w:r>
      <w:bookmarkEnd w:id="13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الحاصل مخالف لمحصوله جدّا بحیث لا یکاد الجمع بینهما، فینبغی تبدیل لفظ الحاصل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بعض النسخ المصحّحة، و إن لم نقف علیه فیما بأیدینا الیوم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یدعی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89" w:name="__RefHeading___Toc2647342_3224264995"/>
      <w:bookmarkStart w:id="1390" w:name="_Toc542"/>
      <w:bookmarkEnd w:id="1389"/>
      <w:r>
        <w:rPr>
          <w:rtl w:val="true"/>
        </w:rPr>
        <w:t>[</w:t>
      </w:r>
      <w:r>
        <w:rPr>
          <w:rtl w:val="true"/>
        </w:rPr>
        <w:t>الأخبار الدالّة علی أنّ العلم بوجود الحرام بین المشتبهات لا یوجب الاجتناب عن جمیع المحتملات</w:t>
      </w:r>
      <w:r>
        <w:rPr>
          <w:rtl w:val="true"/>
        </w:rPr>
        <w:t>]</w:t>
      </w:r>
      <w:bookmarkEnd w:id="13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جعل المیتة فی الجبن فی مکان واحد لا یوجب الاجتناب عن جبن غیره من الأماکن، بالمقایسة علی ذلک المکان المجعول فیه، فتصیر الشبهة حینئذ بدویّة لا شبهة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الدعوی خلاف الظاهر من مساق السؤال 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مخالفته لمساق السؤال فلظهور کون السؤال عن دخول المکان المجعول فیه المیتة فی أطراف الشبهة لا خروجه عنها، و کون السؤال عن مقایسة سائر الأماکن به حتّی تصیر الشبهة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مخالفته لمساق الجواب فلظهور التطابق، لا التخالف بین الجواب و السؤال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لأعترض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فهو و إن کان فی نفسه محتملا لإرادة الشبهة البدویّة، کالجواب المتقدّم بالتقریب المتقدّم، و لاستناد الحکم إلی السوق لا إلی الشبهة، إلّا أنّه بملاحظة کونه کالتعلیل و التنظیر </w:t>
      </w:r>
      <w:bookmarkStart w:id="1391" w:name="pg12856_162908"/>
    </w:p>
    <w:p>
      <w:pPr>
        <w:pStyle w:val="BookText"/>
        <w:rPr/>
      </w:pPr>
      <w:bookmarkEnd w:id="1391"/>
      <w:r>
        <w:rPr>
          <w:rFonts w:ascii="IRNazanin" w:hAnsi="IRNazanin" w:eastAsia="IRNazanin"/>
          <w:color w:val="111111"/>
          <w:sz w:val="28"/>
          <w:sz w:val="28"/>
          <w:szCs w:val="28"/>
          <w:rtl w:val="true"/>
          <w:lang w:bidi="fa-IR"/>
        </w:rPr>
        <w:t>و التقریب، للحکم المتقدّم فی الجواب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من أجل 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ما کان الأوّل ظاهرا فیه من بیان حکم الشبهة الغیر المحصورة، و إلّا کان تنظیرا بغیر نظیر، و تقریبا للأقوی بالأضعف،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معتبر مع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من قبیل الأصل بالنسبة إلی الدلیل فی عدم المقاومة، و إن لم یکن کالأصل فی عدم الناظریّة إلی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عدم مقاومة اعتبار سوق المسلمین إنّما هو فی مقابل العلم الإجمالی المعتبر، و أنّی بثبوت الاعتبار فی 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أنّ مقتضی العلم الإجمالی مطلقا و لو کان معتبرا إنّما هو أصل الاحتیاط الغیر المقاوم قطعا لسوق المسلمین الّذی هو کالبیّنة من الأمارات الواقعیّة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یعتبر العلم بعدم اتیانه، فتأمّل</w:t>
      </w:r>
      <w:r>
        <w:rPr>
          <w:rFonts w:eastAsia="IRNazanin" w:cs="IRNazanin"/>
          <w:color w:val="111111"/>
          <w:sz w:val="28"/>
          <w:szCs w:val="28"/>
          <w:rtl w:val="true"/>
          <w:lang w:bidi="fa-IR"/>
        </w:rPr>
        <w:t>».</w:t>
      </w:r>
    </w:p>
    <w:p>
      <w:pPr>
        <w:pStyle w:val="Heading4"/>
        <w:numPr>
          <w:ilvl w:val="3"/>
          <w:numId w:val="1"/>
        </w:numPr>
        <w:rPr/>
      </w:pPr>
      <w:bookmarkStart w:id="1392" w:name="__RefHeading___Toc2647344_3224264995"/>
      <w:bookmarkStart w:id="1393" w:name="_Toc543"/>
      <w:bookmarkEnd w:id="1392"/>
      <w:r>
        <w:rPr>
          <w:rtl w:val="true"/>
        </w:rPr>
        <w:t>[</w:t>
      </w:r>
      <w:r>
        <w:rPr>
          <w:rtl w:val="true"/>
        </w:rPr>
        <w:t>احتمال عدم الفرق بین المحصور و غیره فی حکم العقل بدفع الضرر المحتمل</w:t>
      </w:r>
      <w:r>
        <w:rPr>
          <w:rtl w:val="true"/>
        </w:rPr>
        <w:t>]</w:t>
      </w:r>
      <w:bookmarkEnd w:id="1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إمکان استناد الفرق المذکور فی دفع الضرر المحتمل بین المحصور و غیره إلی خصوص الضرر الدنیویّ، و أمّا الضرر الأخرویّ الّذی نحن فیه فلم یفرق العقل فی وجوب دفعه بین المحصور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عدم العزم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94" w:name="__RefHeading___Toc2647346_3224264995"/>
      <w:bookmarkStart w:id="1395" w:name="_Toc544"/>
      <w:bookmarkEnd w:id="1394"/>
      <w:r>
        <w:rPr>
          <w:rtl w:val="true"/>
        </w:rPr>
        <w:t>[</w:t>
      </w:r>
      <w:r>
        <w:rPr>
          <w:rtl w:val="true"/>
        </w:rPr>
        <w:t>جواز ارتکاب جمیع أطراف الشبهة غیر المحصورة مع عدم العزم علی ذلک</w:t>
      </w:r>
      <w:r>
        <w:rPr>
          <w:rtl w:val="true"/>
        </w:rPr>
        <w:t>]</w:t>
      </w:r>
      <w:bookmarkEnd w:id="13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اعترض علیه بعض الطلبة بأنّه بعد فرض جواز ارتکاب الکلّ لا وجه لتأثیر العزم علیه، الحرمة و صدق المعصیة، و هل هو إلّا کجواز ارتکاب الشبهة البدویّة مع فرض المعصیة علی العزم علیه، بل کجواز شرب الماء المباح مع فرض المعصیة علی العزم علیه؟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فأجبت عنه بأنّ جواز ارتکاب الکلّ علی القول به لمّا لم یستند إلی دلیل </w:t>
      </w:r>
      <w:bookmarkStart w:id="1396" w:name="pg12856_162909"/>
    </w:p>
    <w:p>
      <w:pPr>
        <w:pStyle w:val="BookText"/>
        <w:rPr/>
      </w:pPr>
      <w:bookmarkEnd w:id="1396"/>
      <w:r>
        <w:rPr>
          <w:rFonts w:ascii="IRNazanin" w:hAnsi="IRNazanin" w:eastAsia="IRNazanin"/>
          <w:color w:val="111111"/>
          <w:sz w:val="28"/>
          <w:sz w:val="28"/>
          <w:szCs w:val="28"/>
          <w:rtl w:val="true"/>
          <w:lang w:bidi="fa-IR"/>
        </w:rPr>
        <w:t>اجتهادیّ یدلّ علی الجواز الواقعی، بل استند إلی محض البراءة المفیدة للجواز فی مرحلة الظاهر حال الجهل بالحکم الواقعی المفروض بقاءه فی حقّ العالم فعلا و الجاهل شأنا، کان من لوازم بقائه تأثیر العزم علی ارتکابه التجرّی الحرام، و صدق المعصیة الحکمیّة، کتأثیر العزم علی ترکه، الانقیاد و صدق الإطاعة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الفرق بین ما نحن فیه و بین مثل شرب الماء المباح بعزم الحرام، کما ظهر عدم الفرق بینه و بین الشبهة البدویّة فی ذلک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ضابط المحصور و غیره</w:t>
      </w:r>
      <w:r>
        <w:rPr>
          <w:rFonts w:eastAsia="IRNazanin" w:cs="IRNazanin"/>
          <w:color w:val="111111"/>
          <w:sz w:val="28"/>
          <w:szCs w:val="28"/>
          <w:rtl w:val="true"/>
          <w:lang w:bidi="fa-IR"/>
        </w:rPr>
        <w:t>».</w:t>
      </w:r>
    </w:p>
    <w:p>
      <w:pPr>
        <w:pStyle w:val="Heading4"/>
        <w:numPr>
          <w:ilvl w:val="3"/>
          <w:numId w:val="1"/>
        </w:numPr>
        <w:rPr/>
      </w:pPr>
      <w:bookmarkStart w:id="1397" w:name="__RefHeading___Toc2647348_3224264995"/>
      <w:bookmarkStart w:id="1398" w:name="_Toc545"/>
      <w:bookmarkEnd w:id="1397"/>
      <w:r>
        <w:rPr>
          <w:rtl w:val="true"/>
        </w:rPr>
        <w:t>[</w:t>
      </w:r>
      <w:r>
        <w:rPr>
          <w:rtl w:val="true"/>
        </w:rPr>
        <w:t>ضابط المحصور و غیر المحصور</w:t>
      </w:r>
      <w:r>
        <w:rPr>
          <w:rtl w:val="true"/>
        </w:rPr>
        <w:t>]</w:t>
      </w:r>
      <w:bookmarkEnd w:id="1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انضباط المحصور و غیره بالعرف لمّا کان موجبا لإشکال انطباق حکم کلّ منهما علی موضوعه، لا جرم کان انضباطهما بالرجوع إلی جریان دلیل حکم کلّ منهما، أقرب إلی الانضباط، فیرجع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کما یمکن الرجوع إلی 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بناء العقلاء، و ملاحظة کلّ مورد لا یعبأ العقلاء باحتمال الضرر فیه، فیحکم بأنّه من موارد الغیر المحصور، و إلّا فمن موارد المحصور، کذلک یمکن الرجوع أیضا فی انضباطهما إلی موارد لزوم العسر من الاجتناب و موارد عدم لزومه منه، بناء علی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غیر المحصور هو العسر و الحرج، و فی المحصور ما لا یستلزم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الرجوع فی ضبط موضوع المحصور و غیره إلی موارد جریان حکم العسر و عدمه، و إن کان یوجب الإشکال، نظرا إلی ان العسر و ان کان شخصیا إلّا انّ المدار فیه لیس علی العسر الظاهر بالنسبة إلی کلّ شخص، بحیث یکون المعیار فی العسر و عدمه، بالنسبة إلی کلّ شخص علی نفسه، فیتبدّل حکم العسر </w:t>
      </w:r>
    </w:p>
    <w:p>
      <w:pPr>
        <w:pStyle w:val="BookText"/>
        <w:rPr/>
      </w:pPr>
      <w:r>
        <w:rPr>
          <w:rFonts w:ascii="IRNazanin" w:hAnsi="IRNazanin" w:eastAsia="IRNazanin"/>
          <w:color w:val="111111"/>
          <w:sz w:val="28"/>
          <w:sz w:val="28"/>
          <w:szCs w:val="28"/>
          <w:rtl w:val="true"/>
          <w:lang w:bidi="fa-IR"/>
        </w:rPr>
        <w:t>الوارد علی الشخص المتعسّر، بعدم العسر بالنسبة إلی غیر هذا الشخص من أمثاله و أقرانه الغیر المتعسّر علیهم ذلک الحکم، بسبب اعتیاد نفوسهم بالریاضیات الموجبة لسهولة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یتبدّل حکم عدم العسر الوارد علی الشخص الغیر المتعسّر بالعسر بالنسبة إلی غیره من أمثاله و أقرانه المتعسّر علیهم ذلک بسبب اعتیاد نفوسهم بالکسالة و الوجل و قصور الهمّة، حتی یستسهل ضبط موارد العسر و عدمه، بل المدار إنّما هو علی العسر الواقعیّ الشخصی بالنسبة إلی کلّ شخص، بحیث لا یتبدّل حکم العسر بعدم العسر، و لا العکس بخیال تبدّل الموضوع باعتیاد النفس علی خلاف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الإشکال غیر ناشئ عن جعل المعیار فی ضبط المحصور و غیره علی مجری العسر و عدمه، بل هو من الإشکالات المستلزمة للعمل بحکم العسر و الحرج، سواء جعلت المعیار المذکور علیه، أم لم تجعل، بخلاف الاشکال اللازم من جعل المعیار فی ضبطهما علی العرف، فإنّه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تحقّق کون المحصور و غیر المحصور من الموضوعات المستنبطة بمجرّد وقوعه معقد الإجماعات المنقولة و الشهرات المحصّلة، کما اختاره استادنا العلّامة وفاقا للشهید</w:t>
      </w:r>
      <w:r>
        <w:rPr>
          <w:rStyle w:val="FootnoteAnchor"/>
          <w:rtl w:val="true"/>
        </w:rPr>
        <w:footnoteReference w:id="564"/>
      </w:r>
      <w:r>
        <w:rPr>
          <w:rFonts w:ascii="IRNazanin" w:hAnsi="IRNazanin" w:eastAsia="IRNazanin"/>
          <w:color w:val="111111"/>
          <w:sz w:val="28"/>
          <w:sz w:val="28"/>
          <w:szCs w:val="28"/>
          <w:rtl w:val="true"/>
          <w:lang w:bidi="fa-IR"/>
        </w:rPr>
        <w:t>و المحقّق الثانیین</w:t>
      </w:r>
      <w:r>
        <w:rPr>
          <w:rStyle w:val="FootnoteAnchor"/>
          <w:rtl w:val="true"/>
        </w:rPr>
        <w:footnoteReference w:id="565"/>
      </w:r>
      <w:r>
        <w:rPr>
          <w:rFonts w:ascii="IRNazanin" w:hAnsi="IRNazanin" w:eastAsia="IRNazanin"/>
          <w:color w:val="111111"/>
          <w:sz w:val="28"/>
          <w:sz w:val="28"/>
          <w:szCs w:val="28"/>
          <w:rtl w:val="true"/>
          <w:lang w:bidi="fa-IR"/>
        </w:rPr>
        <w:t>و المدارک</w:t>
      </w:r>
      <w:r>
        <w:rPr>
          <w:rStyle w:val="FootnoteAnchor"/>
          <w:rtl w:val="true"/>
        </w:rPr>
        <w:footnoteReference w:id="566"/>
      </w:r>
      <w:r>
        <w:rPr>
          <w:rFonts w:ascii="IRNazanin" w:hAnsi="IRNazanin" w:eastAsia="IRNazanin"/>
          <w:color w:val="111111"/>
          <w:sz w:val="28"/>
          <w:sz w:val="28"/>
          <w:szCs w:val="28"/>
          <w:rtl w:val="true"/>
          <w:lang w:bidi="fa-IR"/>
        </w:rPr>
        <w:t>و المیسی، بدعوی الاستکشاف من اتّفاق من عبّر بتلک العبارتین، أنّ المناط فی حکم المعصوم، علی تلک العبارتین، و دعوی القطع بأنّه لو سئل المعصوم علیه السّلام، الیوم عن المسألة لما عبّر إلّا بتلک العبارتین، نظرا إلی أجمعیّتهما و أخصریّتهما من کلّ ما یمکن أن یعبّر عنهما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من أنّ الاتّفاق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 و استناد الحکم إلی 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یکشف عن إناطة الحکم فی کلام المعصوم بخصوص معقده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القطع بأنّه لو سئل المعصوم لعبّر بهما مبنیّ علی انحصار التعبیر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لأنّ إناطة الحکم بالمحصور و غیر المحصور لیس بأولی من إناطته بالمیسور و المعسور، أو ببناء العقلاء، أو بما وقع فی الأخبار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أهل مکان واحد، الحدیث</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لا ینضبط من مصادیق المحصور و غیر المحصور بالرجوع إلی العرف، أکثر ممّا ینضبط به بأضعاف مضاعفة، فیلزم من الرجوع إلی العرف فیهما الرجوع فی مصادیقهما المشکوکة الکثیرة الّتی لا تنضبط بالعرف، إلی الظنّ، إن وجد، و إلّا فإلی الأصل المختلف فی المسألة باختلاف الرأی فی ثبوت المقتضی للاجتناب عن الشبهة الغیر المحصورة، کالمحصورة، کما یقتضیه التمسّک فیها بالعسر و الحرج، و کون الشکّ فی المانع، و الأصل عدمه، أو عدم المقتضی کما یقتضیه الوجه الخامس المتمسّک به فی المسألة، حتی یکون الأصل فی المشکوکات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فالرجوع إلی العرف فی ما یلزم منه ذلک رجوع إلی ما هو قلیل الجدوی، و ما یکون إثمه أکثر من نفعه، و إناطة حکم الشارع بمثله بعید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الرجوع فی الضابط إلی العسر و الحرج، فإنّه مضافا إلی أنّ دلیل العسر و الحرج أقوی وجوه المسألة من حیث السند و الدلالة أقرب إلی الاحتیاط فی المسألة، و أضبط لمورد المسألة، بحیث لم یبق منها مورد مشکوک یحتاج فیه إلی مرجع آخر، و ذلک لأنّ ضابطیّة العسر إن کان أعمّ من ضابطیّة غیره لمورد المسألة فی الواقع فلا بأس فی العمل بعمومه، لحکومة دلیله علی </w:t>
      </w:r>
      <w:bookmarkStart w:id="1399" w:name="pg12856_162912"/>
    </w:p>
    <w:p>
      <w:pPr>
        <w:pStyle w:val="BookText"/>
        <w:rPr/>
      </w:pPr>
      <w:bookmarkEnd w:id="1399"/>
      <w:r>
        <w:rPr>
          <w:rFonts w:ascii="IRNazanin" w:hAnsi="IRNazanin" w:eastAsia="IRNazanin"/>
          <w:color w:val="111111"/>
          <w:sz w:val="28"/>
          <w:sz w:val="28"/>
          <w:szCs w:val="28"/>
          <w:rtl w:val="true"/>
          <w:lang w:bidi="fa-IR"/>
        </w:rPr>
        <w:t>جمیع الأدلّة المثبتة للتکالیف و إن کان أخصّ فالاقتصار علیه مطابق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الرجوع فی المسألة إلی ضابطیّة العسر أقرب و أحوط و أقوی من الرجوع إلی غیره، فالمیزان المانع الجامع الضابط إنّما هو فی إناطة الحکم بکون الاجتناب عن الشبهة میسورا أو معسورا، إلّا أنّ انضباط المیسور و المعسور منه لمّا کان فی الغالب منوطا بالمحصور و غیر المحصور کان للتعبیر بهما وجه، و لعلّه الوجه فی انحصار تعبیر القوم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یؤدّی إلی الترک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کلّ مشتبه یستلزم الاجتناب عن أطراف، ترک نوع المشتبه غالبا، فهو غیر محصور، کترک نوع الصلاة غالبا اللازم من ترک مشتبهاتها الدائرة بین الصحیحة و الفاسدة، و ترک لحم الشاة غالبا اللازم من ترک مشتبهاته بالحرام، و ترک أصل التزویج غالبا اللازم من ترک مشتبهاته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ما لا یخفی من عدم الضبط</w:t>
      </w:r>
      <w:r>
        <w:rPr>
          <w:rFonts w:eastAsia="IRNazanin" w:cs="IRNazanin"/>
          <w:color w:val="111111"/>
          <w:sz w:val="28"/>
          <w:szCs w:val="28"/>
          <w:rtl w:val="true"/>
          <w:lang w:bidi="fa-IR"/>
        </w:rPr>
        <w:t>».</w:t>
      </w:r>
    </w:p>
    <w:p>
      <w:pPr>
        <w:pStyle w:val="Heading4"/>
        <w:numPr>
          <w:ilvl w:val="3"/>
          <w:numId w:val="1"/>
        </w:numPr>
        <w:rPr/>
      </w:pPr>
      <w:bookmarkStart w:id="1400" w:name="__RefHeading___Toc2647350_3224264995"/>
      <w:bookmarkStart w:id="1401" w:name="_Toc546"/>
      <w:bookmarkEnd w:id="1400"/>
      <w:r>
        <w:rPr>
          <w:rtl w:val="true"/>
        </w:rPr>
        <w:t>[</w:t>
      </w:r>
      <w:r>
        <w:rPr>
          <w:rtl w:val="true"/>
        </w:rPr>
        <w:t>صورة کون المشتبه فی غیر المحصور افرادا کثیرة إلّا انّ نسبتها إلی الکل نسبة الشی‌ء إلی الامور المحصورة</w:t>
      </w:r>
      <w:r>
        <w:rPr>
          <w:rtl w:val="true"/>
        </w:rPr>
        <w:t>]</w:t>
      </w:r>
      <w:bookmarkEnd w:id="1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کثیرا ما یستلزم الاجتناب عن أطرافه ترک نوع المشتبه غالبا، و هو محصور قطعا، و ما لا یستلزمه، و هو غیر محصور قطعا، مضافا إلی استلزامه رجوع موضوع المحصور و غیر المحصور إلی حکم الیسر و العسر النوعی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أنّه ملحق بالشبهة المحصورة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 إلحاقه بالشبهة الغیر المحصورة هو أن یفرض کلّ واحد من الحلال المنضمّ إلی آخر من ذلک الألف، احتمالا فی مقابل کلّ واحد من أفراد الخمسمائة المحرّمة، فیرتقی أقسام الحلال من الألف، باعتبار انضمام کلّ منه مع آخر منه، أو مع آخر من أفراد الحرام بحسب الضرب، إلی ما یستغرق فی جنب أقسامه، أقسام الخمسمائة المحرّمة، نظیر استغراق الکلب فی البحر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سبیل اندفاعه ما أشار إلیه المصنّف من أنّ احتمالات هذا الحرام، </w:t>
      </w:r>
      <w:bookmarkStart w:id="1402" w:name="pg12856_162913"/>
    </w:p>
    <w:p>
      <w:pPr>
        <w:pStyle w:val="BookText"/>
        <w:rPr/>
      </w:pPr>
      <w:bookmarkEnd w:id="1402"/>
      <w:r>
        <w:rPr>
          <w:rFonts w:ascii="IRNazanin" w:hAnsi="IRNazanin" w:eastAsia="IRNazanin"/>
          <w:color w:val="111111"/>
          <w:sz w:val="28"/>
          <w:sz w:val="28"/>
          <w:szCs w:val="28"/>
          <w:rtl w:val="true"/>
          <w:lang w:bidi="fa-IR"/>
        </w:rPr>
        <w:t>المتباینة فی الواقع، ثلاثة کاشتباه الواحد فی الثلاثة، و ما عدا هذه الاحتمالات الثلاثة، من الاحتمالات المحلّلة، المتعسّر إحصاءها، فهی و إن کانت متباینة ظاهرا، إلّا أنّها متداخلة بواسطة تبدیل أحد فردی الحلال بفرد آخر منه، أو بفرد آخر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فلا تعارض کثرتها قلّة احتمالات الحرام، علی وجه تنزلهما منزلة العدم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 الأوّل، فلأنّها مکرّرة لا یرتّب علی کثرتها حکم واقعیّ، حتی یتخیّل تغلیبها علی قلّة احتمال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فلأنّها لا تنفکّ عن الحرام حتی یتخیّل تعارضها لقلّة احتمال الحرمة، فضلا عن تغلیبها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 حکمة الحکم علی غیر المحصور بالحلّیّة، لما کان غلبة الأفراد المحلّلة علی المحرّمة، فإذا انتفت غلبة احتمالات المحلّلة بواسطة کثرة محتملات الحرمة بالنسبة إلی المحلّلة، لحقها حکم المحصور، و هو الاجتناب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یبنی علی استناد حکم المحصور و غیر المحصور بالحظر و الاباحة، إلی الوجه الخامس من وجوهه، و هو قلّة محتملات الحرمة علی وجه لا یعبأ به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عرفت من التأمّل فیه، و انحصار المستند فی عسر الاجتناب و عدمه، فمن المعلوم أن تکثّر محتملات الحرمة و لو فی الظاهر دون الواقع یوجب تعسّر الاجتناب و الحظر عنها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إذا تردّد الغناء بین مفهومین</w:t>
      </w:r>
      <w:r>
        <w:rPr>
          <w:rStyle w:val="FootnoteAnchor"/>
          <w:rtl w:val="true"/>
        </w:rPr>
        <w:footnoteReference w:id="568"/>
      </w:r>
      <w:r>
        <w:rPr>
          <w:rFonts w:ascii="IRNazanin" w:hAnsi="IRNazanin" w:eastAsia="IRNazanin"/>
          <w:color w:val="111111"/>
          <w:sz w:val="28"/>
          <w:sz w:val="28"/>
          <w:szCs w:val="28"/>
          <w:rtl w:val="true"/>
          <w:lang w:bidi="fa-IR"/>
        </w:rPr>
        <w:t>بینهما عموم من وجه</w:t>
      </w:r>
      <w:r>
        <w:rPr>
          <w:rFonts w:eastAsia="IRNazanin" w:cs="IRNazanin"/>
          <w:color w:val="111111"/>
          <w:sz w:val="28"/>
          <w:szCs w:val="28"/>
          <w:rtl w:val="true"/>
          <w:lang w:bidi="fa-IR"/>
        </w:rPr>
        <w:t>».</w:t>
      </w:r>
    </w:p>
    <w:p>
      <w:pPr>
        <w:pStyle w:val="Heading4"/>
        <w:numPr>
          <w:ilvl w:val="3"/>
          <w:numId w:val="1"/>
        </w:numPr>
        <w:rPr/>
      </w:pPr>
      <w:bookmarkStart w:id="1403" w:name="__RefHeading___Toc2647352_3224264995"/>
      <w:bookmarkStart w:id="1404" w:name="_Toc547"/>
      <w:bookmarkEnd w:id="1403"/>
      <w:r>
        <w:rPr>
          <w:rtl w:val="true"/>
        </w:rPr>
        <w:t>[</w:t>
      </w:r>
      <w:r>
        <w:rPr>
          <w:rtl w:val="true"/>
        </w:rPr>
        <w:t>التمثیل بالغناء للشبهة التحریمیة لاشتباه الحکم من جهة إجمال النصّ</w:t>
      </w:r>
      <w:r>
        <w:rPr>
          <w:rtl w:val="true"/>
        </w:rPr>
        <w:t>]</w:t>
      </w:r>
      <w:bookmarkEnd w:id="140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تردّد الغناء بین ألحان أهل الفسق و الفجور، و بین الترجیع، </w:t>
      </w:r>
      <w:bookmarkStart w:id="1405" w:name="pg12856_162914"/>
    </w:p>
    <w:p>
      <w:pPr>
        <w:pStyle w:val="BookText"/>
        <w:rPr/>
      </w:pPr>
      <w:bookmarkEnd w:id="1405"/>
      <w:r>
        <w:rPr>
          <w:rFonts w:ascii="IRNazanin" w:hAnsi="IRNazanin" w:eastAsia="IRNazanin"/>
          <w:color w:val="111111"/>
          <w:sz w:val="28"/>
          <w:sz w:val="28"/>
          <w:szCs w:val="28"/>
          <w:rtl w:val="true"/>
          <w:lang w:bidi="fa-IR"/>
        </w:rPr>
        <w:t>فإنّ مادّتی الافتراق من قسم المشتبه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 فی تعیینه</w:t>
      </w:r>
      <w:r>
        <w:rPr>
          <w:rFonts w:eastAsia="IRNazanin" w:cs="IRNazanin"/>
          <w:color w:val="111111"/>
          <w:sz w:val="28"/>
          <w:szCs w:val="28"/>
          <w:rtl w:val="true"/>
          <w:lang w:bidi="fa-IR"/>
        </w:rPr>
        <w:t>».</w:t>
      </w:r>
    </w:p>
    <w:p>
      <w:pPr>
        <w:pStyle w:val="Heading4"/>
        <w:numPr>
          <w:ilvl w:val="3"/>
          <w:numId w:val="1"/>
        </w:numPr>
        <w:rPr/>
      </w:pPr>
      <w:bookmarkStart w:id="1406" w:name="__RefHeading___Toc2647354_3224264995"/>
      <w:bookmarkStart w:id="1407" w:name="_Toc548"/>
      <w:bookmarkEnd w:id="1406"/>
      <w:r>
        <w:rPr>
          <w:rtl w:val="true"/>
        </w:rPr>
        <w:t>[</w:t>
      </w:r>
      <w:r>
        <w:rPr>
          <w:rtl w:val="true"/>
        </w:rPr>
        <w:t>فی الواجب المردّد بین متنافیین من جهة عدم النصّ</w:t>
      </w:r>
      <w:r>
        <w:rPr>
          <w:rtl w:val="true"/>
        </w:rPr>
        <w:t>]</w:t>
      </w:r>
      <w:bookmarkEnd w:id="1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أذان العصر من یوم الجمعة کما هو المشهور، أو الأذان الثانی بعد الخطبة، أو الثانی بعد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فهو ثالث باعتبار کون الأوّل أذان الفجر، أو باعتبار عدّ الإقامة ثانیا، کما صرّح به الصدوق</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اعترف به غیر واحد ممّن قال بالبراءة فی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ما ثبت من الخارج وجوب أحد طرفی الواجب المردّد بین الظهر و الجمعة، و القصر و الإتمام، إذ لو کان المانع عنه عقلیا</w:t>
      </w:r>
      <w:r>
        <w:rPr>
          <w:rStyle w:val="FootnoteAnchor"/>
          <w:rtl w:val="true"/>
        </w:rPr>
        <w:footnoteReference w:id="570"/>
      </w:r>
      <w:r>
        <w:rPr>
          <w:rFonts w:ascii="IRNazanin" w:hAnsi="IRNazanin" w:eastAsia="IRNazanin"/>
          <w:color w:val="111111"/>
          <w:sz w:val="28"/>
          <w:sz w:val="28"/>
          <w:szCs w:val="28"/>
          <w:rtl w:val="true"/>
          <w:lang w:bidi="fa-IR"/>
        </w:rPr>
        <w:t>، کالتکلیف الغیر المقدور، لم یسوّغه الدلیل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برجوعها إلی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برجوع الدعوی إلی ما قدّمناه من کون عدم الجهل من شروط وجود المأمور به، نظیر الجنابة، لا من شروط وجوبه، نظیر القدرة و الاستطاعة، و ذلک لأنّ تکلیف الجاهل المقصّر فی حال الجهل برفع الجهل لمّا لم یکن تکلیفا نفسیّا، بل کان غیریّا مقدّمیا لأجل التوصّل إلی الواقع، فلا جرم کان دعوی وجوبه موقوفا علی وجوب الواقع، فکیف یکون وجوب الواقع موقوفا علیه؟</w:t>
      </w:r>
    </w:p>
    <w:p>
      <w:pPr>
        <w:pStyle w:val="BookText"/>
        <w:rPr/>
      </w:pPr>
      <w:r>
        <w:rPr>
          <w:rFonts w:ascii="IRNazanin" w:hAnsi="IRNazanin" w:eastAsia="IRNazanin"/>
          <w:color w:val="111111"/>
          <w:sz w:val="28"/>
          <w:sz w:val="28"/>
          <w:szCs w:val="28"/>
          <w:rtl w:val="true"/>
          <w:lang w:bidi="fa-IR"/>
        </w:rPr>
        <w:t>و حینئذ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إلّا إذا ارید من بطلانها بطلان أصل الدعوی، لا الجواب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لرجوعها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تعیینا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کحکمه باستصحاب حال الوجوب من القصر و الإتمام، أو الظهر </w:t>
      </w:r>
      <w:bookmarkStart w:id="1408" w:name="pg12856_162915"/>
    </w:p>
    <w:p>
      <w:pPr>
        <w:pStyle w:val="BookText"/>
        <w:rPr/>
      </w:pPr>
      <w:bookmarkEnd w:id="1408"/>
      <w:r>
        <w:rPr>
          <w:rFonts w:ascii="IRNazanin" w:hAnsi="IRNazanin" w:eastAsia="IRNazanin"/>
          <w:color w:val="111111"/>
          <w:sz w:val="28"/>
          <w:sz w:val="28"/>
          <w:szCs w:val="28"/>
          <w:rtl w:val="true"/>
          <w:lang w:bidi="fa-IR"/>
        </w:rPr>
        <w:t>و الجمعة فی حال الأوّل، أو تخییرا، کما فی ما لا یسع الوقت إلّا لأحد المحتملین، أو تعارض النصّین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إجمال فی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اختصاص قبح تأخیر البیان عن وقت الحاجة بغیر ما نحن فیه من جهة أخری، و هو الخطاب بما له ظاهر، و ارید خلافه مع تأخیر البیان و القرینة الصارفة عن وقت الحاجة المستلزم للإغراء بالجهل القبیح، لا فی ما یکون الخطاب مجملا و ارید به أحد معنییه المعیّن فی الواقع محوّلا بیانه إلی ما یقتضیه العقل، و هو تعیینه بالاحتیاط، کما فی ما نحن ممّا لا یستلزم الإغراء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العلم شرطا عقلیّا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لأبی من التخصیص فی العقلیّات، و لصار العلم کالقدرة من الشروط العقلیّة الآبیة من التخصیص، و عدم العلم کعدم القدرة من الموانع المانعة من التکلیف مطلقا، و لو صرّح به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سقوط قصد التعیین إنّما حصل بمجرّد التردّد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التعیین إنّما حصل من عدم القدرة علیه، فیقتصر فی السقوط علی القدر الغیر المقدور مع الجهل، و هو خصوص تعیین الواجب لا سقوط إتیانه رأسا، لا أنّه حصل من عدم العلم حتی یوجب سقوط أصل التکلیف الغیر المعلوم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بکلّ منهما حصول الواجب</w:t>
      </w:r>
      <w:r>
        <w:rPr>
          <w:rFonts w:eastAsia="IRNazanin" w:cs="IRNazanin"/>
          <w:color w:val="111111"/>
          <w:sz w:val="28"/>
          <w:szCs w:val="28"/>
          <w:rtl w:val="true"/>
          <w:lang w:bidi="fa-IR"/>
        </w:rPr>
        <w:t>».</w:t>
      </w:r>
    </w:p>
    <w:p>
      <w:pPr>
        <w:pStyle w:val="Heading4"/>
        <w:numPr>
          <w:ilvl w:val="3"/>
          <w:numId w:val="1"/>
        </w:numPr>
        <w:rPr/>
      </w:pPr>
      <w:bookmarkStart w:id="1409" w:name="__RefHeading___Toc2647356_3224264995"/>
      <w:bookmarkStart w:id="1410" w:name="_Toc549"/>
      <w:bookmarkEnd w:id="1409"/>
      <w:r>
        <w:rPr>
          <w:rtl w:val="true"/>
        </w:rPr>
        <w:t>[</w:t>
      </w:r>
      <w:r>
        <w:rPr>
          <w:rtl w:val="true"/>
        </w:rPr>
        <w:t>کیفیة نیة الوجوب و القربة عند الاحتیاط بالجمع بین المحتملین</w:t>
      </w:r>
      <w:r>
        <w:rPr>
          <w:rtl w:val="true"/>
        </w:rPr>
        <w:t>]</w:t>
      </w:r>
      <w:bookmarkEnd w:id="141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النفسی الأصلیّ المقرّب فی الثانی، إنّما هو الکلّی الواقعی الحاصل فی ضمن أحد المحتملین، و فی الأوّل هو کلّ من المحتملین، من باب وجوب المقدّمة العلمیّة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الوجه الأوّل 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ورود هذا الإیراد مبنیّ علی القول بعدم وجوب مقدّمة الواجب، و کون الأمر المقدّمی الغیری التوصّلی الإرشادی منسلخا عن الطلب الأصلیّ، و أنّ المطلوب منه صرف الإرشاد إلی مطلوبیّة المرشد إلیه، و موصلیة المقدّمة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وجوبها، و أنّ الإرشاد و المقدّمیة لا ینافی المطلوبیّة أیضا، فلا وجه لصارفیّة الإرشاد، و المقدّمیة عن المطلوبیّة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هی صارفة عن مطلوبیّتها نفسا، ضرورة أنّ طلب المقدّمة و لو من باب المقدّمیة و التوصّل و الإرشاد إلی مطلوبیّة الغیر فی الظاهر، غیر بیان معنی المقدّمیة و الموصلیّة، و کون الخاصیة الوصل إلی الغیر و حصول الغیر، فإنّه خلاف ظاهر الطلب، و وظیفة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فالطلب المقدّمی الإرشادی و إن کان من قبیل أوامر الطبیب و الأوامر العقلیّة ک أَطِیعُوا اللَّهَ وَ رَسُولَهُ</w:t>
      </w:r>
      <w:r>
        <w:rPr>
          <w:rStyle w:val="FootnoteAnchor"/>
          <w:rtl w:val="true"/>
        </w:rPr>
        <w:footnoteReference w:id="571"/>
      </w:r>
      <w:r>
        <w:rPr>
          <w:rFonts w:ascii="IRNazanin" w:hAnsi="IRNazanin" w:eastAsia="IRNazanin"/>
          <w:color w:val="111111"/>
          <w:sz w:val="28"/>
          <w:sz w:val="28"/>
          <w:szCs w:val="28"/>
          <w:rtl w:val="true"/>
          <w:lang w:bidi="fa-IR"/>
        </w:rPr>
        <w:t>الّتی تنافی المطلوبیّة نفسا، لکن لا تنافیها رأسا، بل تؤکّده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 فإنّه لا یخلو عن 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معنی وجوب مقدّمة الواجب هو وجوب ذی المقدّمة، لا وجوب المقدّمة، و الوجوب الغیری هو وجوب الغیر، لا الوجوب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عرفت أنّه خلاف الظاهر بلا وجه 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جریان الاستصحاب فی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حکومة العقل فیه لا حکم للأصل، بل لا موضوع له، إذ لیس لموضوع الشکّ سبیل مع وجود الدلیل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یدلّ علیه الاستصحاب</w:t>
      </w:r>
      <w:r>
        <w:rPr>
          <w:rFonts w:eastAsia="IRNazanin" w:cs="IRNazanin"/>
          <w:color w:val="111111"/>
          <w:sz w:val="28"/>
          <w:szCs w:val="28"/>
          <w:rtl w:val="true"/>
          <w:lang w:bidi="fa-IR"/>
        </w:rPr>
        <w:t xml:space="preserve">». </w:t>
      </w:r>
      <w:bookmarkStart w:id="1411" w:name="pg12856_162917"/>
    </w:p>
    <w:p>
      <w:pPr>
        <w:pStyle w:val="BookText"/>
        <w:rPr/>
      </w:pPr>
      <w:bookmarkEnd w:id="1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لوازم وجود المستصحب واقعا لا تنزیلا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متوجّه إلی المکلّفین،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سیذکره آنفا من أنّ توجّه الخطاب إلی المکلّفین مبنیّ علی حضورهم مجلس الخطاب، أو شمول الخطاب للغائبین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خلاف المفروض، و الثانی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ظهور کلامه فی الموافقة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الموافقة الکلّیة فی لزوم الاحتیاط مطلقا من جهتی الإجمال الأصلی و الطارئ معا، و أمّا موافقته فی الاحتیاط من جهة الإجمال الأصلیّ الذاتیّ فقط، فلعدم استلزامها الموافقة فی الاحتیاط من الجهة الأخری لم یعدها من الموافقة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المختار فیهما وجوب الاحتیاط، فافهم</w:t>
      </w:r>
      <w:r>
        <w:rPr>
          <w:rFonts w:eastAsia="IRNazanin" w:cs="IRNazanin"/>
          <w:color w:val="111111"/>
          <w:sz w:val="28"/>
          <w:szCs w:val="28"/>
          <w:rtl w:val="true"/>
          <w:lang w:bidi="fa-IR"/>
        </w:rPr>
        <w:t>».</w:t>
      </w:r>
    </w:p>
    <w:p>
      <w:pPr>
        <w:pStyle w:val="Heading4"/>
        <w:numPr>
          <w:ilvl w:val="3"/>
          <w:numId w:val="1"/>
        </w:numPr>
        <w:rPr/>
      </w:pPr>
      <w:bookmarkStart w:id="1412" w:name="__RefHeading___Toc2647358_3224264995"/>
      <w:bookmarkStart w:id="1413" w:name="_Toc550"/>
      <w:bookmarkEnd w:id="1412"/>
      <w:r>
        <w:rPr>
          <w:rtl w:val="true"/>
        </w:rPr>
        <w:t>[</w:t>
      </w:r>
      <w:r>
        <w:rPr>
          <w:rtl w:val="true"/>
        </w:rPr>
        <w:t>فی الواجب المردّد بین متنافیین من جهة إجمال النصّ</w:t>
      </w:r>
      <w:r>
        <w:rPr>
          <w:rtl w:val="true"/>
        </w:rPr>
        <w:t>]</w:t>
      </w:r>
      <w:bookmarkEnd w:id="1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الإجمالی الأصلی و الطاری من حیث وجوب الاحتیاط و عدمه، و من حیث مانعیّة الإجمال الطاری من توجّه التکلیف دون الإجمال الأصلی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مانعیّة الاجمال الطاری علی تقدیره یستلزم صیرورة الإجمال، کالعجز فی عموم المانعیة عقلا من توجّه التکلیف بالمجمل إذا کان إجماله أصلیّا، و من بقائه إذا صار طاریا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 بالفرض، فالملزوم مثله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المستفاد عدم فقد النصّ و لا الإجمال الذاتی فی شی‌ء من الأحکام، و أنّ الإجمال الحاصل إنّما هو إجمال الطاری بواسطة عروض أسباب التقیّة، و الخفاء، و الإخفاء، و اختفاء الأوصیاء، و تظاهر الأعداء بسفک الدماء، و قتل الأوصیاء و الأولیاء، و تحریف الکتاب و السنن، و إظهار الفتن و المحن، و تغییر الأحکام، و إخفاء الامام، و تحلیل الحرام، و اتّباع الأصنام،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bookmarkStart w:id="1414" w:name="pg12856_162918"/>
    </w:p>
    <w:p>
      <w:pPr>
        <w:pStyle w:val="BookText"/>
        <w:rPr/>
      </w:pPr>
      <w:bookmarkEnd w:id="1414"/>
      <w:r>
        <w:rPr>
          <w:rFonts w:ascii="Amiri" w:hAnsi="Amiri" w:eastAsia="Amiri" w:cs="Amiri"/>
          <w:color w:val="111111"/>
          <w:sz w:val="28"/>
          <w:sz w:val="28"/>
          <w:szCs w:val="28"/>
          <w:rtl w:val="true"/>
          <w:lang w:bidi="ar-SA"/>
        </w:rPr>
        <w:t>رَطْبٍ وَ لا یابِسٍ إِلَّا فِی کِتابٍ مُبِینٍ</w:t>
      </w:r>
      <w:r>
        <w:rPr>
          <w:rStyle w:val="FootnoteAnchor"/>
          <w:rtl w:val="true"/>
        </w:rPr>
        <w:footnoteReference w:id="572"/>
      </w:r>
      <w:r>
        <w:rPr>
          <w:rFonts w:ascii="Amiri" w:hAnsi="Amiri" w:eastAsia="Amiri" w:cs="Amiri"/>
          <w:color w:val="111111"/>
          <w:sz w:val="28"/>
          <w:sz w:val="28"/>
          <w:szCs w:val="28"/>
          <w:rtl w:val="true"/>
          <w:lang w:bidi="ar-SA"/>
        </w:rPr>
        <w:t>و کُلَّ شَیْ‌ءٍ أَحْصَیْناهُ فِی إِمامٍ مُبِینٍ</w:t>
      </w:r>
      <w:r>
        <w:rPr>
          <w:rStyle w:val="FootnoteAnchor"/>
          <w:rtl w:val="true"/>
        </w:rPr>
        <w:footnoteReference w:id="573"/>
      </w:r>
      <w:r>
        <w:rPr>
          <w:rFonts w:ascii="IRNazanin" w:hAnsi="IRNazanin" w:eastAsia="IRNazanin"/>
          <w:color w:val="111111"/>
          <w:sz w:val="28"/>
          <w:sz w:val="28"/>
          <w:szCs w:val="28"/>
          <w:rtl w:val="true"/>
          <w:lang w:bidi="fa-IR"/>
        </w:rPr>
        <w:t>و قوله فی المتواتر عن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الجامعة،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الجامعة؟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صحیفة فیها کلّ حلال و حرام، و کلّ ما یحتاج إلیه الناس حتی أرش الخدش</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حدّ و لمن تجاوز الحدّ حدّ</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إلی غیر ذلک من نصوص الاحتیاط، و أنّه سبیل النجاة، و أخبار البیانیة، و نصوص بطلان الرأی و القیاس</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اشتراطه فی مرتبة سائر الشروط</w:t>
      </w:r>
      <w:r>
        <w:rPr>
          <w:rFonts w:eastAsia="IRNazanin" w:cs="IRNazanin"/>
          <w:color w:val="111111"/>
          <w:sz w:val="28"/>
          <w:szCs w:val="28"/>
          <w:rtl w:val="true"/>
          <w:lang w:bidi="fa-IR"/>
        </w:rPr>
        <w:t>».</w:t>
      </w:r>
    </w:p>
    <w:p>
      <w:pPr>
        <w:pStyle w:val="Heading4"/>
        <w:numPr>
          <w:ilvl w:val="3"/>
          <w:numId w:val="1"/>
        </w:numPr>
        <w:rPr/>
      </w:pPr>
      <w:bookmarkStart w:id="1415" w:name="__RefHeading___Toc2647360_3224264995"/>
      <w:bookmarkStart w:id="1416" w:name="_Toc551"/>
      <w:bookmarkEnd w:id="1415"/>
      <w:r>
        <w:rPr>
          <w:rtl w:val="true"/>
        </w:rPr>
        <w:t>[</w:t>
      </w:r>
      <w:r>
        <w:rPr>
          <w:rtl w:val="true"/>
        </w:rPr>
        <w:t>تعریض بنیة الوجه فی العبادة</w:t>
      </w:r>
      <w:r>
        <w:rPr>
          <w:rtl w:val="true"/>
        </w:rPr>
        <w:t>]</w:t>
      </w:r>
      <w:bookmarkEnd w:id="14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یدور الأمر بین إهماله و إهمال الشرط المجهول، بل لو سلّمنا ذلک فلا وجه لترجیح إهمال الشرط المجهول علی إهماله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اعتبار شرطیّة الوجه، و إلّا مزاحم للشرط المجهول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حاصله أنّه 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417" w:name="__RefHeading___Toc2647362_3224264995"/>
      <w:bookmarkStart w:id="1418" w:name="_Toc552"/>
      <w:bookmarkEnd w:id="1417"/>
      <w:r>
        <w:rPr>
          <w:rtl w:val="true"/>
        </w:rPr>
        <w:t>[</w:t>
      </w:r>
      <w:r>
        <w:rPr>
          <w:rtl w:val="true"/>
        </w:rPr>
        <w:t>المیسور لا یسقط بالمعسور</w:t>
      </w:r>
      <w:r>
        <w:rPr>
          <w:rtl w:val="true"/>
        </w:rPr>
        <w:t>]</w:t>
      </w:r>
      <w:bookmarkEnd w:id="1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العجز عن الشی‌ء المعتبر لا یقتضی سقوط اعتباره رأسا، بل بمقدار العجز عنه لدلیل العقل و النقل</w:t>
      </w:r>
      <w:r>
        <w:rPr>
          <w:rStyle w:val="FootnoteAnchor"/>
          <w:rtl w:val="true"/>
        </w:rPr>
        <w:footnoteReference w:id="577"/>
      </w:r>
      <w:r>
        <w:rPr>
          <w:rFonts w:ascii="IRNazanin" w:hAnsi="IRNazanin" w:eastAsia="IRNazanin"/>
          <w:color w:val="111111"/>
          <w:sz w:val="28"/>
          <w:sz w:val="28"/>
          <w:szCs w:val="28"/>
          <w:rtl w:val="true"/>
          <w:lang w:bidi="fa-IR"/>
        </w:rPr>
        <w:t>علی أنّ المیسور لا یسقط بالمعسور، ففرض العجز عن تعیین المقرّب، إنما یقتضی سقوط اعتبار تعیین المقرّب، لا سقوط اعتبار نیّة الجزم بإتیان المقرّب الحاصل من نیّة فعل کلّ منهما منضمّا إلی فعل الآخر، لا مع قطع النظر عن نیّة انضمام 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غیر کاف فی العبادات المعلومة التعبّد بها</w:t>
      </w:r>
      <w:r>
        <w:rPr>
          <w:rFonts w:eastAsia="IRNazanin" w:cs="IRNazanin"/>
          <w:color w:val="111111"/>
          <w:sz w:val="28"/>
          <w:szCs w:val="28"/>
          <w:rtl w:val="true"/>
          <w:lang w:bidi="fa-IR"/>
        </w:rPr>
        <w:t>».</w:t>
      </w:r>
    </w:p>
    <w:p>
      <w:pPr>
        <w:pStyle w:val="Heading4"/>
        <w:numPr>
          <w:ilvl w:val="3"/>
          <w:numId w:val="1"/>
        </w:numPr>
        <w:rPr/>
      </w:pPr>
      <w:bookmarkStart w:id="1419" w:name="__RefHeading___Toc2647364_3224264995"/>
      <w:bookmarkStart w:id="1420" w:name="_Toc553"/>
      <w:bookmarkEnd w:id="1419"/>
      <w:r>
        <w:rPr>
          <w:rtl w:val="true"/>
        </w:rPr>
        <w:t>[</w:t>
      </w:r>
      <w:r>
        <w:rPr>
          <w:rtl w:val="true"/>
        </w:rPr>
        <w:t>صورة النیّة فی کلّ من العبادات المتعدّدة عند الاحتیاط بإتیانها</w:t>
      </w:r>
      <w:r>
        <w:rPr>
          <w:rtl w:val="true"/>
        </w:rPr>
        <w:t>]</w:t>
      </w:r>
      <w:bookmarkEnd w:id="142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معلومیّة التعبّد بالعبادات لا یقتضی الجزم فی إتیان کلّ من محتملیه </w:t>
      </w:r>
      <w:bookmarkStart w:id="1421" w:name="pg12856_162919"/>
    </w:p>
    <w:p>
      <w:pPr>
        <w:pStyle w:val="BookText"/>
        <w:rPr/>
      </w:pPr>
      <w:bookmarkEnd w:id="1421"/>
      <w:r>
        <w:rPr>
          <w:rFonts w:ascii="IRNazanin" w:hAnsi="IRNazanin" w:eastAsia="IRNazanin"/>
          <w:color w:val="111111"/>
          <w:sz w:val="28"/>
          <w:sz w:val="28"/>
          <w:szCs w:val="28"/>
          <w:rtl w:val="true"/>
          <w:lang w:bidi="fa-IR"/>
        </w:rPr>
        <w:t>بإتیان الآخر، بل یکفی الجزم بإتیان المحتمل برجاء أنّه الواقع، و لهذا صحّ علی الأصحّ عبادة الجاهل المقصّر إذا صادف الواقع، و صحّ علی الأصحّ وقف الکافر و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عدم کفایته، و اعتبار الجزم حین فعله بإتیان صاحبته، فإنّما هو فی الأجزاء، أو ما هو فی حکم الأجزاء الارتباطیّة من العبادات المعلومة، کصلاة الاحتیاط بالنسبة إلی الصلاة المشکوکة الموجبة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المحتملات الغیر الارتباطیّة فلا موجب عند إتیان أحدها للجزم بإتیان الآخر، لأنّ هذا الجزم بإتیان الآخر لا یجعل المأتیّ به المحتمل مجزوم المصادفة، و المجهول معلوم المطابقة للواجب الواقعی، و عدمه لا یوجب عدم امتثال الواجب الواقعی علی ما هو علیه من احتمال المطابقة للمأتیّ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قصد امتثال الواجب الواقعی بوجه آخر فهو من الأحکام الواجبة علی المکلّف، لا من أوصاف المکلّف به حتی یجب اشتراطه فی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باعتبار نیّة الوجه 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نیّة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إتیان المکلّف به علی ما هو علیه من الوجه و الوصف الواقعی، إن کان معیّنا فعلی وجه التعیین، و إن کان مجملا فعلی وجه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الوجه حاصل فی إتیان کلّ من المحتملین برجاء الواجب الواقعی، و إن لم یجزم حین فعله بإتیان المحتمل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 إجمالا ضعفه</w:t>
      </w:r>
      <w:r>
        <w:rPr>
          <w:rFonts w:eastAsia="IRNazanin" w:cs="IRNazanin"/>
          <w:color w:val="111111"/>
          <w:sz w:val="28"/>
          <w:szCs w:val="28"/>
          <w:rtl w:val="true"/>
          <w:lang w:bidi="fa-IR"/>
        </w:rPr>
        <w:t>».</w:t>
      </w:r>
    </w:p>
    <w:p>
      <w:pPr>
        <w:pStyle w:val="Heading4"/>
        <w:numPr>
          <w:ilvl w:val="3"/>
          <w:numId w:val="1"/>
        </w:numPr>
        <w:rPr/>
      </w:pPr>
      <w:bookmarkStart w:id="1422" w:name="__RefHeading___Toc2647366_3224264995"/>
      <w:bookmarkStart w:id="1423" w:name="_Toc554"/>
      <w:bookmarkEnd w:id="1422"/>
      <w:r>
        <w:rPr>
          <w:rtl w:val="true"/>
        </w:rPr>
        <w:t>[</w:t>
      </w:r>
      <w:r>
        <w:rPr>
          <w:rtl w:val="true"/>
        </w:rPr>
        <w:t>تعریض بالأصل المثبت</w:t>
      </w:r>
      <w:r>
        <w:rPr>
          <w:rtl w:val="true"/>
        </w:rPr>
        <w:t>]</w:t>
      </w:r>
      <w:bookmarkEnd w:id="142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بعدم حجّیة الأصل المثبت للوازم الغیر الشرعیة من الوسائط العادیة و العقلیّة للأحکام الشرعیّة، نظرا إلی أنّ اللوازم الغیر الشرعیة للشی‌ء المستصحب لازمة لوجوده الواقعی، لا التعبّدی التنزیلی، إلّا أنّ الواسطة بین استصحاب الکلّی لإبقاء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جدّا، محکوم بالعدم </w:t>
      </w:r>
      <w:bookmarkStart w:id="1424" w:name="pg12856_162920"/>
    </w:p>
    <w:p>
      <w:pPr>
        <w:pStyle w:val="BookText"/>
        <w:rPr/>
      </w:pPr>
      <w:bookmarkEnd w:id="1424"/>
      <w:r>
        <w:rPr>
          <w:rFonts w:ascii="IRNazanin" w:hAnsi="IRNazanin" w:eastAsia="IRNazanin"/>
          <w:color w:val="111111"/>
          <w:sz w:val="28"/>
          <w:sz w:val="28"/>
          <w:szCs w:val="28"/>
          <w:rtl w:val="true"/>
          <w:lang w:bidi="fa-IR"/>
        </w:rPr>
        <w:t>عرفا، و لیست واسطة جلیّة کاستصحاب حیاة زید لإثبات حرمته المترتّبة علی واسطة شیخوخته و شیبوبته، أو لإثبات حقّ القصاص و الدیة علی من قدّه، المرتّبة علی واسطة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ما ذکرنا فلو ترک المصلّی المتحیّر فی القبلة، جمیع المحتملات لم یستحقّ إلّا عقابا واحدا</w:t>
      </w:r>
      <w:r>
        <w:rPr>
          <w:rFonts w:eastAsia="IRNazanin" w:cs="IRNazanin"/>
          <w:color w:val="111111"/>
          <w:sz w:val="28"/>
          <w:szCs w:val="28"/>
          <w:rtl w:val="true"/>
          <w:lang w:bidi="fa-IR"/>
        </w:rPr>
        <w:t>».</w:t>
      </w:r>
    </w:p>
    <w:p>
      <w:pPr>
        <w:pStyle w:val="Heading4"/>
        <w:numPr>
          <w:ilvl w:val="3"/>
          <w:numId w:val="1"/>
        </w:numPr>
        <w:rPr/>
      </w:pPr>
      <w:bookmarkStart w:id="1425" w:name="__RefHeading___Toc2647368_3224264995"/>
      <w:bookmarkStart w:id="1426" w:name="_Toc555"/>
      <w:bookmarkEnd w:id="1425"/>
      <w:r>
        <w:rPr>
          <w:rtl w:val="true"/>
        </w:rPr>
        <w:t>[</w:t>
      </w:r>
      <w:r>
        <w:rPr>
          <w:rtl w:val="true"/>
        </w:rPr>
        <w:t>مناقشة کلام الماتن فی ترتیبه وحدة عقاب تارک جمیع محتملات الواجب علی عدم مطلوبیّته شرعا</w:t>
      </w:r>
      <w:r>
        <w:rPr>
          <w:rtl w:val="true"/>
        </w:rPr>
        <w:t>]</w:t>
      </w:r>
      <w:bookmarkEnd w:id="14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تعدّد العقاب فی ترک جمیع المحتملات لیس مترتّبا علی عدم مطلوبیّة المحتملات شرعا، بل هو لازم أعمّ منه و من مطلوبیّته علی وجه الاستحباب أو الوجوب المردّد أو المخیّر بین المحتملات، فإنّ مطلوبیّة المحتملات علی کلّ من هذه الوجوه مطلوبیّة شرعیّة أصلیّة نفسیّة، و مع ذلک کلّه لا یترتّب علی ترکها إلّا عقاب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عدم تعدّد العقاب فی ترکها مترتّبا علی ما زعم من عدم مطلوبیّتها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المترتّب علی مطلوبیّتها الشرعیّ و عدمه، إنّما هو تعدّد الثواب و عدمه، لا تعدّد العقاب و عدمه، فقد عرفت أنّه لازم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غایة الأمر سقوط الشرط</w:t>
      </w:r>
      <w:r>
        <w:rPr>
          <w:rFonts w:eastAsia="IRNazanin" w:cs="IRNazanin"/>
          <w:color w:val="111111"/>
          <w:sz w:val="28"/>
          <w:szCs w:val="28"/>
          <w:rtl w:val="true"/>
          <w:lang w:bidi="fa-IR"/>
        </w:rPr>
        <w:t>».</w:t>
      </w:r>
    </w:p>
    <w:p>
      <w:pPr>
        <w:pStyle w:val="Heading4"/>
        <w:numPr>
          <w:ilvl w:val="3"/>
          <w:numId w:val="1"/>
        </w:numPr>
        <w:rPr/>
      </w:pPr>
      <w:bookmarkStart w:id="1427" w:name="__RefHeading___Toc2647370_3224264995"/>
      <w:bookmarkStart w:id="1428" w:name="_Toc556"/>
      <w:bookmarkEnd w:id="1427"/>
      <w:r>
        <w:rPr>
          <w:rtl w:val="true"/>
        </w:rPr>
        <w:t>[</w:t>
      </w:r>
      <w:r>
        <w:rPr>
          <w:rtl w:val="true"/>
        </w:rPr>
        <w:t>عدم سقوط الواجب المردّد شرطه بین غیر المحصور</w:t>
      </w:r>
      <w:r>
        <w:rPr>
          <w:rtl w:val="true"/>
        </w:rPr>
        <w:t>]</w:t>
      </w:r>
      <w:bookmarkEnd w:id="1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المشروط، لأنّ المیسور لا یسقط بالمعسور،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فاتوا منه ما استطعتم</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 انتفاء الشرط و القید إنّما یقتضی انتفاء وصف المشروط و المقیّد، لا ذات المشروط و المقیّد، أعنی المطلق الغیر المتّصف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یدلّ علیه العقل و النقل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الفرق بین الواجب المردّد بین امور غیر محصورة باعتبار شرطه، و بین الواجب المردّد باعتبار نفسه، باحتمال سقوط الواجب رأسا فی </w:t>
      </w:r>
      <w:bookmarkStart w:id="1429" w:name="pg12856_162921"/>
    </w:p>
    <w:p>
      <w:pPr>
        <w:pStyle w:val="BookText"/>
        <w:rPr/>
      </w:pPr>
      <w:bookmarkEnd w:id="1429"/>
      <w:r>
        <w:rPr>
          <w:rFonts w:ascii="IRNazanin" w:hAnsi="IRNazanin" w:eastAsia="IRNazanin"/>
          <w:color w:val="111111"/>
          <w:sz w:val="28"/>
          <w:sz w:val="28"/>
          <w:szCs w:val="28"/>
          <w:rtl w:val="true"/>
          <w:lang w:bidi="fa-IR"/>
        </w:rPr>
        <w:t>الثانی بواسطة احتمال کونه الفرد الغیر المیسور، بخلافه فی الأوّل، فإنّه لا یحتمل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الفرق لا یجدی تخصیص حکم العقل بالأوّل، دون الثانی، کما أشار إلیه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 کما فی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یجب مراعاة العلم التفصیلی فی ما نحن فیه لعدم استلزام إهماله فیه تردّدا زائدا فی الواجب، کما کان یستلزمه فی تکرار الصلاة فی الثوب المشتبه إلی أربع جهات بثمانیة صلوات فی أقلّ مراتب الزیادة، و احتمال التردّد بین 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430" w:name="__RefHeading___Toc2647372_3224264995"/>
      <w:bookmarkStart w:id="1431" w:name="_Toc557"/>
      <w:bookmarkEnd w:id="1430"/>
      <w:r>
        <w:rPr>
          <w:rtl w:val="true"/>
        </w:rPr>
        <w:t>[</w:t>
      </w:r>
      <w:r>
        <w:rPr>
          <w:rtl w:val="true"/>
        </w:rPr>
        <w:t>هل یعتبر إتیان جمیع محتملات التکلیف الأول قبل الاتیان بمحتملات التکلیف الثانی المترتّب علیه</w:t>
      </w:r>
      <w:r>
        <w:rPr>
          <w:rtl w:val="true"/>
        </w:rPr>
        <w:t>]</w:t>
      </w:r>
      <w:bookmarkEnd w:id="1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المختصّ یختلف باختلاف أحوال المکلّفین، فللمسافر مقدار رکعتین، و للحاضر أربع، و للمشتبه المسافر ثمانیة، و للمشتبه الحاضر ستّة عشر، مثلا، فحینئذ لو أتی بالعصر قبل الظهر من کلّ الجهات وقع العصر فی الوقت المختصّ بالظهر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الوقت المختصّ إنّما یلاحظ بالنسبة إلی الصلاة الواقعیّة، و هی الرکعتان للمسافر، و الأربع للحاضر، و الستّة عشر لیست من التکالیف الواقعة، بل هی من جهة العلم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صلّی الظهر و العصر فی جهة مخصوصة معیّنة، ثم انکشف أنّها جهة القبلة لم یلتزم أحد ببطلان العصر، مع التزامهم ببطلان العصر الواقعة فی الوقت المختصّ بالظهر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فإنّما یسلّم بالنسبة إلی بعض صور صلاة العصر، و هو أن یصلّیها إلی غیر الجهة الّتی صلّی الظهر إلیها، إذ هو احتمال یحتمل فی صلاة العصر علی تقدیر بطلان الظهر واقعا، إذ لو صحّت کان القبلة هی الجهة الّتی وقعت إلیها الظهر، لا الّتی وقعت إلیها العصر، و بعد فرض بطلان الظهر لم یتوجّه </w:t>
      </w:r>
      <w:bookmarkStart w:id="1432" w:name="pg12856_162922"/>
    </w:p>
    <w:p>
      <w:pPr>
        <w:pStyle w:val="BookText"/>
        <w:rPr/>
      </w:pPr>
      <w:bookmarkEnd w:id="1432"/>
      <w:r>
        <w:rPr>
          <w:rFonts w:ascii="IRNazanin" w:hAnsi="IRNazanin" w:eastAsia="IRNazanin"/>
          <w:color w:val="111111"/>
          <w:sz w:val="28"/>
          <w:sz w:val="28"/>
          <w:szCs w:val="28"/>
          <w:rtl w:val="true"/>
          <w:lang w:bidi="fa-IR"/>
        </w:rPr>
        <w:t>الأمر بالعصر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صلّی العصر إلی عین الجهة الّتی صلّی إلیها الظهر فلا، إذ هو احتمال لا یحتمل فیها إلّا علی فرض صحّة صلاة الظهر واقعا، و مع صحّتها یتوجّه الأمر بالعصر، فیصحّ حینئذ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یقتضی الأصل المنع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أصالة عدم الأمر لا یقتضی عدم الأمر واقعا حتی یمنع من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ما إذا دار الأمر فی الواجب بین الأقلّ و الأکثر، و مرجعه إلی الشکّ فی جزئیّة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433" w:name="__RefHeading___Toc2647374_3224264995"/>
      <w:bookmarkStart w:id="1434" w:name="_Toc558"/>
      <w:bookmarkEnd w:id="1433"/>
      <w:r>
        <w:rPr>
          <w:rtl w:val="true"/>
        </w:rPr>
        <w:t>[</w:t>
      </w:r>
      <w:r>
        <w:rPr>
          <w:rtl w:val="true"/>
        </w:rPr>
        <w:t xml:space="preserve">دوران الواجب بین الأقلّ و الأکثر الارتباطی </w:t>
      </w:r>
      <w:r>
        <w:rPr>
          <w:rtl w:val="true"/>
        </w:rPr>
        <w:t>«</w:t>
      </w:r>
      <w:r>
        <w:rPr>
          <w:rtl w:val="true"/>
        </w:rPr>
        <w:t>الشکّ فی الجزئیة</w:t>
      </w:r>
      <w:r>
        <w:rPr>
          <w:rtl w:val="true"/>
        </w:rPr>
        <w:t>»]</w:t>
      </w:r>
      <w:bookmarkEnd w:id="14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رجوعه إلی الشکّ فی جزئیّة شی‌ء، و الحال أنّ الشکّ بین الأقلّ و الأکثر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یرجع إلی الشکّ فی جزئیّة شی‌ء، و استقلالیّ لا یرجع إلی ما ذکر، أنّ المسألة من أقسام الشکّ فی المکلّف به، و الأقلّ و الأکثر الاستقلالیّ راجع إلی الشکّ فی التکلیف، و هو العلم التفصیلیّ بالأقلّ، و کون الشکّ فی الأکثر بدویّا فلا یدخل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یحتاج إلی تقیید عنوان المسألة بالأقلّ و الأکثر الارتباطی لیخرج الاستقلالیّ منه صریحا، بل و کذا یحتاج إلی تقیید الشکّ فی الشرطیّة و الجزئیّة فی ما نحن فیه بما یکون فی عرض المأمور به و ماهیّته، لا فی طوله و مقوّماته الخارجة عن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 الشرط و الجزء المشکوک ما یرجع إلی الشکّ فی طریق الإطاعة، کالشکّ فی شرطیّة العلم التفصیلی بتعیین المأمور به، و عدم کفایة العلم الإجمالی بتعیینه، فإنّه یرجع إلی الشکّ فی طریق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الشکّ فی کون الأمر توصّلیا، أم تعبّدیا یعتبر فیه القربة، فإنّه أیضا راجع إلی طریق الإطاعة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الشکّ فی اشتراط نیّة الوجه فی العبادات، فإنّه و إن کان من الشکّ </w:t>
      </w:r>
    </w:p>
    <w:p>
      <w:pPr>
        <w:pStyle w:val="BookText"/>
        <w:rPr/>
      </w:pPr>
      <w:r>
        <w:rPr>
          <w:rFonts w:ascii="IRNazanin" w:hAnsi="IRNazanin" w:eastAsia="IRNazanin"/>
          <w:color w:val="111111"/>
          <w:sz w:val="28"/>
          <w:sz w:val="28"/>
          <w:szCs w:val="28"/>
          <w:rtl w:val="true"/>
          <w:lang w:bidi="fa-IR"/>
        </w:rPr>
        <w:t>فی الشرطیّة إلّا أنّه مع ذلک خارج عن هذا النزاع لخروجه عن ماهیّة المأمور به، و إنّما هو من مقوّماته الخارجة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تأسیس الأصل العملی فی المسألة، ففی کونه الاحتیاط نظرا إلی قاعدة لزوم دفع الضرر المحتمل، أو البراءة نظرا إلی قاعدة قبح العقاب بلا بیان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الأخیر، نظرا إلی ورود قاعدة القبح علی قاعدة لزوم دفع الضرر، لرفع قاعدة القبح موضوع لزوم الدفع، و هو احتمال الضرر، فلم یبق بعدها شائبة المعارضة، سواء فرضنا قاعدة القبح قاعدة عقلیّة من مستقلّات العقل کقبح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فرضناها قاعدة شرعیّة مأخوذة من أخبار البراءة الثابتة بعد ثبوت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الفرق أنّه علی تقدیر کونها عقلیّة یتوسّع دائرتها لما قبل الشریعة، فلم یبق لوجوب شکر المنعم، و وجوب النظر فی المعجزة دلیل، و علی تقدیر کونها شرعیّة یتضیّق دائرتها بالاختصاص بما بعد ورود الشریعة و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تأسیس الأصل العملی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الدلیل، فالدلیل علی البراءة فی المسألة بعد تأسیس الأصل و قاعدة القبح بأحد وجهیه،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المنقولة، بل المحصّلة، بل الإجماع المنقول، بل المحصّل بین القدماء و المتأخّرین ممّن عدا السبزواری و تابعیه علی ما حکاه استادنا العلّامة، من تتبّع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علی تقدیر تسلیمه دلیل إقناعیّ لا 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جزء ذهنیّ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التعبیر عن الشرط بالجزء، کون التقیید داخلا و إن کان القید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القید إمّا أن یکون له وجود فی الخارج کالوضوء، أو لا کالمؤمنة فی </w:t>
      </w:r>
      <w:bookmarkStart w:id="1435" w:name="pg12856_162924"/>
    </w:p>
    <w:p>
      <w:pPr>
        <w:pStyle w:val="BookText"/>
        <w:rPr/>
      </w:pPr>
      <w:bookmarkEnd w:id="1435"/>
      <w:r>
        <w:rPr>
          <w:rFonts w:ascii="IRNazanin" w:hAnsi="IRNazanin" w:eastAsia="IRNazanin"/>
          <w:color w:val="111111"/>
          <w:sz w:val="28"/>
          <w:sz w:val="28"/>
          <w:szCs w:val="28"/>
          <w:rtl w:val="true"/>
          <w:lang w:bidi="fa-IR"/>
        </w:rPr>
        <w:t>الرقبة المؤمنة، فإنّ وصف الإیمان لا وجود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لا یرفع التکلیف بالاحتیاط عن المکلّف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یرفع موضوع الشکّ فی الجزئیّة و الشرطیّة، و من المعلوم أنّ رفع الموضوع من جهة القبح المستحیل علیه لا یوجب رفع الحکم علی فرض وجود الموضوع المستحیل، فإنّ فرض المحال غیر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الکلام فی المسألة من حیث عقاب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436" w:name="__RefHeading___Toc2647376_3224264995"/>
      <w:bookmarkStart w:id="1437" w:name="_Toc559"/>
      <w:bookmarkEnd w:id="1436"/>
      <w:r>
        <w:rPr>
          <w:rtl w:val="true"/>
        </w:rPr>
        <w:t>[</w:t>
      </w:r>
      <w:r>
        <w:rPr>
          <w:rtl w:val="true"/>
        </w:rPr>
        <w:t>إشارة إلی الحیثیتین فی أوامر الموالی</w:t>
      </w:r>
      <w:r>
        <w:rPr>
          <w:rtl w:val="true"/>
        </w:rPr>
        <w:t>]</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أوامر الموالی حیثیّتان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جلب المنفعة و تحصیل المصلحة، و حیثیّة دفع المفسدة و رفع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و إن کان حاکما بتوقّف الحیثیّة الاولی علی لزوم الاحتیاط، إلّا أنّه آب عن الحکم بتوقّف الحیثیّة الأخری علی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عدم لزوم الاحتیاط لإحراز لوازم متعلّق الأمر کالصحّة، و التقرّب، و صدق الماهیة، و غیر ذلک من لوازم عناوین ما تعلّق به الأمر حتّی علی مذهب الصحیحی أیضا ما لم یعلم من الخارج إناطة أمر المولی و تعلّق غرضه بحصول جهة المنفعة و المصلحة، کما فی ما نحن فیه، بخلاف ما لو علم ذلک، کما فی أوامر الطبیب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2647378_3224264995"/>
      <w:bookmarkStart w:id="1439" w:name="_Toc560"/>
      <w:bookmarkEnd w:id="1438"/>
      <w:r>
        <w:rPr>
          <w:rtl w:val="true"/>
        </w:rPr>
        <w:t>[</w:t>
      </w:r>
      <w:r>
        <w:rPr>
          <w:rtl w:val="true"/>
        </w:rPr>
        <w:t>مناقشة جواب الماتن علی إشکال لزوم إتیان کل ما شکّ فی مدخلیّته هنا</w:t>
      </w:r>
      <w:r>
        <w:rPr>
          <w:rtl w:val="true"/>
        </w:rPr>
        <w:t>]</w:t>
      </w:r>
      <w:bookmarkEnd w:id="14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کلّا من جوابیه المذکورین لا یتمّ إلّا علی بعض الأقوال الضعیفة الّتی لا یقول بها المجیب 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کلّ العجب من المصنّف فی المقام کیف اقتصر فی جواب المعترض علیه بجوابین لا یتمّ شی‌ء منهما علی المذهب المشهور، و لا علی مذهبه هو أیضا؟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جوابه الأوّل، فلابتنائه علی ما صرّح به من مذهب الأشاعرة دون </w:t>
      </w:r>
    </w:p>
    <w:p>
      <w:pPr>
        <w:pStyle w:val="BookText"/>
        <w:rPr/>
      </w:pPr>
      <w:r>
        <w:rPr>
          <w:rFonts w:ascii="IRNazanin" w:hAnsi="IRNazanin" w:eastAsia="IRNazanin"/>
          <w:color w:val="111111"/>
          <w:sz w:val="28"/>
          <w:sz w:val="28"/>
          <w:szCs w:val="28"/>
          <w:rtl w:val="true"/>
          <w:lang w:bidi="fa-IR"/>
        </w:rPr>
        <w:t>العدلیّة، أو علی مذهب الفصول، و هو بشی‌ء منهما 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جوابه الثانی، فلابتنائه أیضا علی القول باعتبار نیّة الوجه فی العبادات الّذی لا یقول به 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فی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یجاب عن ذلک الاعتراض،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المعارضة و الإجمال بأنّ استتباع الأوامر الشرعیّة للمصالح النفس الأمریّة، لو کان مقتضیا للاحتیاط، لا نسدّ باب العمل بما عداه من سائر الاصول العملیّة حتی فی مورد الشکّ فی التکلیف، و دوران الأمر بین الأقلّ و الأکثر الاستقلالیّ، بل و فی الشبهات الموضوعیّة من الشکّ فی التکلیف، و الحال أنّ اللازم باطل بالاتّفاق و الوفاق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التفصیل و الحلّ، بأنّ أمر الشارع و ترخیصه الرجوع إلی البراءة فی مشکوکات الوجوب من الأجزاء و الشروط کاشفة و حاکیة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عدم استتباع الأوامر الشرعیّة للخواصّ و المصالح، کما هو مذهب الأشاعرة</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باطلا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عن کون المصلحة و الخاصیّة قد یکون فی الأمر دون المأمور به، کما هو مذهب الفصول</w:t>
      </w:r>
      <w:r>
        <w:rPr>
          <w:rStyle w:val="FootnoteAnchor"/>
          <w:rtl w:val="true"/>
        </w:rPr>
        <w:footnoteReference w:id="581"/>
      </w:r>
      <w:r>
        <w:rPr>
          <w:rFonts w:ascii="IRNazanin" w:hAnsi="IRNazanin" w:eastAsia="IRNazanin"/>
          <w:color w:val="111111"/>
          <w:sz w:val="28"/>
          <w:sz w:val="28"/>
          <w:szCs w:val="28"/>
          <w:rtl w:val="true"/>
          <w:lang w:bidi="fa-IR"/>
        </w:rPr>
        <w:t>و غیره من بعض الفحول مستشهدا له بالأوامر الامتحانیة و الابتلائیة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عن کون المصلحة و الخاصیّة فی المأمور به لیست بذاتیة لا یتخلّف، بل هی قابلة للاختلاف بالوجوه و الاعتبارات الّتی من جملتها جهل المأمور و علمه، کما هو المشهور و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فتتبدّل المصلحة و الخاصیّة الکائنة الکامنة فی تمام الأجزاء بالنسبة إلی العالم بها بمصلحة و خاصیّة أخری </w:t>
      </w:r>
      <w:bookmarkStart w:id="1440" w:name="pg12856_162926"/>
    </w:p>
    <w:p>
      <w:pPr>
        <w:pStyle w:val="BookText"/>
        <w:rPr/>
      </w:pPr>
      <w:bookmarkEnd w:id="1440"/>
      <w:r>
        <w:rPr>
          <w:rFonts w:ascii="IRNazanin" w:hAnsi="IRNazanin" w:eastAsia="IRNazanin"/>
          <w:color w:val="111111"/>
          <w:sz w:val="28"/>
          <w:sz w:val="28"/>
          <w:szCs w:val="28"/>
          <w:rtl w:val="true"/>
          <w:lang w:bidi="fa-IR"/>
        </w:rPr>
        <w:t>فی ناقص الأجزاء بالنسبة إلی الجاهل بما عداها مثل المصلحة و الخاصیّة الاولی الکامنة فی تمام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کاشفة عن کون المصلحة و الخاصیّة الکائنة الکامنة فی المأمور به ممّا لا یتغیّر بنقصانها عن الجزء المشکوک بالنسبة إلی الجاهل کخواصّ بعض المعاجین الغیر المتغیّرة بنقصان بعض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کاشفة عن کون الفائت من المصلحة و الخاصیّة بواسطة العمل بالبراءة عن الجزء المشکوک فی عهدة الآمر المرخّص للعمل بالبراءة، فیتدارک و یتلافی ما یفوت من مصلحة المأمور به، بواسطة العمل بما جعله أصلا و مرجعا للجاهل، کما هو لازم کلّ حکیم یجعل لکیفیّة الوصول إلی أمره سبیلا من عنده، فإنّ ما یفوت من مصلحة أمره بسلوک السبیل المجعول له إنّما هو فی عهدته، و هو الضامن لتدارکه و تلافیه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عدم معذوریّة الجاهل المقصّر فهو للوجه الّذی لا یعذر فیه الجاهل</w:t>
      </w:r>
      <w:r>
        <w:rPr>
          <w:rFonts w:eastAsia="IRNazanin" w:cs="IRNazanin"/>
          <w:color w:val="111111"/>
          <w:sz w:val="28"/>
          <w:szCs w:val="28"/>
          <w:rtl w:val="true"/>
          <w:lang w:bidi="fa-IR"/>
        </w:rPr>
        <w:t>».</w:t>
      </w:r>
    </w:p>
    <w:p>
      <w:pPr>
        <w:pStyle w:val="Heading4"/>
        <w:numPr>
          <w:ilvl w:val="3"/>
          <w:numId w:val="1"/>
        </w:numPr>
        <w:rPr/>
      </w:pPr>
      <w:bookmarkStart w:id="1441" w:name="__RefHeading___Toc2647380_3224264995"/>
      <w:bookmarkStart w:id="1442" w:name="_Toc561"/>
      <w:bookmarkEnd w:id="1441"/>
      <w:r>
        <w:rPr>
          <w:rtl w:val="true"/>
        </w:rPr>
        <w:t>[</w:t>
      </w:r>
      <w:r>
        <w:rPr>
          <w:rtl w:val="true"/>
        </w:rPr>
        <w:t>عدم معذوریة الجاهل المقصّر</w:t>
      </w:r>
      <w:r>
        <w:rPr>
          <w:rtl w:val="true"/>
        </w:rPr>
        <w:t>]</w:t>
      </w:r>
      <w:bookmarkEnd w:id="1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الفرق و الفارق کون عدم معذوریّة الجاهل فی ما هو غیر معذور فیه، إنّما هو لأجل تقصیره فی تحصیل ما یمکنه العلم التفصیلی به من التکالیف المعلومة له إجمالا الثابتة علیه یقینا، بخلاف ما نحن فیه ممّا لم یتمکّن من تفصیله، و لم یقصّر فی تحصیله و رفع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لو علم إجمالا بکون أحد الإناءین الّذین أحدهما المعیّن نجس خمرا فإنّه یحکم بحلّیّة الطاهر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التنظیر نظر، بل منع لوجود الفرق و الفارق الواضح بین المقیس و المقیس علیه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الفرق فلکون العلم الإجمالی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المقیس فی ما نحن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بالانحلال و الحقیقة عین العلم التفصیلی بالأقلّ و الشکّ البدویّ بالأکثر، و فی المقیس علیه المشبّه به، علم إجمالی مستقلّ متطرّق علی علم تفصیلیّ مستقلّ، کالعلم التفصیلیّ المستقلّ المتطرّق علی علم إجمالی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الفارق الموضح لقوّة مجری البراءة فی المقیس دون المقیس علیه فهو انتفاء المقتضی للاحتیاط، و هو العلم الإجمالی فی الأوّل، أولا، و أصالة عدم مقتضاه و هو ثبوت التکلیف به، ثانیا، بخلاف الحال فی المثال، فإنّه بالعکس حیث إنّ نفس المقتضی للاحتیاط، و هو العلم الإجمالی موجود فیه، أوّلا، و أصالة بقاء مقتضاه و عدم سقوطه ثانیا، حیث إنّ الشکّ هاهنا إنّما هو فی سقوط التکلیف بمقتضی العلم الإجمالی بتوهّم مانعیّة العلم التفصیلی منه، و الأصل عدم سقوطه، و عدم مانعیّة العلم التفصیلی منه، و ثمّة فی ثبوت التکلیف،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فمثال تطرّق العلم الإجمالی بنجاسة أحد الإناءین علی العلم التفصیلی السابق بنجاسة المعیّن منهما حکمه حکم العکس، و هو تطرّق العلم التفصیلی بنجاسة المعیّن منهما، علی الإجمالیّ السابق بنجاسة أحدهما، فی عدم انقلاب الاحتیاط فیهما إلی البراءة، و عدم مانعیّة العلم التفصیلی من تأثیر العلم الإجمالی أثره، و إلّا للزم بواسطة تنجیسک طرفا معیّنا من أطراف الشبهة المحصورة و العلم الإجمالی بالتنجیس، و الحرمة انفتاح باب حلّیّة ارتکاب ما عدا ذلک الطرف المعیّن بتطرّق العلم التفصیلی علیه، و لم یلتزم به أحد من الاحتیاطیین فی العلم الإجمالی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مانعیّة العلم التفصیلی بنجاسة المعیّن من تأثیر العلم الإجمالی بها فیه، إنّما هو من تأثیر محلّ العلم التفصیلی بالعلم الإجمالی من جهة عدم قابلیّة المحلّ لتحصیل الحاصل، لا من تأثیر العلم الإجمالی أثره، و تأثّر ما عدا محلّ </w:t>
      </w:r>
      <w:bookmarkStart w:id="1443" w:name="pg12856_162928"/>
    </w:p>
    <w:p>
      <w:pPr>
        <w:pStyle w:val="BookText"/>
        <w:rPr/>
      </w:pPr>
      <w:bookmarkEnd w:id="1443"/>
      <w:r>
        <w:rPr>
          <w:rFonts w:ascii="IRNazanin" w:hAnsi="IRNazanin" w:eastAsia="IRNazanin"/>
          <w:color w:val="111111"/>
          <w:sz w:val="28"/>
          <w:sz w:val="28"/>
          <w:szCs w:val="28"/>
          <w:rtl w:val="true"/>
          <w:lang w:bidi="fa-IR"/>
        </w:rPr>
        <w:t>العلم التفصیلی الخالی من مانعیّة التأثیر و التأثّر به، خصوصا إذا اختلف تأثیر العلمین بالنجاسة، و الحرمة، أو الحقّین بحقّ اللّه و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المثال غیر مطابق للحال، و أنّ المطابق له التمثیل بالعلم الإجمالی بوجوب أحد الشیئین المتطرّق علیه العلم التفصیلی بتعیین الواجب بدلیل أو أمارة شرعیّة 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تردّد وجوبه بین الوجوب النفسیّ و الغیریّ مع العلم التفصیلی بورود الخطاب التفصیلی بوجوب الأقلّ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Style w:val="FootnoteAnchor"/>
          <w:rtl w:val="true"/>
        </w:rPr>
        <w:footnoteReference w:id="582"/>
      </w:r>
      <w:r>
        <w:rPr>
          <w:rFonts w:ascii="IRNazanin" w:hAnsi="IRNazanin" w:eastAsia="IRNazanin"/>
          <w:color w:val="111111"/>
          <w:sz w:val="28"/>
          <w:sz w:val="28"/>
          <w:szCs w:val="28"/>
          <w:rtl w:val="true"/>
          <w:lang w:bidi="fa-IR"/>
        </w:rPr>
        <w:t>من الخطابات المتضمّنة للأجزاء لا یوجب جریان عدم وجوب الأقلّ</w:t>
      </w:r>
      <w:r>
        <w:rPr>
          <w:rFonts w:eastAsia="IRNazanin" w:cs="IRNazanin"/>
          <w:color w:val="111111"/>
          <w:sz w:val="28"/>
          <w:szCs w:val="28"/>
          <w:rtl w:val="true"/>
          <w:lang w:bidi="fa-IR"/>
        </w:rPr>
        <w:t>».</w:t>
      </w:r>
    </w:p>
    <w:p>
      <w:pPr>
        <w:pStyle w:val="Heading4"/>
        <w:numPr>
          <w:ilvl w:val="3"/>
          <w:numId w:val="1"/>
        </w:numPr>
        <w:rPr/>
      </w:pPr>
      <w:bookmarkStart w:id="1444" w:name="__RefHeading___Toc2647382_3224264995"/>
      <w:bookmarkStart w:id="1445" w:name="_Toc562"/>
      <w:bookmarkEnd w:id="1444"/>
      <w:r>
        <w:rPr>
          <w:rtl w:val="true"/>
        </w:rPr>
        <w:t>[</w:t>
      </w:r>
      <w:r>
        <w:rPr>
          <w:rtl w:val="true"/>
        </w:rPr>
        <w:t>مناقشة کلام الماتن فی وجه عدم جریان أصل العدم فی الأقل</w:t>
      </w:r>
      <w:r>
        <w:rPr>
          <w:rtl w:val="true"/>
        </w:rPr>
        <w:t>]</w:t>
      </w:r>
      <w:bookmarkEnd w:id="14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ورود الخطاب التفصیلی بأجزاء المرکّب الارتباطی إنّما یوجب معلومیّة الأقلّ و العلم التفصیلی به، و الفرق بینه و بین الأکثر فی مجری أصالة العدم، و عدمه، علی ما اخترناه من عدم خلوّ الأوامر الغیریّة المقدّمیة عن الطلب و المطلوبیّة، لا علی ما اختاره المصنّف من خلوّ الأوامر الإرشادیة عن الطلب و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منع جریانه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المنع عدم الحاجة إلی الاستصحاب المبتنی جریانه علی ملاحظة الحالة السابقة فی مورد جریان قاعدتی الاحتیاط و الاشتغال الغیر المبتنیین علی 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لو قلنا بالأصل المثبت أمکن الاستدلال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استصحبنا نفس التکلیف لأجل وجوب إطاعته، لا </w:t>
      </w:r>
    </w:p>
    <w:p>
      <w:pPr>
        <w:pStyle w:val="BookText"/>
        <w:rPr/>
      </w:pPr>
      <w:r>
        <w:rPr>
          <w:rFonts w:ascii="IRNazanin" w:hAnsi="IRNazanin" w:eastAsia="IRNazanin"/>
          <w:color w:val="111111"/>
          <w:sz w:val="28"/>
          <w:sz w:val="28"/>
          <w:szCs w:val="28"/>
          <w:rtl w:val="true"/>
          <w:lang w:bidi="fa-IR"/>
        </w:rPr>
        <w:t>وجوب الأکثر لم یبتن علی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إطاعة التکلیف أیضا من الآثار و اللوازم العقلیّة لا الشرعیّة فعاد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نستصحب وجوب التکلیف السابق لا نفس التکلیف السابق حتّی یصیر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استصحاب وجوب الإطاعة عن کون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التکلیف بالأقلّ المتیقّن، أو الأکثر المشکوک، أو الأمر المردّد بینهما، فالمستصحب علی الأوّل غیر مشکوک فی اللاحق حتی یستصحب، و علی الثانی غیر متیقّن فی السابق حتّی یستصحب، و علی الثالث غیر سلیم عن المثبتیة حتّی یسلم له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الاشتغال الیقینی إنّما هو بالأقلّ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الاشتغال الیقینی إنّما یقتضی البراءة الیقینیة بقدر الاشتغال الیقینی و هو الأقلّ، لا الزائد المشکوک الأکثر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إلی مزید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لإمکان القول بانحصار مجری البراءة فی الأقلّ و الأکثر الغیر الارتباطیّ، حیث إنّ تحقّق موضوع الأقلّیة و الأکثریة فیه لا یتوقّف علی إجراء حکم البراءة، أو الاحتیاط، بخلاف الأقلّ و الأکثر الارتباطی، فإنّ تحقّق موضوع الأقلّیة فیه موقوف علی إجراء حکم البراءة، و حینئذ لا یتعقّل إجراءه ثانیا لتحقّق حکمه، و هو تعیین الوجوب فی الأقلّ بلزوم الدور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مزید التأمّل یعرف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و هو أنّ تحقّق موضوع الأکثریّة أیضا موقوف علی إجراء الاحتیاط، و بعد إجراءه لا یتعقّل إجراءه ثانیا لتشخیص حکم الأکثر</w:t>
      </w:r>
      <w:r>
        <w:rPr>
          <w:rFonts w:eastAsia="IRNazanin" w:cs="IRNazanin"/>
          <w:color w:val="111111"/>
          <w:sz w:val="28"/>
          <w:szCs w:val="28"/>
          <w:rtl w:val="true"/>
          <w:lang w:bidi="fa-IR"/>
        </w:rPr>
        <w:t xml:space="preserve">. </w:t>
      </w:r>
      <w:bookmarkStart w:id="1446" w:name="pg12856_162930"/>
    </w:p>
    <w:p>
      <w:pPr>
        <w:pStyle w:val="BookText"/>
        <w:rPr/>
      </w:pPr>
      <w:bookmarkEnd w:id="1446"/>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المراد من ارتباط الأقلّ و الأکثر فی ما نحن فیه هو الارتباط الشأنیّ المحتمل، لا الارتباط الفعلیّ حتّی یتوقّف تحقّق موضوع الأقلّیة علی إجراء البراءة، لأنّ الارتباط الفعلیّ فرع تعیین التکلیف بالأکثر، و 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فی قصد القربة قصد التخلّص من العقاب</w:t>
      </w:r>
      <w:r>
        <w:rPr>
          <w:rFonts w:eastAsia="IRNazanin" w:cs="IRNazanin"/>
          <w:color w:val="111111"/>
          <w:sz w:val="28"/>
          <w:szCs w:val="28"/>
          <w:rtl w:val="true"/>
          <w:lang w:bidi="fa-IR"/>
        </w:rPr>
        <w:t>».</w:t>
      </w:r>
    </w:p>
    <w:p>
      <w:pPr>
        <w:pStyle w:val="Heading4"/>
        <w:numPr>
          <w:ilvl w:val="3"/>
          <w:numId w:val="1"/>
        </w:numPr>
        <w:rPr/>
      </w:pPr>
      <w:bookmarkStart w:id="1447" w:name="__RefHeading___Toc2647384_3224264995"/>
      <w:bookmarkStart w:id="1448" w:name="_Toc563"/>
      <w:bookmarkEnd w:id="1447"/>
      <w:r>
        <w:rPr>
          <w:rtl w:val="true"/>
        </w:rPr>
        <w:t>[</w:t>
      </w:r>
      <w:r>
        <w:rPr>
          <w:rtl w:val="true"/>
        </w:rPr>
        <w:t>ما یحقّق قصد القربة</w:t>
      </w:r>
      <w:r>
        <w:rPr>
          <w:rtl w:val="true"/>
        </w:rPr>
        <w:t>]</w:t>
      </w:r>
      <w:bookmarkEnd w:id="1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الثواب و العقاب علی أجزاء المرکّب الارتباطی لا یتمّ علی مختار المصنّف من کون الأمر المقدّمی الغیریّ إرشادیّا محضا</w:t>
      </w:r>
      <w:r>
        <w:rPr>
          <w:rStyle w:val="FootnoteAnchor"/>
          <w:rtl w:val="true"/>
        </w:rPr>
        <w:footnoteReference w:id="584"/>
      </w:r>
      <w:r>
        <w:rPr>
          <w:rFonts w:ascii="IRNazanin" w:hAnsi="IRNazanin" w:eastAsia="IRNazanin"/>
          <w:color w:val="111111"/>
          <w:sz w:val="28"/>
          <w:sz w:val="28"/>
          <w:szCs w:val="28"/>
          <w:rtl w:val="true"/>
          <w:lang w:bidi="fa-IR"/>
        </w:rPr>
        <w:t>، لا یترتّب علیه سوی الوصول إلی المرشد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المرکّب التامّ فی ما نحن فیه، الدائر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یتمّ علی مختارنا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العلم بوجوبه المردّد بین النفسیّ و الغیریّ غیر محجوب، فهو غیر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علی مختار المصنّف من عدم ترتّب حکم علی الأمر الغیریّ المقدّمیّ سوی حصول المرشد إلیه، و الوصول إلی ذی المقدّمة، فهو غیر موضوع من باب السالبة بانتفاء الموضوع، إذ هو حینئذ لیس بحکم موجود حتی یرفع و یدفع بالأصل، بل هو معنی المقدّمیة الغیر القابلة للجعل و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الجزء و إن کان مقدّمة الکلّ فی الوجود لا عینه، إلّا أنّه عین الکلّ فی الترک، لانتفاء المرکّب بانتفاء کلّ من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لحکومة تلک الأخبار علی أخبار البراءة وجه</w:t>
      </w:r>
      <w:r>
        <w:rPr>
          <w:rFonts w:eastAsia="IRNazanin" w:cs="IRNazanin"/>
          <w:color w:val="111111"/>
          <w:sz w:val="28"/>
          <w:szCs w:val="28"/>
          <w:rtl w:val="true"/>
          <w:lang w:bidi="fa-IR"/>
        </w:rPr>
        <w:t>».</w:t>
      </w:r>
    </w:p>
    <w:p>
      <w:pPr>
        <w:pStyle w:val="Heading4"/>
        <w:numPr>
          <w:ilvl w:val="3"/>
          <w:numId w:val="1"/>
        </w:numPr>
        <w:rPr/>
      </w:pPr>
      <w:bookmarkStart w:id="1449" w:name="__RefHeading___Toc2647386_3224264995"/>
      <w:bookmarkStart w:id="1450" w:name="_Toc564"/>
      <w:bookmarkEnd w:id="1449"/>
      <w:r>
        <w:rPr>
          <w:rtl w:val="true"/>
        </w:rPr>
        <w:t>[</w:t>
      </w:r>
      <w:r>
        <w:rPr>
          <w:rtl w:val="true"/>
        </w:rPr>
        <w:t>الاستدلال بالأخبار علی البراءة من الأقلّ</w:t>
      </w:r>
      <w:r>
        <w:rPr>
          <w:rtl w:val="true"/>
        </w:rPr>
        <w:t>]</w:t>
      </w:r>
      <w:bookmarkEnd w:id="145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مبنیّ علی کون الأخبار الاحتیاط لصرف التعبّد و الوجوب </w:t>
      </w:r>
    </w:p>
    <w:p>
      <w:pPr>
        <w:pStyle w:val="BookText"/>
        <w:rPr/>
      </w:pPr>
      <w:r>
        <w:rPr>
          <w:rFonts w:ascii="IRNazanin" w:hAnsi="IRNazanin" w:eastAsia="IRNazanin"/>
          <w:color w:val="111111"/>
          <w:sz w:val="28"/>
          <w:sz w:val="28"/>
          <w:szCs w:val="28"/>
          <w:rtl w:val="true"/>
          <w:lang w:bidi="fa-IR"/>
        </w:rPr>
        <w:t>النفسی کما هو مذهب الأخباریّة</w:t>
      </w:r>
      <w:r>
        <w:rPr>
          <w:rStyle w:val="FootnoteAnchor"/>
          <w:rtl w:val="true"/>
        </w:rPr>
        <w:footnoteReference w:id="585"/>
      </w:r>
      <w:r>
        <w:rPr>
          <w:rFonts w:ascii="IRNazanin" w:hAnsi="IRNazanin" w:eastAsia="IRNazanin"/>
          <w:color w:val="111111"/>
          <w:sz w:val="28"/>
          <w:sz w:val="28"/>
          <w:szCs w:val="28"/>
          <w:rtl w:val="true"/>
          <w:lang w:bidi="fa-IR"/>
        </w:rPr>
        <w:t>فیها، و أمّا علی ما هو المشهور المنصور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لمحض الارشاد و الوجوب الغیریّ، و هو الوصول إلی الواقع و التحذّر عن مخالفة الواقع و ضرره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فتصیر محکومة لأخبار البراءة کمحکومیّة قاعدة الاحتیاط العقلیّ، و هو لزوم دفع الضرر المحتمل لها، سواء حملنا أخبار البراءة علی الحکم الظاهریّ و هو نفی الحکم عن الجاهل فی مرحلة الظاهر، أو حملناها علی الحکم الواقعیّ و هو نفی الحکم عن الجاهل فی مرحلة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حکومتها علی الاحتیاط الإرشادی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تقدیر نفیها الحکم الظاهریّ عن الجاهل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تقدیر نفیها الحکم الواقعیّ فأوضح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الاحتیاط یحتمل التعبّد و الوجوب النفسی، و یحتمل الإرشاد و الوجوب الغیریّ المقدّمیّ لأجل صرف الوصول إلی الواقع و التحذّر عن مخالفته و الوقوع فی ضرره، و علی کلّ من تقدیریه یحتمل فی أخبار البراءة أیضا الحکم الظاهریّ و الحکم الواقعی، بمعنی نفی حکم المشکوک للشاکّ فی مرحلة الواقع لا الظاهر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کون أخبار الاحتیاط إرشادیّة، فهی کالاحتیاط العقلیّ الثابت بقاعدة دفع الضرر المحتمل محکومة لأخبار البراءة مطلقا، و إن قلنا بأنّ البراءة حکم ظاهریّ لا واقعیّ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تقدیر کونها تعبّدیة نفسیّة، فهی حاکمة علی أخبار البراءة مطلقا، و لو قلنا بأنّها حکم واقعیّ ناف لحکم المشکوک عن الشاکّ فی متن الواقع، لا فی مرحلة الظاهر خاصّة، و ذلک لأنّ الحکومة نوع من التخصیص، فنفی الحکم المشکوک فی الواقع عن الشاکّ لا ینافی مطلوبیة الاحتیاط التعبّدی فی </w:t>
      </w:r>
      <w:bookmarkStart w:id="1451" w:name="pg12856_162932"/>
    </w:p>
    <w:p>
      <w:pPr>
        <w:pStyle w:val="BookText"/>
        <w:rPr/>
      </w:pPr>
      <w:bookmarkEnd w:id="1451"/>
      <w:r>
        <w:rPr>
          <w:rFonts w:ascii="IRNazanin" w:hAnsi="IRNazanin" w:eastAsia="IRNazanin"/>
          <w:color w:val="111111"/>
          <w:sz w:val="28"/>
          <w:sz w:val="28"/>
          <w:szCs w:val="28"/>
          <w:rtl w:val="true"/>
          <w:lang w:bidi="fa-IR"/>
        </w:rPr>
        <w:t>مورده، لأنّه کتخصیص المنفیّ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نفی الحکم المشکوک فی الواقع إنّما ینافی مطلوبیّة الاحتیاط الإرشادی للتوصّل إلی إحراز الواقع و التحذّر من الوقوع فی خلافه و ضرره، لانتفاء موضوعه بأخبار البراءة المفروض نفیها الحکم الواقعی، فلهذا کانت البراءة علی هذا التقدیر حاکمة علی الاحتیاط، و علی تقدیر تعبّدیة الاحتیاط محکومة للاحتیاط، 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یظهر حکومة هذه الأخبار علی استصحاب الاشتغال علی تقدیر القول بالأصل المثبت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452" w:name="__RefHeading___Toc2647388_3224264995"/>
      <w:bookmarkStart w:id="1453" w:name="_Toc565"/>
      <w:bookmarkEnd w:id="1452"/>
      <w:r>
        <w:rPr>
          <w:rtl w:val="true"/>
        </w:rPr>
        <w:t>[</w:t>
      </w:r>
      <w:r>
        <w:rPr>
          <w:rtl w:val="true"/>
        </w:rPr>
        <w:t>مناقشة کلام الماتن فی حکومة اخبار البراءة علی استصحاب الاشتغال فی ما نحن فیه</w:t>
      </w:r>
      <w:r>
        <w:rPr>
          <w:rtl w:val="true"/>
        </w:rPr>
        <w:t>]</w:t>
      </w:r>
      <w:bookmarkEnd w:id="1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المحکوم لأصل البراءة إنّما هو استصحاب الاشتغال بخصوص الأکثر، لعدم کونه المتیقّن سابقا، و المتوقّف علی الأصل المثبت منه فی المقام إنّما هو استصحاب الاشتغال بوجوب الکلّی المردّد بین الأقلّ و الأکثر الحاکم علی أصل البراءة لتیقّنه السابق، فالّذی هو محکوم لأصل البراءة غیر الأصل المثبت، و الّذی هو أصل مثبت غیر محکوم، بل حاکم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المستصحب إمّا وجوب الأقلّ، أو الأکثر، أو الکلّی الدائر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 جهة عدم شکّه اللاحق لا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 جهة عدم تیقّنه السابق محکوم لأدلّة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من جهة تیقّنه السابق و تقدیر الأصل المثبت حاکم علی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العموم أوّلا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لاستلزام العموم لصیرورة جمیع الأجزاء و الشروط فی العبادات و المعاملات شروطا علمیّة، و اختیاریّة، و ذکریّة، لا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الالتزام به </w:t>
      </w:r>
      <w:bookmarkStart w:id="1454" w:name="pg12856_162933"/>
    </w:p>
    <w:p>
      <w:pPr>
        <w:pStyle w:val="BookText"/>
        <w:rPr/>
      </w:pPr>
      <w:bookmarkEnd w:id="1454"/>
      <w:r>
        <w:rPr>
          <w:rFonts w:ascii="IRNazanin" w:hAnsi="IRNazanin" w:eastAsia="IRNazanin"/>
          <w:color w:val="111111"/>
          <w:sz w:val="28"/>
          <w:sz w:val="28"/>
          <w:szCs w:val="28"/>
          <w:rtl w:val="true"/>
          <w:lang w:bidi="fa-IR"/>
        </w:rPr>
        <w:t>فی العبادات بعید، بل فی المعاملات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تخصیص ذلک العموم فی کثیر من أجزاء العبادات، بل فی أکثر أجزاء المعاملات تخصیص بالأکثر المستهجن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منع کون الجزئیّة أمرا مجعولا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455" w:name="__RefHeading___Toc2647390_3224264995"/>
      <w:bookmarkStart w:id="1456" w:name="_Toc566"/>
      <w:bookmarkEnd w:id="1455"/>
      <w:r>
        <w:rPr>
          <w:rtl w:val="true"/>
        </w:rPr>
        <w:t>[</w:t>
      </w:r>
      <w:r>
        <w:rPr>
          <w:rtl w:val="true"/>
        </w:rPr>
        <w:t>تعرض بمسألة کون الجزئیّة مجعولة شرعا أم لا؟</w:t>
      </w:r>
      <w:r>
        <w:rPr>
          <w:rtl w:val="true"/>
        </w:rPr>
        <w:t>]</w:t>
      </w:r>
      <w:bookmarkEnd w:id="1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سببیّة التلف للضمان و الدلوک لإیجاب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سببیّة واقعیّة، کسببیّة النار للإحراق، فهو من الأوصاف و اللوازم الخارجیّة القهریّة للأحکام التکلیفیة، و من ضروریّات علم الحکمة أنّ الأوصاف و لوازم الماهیّة غیر قابلة لجعل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وصف زوجیّة الأربعة، و مکتوبیة المکتوب غیر قابلة لإیجاد علی حدة وراء إیجاد الکتابة من الکاتب؟</w:t>
      </w:r>
    </w:p>
    <w:p>
      <w:pPr>
        <w:pStyle w:val="BookText"/>
        <w:rPr/>
      </w:pPr>
      <w:r>
        <w:rPr>
          <w:rFonts w:ascii="IRNazanin" w:hAnsi="IRNazanin" w:eastAsia="IRNazanin"/>
          <w:color w:val="111111"/>
          <w:sz w:val="28"/>
          <w:sz w:val="28"/>
          <w:szCs w:val="28"/>
          <w:rtl w:val="true"/>
          <w:lang w:bidi="fa-IR"/>
        </w:rPr>
        <w:t>و إن لم تکن سببیّة واقعیّة فلم یتصور لها وراء إیجاد الحکم التکلیفی من وجوب الضمان، و الصلاة شی‌ء سوی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الجعل فی الأحکام الوضعیّة هو هذه الملاحظة، لا الجعل المختصّ بالأحکام التکلیفیة الّذی هو معنی الاختراع و الانشاء المقابل للإخبار القائم بنفس الجاعل و المخترع، و إلّا فالأحکام الوضعیّة أوصاف خارجیّة اعتباریّة منتزعة عن الأحکام التکلیفیّة کانتزاع الجهات الستّ من کلّ موجود، لا أحکام مجعولة شرعیّة غیر الأحکام التکلیفیة و لو قلنا بمقالة الأشعریّة من أنّ الأحکام الشرعیّة غیر کاشفة عن المصالح</w:t>
      </w:r>
      <w:r>
        <w:rPr>
          <w:rStyle w:val="FootnoteAnchor"/>
          <w:rtl w:val="true"/>
        </w:rPr>
        <w:footnoteReference w:id="586"/>
      </w:r>
      <w:r>
        <w:rPr>
          <w:rFonts w:ascii="IRNazanin" w:hAnsi="IRNazanin" w:eastAsia="IRNazanin"/>
          <w:color w:val="111111"/>
          <w:sz w:val="28"/>
          <w:sz w:val="28"/>
          <w:szCs w:val="28"/>
          <w:rtl w:val="true"/>
          <w:lang w:bidi="fa-IR"/>
        </w:rPr>
        <w:t>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المصنّف لتتمیم هذه المسألة فی بحث الاستصحاب عند التفصیل فی حجّیّة الاستصحاب بین الأحکام الوضعیّة و التکلیفیّة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یترتّب فی المقام علی کون الجزئیّة أمرا مجعولا شرعیّا، أو منجعلا بإیجاب المرکّب، هو إجراء أصالة عدم جزئیّة المشکوک علی الجعل </w:t>
      </w:r>
    </w:p>
    <w:p>
      <w:pPr>
        <w:pStyle w:val="BookText"/>
        <w:rPr/>
      </w:pPr>
      <w:r>
        <w:rPr>
          <w:rFonts w:ascii="Amiri" w:hAnsi="Amiri" w:eastAsia="Amiri" w:cs="Amiri"/>
          <w:color w:val="111111"/>
          <w:sz w:val="28"/>
          <w:sz w:val="28"/>
          <w:szCs w:val="28"/>
          <w:rtl w:val="true"/>
          <w:lang w:bidi="ar-SA"/>
        </w:rPr>
        <w:t>لکون الشکّ فیه شکّا</w:t>
      </w:r>
      <w:r>
        <w:rPr>
          <w:rStyle w:val="FootnoteAnchor"/>
          <w:rtl w:val="true"/>
        </w:rPr>
        <w:footnoteReference w:id="587"/>
      </w:r>
      <w:r>
        <w:rPr>
          <w:rFonts w:ascii="IRNazanin" w:hAnsi="IRNazanin" w:eastAsia="IRNazanin"/>
          <w:color w:val="111111"/>
          <w:sz w:val="28"/>
          <w:sz w:val="28"/>
          <w:szCs w:val="28"/>
          <w:rtl w:val="true"/>
          <w:lang w:bidi="fa-IR"/>
        </w:rPr>
        <w:t>فی الحدوث، و عدم إجرائه علی القول الآخر لکونه شکّا فی الحادث، و لا عبرة بالأصل فیه، بل لا مجری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منع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الإیراد باستلزام العموم، صیرورة جمیع الأجزاء و الشروط فی العبادات، بل و المعاملات شروطا علمیّة و ذکریّة و اختیاریّة لا واقعیّة، أو استلزام التخصیص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الإیراد الثانی راجع إلی استلزام الجعل العلی حدة فی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تباینهما الجزئی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مورد تصادقهما ففی نفی الحکم الوضعی من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مورد تفارقهما، فمن طرف الروایة هو نفی الحکم التکلیفی من الوجوب و الحرمة، و من طرف الأصلین هو نفی الموضوعات الخارجیّة کنفی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فی الملازمة الّتی صرّح بها فی قوله و إلّا لدلّت هذه الأخبار علی نفی حجّیة الطرق الظنیّة کخبر الواحد و غیره منعا واضحا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 الواضح بینهما، فإنّ الأدلّة الظنّیة أدلة اجتهادیة ناظرة إلی الواقع، بخلاف الاستصحاب من الأدلّة الفقاهیة</w:t>
      </w:r>
      <w:r>
        <w:rPr>
          <w:rStyle w:val="FootnoteAnchor"/>
          <w:rtl w:val="true"/>
        </w:rPr>
        <w:footnoteReference w:id="589"/>
      </w:r>
      <w:r>
        <w:rPr>
          <w:rFonts w:ascii="IRNazanin" w:hAnsi="IRNazanin" w:eastAsia="IRNazanin"/>
          <w:color w:val="111111"/>
          <w:sz w:val="28"/>
          <w:sz w:val="28"/>
          <w:szCs w:val="28"/>
          <w:rtl w:val="true"/>
          <w:lang w:bidi="fa-IR"/>
        </w:rPr>
        <w:t>الغیر الناظرة إلی الواقع، و إذ ظهر الفرق بینهما ظهر عدم الملازمة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bookmarkStart w:id="1457" w:name="pg12856_162935"/>
    </w:p>
    <w:p>
      <w:pPr>
        <w:pStyle w:val="BookText"/>
        <w:rPr/>
      </w:pPr>
      <w:bookmarkEnd w:id="1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علاوة فرق آخر بین نفس الأصلین المقتضی حکومة البراءة علی الاشتغال، و هو ناظریّة البراءة بمدلوله اللفظیّ إلی رفع الاحتمال الّذی هو موضوع الاشتغال،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أولی من العکس</w:t>
      </w:r>
      <w:r>
        <w:rPr>
          <w:rFonts w:eastAsia="IRNazanin" w:cs="IRNazanin"/>
          <w:color w:val="111111"/>
          <w:sz w:val="28"/>
          <w:szCs w:val="28"/>
          <w:rtl w:val="true"/>
          <w:lang w:bidi="fa-IR"/>
        </w:rPr>
        <w:t>».</w:t>
      </w:r>
    </w:p>
    <w:p>
      <w:pPr>
        <w:pStyle w:val="Heading4"/>
        <w:numPr>
          <w:ilvl w:val="3"/>
          <w:numId w:val="1"/>
        </w:numPr>
        <w:rPr/>
      </w:pPr>
      <w:bookmarkStart w:id="1458" w:name="__RefHeading___Toc2647392_3224264995"/>
      <w:bookmarkStart w:id="1459" w:name="_Toc567"/>
      <w:bookmarkEnd w:id="1458"/>
      <w:r>
        <w:rPr>
          <w:rtl w:val="true"/>
        </w:rPr>
        <w:t>[</w:t>
      </w:r>
      <w:r>
        <w:rPr>
          <w:rtl w:val="true"/>
        </w:rPr>
        <w:t xml:space="preserve">فی دوران الواجب بین الأقلّ و الأکثر الارتباطی </w:t>
      </w:r>
      <w:r>
        <w:rPr>
          <w:rtl w:val="true"/>
        </w:rPr>
        <w:t>«</w:t>
      </w:r>
      <w:r>
        <w:rPr>
          <w:rtl w:val="true"/>
        </w:rPr>
        <w:t>الشک فی الجزئیة</w:t>
      </w:r>
      <w:r>
        <w:rPr>
          <w:rtl w:val="true"/>
        </w:rPr>
        <w:t xml:space="preserve">» </w:t>
      </w:r>
      <w:r>
        <w:rPr>
          <w:rtl w:val="true"/>
        </w:rPr>
        <w:t>لإجمال النصّ</w:t>
      </w:r>
      <w:r>
        <w:rPr>
          <w:rtl w:val="true"/>
        </w:rPr>
        <w:t>]</w:t>
      </w:r>
      <w:bookmarkEnd w:id="1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الشکّ فی الجزئیّة حینئذ شکّ فی متعلّق الأمر الحادث، لا فی حدوث أمر زائد تدریجیّ الحصول حتی یرتفع بالأصل، و من المقرّر عند العقلاء عدم اعتبار الأصل فی الشکّ فی الحادث، بل لا مجری له، بخلافه فی الشکّ فی الحدوث فإنّه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لحصول الالتفات فیه قطعا،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عدم الالتفات لا یستلزم الغفلة الممتنعة علی الشارح، لأنّ المراد نفی الالتفات الخاصّ علی وجه الجزئیّة و الوجوب، لا نفی مطلق الالتفات الممتنع علی العالم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بأحد أسباب الاجمال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الاشتراک المعنوی، أو اللفظی، أو اشتباه اللفظ بین مادّتین مختلفتین معنی،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عکنة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ثم الکاف ثم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الصحاح و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الطیّ الّذی فی البطن من السمن</w:t>
      </w:r>
      <w:r>
        <w:rPr>
          <w:rStyle w:val="FootnoteAnchor"/>
          <w:rtl w:val="true"/>
        </w:rPr>
        <w:footnoteReference w:id="591"/>
      </w:r>
      <w:r>
        <w:rPr>
          <w:rFonts w:ascii="IRNazanin" w:hAnsi="IRNazanin" w:eastAsia="IRNazanin"/>
          <w:color w:val="111111"/>
          <w:sz w:val="28"/>
          <w:sz w:val="28"/>
          <w:szCs w:val="28"/>
          <w:rtl w:val="true"/>
          <w:lang w:bidi="fa-IR"/>
        </w:rPr>
        <w:t>، و ما انطوی و تثنّی من لحم البطن سمنا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هو متعلّق بمصداق المراد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بینهما هو الفرق بین الشبهة الموضوعیّة و الحکمیّة، المعبّر </w:t>
      </w:r>
    </w:p>
    <w:p>
      <w:pPr>
        <w:pStyle w:val="BookText"/>
        <w:rPr/>
      </w:pPr>
      <w:r>
        <w:rPr>
          <w:rFonts w:ascii="IRNazanin" w:hAnsi="IRNazanin" w:eastAsia="IRNazanin"/>
          <w:color w:val="111111"/>
          <w:sz w:val="28"/>
          <w:sz w:val="28"/>
          <w:szCs w:val="28"/>
          <w:rtl w:val="true"/>
          <w:lang w:bidi="fa-IR"/>
        </w:rPr>
        <w:t>عنها بالشبهة المصداقیّة و المفهومیّة، من حیث إنّ الاشتباه فی الأوّل ناشئ عن طروّ الموانع الخارجیّة، کالظلمة العارضة للشبح المرئیّ و نحوها، ممّا یکون رفعه برفعها، لا بیان الشارع، و الاشتباه فی الثانی ناشئ عن الجهل فی أصل متعلّق التکلیف و عنوانه، أو الجهل فی کیفیّة المتعلّق من العموم و الخصوص و الإطلاق و التقیید و نحوه، ممّا یکون بیانه من شأن الشارع، لا من شأن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 الفرق الفارق اسما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النظر موقوف علی توضیح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المعتبرة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حکمیّة مستفادة من حکم الشارع بالصحّة الظاهریّة المستفادة من الأدلّة الظاهریة، و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یجری فیها البراءة لا الاحتیاط،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صحّة اسمیّة داخلة فی اسم الصلاة، و مستفادة من وضعها له شرعا حتی یتعیّن فیها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الصحّة الحکمیّة المنتزعة عن الامتثال بألفاظ العبادات لا یعقل أخذها قیدا للموضوع له اللفظ منها، و إلّا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یکون الشکّ فی حصول تلک الصحّة شکّا</w:t>
      </w:r>
      <w:r>
        <w:rPr>
          <w:rStyle w:val="FootnoteAnchor"/>
          <w:rtl w:val="true"/>
        </w:rPr>
        <w:footnoteReference w:id="593"/>
      </w:r>
      <w:r>
        <w:rPr>
          <w:rFonts w:ascii="IRNazanin" w:hAnsi="IRNazanin" w:eastAsia="IRNazanin"/>
          <w:color w:val="111111"/>
          <w:sz w:val="28"/>
          <w:sz w:val="28"/>
          <w:szCs w:val="28"/>
          <w:rtl w:val="true"/>
          <w:lang w:bidi="fa-IR"/>
        </w:rPr>
        <w:t>فی حصول المصداق المأمور به حتی یوجب الاحتیاط</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الفاسد فی طرف القول بالأعمّ من الصحیح و الفاسد، لیس الفاسد بحسب اسم الصلاة و وضعها له حتی یکون خروجه موجبا للعود إلی القول بالصحیح فی الثمرة، بل الفاسد بحسب الواقع، الصحیح بحسب ظاهر الإسم و الوضع للأعمّ منه فی الظاهر، و لهذا یجری فیه أصالة الإطلاق و عدم التقیید بالصحّة</w:t>
      </w:r>
      <w:r>
        <w:rPr>
          <w:rFonts w:eastAsia="IRNazanin" w:cs="IRNazanin"/>
          <w:color w:val="111111"/>
          <w:sz w:val="28"/>
          <w:szCs w:val="28"/>
          <w:rtl w:val="true"/>
          <w:lang w:bidi="fa-IR"/>
        </w:rPr>
        <w:t xml:space="preserve">. </w:t>
      </w:r>
      <w:bookmarkStart w:id="1460" w:name="pg12856_162937"/>
    </w:p>
    <w:p>
      <w:pPr>
        <w:pStyle w:val="BookText"/>
        <w:rPr/>
      </w:pPr>
      <w:bookmarkEnd w:id="146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هنا موانع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461" w:name="__RefHeading___Toc2647394_3224264995"/>
      <w:bookmarkStart w:id="1462" w:name="_Toc568"/>
      <w:bookmarkEnd w:id="1461"/>
      <w:r>
        <w:rPr>
          <w:rtl w:val="true"/>
        </w:rPr>
        <w:t>[</w:t>
      </w:r>
      <w:r>
        <w:rPr>
          <w:rtl w:val="true"/>
        </w:rPr>
        <w:t>دراسة وجوه المنع عن الأخذ بإطلاقات العبادات فی هذا الباب</w:t>
      </w:r>
      <w:r>
        <w:rPr>
          <w:rtl w:val="true"/>
        </w:rPr>
        <w:t>]</w:t>
      </w:r>
      <w:bookmarkEnd w:id="146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بأنّ المراد من الصلاة و نحوها من مطلقات الکتاب و السنّة شی‌ء معیّن عند المتکلّم یوجب إجمال المطلق، فلا مسرح للتمسّک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ورود التقییدات الکثیرة بمطلقات الکتاب و السنة یوهن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الصلاة بمجمل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یوجب إجمالها، فلم یبق لها إطلاق، کما لم یبق عموم للعامّ المخصّص بمجمل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بأنّ المراد من جمیع الألفاظ الصادرة عن المتکلّم شی‌ء معیّن عنده من المعانی الحقیقة و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 إجمال الإرادة لا یوجب إجمال الدلالة بعد ثبوت ظهورها و لو بالأصل، کما أنّ إجمال الدلالة لا یوجب إجمال الإرادة بعد ظهورها، بل کلّ منهما یستتبع الآخر فیرفع الإجمال إلّا فی صورة تساویهما فی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إیجاب التقیید فی المطلق الوهن فی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هذا القول، و لکن نمنع اطّراده فی مطلق التقیید الکثیر، بل فی خصوص ما لو بلغ الکثرة إلی حدّ العجز عن إحصائه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المذکور مذکور فی ذیل أخبار لیلة المعراج محتمل بفتح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إخبارا عن کون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إنشاء للصلاة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الجواب لم یطّرد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و هو المراد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لکنّها قابلة للدفع أو غیر مطّردة</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إن کان تطبیق عمل المصلّی علی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خصوصیات الحرکة، و السکون، و الوقف، و الوصل، و غیر ذلک من الکیفیّات الخاصّة المتعذّرة للمکلّف، فمن المعلوم امتناعه مطلقا، سواء کان الطلب للوجوب أم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المطلوب وجوب التطبیق علیه بحسب القدرة و الإمکان، فمن المعلوم منعه، للعلم الإجمالی باشتمال صلاته صلّی اللّه علیه و آله علی کثیر من المستحبّات فلا وجه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المطلوب استحباب التطبیق علیه بحسب القدرة، فمن المعلوم عدم لزوم الاتیان بمعلوم الاستحباب فضلا عن مجهوله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عموم التشبیه، أعنی الأمر بالصلاة الشبیهة بصلاته فی جمیع الامور إلّا ما خرج بالدلیل کالعادیات، أو الصلاة المشتملة علی کلّ ما یحتمل کونه من الأجزاء و الشروط إلّا ما خرج کالعادیات، فالخبر و إن کان مبنی صالحا لأن یوجب إجمال الإطلاقات، إلّا أنّه مرجوح باستلزامه تخصیص الأکثر من العادیات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الصلاة الشبیهة بصلاته فی الأجزاء و الشروط الواقعیّة، فهو مجمل، فیبقی الإطلاقات مبیّنة له، لا مجملة بإجماله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التشبیه الحقیقی، بل هو للترغیب و التسهیل و التهیج، کقولک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الدواء کما أشرب إناء و یقرب منه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و آله کما صلّیت علی إبراهیم</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لیس للتشبیه من جمیع الجهات و الخصوصیات، بل من جهة خاصّة من الکیفیّة، </w:t>
      </w:r>
      <w:bookmarkStart w:id="1463" w:name="pg12856_162939"/>
    </w:p>
    <w:p>
      <w:pPr>
        <w:pStyle w:val="BookText"/>
        <w:rPr/>
      </w:pPr>
      <w:bookmarkEnd w:id="1463"/>
      <w:r>
        <w:rPr>
          <w:rFonts w:ascii="Amiri" w:hAnsi="Amiri" w:eastAsia="Amiri" w:cs="Amiri"/>
          <w:color w:val="111111"/>
          <w:sz w:val="28"/>
          <w:sz w:val="28"/>
          <w:szCs w:val="28"/>
          <w:rtl w:val="true"/>
          <w:lang w:bidi="ar-SA"/>
        </w:rPr>
        <w:t>أو الکمّیّة، ضرورة أفضلیّة المشبّه من المشبّه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بالأعمّ،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هذه ثمرة علمیّة لا عملیّة، أو شأنیّة لا فعلیّة، لتوقّفها علی تقدیر وجود النصّ و الاطلاق للأعمّی، و إلّا فهو مشارک للصحیحی فی المرجع، و هو مناف لظاهر کلماتهم من بناء الأعمّی علی البراءة مطلقا لأصالة الإطلاق و 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لیته 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إشارة إلی أنّ جمیع الموانع المذکورة لوهن الإطلاق مدفوعة بأصالة الإطلاق، و عدم التقیید، حتی الورود مورد بیان أصل التشریع و حکم آخر غیر الإطلاق، فإنّه مخالف للأصل الأصیل، و لا یصار إلیه إلّا بدلیل</w:t>
      </w:r>
      <w:r>
        <w:rPr>
          <w:rFonts w:eastAsia="IRNazanin" w:cs="IRNazanin"/>
          <w:color w:val="111111"/>
          <w:sz w:val="28"/>
          <w:szCs w:val="28"/>
          <w:rtl w:val="true"/>
          <w:lang w:bidi="fa-IR"/>
        </w:rPr>
        <w:t>.</w:t>
      </w:r>
    </w:p>
    <w:p>
      <w:pPr>
        <w:pStyle w:val="Heading4"/>
        <w:numPr>
          <w:ilvl w:val="3"/>
          <w:numId w:val="1"/>
        </w:numPr>
        <w:rPr/>
      </w:pPr>
      <w:bookmarkStart w:id="1464" w:name="__RefHeading___Toc2647396_3224264995"/>
      <w:bookmarkStart w:id="1465" w:name="_Toc569"/>
      <w:bookmarkEnd w:id="1464"/>
      <w:r>
        <w:rPr>
          <w:rtl w:val="true"/>
        </w:rPr>
        <w:t>[</w:t>
      </w:r>
      <w:r>
        <w:rPr>
          <w:rtl w:val="true"/>
        </w:rPr>
        <w:t>هل یشترط عدم مطلق فی البین للتخییر بین المتعارضین</w:t>
      </w:r>
      <w:r>
        <w:rPr>
          <w:rtl w:val="true"/>
        </w:rPr>
        <w:t>]</w:t>
      </w:r>
      <w:bookmarkEnd w:id="14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اشتراط التخییر بین المتکافئین بعدم وجود مطلق فی البین، لأنّه إن کان الأصل الأوّلی فیهما التساقط، فعدم اشتراط التخییر به من باب السالبة بانتفاء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الأصل فیهما التخییر، فالأصل و إطلاق التخییر عدم اشتراطه بعدم المطلق</w:t>
      </w:r>
      <w:r>
        <w:rPr>
          <w:rFonts w:eastAsia="IRNazanin" w:cs="IRNazanin"/>
          <w:color w:val="111111"/>
          <w:sz w:val="28"/>
          <w:szCs w:val="28"/>
          <w:rtl w:val="true"/>
          <w:lang w:bidi="fa-IR"/>
        </w:rPr>
        <w:t>.</w:t>
      </w:r>
    </w:p>
    <w:p>
      <w:pPr>
        <w:pStyle w:val="Heading4"/>
        <w:numPr>
          <w:ilvl w:val="3"/>
          <w:numId w:val="1"/>
        </w:numPr>
        <w:rPr/>
      </w:pPr>
      <w:bookmarkStart w:id="1466" w:name="__RefHeading___Toc2647398_3224264995"/>
      <w:bookmarkStart w:id="1467" w:name="_Toc570"/>
      <w:bookmarkEnd w:id="1466"/>
      <w:r>
        <w:rPr>
          <w:rtl w:val="true"/>
        </w:rPr>
        <w:t>[</w:t>
      </w:r>
      <w:r>
        <w:rPr>
          <w:rtl w:val="true"/>
        </w:rPr>
        <w:t>الفرق بین المرجّح و المرجع</w:t>
      </w:r>
      <w:r>
        <w:rPr>
          <w:rtl w:val="true"/>
        </w:rPr>
        <w:t>]</w:t>
      </w:r>
      <w:bookmarkEnd w:id="1467"/>
    </w:p>
    <w:p>
      <w:pPr>
        <w:pStyle w:val="BookText"/>
        <w:rPr/>
      </w:pPr>
      <w:r>
        <w:rPr>
          <w:rFonts w:ascii="IRNazanin" w:hAnsi="IRNazanin" w:eastAsia="IRNazanin"/>
          <w:color w:val="111111"/>
          <w:sz w:val="28"/>
          <w:sz w:val="28"/>
          <w:szCs w:val="28"/>
          <w:rtl w:val="true"/>
          <w:lang w:bidi="fa-IR"/>
        </w:rPr>
        <w:t xml:space="preserve">و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اشتراطه بعدم المطلق، بأنّ المطلق علی کلّ من تقدیری مرجّحیته و مرجعیّته هو المعتبر، لا المتکافئین، فیکون اعتبار التخییر بینهما مشروطا بعدم المطلق، لأنّ مفهوم التخییر بینهما هو المنع عن الرجوع فی موردهما إلی الأصل العملی، لا اللفظی المفروض هو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من أنّه علی تقدیر مرجّحیة المطلق یسلم الاشتراط</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تقدیر مرجعیّته یکون حاله حال سائر الاصول العملیّة فی </w:t>
      </w:r>
    </w:p>
    <w:p>
      <w:pPr>
        <w:pStyle w:val="BookText"/>
        <w:rPr/>
      </w:pPr>
      <w:r>
        <w:rPr>
          <w:rFonts w:ascii="IRNazanin" w:hAnsi="IRNazanin" w:eastAsia="IRNazanin"/>
          <w:color w:val="111111"/>
          <w:sz w:val="28"/>
          <w:sz w:val="28"/>
          <w:szCs w:val="28"/>
          <w:rtl w:val="true"/>
          <w:lang w:bidi="fa-IR"/>
        </w:rPr>
        <w:t>المحکومیّة لأدلّة التخییر بینهما، کمحکومیّته لأدلّة تعیین أحدهما من غیر فرق، فاشتراط عدمه إنّما هو علی تقدیر المرجّحیة لا المرجعیة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الاصول العملیّة و اللفظیة فی المحکومیّة لأدلّة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المفروض ورود التخییر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فتخیّر</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بعد فرض الراوی التساوی من جمیع الجهات، و انتفاء جمیع المرجّحات، فکیف تقدّم علیها؟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إشکال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اختصاص أخبار التخییر بمورد تکافؤ المتعارضین، و انتفاء المرجّح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المرجّح و المرجع أنّ المرجّح فی عرض المرجّح و فی رتبته، و المرجع فی طول الراجع و أنزل من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الأمارة المعتبرة من جهة الکشف و المرآتیّة المفیدة للظنّ بأقربیة المرجّح إلی الواقع، و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التعبّدیّ المجعول للرجوع إلیه فی مقام العمل بعد تکافؤ الدلیلین و تساقطهما، و هو من سنخ الاصول العملیّة، کالبراءة و الاحتیاط، أو اللفظیّة، کأصالة عدم التقیید علی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ما إذا وجب صوم شهر 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خارج عن الأقلّ و الأکثر الارتباطی، بل الارتباطی منه الداخل فی محلّ النزاع هو الشکّ فی دخول اللیل المغیّی به وجوب صوم النهار بواسطة عروض غیم و نحوه من الموانع الخارجیّة من الرؤیة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ما أمر بالطهور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468" w:name="pg12856_162941"/>
    </w:p>
    <w:p>
      <w:pPr>
        <w:pStyle w:val="Heading4"/>
        <w:numPr>
          <w:ilvl w:val="3"/>
          <w:numId w:val="1"/>
        </w:numPr>
        <w:rPr/>
      </w:pPr>
      <w:bookmarkStart w:id="1469" w:name="__RefHeading___Toc2647400_3224264995"/>
      <w:bookmarkStart w:id="1470" w:name="_Toc571"/>
      <w:bookmarkEnd w:id="1468"/>
      <w:bookmarkEnd w:id="1469"/>
      <w:r>
        <w:rPr>
          <w:rtl w:val="true"/>
        </w:rPr>
        <w:t>[</w:t>
      </w:r>
      <w:r>
        <w:rPr>
          <w:rtl w:val="true"/>
        </w:rPr>
        <w:t>الشک فی القیدیة</w:t>
      </w:r>
      <w:r>
        <w:rPr>
          <w:rtl w:val="true"/>
        </w:rPr>
        <w:t>]</w:t>
      </w:r>
      <w:bookmarkEnd w:id="1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جزئیّة شی‌ء للوضوء، و عدمه، کالشکّ فی جزئیة غسل باطن العکنة، و الأذن، و محلّ الخاتم، و ثقب الأذن، و نحوه، داخل فی ما سبق من الشبهة الحکمیّة، و خارج عمّا نحن فیه من الشبهة الموضوعیّة، إلّا أن یراد منه الشکّ فی حصول ذلک الجزء المعلوم الجزئیّة و عدمه، و فی وصول الماء إلی ذلک المحلّ المعلوم الجزئیّة و عدمه بواسطة مانع خارجیّ من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فالمطلق و المقیّد من قبیل المتباینین، لا الأقلّ و الأکثر</w:t>
      </w:r>
      <w:r>
        <w:rPr>
          <w:rFonts w:eastAsia="IRNazanin" w:cs="IRNazanin"/>
          <w:color w:val="111111"/>
          <w:sz w:val="28"/>
          <w:szCs w:val="28"/>
          <w:rtl w:val="true"/>
          <w:lang w:bidi="fa-IR"/>
        </w:rPr>
        <w:t>».</w:t>
      </w:r>
    </w:p>
    <w:p>
      <w:pPr>
        <w:pStyle w:val="Heading4"/>
        <w:numPr>
          <w:ilvl w:val="3"/>
          <w:numId w:val="1"/>
        </w:numPr>
        <w:rPr/>
      </w:pPr>
      <w:bookmarkStart w:id="1471" w:name="__RefHeading___Toc2647402_3224264995"/>
      <w:bookmarkStart w:id="1472" w:name="_Toc572"/>
      <w:bookmarkEnd w:id="1471"/>
      <w:r>
        <w:rPr>
          <w:rtl w:val="true"/>
        </w:rPr>
        <w:t>[</w:t>
      </w:r>
      <w:r>
        <w:rPr>
          <w:rtl w:val="true"/>
        </w:rPr>
        <w:t>النسبة بین المطلق و المقید</w:t>
      </w:r>
      <w:r>
        <w:rPr>
          <w:rtl w:val="true"/>
        </w:rPr>
        <w:t>]</w:t>
      </w:r>
      <w:bookmarkEnd w:id="1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قبیل الأقلّ و الأکثر بشرط لا، لا اللابشرط، و حاصل توجیهه ذلک راجع إلی انتفاء القدر المشترک بینهما، و اتّحاد کلّ من الوجودین فی الذهن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الخارج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الذهن فبأنّ المطلوب من المطلق هو الماهیّة المقیّد بلا شرط و الشیوع، دون الماهیّة المعرّاة عن جمیع القیود حتی عن قید الإطلاق، فإنّ الماهیة من حیث هی لیست إلّا هی، فلا یعقل طلبها من المکلّف، و به تمسّک بعض مانعی اجتماع الأمر و النهی، لإرجاع الاجتماع إلی الاجتماع فی الواحد الشخصیّ، و تعلّق الطلب بالفرد لا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شیوع المطلق المطلوب و لا بشرطیّته، من الأوصاف العارضة للمطلق بعد تحقّق الطلب بواسطة حکم العقل بقبح التکلیف بما لا یطاق، لا من الأوصاف المأخوذة قیدا فی المطلق المطلوب حتی ینتفی القدر المشترک الذهنی بینه و بین المقیّد المطلوب، کما توهّم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ثبت أنّ القدر المشترک بینهما هو ماهیة المطلق المعرّاة عن قید الاطلاق بحسب الذهن، فلا یقدح فی إجراء البراءة اتّحاد کلّ من وجودی المطلق </w:t>
      </w:r>
      <w:bookmarkStart w:id="1473" w:name="pg12856_162942"/>
    </w:p>
    <w:p>
      <w:pPr>
        <w:pStyle w:val="BookText"/>
        <w:rPr/>
      </w:pPr>
      <w:bookmarkEnd w:id="1473"/>
      <w:r>
        <w:rPr>
          <w:rFonts w:ascii="IRNazanin" w:hAnsi="IRNazanin" w:eastAsia="IRNazanin"/>
          <w:color w:val="111111"/>
          <w:sz w:val="28"/>
          <w:sz w:val="28"/>
          <w:szCs w:val="28"/>
          <w:rtl w:val="true"/>
          <w:lang w:bidi="fa-IR"/>
        </w:rPr>
        <w:t>و المقیّد المطلوب بحسب الخارج</w:t>
      </w:r>
      <w:r>
        <w:rPr>
          <w:rFonts w:eastAsia="IRNazanin" w:cs="IRNazanin"/>
          <w:color w:val="111111"/>
          <w:sz w:val="28"/>
          <w:szCs w:val="28"/>
          <w:rtl w:val="true"/>
          <w:lang w:bidi="fa-IR"/>
        </w:rPr>
        <w:t>.</w:t>
      </w:r>
    </w:p>
    <w:p>
      <w:pPr>
        <w:pStyle w:val="Heading4"/>
        <w:numPr>
          <w:ilvl w:val="3"/>
          <w:numId w:val="1"/>
        </w:numPr>
        <w:rPr/>
      </w:pPr>
      <w:bookmarkStart w:id="1474" w:name="__RefHeading___Toc2647404_3224264995"/>
      <w:bookmarkStart w:id="1475" w:name="_Toc573"/>
      <w:bookmarkEnd w:id="1474"/>
      <w:r>
        <w:rPr>
          <w:rtl w:val="true"/>
        </w:rPr>
        <w:t>[</w:t>
      </w:r>
      <w:r>
        <w:rPr>
          <w:rtl w:val="true"/>
        </w:rPr>
        <w:t>افتراق المطلق و المقیّد عن المتباینین</w:t>
      </w:r>
      <w:r>
        <w:rPr>
          <w:rtl w:val="true"/>
        </w:rPr>
        <w:t>]</w:t>
      </w:r>
      <w:bookmarkEnd w:id="1475"/>
    </w:p>
    <w:p>
      <w:pPr>
        <w:pStyle w:val="BookText"/>
        <w:rPr/>
      </w:pPr>
      <w:r>
        <w:rPr>
          <w:rFonts w:ascii="IRNazanin" w:hAnsi="IRNazanin" w:eastAsia="IRNazanin"/>
          <w:color w:val="111111"/>
          <w:sz w:val="28"/>
          <w:sz w:val="28"/>
          <w:szCs w:val="28"/>
          <w:rtl w:val="true"/>
          <w:lang w:bidi="fa-IR"/>
        </w:rPr>
        <w:t>و ممّا یشهد علی افتراق المطلق و المقیّد عن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الاحتیاط فی المتباینین هو الإتیان بکلاهما، و فی المطلق و المقیّد هو الإتیان بالمقیّد فقط، فلو کان المقیّد مبائنا للمطلق لکان الاحتیاط فیه هو الجمع بین إتیان المطلق مرّة و المقیّد أخری، و فی الواجب المشکوک تعیینه و تخییره هو الجمع بینهما أیضا، لا الاکتفاء بالمقیّد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ینطبق علی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السرّ فی إیجاب الاحتیاط فی المقام إنّما هو إلحاقه بالمتباینین، فالقول به فی الملحق مع عدم القول به فی الملحق به 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فالمسائل الأربع فی الشرط حکمها حکم مسائل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مجری البراءة فی ثلاثة منها،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النصّ، و إجماله، و تعارض النصّین، و الاحتیاط فی رابعها، و هو الشبهة الموضوعیّة، کالاشتباه فی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فالحکم فیه استصحاب الهیئة الاتّصالیة، لأنّ القاطع هو المانع المخصوص بالهیئة، فالشکّ فیه شکّ فی المانعیّة الراجعة إلی الشکّ فی شرطیّة عدمه</w:t>
      </w:r>
      <w:r>
        <w:rPr>
          <w:rFonts w:eastAsia="IRNazanin" w:cs="IRNazanin"/>
          <w:color w:val="111111"/>
          <w:sz w:val="28"/>
          <w:szCs w:val="28"/>
          <w:rtl w:val="true"/>
          <w:lang w:bidi="fa-IR"/>
        </w:rPr>
        <w:t>».</w:t>
      </w:r>
    </w:p>
    <w:p>
      <w:pPr>
        <w:pStyle w:val="Heading4"/>
        <w:numPr>
          <w:ilvl w:val="3"/>
          <w:numId w:val="1"/>
        </w:numPr>
        <w:rPr/>
      </w:pPr>
      <w:bookmarkStart w:id="1476" w:name="__RefHeading___Toc2647406_3224264995"/>
      <w:bookmarkStart w:id="1477" w:name="_Toc574"/>
      <w:bookmarkEnd w:id="1476"/>
      <w:r>
        <w:rPr>
          <w:rtl w:val="true"/>
        </w:rPr>
        <w:t>[</w:t>
      </w:r>
      <w:r>
        <w:rPr>
          <w:rtl w:val="true"/>
        </w:rPr>
        <w:t>الشک فی القاطعیة</w:t>
      </w:r>
      <w:r>
        <w:rPr>
          <w:rtl w:val="true"/>
        </w:rPr>
        <w:t>]</w:t>
      </w:r>
      <w:bookmarkEnd w:id="1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الفرق انّ القاطع فرع وجود المقتضی فیصحّ استصحاب بقاء المقتضی عند الشکّ فی القاطعیّة، بخلاف المانع فإنّه لما لم یتفرّع علی وجود المقتضی اختصّ بمجری البراءة عند الشکّ فی المانعیّة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الشکّ فی الجزئیّة</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2647408_3224264995"/>
      <w:bookmarkStart w:id="1479" w:name="_Toc575"/>
      <w:bookmarkEnd w:id="1478"/>
      <w:r>
        <w:rPr>
          <w:rtl w:val="true"/>
        </w:rPr>
        <w:t>[</w:t>
      </w:r>
      <w:r>
        <w:rPr>
          <w:rtl w:val="true"/>
        </w:rPr>
        <w:t>تصویر الشک فی الجزئیة لمنشا الشک فی الحکم التکلیفی النفسی للمشکوک جزئیته</w:t>
      </w:r>
      <w:r>
        <w:rPr>
          <w:rtl w:val="true"/>
        </w:rPr>
        <w:t>]</w:t>
      </w:r>
      <w:bookmarkEnd w:id="147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بالنسبة إلی الشکّ فی الجزئیّة مجرّد فرض، إذ لا یعقل أن ینشئ الجزئیّة من التکلیف النفسی حتی صار الشکّ فیها من الشکّ فیه، </w:t>
      </w:r>
      <w:bookmarkStart w:id="1480" w:name="pg12856_162943"/>
    </w:p>
    <w:p>
      <w:pPr>
        <w:pStyle w:val="BookText"/>
        <w:rPr/>
      </w:pPr>
      <w:bookmarkEnd w:id="1480"/>
      <w:r>
        <w:rPr>
          <w:rFonts w:ascii="IRNazanin" w:hAnsi="IRNazanin" w:eastAsia="IRNazanin"/>
          <w:color w:val="111111"/>
          <w:sz w:val="28"/>
          <w:sz w:val="28"/>
          <w:szCs w:val="28"/>
          <w:rtl w:val="true"/>
          <w:lang w:bidi="fa-IR"/>
        </w:rPr>
        <w:t>و لهذا ضرب علی لفظ الجزئیّة فی بعض النسخ المصحّحة</w:t>
      </w:r>
      <w:r>
        <w:rPr>
          <w:rStyle w:val="FootnoteAnchor"/>
          <w:rtl w:val="true"/>
        </w:rPr>
        <w:footnoteReference w:id="599"/>
      </w:r>
      <w:r>
        <w:rPr>
          <w:rFonts w:ascii="IRNazanin" w:hAnsi="IRNazanin" w:eastAsia="IRNazanin"/>
          <w:color w:val="111111"/>
          <w:sz w:val="28"/>
          <w:sz w:val="28"/>
          <w:szCs w:val="28"/>
          <w:rtl w:val="true"/>
          <w:lang w:bidi="fa-IR"/>
        </w:rPr>
        <w:t>، بل و نقل عن المصنّف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یعقل أن یکون منشئ الشکّ فی الجزئیّة الشکّ فی التکلیف النفسی لم یعقل فی الشکّ فی الشرطیّة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مثّل للشکّ فی الشرطیّة الناشئة عن التکلیف النفسی بالشکّ فی اشتراط صحّة الصلاة بمعرفة أحکامها و خللها الناشئ شکّه عن وجوب تلک المعرفة نفسا و عدمه، کذلک یمکن أن یمثّل للشکّ فی الجزئیّة الناشئة عن الشکّ فی التکلیف النفسی بالشکّ فی جزئیّة الصلوات فی الصلاة من جهة الشکّ فی وجوبها النفسی عند ذکر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ینشئ الشکّ فی شرطیّة إباحة المکان فی الصلاة عن الشکّ فی حرمة الغصب، کذلک الشکّ فی جزئیّة الاستعاذة فی الصلاة ناشئ عن الشکّ فی وجوب الاستعاذة عند قراءة القرآن، فیکون أصالة البراءة فی هذا الحکم التکلیفی النفسی حاکما علی الأصل فی الجزئیّة و الشرطیّة، بناء علی حکومة الأصل فی الشکّ السببی علی الأصل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 فی اللغة و العرف معروف</w:t>
      </w:r>
      <w:r>
        <w:rPr>
          <w:rFonts w:eastAsia="IRNazanin" w:cs="IRNazanin"/>
          <w:color w:val="111111"/>
          <w:sz w:val="28"/>
          <w:szCs w:val="28"/>
          <w:rtl w:val="true"/>
          <w:lang w:bidi="fa-IR"/>
        </w:rPr>
        <w:t>».</w:t>
      </w:r>
    </w:p>
    <w:p>
      <w:pPr>
        <w:pStyle w:val="Heading4"/>
        <w:numPr>
          <w:ilvl w:val="3"/>
          <w:numId w:val="1"/>
        </w:numPr>
        <w:rPr/>
      </w:pPr>
      <w:bookmarkStart w:id="1481" w:name="__RefHeading___Toc2647410_3224264995"/>
      <w:bookmarkStart w:id="1482" w:name="_Toc576"/>
      <w:bookmarkEnd w:id="1481"/>
      <w:r>
        <w:rPr>
          <w:rtl w:val="true"/>
        </w:rPr>
        <w:t>[</w:t>
      </w:r>
      <w:r>
        <w:rPr>
          <w:rtl w:val="true"/>
        </w:rPr>
        <w:t>فی الشک فی رکنیة الجزء</w:t>
      </w:r>
      <w:r>
        <w:rPr>
          <w:rtl w:val="true"/>
        </w:rPr>
        <w:t>]</w:t>
      </w:r>
      <w:bookmarkEnd w:id="1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الجانب الخاصّ، أو مطلق الجانب، کما فی المجمع</w:t>
      </w:r>
      <w:r>
        <w:rPr>
          <w:rStyle w:val="FootnoteAnchor"/>
          <w:rtl w:val="true"/>
        </w:rPr>
        <w:footnoteReference w:id="600"/>
      </w:r>
      <w:r>
        <w:rPr>
          <w:rFonts w:ascii="IRNazanin" w:hAnsi="IRNazanin" w:eastAsia="IRNazanin"/>
          <w:color w:val="111111"/>
          <w:sz w:val="28"/>
          <w:sz w:val="28"/>
          <w:szCs w:val="28"/>
          <w:rtl w:val="true"/>
          <w:lang w:bidi="fa-IR"/>
        </w:rPr>
        <w:t>و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الجزء الأعظم و المقوّم الأقوم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أوفق بالمعنی اللغویّ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الفساد و الإخلال فی ذی الأرکان الحسّیة بالنقیصة دون الزیادة، فیکون علاقة المجاز و مناسبة النقل فیه أوضح</w:t>
      </w:r>
      <w:r>
        <w:rPr>
          <w:rFonts w:eastAsia="IRNazanin" w:cs="IRNazanin"/>
          <w:color w:val="111111"/>
          <w:sz w:val="28"/>
          <w:szCs w:val="28"/>
          <w:rtl w:val="true"/>
          <w:lang w:bidi="fa-IR"/>
        </w:rPr>
        <w:t xml:space="preserve">. </w:t>
      </w:r>
      <w:bookmarkStart w:id="1483" w:name="pg12856_162944"/>
    </w:p>
    <w:p>
      <w:pPr>
        <w:pStyle w:val="BookText"/>
        <w:rPr/>
      </w:pPr>
      <w:bookmarkEnd w:id="1483"/>
      <w:r>
        <w:rPr>
          <w:rFonts w:ascii="IRNazanin" w:hAnsi="IRNazanin" w:eastAsia="IRNazanin"/>
          <w:color w:val="111111"/>
          <w:sz w:val="28"/>
          <w:sz w:val="28"/>
          <w:szCs w:val="28"/>
          <w:rtl w:val="true"/>
          <w:lang w:bidi="fa-IR"/>
        </w:rPr>
        <w:t>و المراد من الشرط الرکنی هو الشرط الواقعی، و من غیره الشرط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من غفل عن الصلاة رأسا</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4" w:name="__RefHeading___Toc2647412_3224264995"/>
      <w:bookmarkStart w:id="1485" w:name="_Toc577"/>
      <w:bookmarkEnd w:id="1484"/>
      <w:r>
        <w:rPr>
          <w:rtl w:val="true"/>
        </w:rPr>
        <w:t>[</w:t>
      </w:r>
      <w:r>
        <w:rPr>
          <w:rtl w:val="true"/>
        </w:rPr>
        <w:t>مناقشة تنظیر الماتن للغفلة عن الجزء</w:t>
      </w:r>
      <w:r>
        <w:rPr>
          <w:rtl w:val="true"/>
        </w:rPr>
        <w:t>]</w:t>
      </w:r>
      <w:bookmarkEnd w:id="1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Style w:val="FootnoteAnchor"/>
          <w:rtl w:val="true"/>
        </w:rPr>
        <w:footnoteReference w:id="602"/>
      </w:r>
      <w:r>
        <w:rPr>
          <w:rFonts w:ascii="IRNazanin" w:hAnsi="IRNazanin" w:eastAsia="IRNazanin"/>
          <w:color w:val="111111"/>
          <w:sz w:val="28"/>
          <w:sz w:val="28"/>
          <w:szCs w:val="28"/>
          <w:rtl w:val="true"/>
          <w:lang w:bidi="fa-IR"/>
        </w:rPr>
        <w:t xml:space="preserve">تنظیر بغیر نظیر،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الفارق بینهما من حیث جریان استصحاب بقاء وجوب الواجب و الأمر الأوّل فی الغافل، الملتفت إلی الصلاة و الوقت باق، و عدم جریان ذلک فی ناسی مشکوک الرکنیة الآتی بما عداه</w:t>
      </w:r>
      <w:r>
        <w:rPr>
          <w:rStyle w:val="FootnoteAnchor"/>
          <w:rtl w:val="true"/>
        </w:rPr>
        <w:footnoteReference w:id="604"/>
      </w:r>
      <w:r>
        <w:rPr>
          <w:rFonts w:ascii="IRNazanin" w:hAnsi="IRNazanin" w:eastAsia="IRNazanin"/>
          <w:color w:val="111111"/>
          <w:sz w:val="28"/>
          <w:sz w:val="28"/>
          <w:szCs w:val="28"/>
          <w:rtl w:val="true"/>
          <w:lang w:bidi="fa-IR"/>
        </w:rPr>
        <w:t>، بل نظیره الغافل</w:t>
      </w:r>
      <w:r>
        <w:rPr>
          <w:rStyle w:val="FootnoteAnchor"/>
          <w:rtl w:val="true"/>
        </w:rPr>
        <w:footnoteReference w:id="605"/>
      </w:r>
      <w:r>
        <w:rPr>
          <w:rFonts w:ascii="IRNazanin" w:hAnsi="IRNazanin" w:eastAsia="IRNazanin"/>
          <w:color w:val="111111"/>
          <w:sz w:val="28"/>
          <w:sz w:val="28"/>
          <w:szCs w:val="28"/>
          <w:rtl w:val="true"/>
          <w:lang w:bidi="fa-IR"/>
        </w:rPr>
        <w:t>الملتفت إلیها بعد خروج الوقت بناء علی أنّ القضاء بأمر جدید، لا بالأمر الأوّل، بل نظیره الآتی بما عدا مشکوک الجزئیّة حرفا بحرف، إذ الرکنیّة قسم من الجزئیّة، و الرکن هو الجزء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فی ما لو ثبت الجزئیّة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بمثل الجملة اللفظیّة الخبریّة دون اللبیّة الخبریّة، و لا الإنشائیة اللفظیّة، لأنّ الإخبار بلفظ العموم عن الجزئیّة الواقعیّة، یشمل حالی العمد و السهو، بخلاف الدلیل اللبّی و الإنشائی اللفظی، فلا یعمّ حال السهو 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غیر قابل لتوجیه الخطاب إلیه بالنسبة إلی المغفول عنه إیجابا و إسقاطا</w:t>
      </w:r>
      <w:r>
        <w:rPr>
          <w:rFonts w:eastAsia="IRNazanin" w:cs="IRNazanin"/>
          <w:color w:val="111111"/>
          <w:sz w:val="28"/>
          <w:szCs w:val="28"/>
          <w:rtl w:val="true"/>
          <w:lang w:bidi="fa-IR"/>
        </w:rPr>
        <w:t>».</w:t>
      </w:r>
    </w:p>
    <w:p>
      <w:pPr>
        <w:pStyle w:val="Heading4"/>
        <w:numPr>
          <w:ilvl w:val="3"/>
          <w:numId w:val="1"/>
        </w:numPr>
        <w:rPr/>
      </w:pPr>
      <w:bookmarkStart w:id="1486" w:name="__RefHeading___Toc2647414_3224264995"/>
      <w:bookmarkStart w:id="1487" w:name="_Toc578"/>
      <w:bookmarkEnd w:id="1486"/>
      <w:r>
        <w:rPr>
          <w:rtl w:val="true"/>
        </w:rPr>
        <w:t>[</w:t>
      </w:r>
      <w:r>
        <w:rPr>
          <w:rtl w:val="true"/>
        </w:rPr>
        <w:t>فی توجیه الخطاب إلی الناسی و عدمه</w:t>
      </w:r>
      <w:r>
        <w:rPr>
          <w:rtl w:val="true"/>
        </w:rPr>
        <w:t>]</w:t>
      </w:r>
      <w:bookmarkEnd w:id="148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المفروض کونه غافلا عن غفلته، و عن خلوّ عبادته عن ذلک الجزء، فلا یعقل تفهیمه حکم الغافل إلّا بإعلامه بغفلته، و بعد إعلامه بغفلته لا </w:t>
      </w:r>
    </w:p>
    <w:p>
      <w:pPr>
        <w:pStyle w:val="BookText"/>
        <w:rPr/>
      </w:pPr>
      <w:r>
        <w:rPr>
          <w:rFonts w:ascii="IRNazanin" w:hAnsi="IRNazanin" w:eastAsia="IRNazanin"/>
          <w:color w:val="111111"/>
          <w:sz w:val="28"/>
          <w:sz w:val="28"/>
          <w:szCs w:val="28"/>
          <w:rtl w:val="true"/>
          <w:lang w:bidi="fa-IR"/>
        </w:rPr>
        <w:t>یتوجّه إلیه حکم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عدم الجزئیّة بهذا المعنی عند الشکّ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لعدم الجزئیة معنی ثالث، هو محلّ النظر، و هو عدم اعتبار المشکوک فی عداد سائر الأجزاء من أوّل الأمر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أوجده ضیّقا من أوّل الأمر، لا أحدث فیه الضیق بعد إیجاده وسیعا لیحتاج إلی کلفة مخالفة الأصل الأصیل، و هو إسقاط ما وجب، و الاکتفاء بالباقی عمّا ذهب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یعلم الفرق بین ما نحن فیه و بین ما ثبت اشتراطه من الحکم التکلیفی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لیس إبداء الفرق بین ما نحن فیه و هو جزئیّة السورة فی الصلاة، و بین شرطیّة عدم لبس الحریر فیها من حیث الجزئیّة و الشرطیّة، لعدم الفرق من هذه الحیثیّة، و لا إبداء الفرق بینهما من حیث اعتبار السورة فی ما نحن فیه بالحکم الوضعی و هو الجزئیّة و اعتبار عدم لبس الحریر بالحکم التکلیفی، لعدم فارقیّة الحکم للوضعی بعد فرض کونه غیریّا، بل المقصود إبداء الفارقیة بینهما من حیث إنّ شرطیّة عدم لبس الحریر فی الصلاة مسبّب عن التکلیف، فیختصّ بغیر الغافل، عکس ما نحن فیه، حیث إنّ التکلیف بالسورة مسبّب عن جزئیّتها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الفرق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نفسی عامّ لغیر الصلاة أیضا، بخلاف التکلیف المفروض بالسورة فی الصلاة، فإنّه علی تقدیره غیریّ خاصّ بالصلاة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المرفوع فی الروایة الآثار الشرعیّة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الآثار العقلیّة و العادیة لا یتعقّل تخلّفها عن مؤثّراتها </w:t>
      </w:r>
      <w:bookmarkStart w:id="1488" w:name="pg12856_162946"/>
    </w:p>
    <w:p>
      <w:pPr>
        <w:pStyle w:val="BookText"/>
        <w:rPr/>
      </w:pPr>
      <w:bookmarkEnd w:id="1488"/>
      <w:r>
        <w:rPr>
          <w:rFonts w:ascii="IRNazanin" w:hAnsi="IRNazanin" w:eastAsia="IRNazanin"/>
          <w:color w:val="111111"/>
          <w:sz w:val="28"/>
          <w:sz w:val="28"/>
          <w:szCs w:val="28"/>
          <w:rtl w:val="true"/>
          <w:lang w:bidi="fa-IR"/>
        </w:rPr>
        <w:t>الواقعیّة وجودا و عدما، بخلاف الآثار الشرعیّة، فإنّها لمّا کانت مجعولة للشارع أمکن تخلّفها بجعله و اختیاره أیضا</w:t>
      </w:r>
      <w:r>
        <w:rPr>
          <w:rFonts w:eastAsia="IRNazanin" w:cs="IRNazanin"/>
          <w:color w:val="111111"/>
          <w:sz w:val="28"/>
          <w:szCs w:val="28"/>
          <w:rtl w:val="true"/>
          <w:lang w:bidi="fa-IR"/>
        </w:rPr>
        <w:t>.</w:t>
      </w:r>
    </w:p>
    <w:p>
      <w:pPr>
        <w:pStyle w:val="Heading4"/>
        <w:numPr>
          <w:ilvl w:val="3"/>
          <w:numId w:val="1"/>
        </w:numPr>
        <w:rPr/>
      </w:pPr>
      <w:bookmarkStart w:id="1489" w:name="__RefHeading___Toc2647416_3224264995"/>
      <w:bookmarkStart w:id="1490" w:name="_Toc579"/>
      <w:bookmarkEnd w:id="1489"/>
      <w:r>
        <w:rPr>
          <w:rtl w:val="true"/>
        </w:rPr>
        <w:t>[</w:t>
      </w:r>
      <w:r>
        <w:rPr>
          <w:rtl w:val="true"/>
        </w:rPr>
        <w:t>معنی حجیة الاستصحاب أو البراءة</w:t>
      </w:r>
      <w:r>
        <w:rPr>
          <w:rtl w:val="true"/>
        </w:rPr>
        <w:t>]</w:t>
      </w:r>
      <w:bookmarkEnd w:id="1490"/>
    </w:p>
    <w:p>
      <w:pPr>
        <w:pStyle w:val="BookText"/>
        <w:rPr/>
      </w:pPr>
      <w:r>
        <w:rPr>
          <w:rFonts w:ascii="IRNazanin" w:hAnsi="IRNazanin" w:eastAsia="IRNazanin"/>
          <w:color w:val="111111"/>
          <w:sz w:val="28"/>
          <w:sz w:val="28"/>
          <w:szCs w:val="28"/>
          <w:rtl w:val="true"/>
          <w:lang w:bidi="fa-IR"/>
        </w:rPr>
        <w:t>إذا عرفت أنّ معنی جعل الشارع الاستصحاب أو البراءة حجّة، هو ترتیب الآثار الشرعیّة، لأنّها القابلة لجعله دون العقلیّة و العادیّة، فإنّها غیر قابلة لجعله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المستصحب قد یکون أثرا شرعیّا، کاستصحاب أحد الأحکام الخمسة التکلیفیّة، و قد یکون أثرا عقلیّا مستلزما لأثر شرعیّ بلا واسطة، کاستصحاب بقاء أحد الأحکام المستلزم لذلک الحکم بلا واسطة، و قد یکون أثرا عقلیّا مستلزما لأثر شرعی بواسطة استلزامه أثرا عقلیّا من 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المتیقّن من أخبار الاستصحاب و البراءة هو حجّیتهما فی القسمین الأوّلین دون الأخیر، إلّا إذا فرض ورود حکم خاصّ من الشارع باستصحاب أثر عقلیّ لا یستلزم أثرا شرعیّا إلّا مع الواسطة، فلا بدّ لأجل تصحیح کلامه من ترتیب ذلک الحکم الشرعیّ و لو کان بعیدا عن المستصحب بألف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کصاحب الفصول</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تعمیم حجّیّة البراءة للأقسام الثلاثة دون الاستصحاب، مستظهر التعمیم من سیاق أخبار الوضع و الرفع، دون أخبار الاستصحاب، و لکنّه اعترف فی فصل أصالة العدم بالعدول عن دعواه، بل أبطله و أفسده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حمله تصحیحا للکلام علی رفع الإعادة</w:t>
      </w:r>
      <w:r>
        <w:rPr>
          <w:rFonts w:eastAsia="IRNazanin" w:cs="IRNazanin"/>
          <w:color w:val="111111"/>
          <w:sz w:val="28"/>
          <w:szCs w:val="28"/>
          <w:rtl w:val="true"/>
          <w:lang w:bidi="fa-IR"/>
        </w:rPr>
        <w:t>».</w:t>
      </w:r>
    </w:p>
    <w:p>
      <w:pPr>
        <w:pStyle w:val="Heading4"/>
        <w:numPr>
          <w:ilvl w:val="3"/>
          <w:numId w:val="1"/>
        </w:numPr>
        <w:rPr/>
      </w:pPr>
      <w:bookmarkStart w:id="1491" w:name="__RefHeading___Toc2647418_3224264995"/>
      <w:bookmarkStart w:id="1492" w:name="_Toc580"/>
      <w:bookmarkEnd w:id="1491"/>
      <w:r>
        <w:rPr>
          <w:rtl w:val="true"/>
        </w:rPr>
        <w:t>[</w:t>
      </w:r>
      <w:r>
        <w:rPr>
          <w:rtl w:val="true"/>
        </w:rPr>
        <w:t>مناقشة فی فرق الماتن بین رفع الشارع السهو و النسیان و بین تصریح الشارع برفع حکم نسیان الجزء و السهو عنه</w:t>
      </w:r>
      <w:r>
        <w:rPr>
          <w:rtl w:val="true"/>
        </w:rPr>
        <w:t>]</w:t>
      </w:r>
      <w:bookmarkEnd w:id="149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السهو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حکم السهو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سوی الظهور و الإضمار، فکما أنّ رفع حکم المنسیّ </w:t>
      </w:r>
      <w:bookmarkStart w:id="1493" w:name="pg12856_162947"/>
    </w:p>
    <w:p>
      <w:pPr>
        <w:pStyle w:val="BookText"/>
        <w:rPr/>
      </w:pPr>
      <w:bookmarkEnd w:id="1493"/>
      <w:r>
        <w:rPr>
          <w:rFonts w:ascii="IRNazanin" w:hAnsi="IRNazanin" w:eastAsia="IRNazanin"/>
          <w:color w:val="111111"/>
          <w:sz w:val="28"/>
          <w:sz w:val="28"/>
          <w:szCs w:val="28"/>
          <w:rtl w:val="true"/>
          <w:lang w:bidi="fa-IR"/>
        </w:rPr>
        <w:t>بدلالة الاقتضاء معناه رفع إعادة المنسیّ، فکذلک رفع النسیان معناه کذلک بعد فرض عموم حذف المتعلّق لرفع کلّ من المؤاخذة و الحکم بالإعادة، و لا وجه لتخصیصه بخصوص المؤاخذة، و لا لتعمیمه لها و لنفس الجزئیّة الغیر القابلة للرفع، و لا لما یترتّب علیها من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 لکن الأخبار کالقرآن یفسّر بعضها بعضا، فکما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فی سهو</w:t>
      </w:r>
      <w:r>
        <w:rPr>
          <w:rStyle w:val="FootnoteAnchor"/>
          <w:rtl w:val="true"/>
        </w:rPr>
        <w:footnoteReference w:id="609"/>
      </w:r>
      <w:r>
        <w:rPr>
          <w:rFonts w:ascii="IRNazanin" w:hAnsi="IRNazanin" w:eastAsia="IRNazanin"/>
          <w:color w:val="111111"/>
          <w:sz w:val="28"/>
          <w:sz w:val="28"/>
          <w:szCs w:val="28"/>
          <w:rtl w:val="true"/>
          <w:lang w:bidi="fa-IR"/>
        </w:rPr>
        <w:t>، و لا لکثیر السهو</w:t>
      </w:r>
      <w:r>
        <w:rPr>
          <w:rStyle w:val="FootnoteAnchor"/>
          <w:rtl w:val="true"/>
        </w:rPr>
        <w:footnoteReference w:id="610"/>
      </w:r>
      <w:r>
        <w:rPr>
          <w:rFonts w:ascii="IRNazanin" w:hAnsi="IRNazanin" w:eastAsia="IRNazanin"/>
          <w:color w:val="111111"/>
          <w:sz w:val="28"/>
          <w:sz w:val="28"/>
          <w:szCs w:val="28"/>
          <w:rtl w:val="true"/>
          <w:lang w:bidi="fa-IR"/>
        </w:rPr>
        <w:t>، و لا فی نافلة</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معناه عموم الرفع لحکم إعادة المنسیّ و المشکوک علی وجه العموم، فکذلک عموم الرفع فی ما نحن فیه یشمل حکم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4" w:name="__RefHeading___Toc2647420_3224264995"/>
      <w:bookmarkStart w:id="1495" w:name="_Toc581"/>
      <w:bookmarkEnd w:id="1494"/>
      <w:r>
        <w:rPr>
          <w:rtl w:val="true"/>
        </w:rPr>
        <w:t>[</w:t>
      </w:r>
      <w:r>
        <w:rPr>
          <w:rtl w:val="true"/>
        </w:rPr>
        <w:t>فی زیادة الجزء عمدا</w:t>
      </w:r>
      <w:r>
        <w:rPr>
          <w:rtl w:val="true"/>
        </w:rPr>
        <w:t>]</w:t>
      </w:r>
      <w:bookmarkEnd w:id="1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اختصاص مورده بصورة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الإعادة مع العمد یستلزم عدم الجزئیّة، و بصورة النقصان عدم تعقّل البطلان فی زیادة 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صدق الزیادة قصد کونها من الأجزاء</w:t>
      </w:r>
      <w:r>
        <w:rPr>
          <w:rFonts w:eastAsia="IRNazanin" w:cs="IRNazanin"/>
          <w:color w:val="111111"/>
          <w:sz w:val="28"/>
          <w:szCs w:val="28"/>
          <w:rtl w:val="true"/>
          <w:lang w:bidi="fa-IR"/>
        </w:rPr>
        <w:t>».</w:t>
      </w:r>
    </w:p>
    <w:p>
      <w:pPr>
        <w:pStyle w:val="Heading4"/>
        <w:numPr>
          <w:ilvl w:val="3"/>
          <w:numId w:val="1"/>
        </w:numPr>
        <w:rPr/>
      </w:pPr>
      <w:bookmarkStart w:id="1496" w:name="__RefHeading___Toc2647422_3224264995"/>
      <w:bookmarkStart w:id="1497" w:name="_Toc582"/>
      <w:bookmarkEnd w:id="1496"/>
      <w:r>
        <w:rPr>
          <w:rtl w:val="true"/>
        </w:rPr>
        <w:t>[</w:t>
      </w:r>
      <w:r>
        <w:rPr>
          <w:rtl w:val="true"/>
        </w:rPr>
        <w:t>ما یتحقق به زیادة الجزء</w:t>
      </w:r>
      <w:r>
        <w:rPr>
          <w:rtl w:val="true"/>
        </w:rPr>
        <w:t>]</w:t>
      </w:r>
      <w:bookmarkEnd w:id="149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هذا الاشتراط ممنوع، لأنّ اشتراط قصد الزیادة فی تحقّق صدق الزیادة، إن کان من جهة کون الکلام فی الزیادة العمدیّة الغیر المنفکّة عن القصد،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إطلاق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القصد هو معنی العمد لا شرطه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من جهة أنّ تمیّز الجزء المشترک بین الجزئیّة و غیر الجزئیّة لا یکون إلّا بالقصد اختصّ الاشتراط بصورة اشتراک الجزء بین الجزء و غیره، کالتکبیر المشترک بین الافتتاح و تکبیر الاحرام و غیرها، و التسمیة المشترکة بین السور و السورة المشترکة بین الجزئیّة و التلاوة، دون مثل الرکوع و السجود من الأجزاء الخاصّة لا المشترکة، فلم یشترط صدق الزیادة فیها علی قصدها، بل بمجرّد فعلها یتحقّق الزیادة، و لهذا تبطل الصلاة بمحض الرکوع و السجود الزائد سهوا، و لم ینحصر المبطل بالزیادة العمدیّة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ورد النهی عن سجود التلاوة بأنّها زیادة فی المکتوبة</w:t>
      </w:r>
      <w:r>
        <w:rPr>
          <w:rStyle w:val="FootnoteAnchor"/>
          <w:rtl w:val="true"/>
        </w:rPr>
        <w:footnoteReference w:id="613"/>
      </w:r>
      <w:r>
        <w:rPr>
          <w:rFonts w:ascii="IRNazanin" w:hAnsi="IRNazanin" w:eastAsia="IRNazanin"/>
          <w:color w:val="111111"/>
          <w:sz w:val="28"/>
          <w:sz w:val="28"/>
          <w:szCs w:val="28"/>
          <w:rtl w:val="true"/>
          <w:lang w:bidi="fa-IR"/>
        </w:rPr>
        <w:t>مع عدم قصد الزیادة فیها، بل و قصد عدمها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حاصل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الفرق فی المثال الخارجی أنّ الأمر المنضمّ إلی الخلّ إن کان الشکّ فی مانعیّته للسکنجبین، فلا یجدی استصحاب صحّة الخل فی صحة السکنجبین لتغایر الموضوع، و ان کان الشکّ فی قاطعیّته للخلّ أجدی استصحاب صحّة الخلّیّة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المنطبق علی ما نحن فیه هو الشکّ فی مانعیّة الأمر المنضمّ إلی الخلّ للسکنجبین، دون الشکّ فی قاطعیّة الخلّ حتّی یجدینا استصحاب صحّة الخلّیة، مع أنّه ربّما یردّ استصحاب صحّة الخلّیّة أیضا بأنّه لا یجدی صحّة السکنجبین المرکّب منه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أنّه بعد فرض أنّ الشکّ فی صحّة السکنجبین المرکّب منحصر فی الشکّ فی قاطعیّة الخلّ دون مانعیّة أمر آخر، یکفی فی صحّة المجموع المرکّب إحراز صحّة الخلّیة باستصحابها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یردّ بأنّه لا یترتّب علیه الأثر الشرعی، </w:t>
      </w:r>
      <w:bookmarkStart w:id="1498" w:name="pg12856_162949"/>
    </w:p>
    <w:p>
      <w:pPr>
        <w:pStyle w:val="BookText"/>
        <w:rPr/>
      </w:pPr>
      <w:bookmarkEnd w:id="1498"/>
      <w:r>
        <w:rPr>
          <w:rFonts w:ascii="IRNazanin" w:hAnsi="IRNazanin" w:eastAsia="IRNazanin"/>
          <w:color w:val="111111"/>
          <w:sz w:val="28"/>
          <w:sz w:val="28"/>
          <w:szCs w:val="28"/>
          <w:rtl w:val="true"/>
          <w:lang w:bidi="fa-IR"/>
        </w:rPr>
        <w:t>و هو البراءة عن مطلوبیّة المجموع المرکّب إلّا بواسطة ترتّب صحّة المجموع المرکّب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صحّة المجموع مع صحّة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 فی دقیق النظر أمران متلازمان إلّا أنّهما فی نظر العرف یعدّ أمرا وحدانیّا، نظیر استصحاب الکرّیّة فی الماء المسبوق بالکرّیّة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و المبیّن، علی المجمل و المبیّن الذاتی فی أوّل الوضع، کالمتّحد و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یناسب الإحباط</w:t>
      </w:r>
      <w:r>
        <w:rPr>
          <w:rFonts w:eastAsia="IRNazanin" w:cs="IRNazanin"/>
          <w:color w:val="111111"/>
          <w:sz w:val="28"/>
          <w:szCs w:val="28"/>
          <w:rtl w:val="true"/>
          <w:lang w:bidi="fa-IR"/>
        </w:rPr>
        <w:t>».</w:t>
      </w:r>
    </w:p>
    <w:p>
      <w:pPr>
        <w:pStyle w:val="Heading4"/>
        <w:numPr>
          <w:ilvl w:val="3"/>
          <w:numId w:val="1"/>
        </w:numPr>
        <w:rPr/>
      </w:pPr>
      <w:bookmarkStart w:id="1499" w:name="__RefHeading___Toc2647424_3224264995"/>
      <w:bookmarkStart w:id="1500" w:name="_Toc583"/>
      <w:bookmarkEnd w:id="1499"/>
      <w:r>
        <w:rPr>
          <w:rtl w:val="true"/>
        </w:rPr>
        <w:t>[</w:t>
      </w:r>
      <w:r>
        <w:rPr>
          <w:rtl w:val="true"/>
        </w:rPr>
        <w:t>الاحباط و التکفیر و الموازنة</w:t>
      </w:r>
      <w:r>
        <w:rPr>
          <w:rtl w:val="true"/>
        </w:rPr>
        <w:t>]</w:t>
      </w:r>
      <w:bookmarkEnd w:id="1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الإحباط عند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إذهاب السیّئة المتأخّرة للحسنة المتقدّمة، و من التکفیر عکسه، و هو إذهاب الحسنة المتأخّرة للسیّئة المتقدّمة، مع بقاء المتأخّر منهما علی حاله، کما لو کان أحدهما خمسة و الآخر عشرة فتذهب الخمسة و تبقی العشرة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إذهاب کلّ من الحسنة و السیّئة علی قدر ما لها من المرتبة ضعفا و قوّة للاخری مع ذهابها علی قدر إذهابها، کالتساقط القهریّ، فینفی الأکثر الأقلّ مع نفی الأقلّ ما ساواه من الأکثر، و یبقی الزائد منه مستحقّا، و إن تساویا کان کأن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مزاحمة العشرة للخمسة تسقط خمسة و تبقی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فالحبط و التکفیر بالمعنی المذکور من متفرّدات المعتزلة الباطلة عند الإمامیّة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بمعنی إقدام العبد علی الطاعة سبب لمغفرته تعالی، و تجاوزه عن ذنوب العبد تفضّلا، لا قهرا، من غیر أن یحبط بذلک شی‌ء من ثوابه، و لا أن یذهب بذلک شی‌ء من ذنوبه قهرا، فهو الّذی علیه إجماع الإمامیّة و نصوص </w:t>
      </w:r>
      <w:bookmarkStart w:id="1501" w:name="pg12856_162950"/>
    </w:p>
    <w:p>
      <w:pPr>
        <w:pStyle w:val="BookText"/>
        <w:rPr/>
      </w:pPr>
      <w:bookmarkEnd w:id="1501"/>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للتخصیص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لزومه مبنیّ علی أن یکون المراد من العمل المنهیّ عن إبطاله الأعمّ من العبادات و غیرها</w:t>
      </w:r>
      <w:r>
        <w:rPr>
          <w:rFonts w:eastAsia="IRNazanin" w:cs="IRNazanin"/>
          <w:color w:val="111111"/>
          <w:sz w:val="28"/>
          <w:szCs w:val="28"/>
          <w:rtl w:val="true"/>
          <w:lang w:bidi="fa-IR"/>
        </w:rPr>
        <w:t>.</w:t>
      </w:r>
    </w:p>
    <w:p>
      <w:pPr>
        <w:pStyle w:val="Heading4"/>
        <w:numPr>
          <w:ilvl w:val="3"/>
          <w:numId w:val="1"/>
        </w:numPr>
        <w:rPr/>
      </w:pPr>
      <w:bookmarkStart w:id="1502" w:name="__RefHeading___Toc2647426_3224264995"/>
      <w:bookmarkStart w:id="1503" w:name="_Toc584"/>
      <w:bookmarkEnd w:id="1502"/>
      <w:r>
        <w:rPr>
          <w:rtl w:val="true"/>
        </w:rPr>
        <w:t>[</w:t>
      </w:r>
      <w:r>
        <w:rPr>
          <w:rtl w:val="true"/>
        </w:rPr>
        <w:t>نظرة فی قوله تعالی</w:t>
      </w:r>
      <w:r>
        <w:rPr>
          <w:rtl w:val="true"/>
        </w:rPr>
        <w:t xml:space="preserve">: </w:t>
      </w:r>
      <w:r>
        <w:rPr>
          <w:rtl w:val="true"/>
        </w:rPr>
        <w:t>وَ لا تُبْطِلُوا أَعْمالَکُمْ</w:t>
      </w:r>
      <w:r>
        <w:rPr>
          <w:rtl w:val="true"/>
        </w:rPr>
        <w:t>]</w:t>
      </w:r>
      <w:bookmarkEnd w:id="1503"/>
    </w:p>
    <w:p>
      <w:pPr>
        <w:pStyle w:val="BookText"/>
        <w:rPr/>
      </w:pPr>
      <w:r>
        <w:rPr>
          <w:rFonts w:ascii="IRNazanin" w:hAnsi="IRNazanin" w:eastAsia="IRNazanin"/>
          <w:color w:val="111111"/>
          <w:sz w:val="28"/>
          <w:sz w:val="28"/>
          <w:szCs w:val="28"/>
          <w:rtl w:val="true"/>
          <w:lang w:bidi="fa-IR"/>
        </w:rPr>
        <w:t>و أمّا علی ما هو المنساق من ظاهر الآیة</w:t>
      </w:r>
      <w:r>
        <w:rPr>
          <w:rStyle w:val="FootnoteAnchor"/>
          <w:rtl w:val="true"/>
        </w:rPr>
        <w:footnoteReference w:id="615"/>
      </w:r>
      <w:r>
        <w:rPr>
          <w:rFonts w:ascii="IRNazanin" w:hAnsi="IRNazanin" w:eastAsia="IRNazanin"/>
          <w:color w:val="111111"/>
          <w:sz w:val="28"/>
          <w:sz w:val="28"/>
          <w:szCs w:val="28"/>
          <w:rtl w:val="true"/>
          <w:lang w:bidi="fa-IR"/>
        </w:rPr>
        <w:t>من إرادة خصوص العبادات فلا یلزم التخصیص بالأکثر، سیّما إذا لوحظ العموم أفرادیّا لا أنواعیّا، فإن أفراد الصلاة و الحجّ و نحوها من العبادات الغیر الجائزة القطع، أکثر من مثل الوضوء و الغسل و التیمّم ممّا یجوز قطعه، بناء علی أنّ الأذکار، و الأدعیة، و تلاوة القرآن، و نحوها من المندوبات الجائز قطعها خارجة عن منساق الآیة، و أنّ المنساق منها عدم إبطال ما هو عمل واحد من ذی الأجزاء الارتباطیة دون ذی الأجزاء المستقلّة، کالأمور المذکورة، فإنّها و إن کان المرکّب منها أیضا عبادة إلّا أنّ قطعها لیس إبطالا بل هو اقتصار علی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الید عنه بعد ذلک لا یعلم کونه قطعا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إطلاق القطع و عمومه، و إن بلغ ما بلغ فی العموم، لا یشخّص موضوعه المشکوک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أضعف منه استصحاب وجوب إتمام العمل</w:t>
      </w:r>
      <w:r>
        <w:rPr>
          <w:rFonts w:eastAsia="IRNazanin" w:cs="IRNazanin"/>
          <w:color w:val="111111"/>
          <w:sz w:val="28"/>
          <w:szCs w:val="28"/>
          <w:rtl w:val="true"/>
          <w:lang w:bidi="fa-IR"/>
        </w:rPr>
        <w:t>».</w:t>
      </w:r>
    </w:p>
    <w:p>
      <w:pPr>
        <w:pStyle w:val="Heading4"/>
        <w:numPr>
          <w:ilvl w:val="3"/>
          <w:numId w:val="1"/>
        </w:numPr>
        <w:rPr/>
      </w:pPr>
      <w:bookmarkStart w:id="1504" w:name="__RefHeading___Toc2647428_3224264995"/>
      <w:bookmarkStart w:id="1505" w:name="_Toc585"/>
      <w:bookmarkEnd w:id="1504"/>
      <w:r>
        <w:rPr>
          <w:rtl w:val="true"/>
        </w:rPr>
        <w:t>[</w:t>
      </w:r>
      <w:r>
        <w:rPr>
          <w:rtl w:val="true"/>
        </w:rPr>
        <w:t>مناقشة کلام الماتن فی ضعف استصحاب وجوب إتمام العمل</w:t>
      </w:r>
      <w:r>
        <w:rPr>
          <w:rtl w:val="true"/>
        </w:rPr>
        <w:t>]</w:t>
      </w:r>
      <w:bookmarkEnd w:id="1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الأضعفیّة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مع قوّته اللفظیّة إذا لم یشخّص الموضوع، فاستصحاب وجوب الإتمام أولی بعدم تشخیصه موضوع التمامیّة المشکوک فیها، بل لا بدّ فی الاستصحاب من إحراز بقاء موضوعه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العبرة فی إحراز بقاء موضوع المستصحب علی المسامحة العرفیّة لا المداقّة الفلسفیّة، و من المعلوم عرفا أنّ موضوع إتمام الصلاة </w:t>
      </w:r>
      <w:bookmarkStart w:id="1506" w:name="pg12856_162951"/>
    </w:p>
    <w:p>
      <w:pPr>
        <w:pStyle w:val="BookText"/>
        <w:rPr/>
      </w:pPr>
      <w:bookmarkEnd w:id="1506"/>
      <w:r>
        <w:rPr>
          <w:rFonts w:ascii="IRNazanin" w:hAnsi="IRNazanin" w:eastAsia="IRNazanin"/>
          <w:color w:val="111111"/>
          <w:sz w:val="28"/>
          <w:sz w:val="28"/>
          <w:szCs w:val="28"/>
          <w:rtl w:val="true"/>
          <w:lang w:bidi="fa-IR"/>
        </w:rPr>
        <w:t>المرکّبة من الأجزاء العدیدة، لا یتغیّر عرفا بتخلّل زیادة جزء من أجزائه، کما لا یتغیّر موضوع قلّة الماء و کثرته بالنقص و الزیادة الکثیرة، و لا بزوال تغیّره المنجّس من قبل نفسه أو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 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فرض وحدة التکلیف الواقعی یستلزم العمل بمقتضی کلّ من الأصلین طرح مقتضی الآخر، فالمورد مورد ترجیح أحد الأصلین لا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الزیادة سهوا</w:t>
      </w:r>
      <w:r>
        <w:rPr>
          <w:rFonts w:eastAsia="IRNazanin" w:cs="IRNazanin"/>
          <w:color w:val="111111"/>
          <w:sz w:val="28"/>
          <w:szCs w:val="28"/>
          <w:rtl w:val="true"/>
          <w:lang w:bidi="fa-IR"/>
        </w:rPr>
        <w:t>».</w:t>
      </w:r>
    </w:p>
    <w:p>
      <w:pPr>
        <w:pStyle w:val="Heading4"/>
        <w:numPr>
          <w:ilvl w:val="3"/>
          <w:numId w:val="1"/>
        </w:numPr>
        <w:rPr/>
      </w:pPr>
      <w:bookmarkStart w:id="1507" w:name="__RefHeading___Toc2647430_3224264995"/>
      <w:bookmarkStart w:id="1508" w:name="_Toc586"/>
      <w:bookmarkEnd w:id="1507"/>
      <w:r>
        <w:rPr>
          <w:rtl w:val="true"/>
        </w:rPr>
        <w:t>[</w:t>
      </w:r>
      <w:r>
        <w:rPr>
          <w:rtl w:val="true"/>
        </w:rPr>
        <w:t>فی الزیادة سهوا</w:t>
      </w:r>
      <w:r>
        <w:rPr>
          <w:rtl w:val="true"/>
        </w:rPr>
        <w:t>]</w:t>
      </w:r>
      <w:bookmarkEnd w:id="1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یتصوّر الزیادة الجزئیّة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اعتبار قصد الجزئیّة و قصد الزیادة، و قصد عنوان الجزئیّة فی قصد الزیادة العمدیّة فی العبادات، علی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الزیادة مع الغفلة عن زیادته 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الزیادة مع الغفلة عن جزئیّته 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العنوان مع الغفلة عن زیادته و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الجزئیّة و الزیادة مع الغفلة عن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الجزئیّة و العنوان مع الغفلة عن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العنوان و الزیادة مع الغفلة عن جزئیّته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أقسام زیادة الجزء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التفصیل بینهما غیر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التفصیل فی الرکوع، الزیادة التبعیّة لإمام الجماعة، فإنّه غیر مبطل نصّا و فتوی إذا کان سهوا، مع أنّ نقیصته مبطل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فیعمل بکلّ واحد من الأصلین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یعمل بالبراءة فی الزیادة السهویّة، و بالاشتغال فی النقیصة </w:t>
      </w:r>
      <w:bookmarkStart w:id="1509" w:name="pg12856_162952"/>
    </w:p>
    <w:p>
      <w:pPr>
        <w:pStyle w:val="BookText"/>
        <w:rPr/>
      </w:pPr>
      <w:bookmarkEnd w:id="1509"/>
      <w:r>
        <w:rPr>
          <w:rFonts w:ascii="IRNazanin" w:hAnsi="IRNazanin" w:eastAsia="IRNazanin"/>
          <w:color w:val="111111"/>
          <w:sz w:val="28"/>
          <w:sz w:val="28"/>
          <w:szCs w:val="28"/>
          <w:rtl w:val="true"/>
          <w:lang w:bidi="fa-IR"/>
        </w:rPr>
        <w:t>السهویّة، مع عدم القول بالفصل علی فرضه، کما یعمل باستصحاب طهارة البدن و بقاء الحدث فی من توضّأ بماء مستصحب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ثبت جزئیّة شی‌ء أو شرطیّته فی الجملة</w:t>
      </w:r>
      <w:r>
        <w:rPr>
          <w:rFonts w:eastAsia="IRNazanin" w:cs="IRNazanin"/>
          <w:color w:val="111111"/>
          <w:sz w:val="28"/>
          <w:szCs w:val="28"/>
          <w:rtl w:val="true"/>
          <w:lang w:bidi="fa-IR"/>
        </w:rPr>
        <w:t>».</w:t>
      </w:r>
    </w:p>
    <w:p>
      <w:pPr>
        <w:pStyle w:val="Heading4"/>
        <w:numPr>
          <w:ilvl w:val="3"/>
          <w:numId w:val="1"/>
        </w:numPr>
        <w:rPr/>
      </w:pPr>
      <w:bookmarkStart w:id="1510" w:name="__RefHeading___Toc2647432_3224264995"/>
      <w:bookmarkStart w:id="1511" w:name="_Toc587"/>
      <w:bookmarkEnd w:id="1510"/>
      <w:r>
        <w:rPr>
          <w:rtl w:val="true"/>
        </w:rPr>
        <w:t>[</w:t>
      </w:r>
      <w:r>
        <w:rPr>
          <w:rtl w:val="true"/>
        </w:rPr>
        <w:t>هل الأصل الاطلاق فی الجزئیة و الشرطیة</w:t>
      </w:r>
      <w:r>
        <w:rPr>
          <w:rtl w:val="true"/>
        </w:rPr>
        <w:t>]</w:t>
      </w:r>
      <w:bookmarkEnd w:id="1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وجه الإهمال لا الإطلاق، لأنّ وجوب الجزء و الکلّ إمّا مطلقین، أو مهملین، أو وجوب الجزء مطلق و وجوب الکلّ مهمل،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النزاع فی مجری أصل البراءة أو الاستصحاب إنّما هو فی الصورة الثانیة، دون الصور الباقیة، لاقترانها بالدلیل الاجتهادی، و هو إطلاق وجوب الجزء و الشرط القاضی بإطلاق الجزئیّة و الشرطیّة فی الصورة الأولی و الثالثة، و إطلاق وجوب الکلّ القاضی عدم إطلاق الجزئیّة و الشرطیّة فی الصورة الرابعة، و لا مجری للأصل بعد تعیین إطلاق الجزئیّة أو تقییده بالدلیل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لو ثبت أجزاء المرکّب من أوامر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خلاف العوائد،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هناک خطابات متعدّدة بتعدّد الأجزاء، أمکن التمسّک فی الأجزاء الباقیة بما یدلّ علیه خطاباتها</w:t>
      </w:r>
      <w:r>
        <w:rPr>
          <w:rStyle w:val="FootnoteAnchor"/>
          <w:rtl w:val="true"/>
        </w:rPr>
        <w:footnoteReference w:id="616"/>
      </w:r>
      <w:r>
        <w:rPr>
          <w:rFonts w:ascii="Amiri" w:hAnsi="Amiri" w:eastAsia="Amiri" w:cs="Amiri"/>
          <w:color w:val="111111"/>
          <w:sz w:val="28"/>
          <w:sz w:val="28"/>
          <w:szCs w:val="28"/>
          <w:rtl w:val="true"/>
          <w:lang w:bidi="ar-SA"/>
        </w:rPr>
        <w:t>،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w:t>
      </w:r>
      <w:r>
        <w:rPr>
          <w:rStyle w:val="FootnoteAnchor"/>
          <w:rtl w:val="true"/>
        </w:rPr>
        <w:footnoteReference w:id="6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آخر أجزاء الوضوء</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أشار إلیه المصنّف بأنّ مجرّد تعدّد الخطاب لا یقضی ببقاء التکلیف الباقی مع فرض الوجوب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یبقی التکلیف بالباقی إذا کان متعلّقات الخطابات المتعدّدة امورا مستقلّة غیر مرتبطة بعضها ببعض، غیر مندرجة تحت عنوان واحد، بل و کذا إذا کانت مندرجة تحته، و کذا إذا اتّحد الخطاب فی هذین </w:t>
      </w:r>
      <w:bookmarkStart w:id="1512" w:name="pg12856_162953"/>
    </w:p>
    <w:p>
      <w:pPr>
        <w:pStyle w:val="BookText"/>
        <w:rPr/>
      </w:pPr>
      <w:bookmarkEnd w:id="1512"/>
      <w:r>
        <w:rPr>
          <w:rFonts w:ascii="IRNazanin" w:hAnsi="IRNazanin" w:eastAsia="IRNazanin"/>
          <w:color w:val="111111"/>
          <w:sz w:val="28"/>
          <w:sz w:val="28"/>
          <w:szCs w:val="28"/>
          <w:rtl w:val="true"/>
          <w:lang w:bidi="fa-IR"/>
        </w:rPr>
        <w:t>الفرضین لاستصحاب الوجوب بالنسبة إلی الباقی، مضافا إلی قضیّة إطلاق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المطلق کما بیّن فی موضعه موضوع للماهیّة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513" w:name="__RefHeading___Toc2647434_3224264995"/>
      <w:bookmarkStart w:id="1514" w:name="_Toc588"/>
      <w:bookmarkEnd w:id="1513"/>
      <w:r>
        <w:rPr>
          <w:rtl w:val="true"/>
        </w:rPr>
        <w:t>[</w:t>
      </w:r>
      <w:r>
        <w:rPr>
          <w:rtl w:val="true"/>
        </w:rPr>
        <w:t>حقیقة المطلق</w:t>
      </w:r>
      <w:r>
        <w:rPr>
          <w:rtl w:val="true"/>
        </w:rPr>
        <w:t>]</w:t>
      </w:r>
      <w:bookmarkEnd w:id="15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إشکال استعمال المطلق فی المعنیین بذلک، مبنیّ علی ما اختاره المصنّف تبعا للسلطان</w:t>
      </w:r>
      <w:r>
        <w:rPr>
          <w:rStyle w:val="FootnoteAnchor"/>
          <w:rtl w:val="true"/>
        </w:rPr>
        <w:footnoteReference w:id="618"/>
      </w:r>
      <w:r>
        <w:rPr>
          <w:rFonts w:ascii="IRNazanin" w:hAnsi="IRNazanin" w:eastAsia="IRNazanin"/>
          <w:color w:val="111111"/>
          <w:sz w:val="28"/>
          <w:sz w:val="28"/>
          <w:szCs w:val="28"/>
          <w:rtl w:val="true"/>
          <w:lang w:bidi="fa-IR"/>
        </w:rPr>
        <w:t>من کون المطلق حقیقة فی الماهیّة المهملة الصادقة علی</w:t>
      </w:r>
      <w:r>
        <w:rPr>
          <w:rStyle w:val="FootnoteAnchor"/>
          <w:rtl w:val="true"/>
        </w:rPr>
        <w:footnoteReference w:id="619"/>
      </w:r>
      <w:r>
        <w:rPr>
          <w:rFonts w:ascii="IRNazanin" w:hAnsi="IRNazanin" w:eastAsia="IRNazanin"/>
          <w:color w:val="111111"/>
          <w:sz w:val="28"/>
          <w:sz w:val="28"/>
          <w:szCs w:val="28"/>
          <w:rtl w:val="true"/>
          <w:lang w:bidi="fa-IR"/>
        </w:rPr>
        <w:t>المجرّد عن القید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علیه المشهور المنصور من کونه حقیقة فی الماهیّة المطلقة، بقید الإطلاق، فیرتفع إشکال استعماله فی المطلق و المقیّد أیضا بإرادة القدر المشترک الجامع بین المعنیین مجازا، بقرینة اختلاف المکلّفین، المسمّی هذا النحو من الاستعمال بعموم المجاز، نظیر استعمال الأمر الظاهر فی الوجوب أو الندب فی الطلب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أبواب العبادات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باب من أبواب الفقه، کالتمسّک بها فی لزوم تخفیف النجاسة کمّا و کیفا، و مسألة غسل الولوغ، و نزح البئر، و التباعد بینها و بین البالوعة، و وضوء الأقطع، و الجبیرة، و أعداد طبقات الاستبراء و خرطاته، و جلوس الحائض فی مصلّاها، و غسل المیّت بالقراح مع تعذّر الخلیط، و من وراء الثیاب، و قیام الثوب الواحد مقام الثلاثة فی الکفن، و طلب الماء و إن لم یکن غلوة سهم أو سهمین، و ظهر الید موضع بطنها، و إحداهما مقام الاثنین فی التیمّم، و ستر ما أمکن من العورة فی الصلاة، و الصلاة عاریا، و ارتکاب أقلّ المحذورین فی تعارض المکروهین و المحرّمین، و قیام الاعتماد و الجلوس و الاضطجاع </w:t>
      </w:r>
      <w:bookmarkStart w:id="1515" w:name="pg12856_162954"/>
    </w:p>
    <w:p>
      <w:pPr>
        <w:pStyle w:val="BookText"/>
        <w:rPr/>
      </w:pPr>
      <w:bookmarkEnd w:id="1515"/>
      <w:r>
        <w:rPr>
          <w:rFonts w:ascii="IRNazanin" w:hAnsi="IRNazanin" w:eastAsia="IRNazanin"/>
          <w:color w:val="111111"/>
          <w:sz w:val="28"/>
          <w:sz w:val="28"/>
          <w:szCs w:val="28"/>
          <w:rtl w:val="true"/>
          <w:lang w:bidi="fa-IR"/>
        </w:rPr>
        <w:t>و الاستلقاء مقام القیام، و بعض القراءة و الترجمة و الملحون، و الذکر مقام الکلّ الصحیح، و أداء المقدور من الحقوق الواجبة المالیّة، و القیام فی المعبر، و تحریک الرجلین لمن نذر المشی إلی الحجّ و نحوه، و وجوب الکف عن المفطّرات إذا أفطر الصوم، و لزوم المقدور من الصیام و الإطعام، و تقدیم المعتکف أقلّ الطریقین ظلّا، و استنابة العاجز عن الحجّ، و صرف المال القاصر عن الحجّ الموصی به فی وجوب البرّ، و لزوم الأقرب إلی المیقات لو أمکن، و إحیاء بعض اللیلة، و صفات الجمار و الهدی، و إمرار فاقد الشعر الموسی علی رأسه، و تعدّ الضرورة إلی ترک واجب أو فعل محرّم بقدرها، و الاقتصار فی التقیّة علی ما یندفع به الضرر، و إنفاذ المقدور من الأمر بالمعروف و النهی عن المنکر، و إجراء الحدود و الأحکام، و مراعاة الأولیاء و الأوصیاء و الوکلاء و الامناء المصالح الأکمل، و ذبح الواقع فی البئر من دون شرائطه، و إشارة الأخرس فی العقود و غیرها، إلی غیر ذلک ممّا تمسّک بها فی سائر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یناقش فی دلالتها</w:t>
      </w:r>
      <w:r>
        <w:rPr>
          <w:rFonts w:eastAsia="IRNazanin" w:cs="IRNazanin"/>
          <w:color w:val="111111"/>
          <w:sz w:val="28"/>
          <w:szCs w:val="28"/>
          <w:rtl w:val="true"/>
          <w:lang w:bidi="fa-IR"/>
        </w:rPr>
        <w:t>».</w:t>
      </w:r>
    </w:p>
    <w:p>
      <w:pPr>
        <w:pStyle w:val="Heading4"/>
        <w:numPr>
          <w:ilvl w:val="3"/>
          <w:numId w:val="1"/>
        </w:numPr>
        <w:rPr/>
      </w:pPr>
      <w:bookmarkStart w:id="1516" w:name="__RefHeading___Toc2647436_3224264995"/>
      <w:bookmarkStart w:id="1517" w:name="_Toc589"/>
      <w:bookmarkEnd w:id="1516"/>
      <w:r>
        <w:rPr>
          <w:rtl w:val="true"/>
        </w:rPr>
        <w:t>[</w:t>
      </w:r>
      <w:r>
        <w:rPr>
          <w:rtl w:val="true"/>
        </w:rPr>
        <w:t xml:space="preserve">دراسة النبوی </w:t>
      </w:r>
      <w:r>
        <w:rPr>
          <w:rtl w:val="true"/>
        </w:rPr>
        <w:t>«</w:t>
      </w:r>
      <w:r>
        <w:rPr>
          <w:rtl w:val="true"/>
        </w:rPr>
        <w:t>إذا أمرتکم بشی‌ء فأتوا منه ما استطعتم</w:t>
      </w:r>
      <w:r>
        <w:rPr>
          <w:rtl w:val="true"/>
        </w:rPr>
        <w:t>»]</w:t>
      </w:r>
      <w:bookmarkEnd w:id="1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الاحتمالات فی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إمّا وقتیّة، أو موصولة، أو موصوفة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إمّا تبعیضیّة، أو ابتدائیّة، أو بیانیّة، أو بمعنی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التقادیر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الکلّی الّذی له أفراد، أو الکلّی الّذی له أجزاء، أو الأعمّ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إمّا أن یکون المراد بالاستطاعة القدرة، أو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إمّا کلمة الشرط للاهمال أو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ضربت هذه الاحتمالات بعضها مع بعض بلغت مائة و أربع و أربعین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لوحظ احتمالات لفظ الأمر ازدادت بأضعاف، لکن أکثرها ساقطة کما </w:t>
      </w:r>
    </w:p>
    <w:p>
      <w:pPr>
        <w:pStyle w:val="BookText"/>
        <w:rPr/>
      </w:pPr>
      <w:r>
        <w:rPr>
          <w:rFonts w:ascii="IRNazanin" w:hAnsi="IRNazanin" w:eastAsia="IRNazanin"/>
          <w:color w:val="111111"/>
          <w:sz w:val="28"/>
          <w:sz w:val="28"/>
          <w:szCs w:val="28"/>
          <w:rtl w:val="true"/>
          <w:lang w:bidi="fa-IR"/>
        </w:rPr>
        <w:t>یظهر بالتأمّل، بل ینحصر الصحیح منها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الوقتیّة الزمانیّة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صدرها علی ما فی الفصول</w:t>
      </w:r>
      <w:r>
        <w:rPr>
          <w:rStyle w:val="FootnoteAnchor"/>
          <w:rtl w:val="true"/>
        </w:rPr>
        <w:footnoteReference w:id="620"/>
      </w:r>
      <w:r>
        <w:rPr>
          <w:rFonts w:ascii="IRNazanin" w:hAnsi="IRNazanin" w:eastAsia="IRNazanin"/>
          <w:color w:val="111111"/>
          <w:sz w:val="28"/>
          <w:sz w:val="28"/>
          <w:szCs w:val="28"/>
          <w:rtl w:val="true"/>
          <w:lang w:bidi="fa-IR"/>
        </w:rPr>
        <w:t>من أنّ النبیّ صلّی اللّه علیه و آله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کتب علیکم الحجّ،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یا رسول اللّه؟ فأعرض عنه حتی عاد مرّتین أو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ما یؤمنک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لو قلت نعم لوجبت، و لو وجبت ما استطعتم، و لو ترکتم لکفرتم، فاترکونی ما ترکتکم، و إنّما هلک من کان قبلکم بکثرة سؤالهم و اختلافهم إلی أنبیائهم، فإذا أمرتکم بشی‌ء فأتوا منه ما استطعتم، و إذا نهیتکم عن شی‌ء فاجتنبوه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أکرم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لم یکن فیه الارتباط محقّقا أو متوهّما، للزوم کون مضمون الروایة حینئذ من قبیل إظهار البدیهیّ، لوضوح عدم سقوط الصوم بسقوط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فی دفع جریان إیراد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 الملازمة بین سقوط ذی المقدّمة و سقوطها بأنّ أجزاء المطلوب بعد تعذّر أحدها بمنزلة المجموع فی نظر العرف، فسقوط أحدها لا یستلزم سقوط الباقی فی نظر العرف، و إن استلزمه فی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لو ارید منه الحرمة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بین إرادة الحرمة و الحمل علی مطلق المرجوحیّة تهافت ناشئ عن التسامح فی نقل عبارة المورد فی العوائد،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بدلالته علی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621"/>
      </w:r>
      <w:r>
        <w:rPr>
          <w:rFonts w:ascii="IRNazanin" w:hAnsi="IRNazanin" w:eastAsia="IRNazanin"/>
          <w:color w:val="111111"/>
          <w:sz w:val="28"/>
          <w:sz w:val="28"/>
          <w:szCs w:val="28"/>
          <w:rtl w:val="true"/>
          <w:lang w:bidi="fa-IR"/>
        </w:rPr>
        <w:t>، و لا منافاة بین الدلالة و الحمل علی المرجوحیّة</w:t>
      </w:r>
      <w:r>
        <w:rPr>
          <w:rFonts w:eastAsia="IRNazanin" w:cs="IRNazanin"/>
          <w:color w:val="111111"/>
          <w:sz w:val="28"/>
          <w:szCs w:val="28"/>
          <w:rtl w:val="true"/>
          <w:lang w:bidi="fa-IR"/>
        </w:rPr>
        <w:t xml:space="preserve">. </w:t>
      </w:r>
      <w:bookmarkStart w:id="1518" w:name="pg12856_162956"/>
    </w:p>
    <w:p>
      <w:pPr>
        <w:pStyle w:val="BookText"/>
        <w:rPr/>
      </w:pPr>
      <w:bookmarkEnd w:id="151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مجموعیّ لا أفرادی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فی المثال لا یترک مجموع إکرام کلّ منهم بواسطة تعذّر بعض الإکرام، لا أنّه لا یترک شی‌ء من إکرامهم بواسطة تعذّر إکرام بعضهم، إذ لا یعقل ذلک فما یعقل من العموم فی الروایة لا یتوجّه المنع إلیه، و ما یتوجّه إلیه المنع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بتنقیح المناط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التقیید بالعرفیّ مخرج للتنقیح المناط العقلی الحاصل من السبر و التقسیم، فإنّه قیاس مستنبط، ممنوع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ذکرنا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519" w:name="__RefHeading___Toc2647438_3224264995"/>
      <w:bookmarkStart w:id="1520" w:name="_Toc590"/>
      <w:bookmarkEnd w:id="1519"/>
      <w:r>
        <w:rPr>
          <w:rtl w:val="true"/>
        </w:rPr>
        <w:t>[</w:t>
      </w:r>
      <w:r>
        <w:rPr>
          <w:rtl w:val="true"/>
        </w:rPr>
        <w:t>فی أیّ اعتبار الخلیط فی ماء غسل المیت من قبیل التقیید أم من قبیل تعدّد المطلوب؟</w:t>
      </w:r>
      <w:r>
        <w:rPr>
          <w:rtl w:val="true"/>
        </w:rPr>
        <w:t>]</w:t>
      </w:r>
      <w:bookmarkEnd w:id="1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الخلیط فی ماء غسل المیّت، هل هو من قبیل التقیید لإطلاق الغسل بالماء، لیرتفع بارتفاع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جماعة، بناء منهم علی أنّ المرکّب ینتفی بانتفاء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قبیل تعدّد المطلوب لئلّا ینتفی بانتفائه؟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الریاض، استنادا منه إلی ما هو لفظه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الصحیح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بتغسیله بماء و سدر، فالمأمور به شیئان متمایزان، و إن امتزجا فی الخارج، و لیس الاعتماد فی إیجاب الخلیط علی ما دلّ علی تغسیله بماء السدر خاصّة حتی یرتفع الأمر بارتفاع المضاف إلیه، و بعد تسلیمه لا نسلّم فوات الکلّ بفوات الجزء بعد قیام المعتبرة بإتیان المیسور و عدم سقوطه بالمعسور، انتهی عبارة الریاض</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العبارتین، أی بین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بماء 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بماء و 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فی الماء شی‌ء من 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التکلیف بإدخال السدر إمّا نفسیّ، أو مقدّمی لأجل التوصّل بحصول الغسل بماء السدر، أو </w:t>
      </w:r>
      <w:bookmarkStart w:id="1521" w:name="pg12856_162957"/>
    </w:p>
    <w:p>
      <w:pPr>
        <w:pStyle w:val="BookText"/>
        <w:rPr/>
      </w:pPr>
      <w:bookmarkEnd w:id="1521"/>
      <w:r>
        <w:rPr>
          <w:rFonts w:ascii="IRNazanin" w:hAnsi="IRNazanin" w:eastAsia="IRNazanin"/>
          <w:color w:val="111111"/>
          <w:sz w:val="28"/>
          <w:sz w:val="28"/>
          <w:szCs w:val="28"/>
          <w:rtl w:val="true"/>
          <w:lang w:bidi="fa-IR"/>
        </w:rPr>
        <w:t>إرشادیّ إلی أنّ المراد من الأمر بالغسل المطلق هو المقیّد بماء السدر، و الأوّل باطل لاستلزامه إجزاء الغسل بماء القراح بدلا عن الخلیط، و إن عصی بترک الخلیط عند التمکّن منه، کما هو الشأن فی سائر التکالیف النفسیّة المستقلّة، حیث إنّ ترک أحدها لا یقدح فی امتثال الآخر، بل و استلزامه إجزاء إلقاء السدر و الکافور علی المیّت عند تعذّر الماء، بل و عند التمکّن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تحقّق العصیان مع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اللوازم کلّها باطلة، فالملزوم مثلها، و علی الأخیرین یکون المکلّف به واحدا، لا متعدّدا علی کلّ من عبارتی الغسل بماء السدر، و الغسل بماء و 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بطلان اللوازم المذکورة، بأنّه من مقتضی الدلیل الخارج فلا یقتضی بطلان اللازم بطلان الملزوم، ضرورة الفرق الواضح بین خواصّ الغسل بالماء القراح، و إلقاء السدر و الکافور علی المیّت، فمطلوبیّة الغسل بالماء القراح نفسا لا یستلزم مطلوبیّة السدر و الکافور نفسا، و عدم مطلوبیّة السدر و الکافور وحده لا یستلزم عدم مطلوبیّة الماء القراح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التخییر</w:t>
      </w:r>
      <w:r>
        <w:rPr>
          <w:rFonts w:eastAsia="IRNazanin" w:cs="IRNazanin"/>
          <w:color w:val="111111"/>
          <w:sz w:val="28"/>
          <w:szCs w:val="28"/>
          <w:rtl w:val="true"/>
          <w:lang w:bidi="fa-IR"/>
        </w:rPr>
        <w:t>».</w:t>
      </w:r>
    </w:p>
    <w:p>
      <w:pPr>
        <w:pStyle w:val="Heading4"/>
        <w:numPr>
          <w:ilvl w:val="3"/>
          <w:numId w:val="1"/>
        </w:numPr>
        <w:rPr/>
      </w:pPr>
      <w:bookmarkStart w:id="1522" w:name="__RefHeading___Toc2647440_3224264995"/>
      <w:bookmarkStart w:id="1523" w:name="_Toc591"/>
      <w:bookmarkEnd w:id="1522"/>
      <w:r>
        <w:rPr>
          <w:rtl w:val="true"/>
        </w:rPr>
        <w:t>[</w:t>
      </w:r>
      <w:r>
        <w:rPr>
          <w:rtl w:val="true"/>
        </w:rPr>
        <w:t>دوران الأمر بین ترک الجزء و ترک الشرط</w:t>
      </w:r>
      <w:r>
        <w:rPr>
          <w:rtl w:val="true"/>
        </w:rPr>
        <w:t>]</w:t>
      </w:r>
      <w:bookmarkEnd w:id="1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کلّ من الشرط و الجزء بعد قیام الدلیل علی سقوط المشروط و الکلّ بسقوطهما متساویان، فلا ترجیح لسقوط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قبل قیام الدلیل، فکما یحتمل سقوط المشروط بترک الشرط، کذلک یحتمل سقوط الکلّ بترک الجزء من دون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الدلیل علی أهمیّة أحدهما من الآخر، و أمّا معه فیقدّم ترک غیر الأهمّ قطعا، و لو کان جزء کالسورة و بعض السورة بالنسبة إلی الطهارة أو القبلة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یتعلّق بالعمل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یتعلّق بالقول و الالتزام به، أمّا فی صورة تطبیق العمل علی وجه واحد من وجهی التخییر دائما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صورة اختیار تطبیقه علی أحد وجهیه تارة و علی وجهه الآخر تارة أخری، فلأنّ العمل الأخیر موجب للعلم بالمخالفة العملیّة فی أحد العملین، لا أنّه عمل مخالف لما هو علیه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الأخیر کالعمل الأوّل فی احتمال مخالفة الواقع و عدمه، و لیس بنفسه مقطوع المخالفة المفروض حرمتها، غایة الفرق أنّه موجب للعلم بحصول تلک المخالفة، و لا دلیل علی قدحه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جواز ارتکاب الشبهة المحصورة تدریجا، لأنّ ارتکاب الطرف الأوّل لیس فیه إلّا احتمال المخالفة، و الطرف الآخر لیس فیه إلّا العلم بالمخالفة، فلیس فی ارتکاب کلّ من الطرفین بنفسه مخالفة عملیّة، بل الحاصل من المجموع العلم بالمخالفة، و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قادح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بجواز ارتکاب أحد الطرفین فی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اللازم منه جواز ارتکاب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به فی القوانین</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أنّا بینّا فی محلّه علی حکم العقل بقبح ارتکاب شی‌ء من الطرفین، و بعد البناء علی ذلک لا ملازمة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الفرق بین هذه المسألة و مسألة دوران الأمر بین الوجوب و الحرمة هو وجود العلم الإجمالی بوجوب الکلّ هنا، دون ثمّة، و دوران الأمر بین الحکمین الغیریین هنا، و النفسیین ثمّة، و هذا هو الفرق أیضا بین مسألة الشکّ فی الشرطیّة و مسألة دوران الأمر بین الوجوب و غیر الحرام، مضافا إلی أنّه یکفی فی تفریق المسألتین أعمیّة أحدهما من الآخر مطلقا، کمسألة مقدّمة الواجب بالنسبة إلی </w:t>
      </w:r>
      <w:bookmarkStart w:id="1524" w:name="pg12856_162959"/>
    </w:p>
    <w:p>
      <w:pPr>
        <w:pStyle w:val="BookText"/>
        <w:rPr/>
      </w:pPr>
      <w:bookmarkEnd w:id="1524"/>
      <w:r>
        <w:rPr>
          <w:rFonts w:ascii="IRNazanin" w:hAnsi="IRNazanin" w:eastAsia="IRNazanin"/>
          <w:color w:val="111111"/>
          <w:sz w:val="28"/>
          <w:sz w:val="28"/>
          <w:szCs w:val="28"/>
          <w:rtl w:val="true"/>
          <w:lang w:bidi="fa-IR"/>
        </w:rPr>
        <w:t>مسألة الضدّ، فأعمیّة المسألة السابقة من هذه المسألة علی فرض تحقّقه لا یقدح فی تفریق المسألتین، کما عرفت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 وجوب الاحتیاط</w:t>
      </w:r>
      <w:r>
        <w:rPr>
          <w:rFonts w:eastAsia="IRNazanin" w:cs="IRNazanin"/>
          <w:color w:val="111111"/>
          <w:sz w:val="28"/>
          <w:szCs w:val="28"/>
          <w:rtl w:val="true"/>
          <w:lang w:bidi="fa-IR"/>
        </w:rPr>
        <w:t>».</w:t>
      </w:r>
    </w:p>
    <w:p>
      <w:pPr>
        <w:pStyle w:val="Heading4"/>
        <w:numPr>
          <w:ilvl w:val="3"/>
          <w:numId w:val="1"/>
        </w:numPr>
        <w:rPr/>
      </w:pPr>
      <w:bookmarkStart w:id="1525" w:name="__RefHeading___Toc2647442_3224264995"/>
      <w:bookmarkStart w:id="1526" w:name="_Toc592"/>
      <w:bookmarkEnd w:id="1525"/>
      <w:r>
        <w:rPr>
          <w:rtl w:val="true"/>
        </w:rPr>
        <w:t>[</w:t>
      </w:r>
      <w:r>
        <w:rPr>
          <w:rtl w:val="true"/>
        </w:rPr>
        <w:t>مناقشة کلام الماتن فی الفرق بین الاحتیاط فی ما نحن فیه، و الاحتیاط فی مسألة الشک فی الشرطیة و الجزئیة</w:t>
      </w:r>
      <w:r>
        <w:rPr>
          <w:rtl w:val="true"/>
        </w:rPr>
        <w:t>]</w:t>
      </w:r>
      <w:bookmarkEnd w:id="1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ذکره المصنّف من فرق الاحتیاط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المقتضی تکرار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المراد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باحتیاط اعتبار الجزم بالنیّة، بخلاف الاحتیاط الغیر المقتضی بالتکرار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المراد فی مسألة الشکّ فی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الفرق فی معارضة مجری البراءة فی أحد المتباینین و عدم معارضته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الفرق غیر فارق، بل الفارق أنّ الاحتیاط فی العمل فرع احتمال وجوبه واقعا، و لا مسرح لاحتمال وجوب العملین المفروض بطلان أحدهما، و حرمته واقعا کما هو مقتضی الاحتیاط فی المقام، بخلاف وجوب العمل الغیر المکرّر الّذی هو مقتضی الاحتیاط فی مسألة الشکّ فی الشرطیّة فإنّه محتمل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لمنع جریان أدلّة نفی الجزئیّة و الشرطیّة عند الشکّ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کمنع جریانها فی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منع جریان العقل فلعدم استقلاله علی قبح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النقل فبانصراف ظهورها إلی غیر المتباینین، ممّا یرجع الأمر فیه إلی الشکّ البدویّ، لا العلم الإجمالی، و إلی الشکّ فی التکلیف لا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فیلزم من العمل بالأصلین مخالفة عملیة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الجزء التعبّدی إن کان بنیّة رجحانه فلا دلیل علیه سوی الاحتیاط المفروض عدم البناء علیه، و إن کان بنیّة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المخالفة العملیّة، ضرورة أنّ إتیان الشی‌ء علی وجه الإباحة </w:t>
      </w:r>
      <w:bookmarkStart w:id="1527" w:name="pg12856_162960"/>
    </w:p>
    <w:p>
      <w:pPr>
        <w:pStyle w:val="BookText"/>
        <w:rPr/>
      </w:pPr>
      <w:bookmarkEnd w:id="1527"/>
      <w:r>
        <w:rPr>
          <w:rFonts w:ascii="IRNazanin" w:hAnsi="IRNazanin" w:eastAsia="IRNazanin"/>
          <w:color w:val="111111"/>
          <w:sz w:val="28"/>
          <w:sz w:val="28"/>
          <w:szCs w:val="28"/>
          <w:rtl w:val="true"/>
          <w:lang w:bidi="fa-IR"/>
        </w:rPr>
        <w:t>عمل مخالف لما هو علیه واقعا بالفرض، من وجوب فعله أو وجوب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السیّد الرضیّ إجماع أصحابنا</w:t>
      </w:r>
      <w:r>
        <w:rPr>
          <w:rFonts w:eastAsia="IRNazanin" w:cs="IRNazanin"/>
          <w:color w:val="111111"/>
          <w:sz w:val="28"/>
          <w:szCs w:val="28"/>
          <w:rtl w:val="true"/>
          <w:lang w:bidi="fa-IR"/>
        </w:rPr>
        <w:t>».</w:t>
      </w:r>
    </w:p>
    <w:p>
      <w:pPr>
        <w:pStyle w:val="Heading4"/>
        <w:numPr>
          <w:ilvl w:val="3"/>
          <w:numId w:val="1"/>
        </w:numPr>
        <w:rPr/>
      </w:pPr>
      <w:bookmarkStart w:id="1528" w:name="__RefHeading___Toc2647444_3224264995"/>
      <w:bookmarkStart w:id="1529" w:name="_Toc593"/>
      <w:bookmarkEnd w:id="1528"/>
      <w:r>
        <w:rPr>
          <w:rtl w:val="true"/>
        </w:rPr>
        <w:t>[</w:t>
      </w:r>
      <w:r>
        <w:rPr>
          <w:rtl w:val="true"/>
        </w:rPr>
        <w:t>عمل تارک الاجتهاد و التقلید</w:t>
      </w:r>
      <w:r>
        <w:rPr>
          <w:rtl w:val="true"/>
        </w:rPr>
        <w:t>]</w:t>
      </w:r>
      <w:bookmarkEnd w:id="1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نقل معقد إجماع السیّدین</w:t>
      </w:r>
      <w:r>
        <w:rPr>
          <w:rStyle w:val="FootnoteAnchor"/>
          <w:rtl w:val="true"/>
        </w:rPr>
        <w:footnoteReference w:id="624"/>
      </w:r>
      <w:r>
        <w:rPr>
          <w:rFonts w:ascii="IRNazanin" w:hAnsi="IRNazanin" w:eastAsia="IRNazanin"/>
          <w:color w:val="111111"/>
          <w:sz w:val="28"/>
          <w:sz w:val="28"/>
          <w:szCs w:val="28"/>
          <w:rtl w:val="true"/>
          <w:lang w:bidi="fa-IR"/>
        </w:rPr>
        <w:t>إنّما هو بطلان عمل الجاهل المقصّر الغیر البانی علی الاحتیاط المصادف عمله الواقع من باب الاتّفاق لا الاحتیاط، و هو خارج عن النزاع، و لا یستلزم بطلان عمل الجاهل الباقی علی الاحتیاط الّذی هو محلّ النزاع و إن کانت الملازمة من طرف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أجنبیّا عن سیرة المتشرّعة</w:t>
      </w:r>
      <w:r>
        <w:rPr>
          <w:rFonts w:eastAsia="IRNazanin" w:cs="IRNazanin"/>
          <w:color w:val="111111"/>
          <w:sz w:val="28"/>
          <w:szCs w:val="28"/>
          <w:rtl w:val="true"/>
          <w:lang w:bidi="fa-IR"/>
        </w:rPr>
        <w:t>».</w:t>
      </w:r>
    </w:p>
    <w:p>
      <w:pPr>
        <w:pStyle w:val="Heading4"/>
        <w:numPr>
          <w:ilvl w:val="3"/>
          <w:numId w:val="1"/>
        </w:numPr>
        <w:rPr/>
      </w:pPr>
      <w:bookmarkStart w:id="1530" w:name="__RefHeading___Toc2647446_3224264995"/>
      <w:bookmarkStart w:id="1531" w:name="_Toc594"/>
      <w:bookmarkEnd w:id="1530"/>
      <w:r>
        <w:rPr>
          <w:rtl w:val="true"/>
        </w:rPr>
        <w:t>[</w:t>
      </w:r>
      <w:r>
        <w:rPr>
          <w:rtl w:val="true"/>
        </w:rPr>
        <w:t>مناقشة کلام الماتن فی دعواه بأن تکرار العبادة لإحراز الواقع مع التمکّن من العلم التفصیلی به اجنبی عن سیرة المتشرعة</w:t>
      </w:r>
      <w:r>
        <w:rPr>
          <w:rtl w:val="true"/>
        </w:rPr>
        <w:t>]</w:t>
      </w:r>
      <w:bookmarkEnd w:id="1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إنّما هو علی ترک الطریق العسر مع التمکین من الطریق السهل الیسر، و هو أعمّ من بطلانها و بطلان سلوک الطریق العسر شرعا، خصوصا فی الأعمال الّتی أفضلها أحمزها، خصوصا فی الصلاة فإنّها لکبیرة إلّا علی الخاشعین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ترک العسیر إلی البدل الیسیر سری الوهم المذکور، کیف لا؟ و طریقه حسن الاحتیاط عقلی آب من التخصیص بما لا یستلزم التکرار دون ما یستلزم، و لهذا لم یشترط فی صحّة سلوکه ما یشترط فی سلوک سائر الطرق الشرعیّة، بل صحّ العمل به مطلقا حتّی فیما قام الدلیل الظاهری الاجتهادی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الدلیل القطعیّ علی خلافه لم یجر الاحتیاط من باب التخصّص و الخروج الموضوعی لانتفاء موضوع الاحتمال مع القطع</w:t>
      </w:r>
      <w:r>
        <w:rPr>
          <w:rFonts w:eastAsia="IRNazanin" w:cs="IRNazanin"/>
          <w:color w:val="111111"/>
          <w:sz w:val="28"/>
          <w:szCs w:val="28"/>
          <w:rtl w:val="true"/>
          <w:lang w:bidi="fa-IR"/>
        </w:rPr>
        <w:t>.</w:t>
      </w:r>
    </w:p>
    <w:p>
      <w:pPr>
        <w:pStyle w:val="Heading3"/>
        <w:numPr>
          <w:ilvl w:val="2"/>
          <w:numId w:val="1"/>
        </w:numPr>
        <w:rPr/>
      </w:pPr>
      <w:bookmarkStart w:id="1532" w:name="__RefHeading___Toc2647448_3224264995"/>
      <w:bookmarkStart w:id="1533" w:name="_Toc595"/>
      <w:bookmarkEnd w:id="1532"/>
      <w:r>
        <w:rPr>
          <w:rtl w:val="true"/>
        </w:rPr>
        <w:t>[</w:t>
      </w:r>
      <w:r>
        <w:rPr>
          <w:rtl w:val="true"/>
        </w:rPr>
        <w:t>خاتمة</w:t>
      </w:r>
      <w:r>
        <w:rPr>
          <w:rtl w:val="true"/>
        </w:rPr>
        <w:t xml:space="preserve">: </w:t>
      </w:r>
      <w:r>
        <w:rPr>
          <w:rtl w:val="true"/>
        </w:rPr>
        <w:t>ما یعتبر فی العمل بالاصل</w:t>
      </w:r>
      <w:r>
        <w:rPr>
          <w:rtl w:val="true"/>
        </w:rPr>
        <w:t>]</w:t>
      </w:r>
      <w:bookmarkEnd w:id="1533"/>
    </w:p>
    <w:p>
      <w:pPr>
        <w:pStyle w:val="Heading4"/>
        <w:numPr>
          <w:ilvl w:val="3"/>
          <w:numId w:val="1"/>
        </w:numPr>
        <w:rPr/>
      </w:pPr>
      <w:bookmarkStart w:id="1534" w:name="__RefHeading___Toc2647450_3224264995"/>
      <w:bookmarkStart w:id="1535" w:name="_Toc596"/>
      <w:bookmarkEnd w:id="1534"/>
      <w:r>
        <w:rPr>
          <w:rtl w:val="true"/>
        </w:rPr>
        <w:t>اشارة</w:t>
      </w:r>
      <w:bookmarkEnd w:id="15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کذبها، فتأمّل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لزوم الفحص عن الطومار إنّما هو من جهة تعلّقه بالاصول الّتی هی مجری الحظر قبل الشریعة، لا الفروع الّتی هی محلّ النزاع فی </w:t>
      </w:r>
    </w:p>
    <w:p>
      <w:pPr>
        <w:pStyle w:val="BookText"/>
        <w:rPr/>
      </w:pPr>
      <w:r>
        <w:rPr>
          <w:rFonts w:ascii="IRNazanin" w:hAnsi="IRNazanin" w:eastAsia="IRNazanin"/>
          <w:color w:val="111111"/>
          <w:sz w:val="28"/>
          <w:sz w:val="28"/>
          <w:szCs w:val="28"/>
          <w:rtl w:val="true"/>
          <w:lang w:bidi="fa-IR"/>
        </w:rPr>
        <w:t>مجری البراءة بعد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مجازفة،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أنّه لو سلّم عدم انحصار العلم الإجمالی فی الوقائع المتمکّن من الوصول إلی مدرکها، لکن لا نسلّم ابتلاء المکلّف بجمیع تلک الأطراف حتّی یجب الاحتیاط، أو إلی إمکان الجواب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مجازفة تقیید العلم الإجمالی بالوقائع المتمکّن من الوصول إلی مدرکها مع کون التمکّن من شروط حکم العلم الإجمالی، فکیف یعتبر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تخصیص العلم الإجمالی بمقدار التمکّن من التفحّص و الوصول إلی مدرکه، لا اشتراط العلم الإجمالی بالتمکّن منه حتی یلزم محذور الدور من دخول شرط الحکم فی موضوع مسألة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حکم العلم الإجمالی و تأثیره الاحتیاط مطلقا، أو البراءة مطلقا، أو بعد الفحص عمّا بأیدینا من مدارکها لا قبله یختلف باختلاف أقسام العلم الإجمالی من ضیق دائرته وسعته، فإن اختصّ دائرته بخصوص المعلومات المعلومة قبل الفحص، فهو محکوم بالبراءة، فی ما عدا المعلومات الخارجیّة قبل الفحص، و إن عمّ تلک الوقائع المعلومة و المجهولة الراجعة إلی المعلومة بعد الفحص عمّا بأیدینا من مدارکها، فمحکوم فیه بالبراءة بعد الفحص، لا قبله، و إن عمّها و الوقائع الخارجة عمّا بأیدینا من مدارکها، فحکمها الاحتیاط من أوّل الأمر، و عدم تأثیر الفحص فی رفعه أصلا، کما هو واضح</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علیه الأخباریّة الموجبین للاحتیاط دون البراءة فی الشبهات التحریمیّة</w:t>
      </w:r>
      <w:r>
        <w:rPr>
          <w:rStyle w:val="FootnoteAnchor"/>
          <w:rtl w:val="true"/>
        </w:rPr>
        <w:footnoteReference w:id="626"/>
      </w:r>
      <w:r>
        <w:rPr>
          <w:rFonts w:ascii="IRNazanin" w:hAnsi="IRNazanin" w:eastAsia="IRNazanin"/>
          <w:color w:val="111111"/>
          <w:sz w:val="28"/>
          <w:sz w:val="28"/>
          <w:szCs w:val="28"/>
          <w:rtl w:val="true"/>
          <w:lang w:bidi="fa-IR"/>
        </w:rPr>
        <w:t>، و مبنی سؤال إن قلت، و تأمّل المصنّف فی ما أجاب عنه، إنّما هو الالتزام الأخیر من الأقسام</w:t>
      </w:r>
      <w:r>
        <w:rPr>
          <w:rFonts w:eastAsia="IRNazanin" w:cs="IRNazanin"/>
          <w:color w:val="111111"/>
          <w:sz w:val="28"/>
          <w:szCs w:val="28"/>
          <w:rtl w:val="true"/>
          <w:lang w:bidi="fa-IR"/>
        </w:rPr>
        <w:t xml:space="preserve">. </w:t>
      </w:r>
      <w:bookmarkStart w:id="1536" w:name="pg12856_162962"/>
    </w:p>
    <w:p>
      <w:pPr>
        <w:pStyle w:val="BookText"/>
        <w:rPr/>
      </w:pPr>
      <w:bookmarkEnd w:id="1536"/>
      <w:r>
        <w:rPr>
          <w:rFonts w:ascii="IRNazanin" w:hAnsi="IRNazanin" w:eastAsia="IRNazanin"/>
          <w:color w:val="111111"/>
          <w:sz w:val="28"/>
          <w:sz w:val="28"/>
          <w:szCs w:val="28"/>
          <w:rtl w:val="true"/>
          <w:lang w:bidi="fa-IR"/>
        </w:rPr>
        <w:t>و الّذی علیه الاصولیّون من البراءة فی مطلق الشبهات، و مبنی الجواب عن الأخباریّة هناک و عن سؤال إن قلت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القسم الثانی من أقسام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مبنی إنکار وجوب الفحص عن المخصّص و المعارض إنّما هو القسم الأوّل من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قول بالعقاب علی ترک المقدّمة دون ذی المقدّمة</w:t>
      </w:r>
      <w:r>
        <w:rPr>
          <w:rFonts w:eastAsia="IRNazanin" w:cs="IRNazanin"/>
          <w:color w:val="111111"/>
          <w:sz w:val="28"/>
          <w:szCs w:val="28"/>
          <w:rtl w:val="true"/>
          <w:lang w:bidi="fa-IR"/>
        </w:rPr>
        <w:t>».</w:t>
      </w:r>
    </w:p>
    <w:p>
      <w:pPr>
        <w:pStyle w:val="Heading4"/>
        <w:numPr>
          <w:ilvl w:val="3"/>
          <w:numId w:val="1"/>
        </w:numPr>
        <w:rPr/>
      </w:pPr>
      <w:bookmarkStart w:id="1537" w:name="__RefHeading___Toc2647452_3224264995"/>
      <w:bookmarkStart w:id="1538" w:name="_Toc597"/>
      <w:bookmarkEnd w:id="1537"/>
      <w:r>
        <w:rPr>
          <w:rtl w:val="true"/>
        </w:rPr>
        <w:t>[</w:t>
      </w:r>
      <w:r>
        <w:rPr>
          <w:rtl w:val="true"/>
        </w:rPr>
        <w:t>بطلان قبح العقاب علی غیر المقدور و لو بسوء الاختیار</w:t>
      </w:r>
      <w:r>
        <w:rPr>
          <w:rtl w:val="true"/>
        </w:rPr>
        <w:t>]</w:t>
      </w:r>
      <w:bookmarkEnd w:id="1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بطلانه أنّ حکم المقدّمة فرع ذی المقدّمة فلا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یمکن توجیه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التوجیه مبنیّ علی قبح عقاب غیر المقدور مطلقا و لو استند عدم قدرته إلی تقصیره و سوء اختیاره، و هو ممنوع عقلا و شرعا، کتابا و سنّة، بأبلغ ما قدّمناه مرارا من الوجوه</w:t>
      </w:r>
      <w:r>
        <w:rPr>
          <w:rStyle w:val="FootnoteAnchor"/>
          <w:rtl w:val="true"/>
        </w:rPr>
        <w:footnoteReference w:id="627"/>
      </w:r>
      <w:r>
        <w:rPr>
          <w:rFonts w:ascii="IRNazanin" w:hAnsi="IRNazanin" w:eastAsia="IRNazanin"/>
          <w:color w:val="111111"/>
          <w:sz w:val="28"/>
          <w:sz w:val="28"/>
          <w:szCs w:val="28"/>
          <w:rtl w:val="true"/>
          <w:lang w:bidi="fa-IR"/>
        </w:rPr>
        <w:t>،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صحّته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مقتضی الملازمة بین العقل و الشرع، و تبعیّة الأحکام الشرعیّة للمصالح الواقعیّة، هو الملازمة بین النهی و المبغوضیّة، کالعلّة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صیرورة المکلّف قابلا للتکلیف بالواجبات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وجوب العلم و المعرفة من باب المقدّمة، لکن لإیجاب الواجبات، لا لإیجادها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المطلقة و المشروطة، فتأمّل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کون الجهل و ترک المعرفة فی الاصول، لا الفروع التی هی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احتمال استناد مذمّة تارک النظر فی المعجزة و الطومار، إلی ما ترتّب علیه من ترک ذی المقدّمة و تفویت الواقع، لا إلی مجرّد ترک </w:t>
      </w:r>
      <w:bookmarkStart w:id="1539" w:name="pg12856_162963"/>
    </w:p>
    <w:p>
      <w:pPr>
        <w:pStyle w:val="BookText"/>
        <w:rPr/>
      </w:pPr>
      <w:bookmarkEnd w:id="1539"/>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یحصل مع القطع بالفساد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540" w:name="__RefHeading___Toc2647454_3224264995"/>
      <w:bookmarkStart w:id="1541" w:name="_Toc598"/>
      <w:bookmarkEnd w:id="1540"/>
      <w:r>
        <w:rPr>
          <w:rtl w:val="true"/>
        </w:rPr>
        <w:t>[</w:t>
      </w:r>
      <w:r>
        <w:rPr>
          <w:rtl w:val="true"/>
        </w:rPr>
        <w:t>فی صحة المعاملة الصادرة من الجاهل التارک للفحص العامل بما یطابق البراءة و فسادها</w:t>
      </w:r>
      <w:r>
        <w:rPr>
          <w:rtl w:val="true"/>
        </w:rPr>
        <w:t>]</w:t>
      </w:r>
      <w:bookmarkEnd w:id="1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کما أنّ قصد الصحّة و ترتّب أثر الصحّة علی الأفعال الخارجیّة کالقمار و الربا لا ینافی القطع بفساده الشرعی، و عدم ترتّب أثر الصحّة الشرعی علیه، بل و کما أنّ قصد القربة بمعنی الموافقة للأمر فی العبادة لا ینافی القطع بفسادها، و عدم ترتّب الأثر المقرّبیة علیها شرعا، کذلک قصد ترتّب الأثر علی الأفعال القلبیّة، کإنشاء عقد أو إیقاع، لا ینافی القطع بفسادها الشرعی، و عدم ترتّب الأثر الشرعی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المنافی للقطع بالفساد الشرعی إنّما هو قصد ترتّب الأثر الشرعی لا مطلق الأثر، کما أنّ المنافی للقطع بفساد العبادة إنّما هو قصد القربة فیها بمعنی المقرّبیة، لا القربة بمعنی موافقة الأمر، و من عدم امتیاز المعنیین توهّم المنافاة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قطعه بفسادها،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القطع بالفساد لا یؤثّر الفساد، و لا یمنع الصحّة الواقعیّة، علی ما هو المعروف من اعتبار القطع من باب الطریقیّة، لإمکان تخلّف الطریق عن ذی الطریق فی الواقع أحیانا، إلّا علی تقدیر اعتباره من باب الموضوعیّة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تحقّق نیّة القربة لأنّ الشاکّ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2647456_3224264995"/>
      <w:bookmarkStart w:id="1543" w:name="_Toc599"/>
      <w:bookmarkEnd w:id="1542"/>
      <w:r>
        <w:rPr>
          <w:rtl w:val="true"/>
        </w:rPr>
        <w:t>[</w:t>
      </w:r>
      <w:r>
        <w:rPr>
          <w:rtl w:val="true"/>
        </w:rPr>
        <w:t>مناقشة ما ادّعاه الماتن من عدم تحقّق قصد القربة للجاهل المفروض مخالفة الطریق الشرعیّ</w:t>
      </w:r>
      <w:r>
        <w:rPr>
          <w:rtl w:val="true"/>
        </w:rPr>
        <w:t>]</w:t>
      </w:r>
      <w:bookmarkEnd w:id="1543"/>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فإنّ القربة المصحّحة للعبادة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هی موافقة مطلق الأمر، إن معلوما فعلی وجه المعلومیّة، و إن محتملا فعلی وجه الرجاء و احتمال الواقع</w:t>
      </w:r>
      <w:r>
        <w:rPr>
          <w:rFonts w:eastAsia="IRNazanin" w:cs="IRNazanin"/>
          <w:color w:val="111111"/>
          <w:sz w:val="28"/>
          <w:szCs w:val="28"/>
          <w:rtl w:val="true"/>
          <w:lang w:bidi="fa-IR"/>
        </w:rPr>
        <w:t xml:space="preserve">. </w:t>
      </w:r>
      <w:bookmarkStart w:id="1544" w:name="pg12856_162964"/>
    </w:p>
    <w:p>
      <w:pPr>
        <w:pStyle w:val="BookText"/>
        <w:rPr/>
      </w:pPr>
      <w:bookmarkEnd w:id="1544"/>
      <w:r>
        <w:rPr>
          <w:rFonts w:ascii="IRNazanin" w:hAnsi="IRNazanin" w:eastAsia="IRNazanin"/>
          <w:color w:val="111111"/>
          <w:sz w:val="28"/>
          <w:sz w:val="28"/>
          <w:szCs w:val="28"/>
          <w:rtl w:val="true"/>
          <w:lang w:bidi="fa-IR"/>
        </w:rPr>
        <w:t>و لو اختصّ بموافقة الأمر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صحّ وقف الکافر و عتقه، و عبادة الجاهل المقصّر المصادف للواقع مطلقا، و صلاة الاحتیاط، و ما احتمل وجوبه من الغسل و الوضوء و الصلاة و الحجّ، و سائر العبادات و موارد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الفرق غیر فارق، إذ لو اشترط الجزم بموافقة الأمر المعلوم فی صدق القربة، لکان انتفاء صدقه فی سائر موارد الاحتیاط قاض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انتفاء أصل المشروط المنویّ، لا انتفاء نفس الشرط و النّیّة و الاکتفاء فیها برجاء الواقع و موافقة الأمر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منشأ الشکّ فی اعتبار الجزم فی القربة بموافقة الأمر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إلی اعتبار وجوب الاجتهاد و التقلید فی صحّة العبادة، و دفع الاحتمال و الشکّ فی صحّة العبادة، و الأصل عدم شرطیّة الجزم و عدم مانعیّة عدمه، بل الأصل عدم وجوب منشأ هذا الشکّ، و هو الشکّ فی وجوب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التردید المانع من صدق النیّة، إنّما هو التردید فی أصل النیّة بأن یفعل أو لا یفعل، و أمّا التردید فی المنویّ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مؤکّد للنیّة لا مانع من صدق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من التجرّی</w:t>
      </w:r>
      <w:r>
        <w:rPr>
          <w:rFonts w:eastAsia="IRNazanin" w:cs="IRNazanin"/>
          <w:color w:val="111111"/>
          <w:sz w:val="28"/>
          <w:szCs w:val="28"/>
          <w:rtl w:val="true"/>
          <w:lang w:bidi="fa-IR"/>
        </w:rPr>
        <w:t>».</w:t>
      </w:r>
    </w:p>
    <w:p>
      <w:pPr>
        <w:pStyle w:val="Heading4"/>
        <w:numPr>
          <w:ilvl w:val="3"/>
          <w:numId w:val="1"/>
        </w:numPr>
        <w:rPr/>
      </w:pPr>
      <w:bookmarkStart w:id="1545" w:name="__RefHeading___Toc2647458_3224264995"/>
      <w:bookmarkStart w:id="1546" w:name="_Toc600"/>
      <w:bookmarkEnd w:id="1545"/>
      <w:r>
        <w:rPr>
          <w:rtl w:val="true"/>
        </w:rPr>
        <w:t>[</w:t>
      </w:r>
      <w:r>
        <w:rPr>
          <w:rtl w:val="true"/>
        </w:rPr>
        <w:t>إشارة إلی فرق الطریق الجعلی عن الطریق المنجعل</w:t>
      </w:r>
      <w:r>
        <w:rPr>
          <w:rtl w:val="true"/>
        </w:rPr>
        <w:t>]</w:t>
      </w:r>
      <w:bookmarkEnd w:id="1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یترتّب علیه الحرمة الواقعیّة، و إن لم یصادف حرمة الفعل المتجرّی به واقعا، و هو التجرّی فی مخالفة الأحکام الشرعیّة و الطرق الجعلیّة، کالتجرّی فی ما نحن فیه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نوع یترتّب علیه الحرمة الظاهریّة المراعاة بمصادفة حرمة الفعل المتجرّی به، و هو التجرّی فی مخالفة الأحکام العقلیّة و الطرق المنجعلة، </w:t>
      </w:r>
      <w:bookmarkStart w:id="1547" w:name="pg12856_162965"/>
    </w:p>
    <w:p>
      <w:pPr>
        <w:pStyle w:val="BookText"/>
        <w:rPr/>
      </w:pPr>
      <w:bookmarkEnd w:id="1547"/>
      <w:r>
        <w:rPr>
          <w:rFonts w:ascii="IRNazanin" w:hAnsi="IRNazanin" w:eastAsia="IRNazanin"/>
          <w:color w:val="111111"/>
          <w:sz w:val="28"/>
          <w:sz w:val="28"/>
          <w:szCs w:val="28"/>
          <w:rtl w:val="true"/>
          <w:lang w:bidi="fa-IR"/>
        </w:rPr>
        <w:t>کالتجرّی فی ارتکاب أحد طرفی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هو الفرق بین الطریق الجعلی و المنجعل، حیث إنّ کلّا منهما و إن کان طریقا بالنسبة إلی نفس متعلّقة، و آثار نفس متعلّقة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نفس المتعلّق کالسکریة للخمر، و الإسهال للسقمونیا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الطریق الجعلیّ موضوع بالنسبة إلی الأحکام الّتی رتّبها الجاعل علی متعلّقه، و الطریق المنجعل طریق بالنسبة إلی نفس متعلّقة و بالنسبة إلی الأحکام الّتی رتّبها الجاعل علی متعلّقه من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بیان الثمرة بینهما فی أوائل المقصد الأوّل</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مختار الفصول</w:t>
      </w:r>
      <w:r>
        <w:rPr>
          <w:rStyle w:val="FootnoteAnchor"/>
          <w:rtl w:val="true"/>
        </w:rPr>
        <w:footnoteReference w:id="631"/>
      </w:r>
      <w:r>
        <w:rPr>
          <w:rFonts w:ascii="IRNazanin" w:hAnsi="IRNazanin" w:eastAsia="IRNazanin"/>
          <w:color w:val="111111"/>
          <w:sz w:val="28"/>
          <w:sz w:val="28"/>
          <w:szCs w:val="28"/>
          <w:rtl w:val="true"/>
          <w:lang w:bidi="fa-IR"/>
        </w:rPr>
        <w:t>و الهدایة</w:t>
      </w:r>
      <w:r>
        <w:rPr>
          <w:rStyle w:val="FootnoteAnchor"/>
          <w:rtl w:val="true"/>
        </w:rPr>
        <w:footnoteReference w:id="632"/>
      </w:r>
      <w:r>
        <w:rPr>
          <w:rFonts w:ascii="IRNazanin" w:hAnsi="IRNazanin" w:eastAsia="IRNazanin"/>
          <w:color w:val="111111"/>
          <w:sz w:val="28"/>
          <w:sz w:val="28"/>
          <w:szCs w:val="28"/>
          <w:rtl w:val="true"/>
          <w:lang w:bidi="fa-IR"/>
        </w:rPr>
        <w:t>من تقیید الأحکام الواقعیّة بالطرق الشرعیّة، فالواقع لیس مطلوبا علی أیّ وجه اتّفق، بل کلّ منهما مطلوب علی وجه التقیید بحیث یعدّان مطلوبا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 ردّه فی تنبیهات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بمعذوریّة الجاهل فی هذین الموضعین</w:t>
      </w:r>
      <w:r>
        <w:rPr>
          <w:rFonts w:eastAsia="IRNazanin" w:cs="IRNazanin"/>
          <w:color w:val="111111"/>
          <w:sz w:val="28"/>
          <w:szCs w:val="28"/>
          <w:rtl w:val="true"/>
          <w:lang w:bidi="fa-IR"/>
        </w:rPr>
        <w:t>».</w:t>
      </w:r>
    </w:p>
    <w:p>
      <w:pPr>
        <w:pStyle w:val="Heading4"/>
        <w:numPr>
          <w:ilvl w:val="3"/>
          <w:numId w:val="1"/>
        </w:numPr>
        <w:rPr/>
      </w:pPr>
      <w:bookmarkStart w:id="1548" w:name="__RefHeading___Toc2647460_3224264995"/>
      <w:bookmarkStart w:id="1549" w:name="_Toc601"/>
      <w:bookmarkEnd w:id="1548"/>
      <w:r>
        <w:rPr>
          <w:rtl w:val="true"/>
        </w:rPr>
        <w:t>[</w:t>
      </w:r>
      <w:r>
        <w:rPr>
          <w:rtl w:val="true"/>
        </w:rPr>
        <w:t>فی مستثنیات قاعدة عدم معذوریة الجاهل المقصّر فی الفحص</w:t>
      </w:r>
      <w:r>
        <w:rPr>
          <w:rtl w:val="true"/>
        </w:rPr>
        <w:t>]</w:t>
      </w:r>
      <w:bookmarkEnd w:id="1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 المعذوریّة بالموضعین، بل ذکروه فی أکثر کفّارات المحرم، و الحرم، و غیره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إمکان منع ثبوت الأمر بالبدل المسقط للواجب فی مثل السفر المباح المسقط للصوم الواجب، و بیع المملوک و طلاق الزوجة المباحین مع إسقاطهما وجوب النفقة، إلّا أن یلتزم بوجوب هذه الأبدال المسقطة للواجب من باب وجوب مقدّمة ترک الحرام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نعقل الترتّب</w:t>
      </w:r>
      <w:r>
        <w:rPr>
          <w:rFonts w:eastAsia="IRNazanin" w:cs="IRNazanin"/>
          <w:color w:val="111111"/>
          <w:sz w:val="28"/>
          <w:szCs w:val="28"/>
          <w:rtl w:val="true"/>
          <w:lang w:bidi="fa-IR"/>
        </w:rPr>
        <w:t xml:space="preserve">». </w:t>
      </w:r>
      <w:bookmarkStart w:id="1550" w:name="pg12856_162966"/>
    </w:p>
    <w:p>
      <w:pPr>
        <w:pStyle w:val="Heading4"/>
        <w:numPr>
          <w:ilvl w:val="3"/>
          <w:numId w:val="1"/>
        </w:numPr>
        <w:rPr/>
      </w:pPr>
      <w:bookmarkStart w:id="1551" w:name="__RefHeading___Toc2647462_3224264995"/>
      <w:bookmarkStart w:id="1552" w:name="_Toc602"/>
      <w:bookmarkEnd w:id="1550"/>
      <w:bookmarkEnd w:id="1551"/>
      <w:r>
        <w:rPr>
          <w:rtl w:val="true"/>
        </w:rPr>
        <w:t>[</w:t>
      </w:r>
      <w:r>
        <w:rPr>
          <w:rtl w:val="true"/>
        </w:rPr>
        <w:t>إشارة إلی مسألة الترتّب</w:t>
      </w:r>
      <w:r>
        <w:rPr>
          <w:rtl w:val="true"/>
        </w:rPr>
        <w:t>]</w:t>
      </w:r>
      <w:bookmarkEnd w:id="1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مراد کشف الغطاء</w:t>
      </w:r>
      <w:r>
        <w:rPr>
          <w:rStyle w:val="FootnoteAnchor"/>
          <w:rtl w:val="true"/>
        </w:rPr>
        <w:footnoteReference w:id="633"/>
      </w:r>
      <w:r>
        <w:rPr>
          <w:rFonts w:ascii="IRNazanin" w:hAnsi="IRNazanin" w:eastAsia="IRNazanin"/>
          <w:color w:val="111111"/>
          <w:sz w:val="28"/>
          <w:sz w:val="28"/>
          <w:szCs w:val="28"/>
          <w:rtl w:val="true"/>
          <w:lang w:bidi="fa-IR"/>
        </w:rPr>
        <w:t>بمعصیة الشارع المترتّب علیها صحّة الإتمام و مطلوبیّته، إن کان هو ترک القصر، فهو مترتّب علی فعل الإتمام و مطلوبیّته المترتّب علی ترک القصر و معصیته، و هو دور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به، الصارف عن القصر، فلا یعقل رفعه تمکّن المکلّف عن القصر المصروف عنه، کیف؟ و هو مکلّف بالفعل فی حال الصارف عنه، فیکون مکلّفا بمقدّمته، و هو رفع الصارف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الصارف عن القصر یدور الأمر بین ارتکاب الإتمام و بین ترکه مع ترک القصر، و العقل یحکم بوجوب ارتکاب أقلّ القبیحین؛ و هو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الصارف لا یرفع تمکّن المکلّف، و مع تمکّنه فالأمر دائر بین ارتکاب الحسن و القبیح، لا القبیح و الأقبح، حتی یحکم العقل بصحّة ارتکاب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فالأصل عدم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المسألتین إلّا کون الاولی من قبیل الشکّ فی حصول الشرط، و الثانیة فی کون الحاصل هو الشرط، أم لا؟ و هو غیر فارق من حیث کون الشبهة موضوعیّة فی الموضعین، و أنّه إن وجب الفحص فی مجری البراءة فلیجب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لثبوت 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لثبوت العلم الإجمالی بحکم تکلیفی فی مورد الأصل، أو فی مورد آخر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مرجعه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مرجع الأصل المذکور إلی رفع المانع، إذ الدّین مانع عن الحجّ، و الکریّة عن الانفعال و النجاسة، و استصحاب عدم المانع حجّة حتّی عند المنکر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مرجعه إلی الأصل المثبت للحکم الشرعی، و هو وجوب الحجّ، و وجوب الاجتناب عن الماء بواسطة ترتّب الأمر العادی المستلزم لذلک الحکم الشرعی، و هو کثرة المال و وفائه بالحجّ، و قلّة الماء و انفعاله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المال فی الحجّ، و قلّة الماء فی النجاسة من الموضوعات الأحکام الشرعیّة الّتی لا تعدّ من الامور الخارجیّة المستلزمة للحکم الشرعی حتّی یکون الأصل مثبتا، کأصالة عدم جزئیّة الأکثر المترتّب علیه کلّیّة الأقلّ المستلزم لکونه المأمور به، بل یعدّ کنفس الحکم الشرعی، فلیس مثبتا له لخفاء الواسطة أو عدمها، لأنّ قلّة الماء فی المثال المذکور لیس أمرا وجودیّا خارجیّا مبائنا لعدم الکثرة و عدم الکریّة حتی یکون من اللوازم الخارجیّة الّتی لا یثبتها الاصول، کالموت حتف الأنف بالنسبة إلی أصالة عدم التذکیة، و انفعال الملاقی للنجس بالنسبة إلی أصالة عدم جفافه، و انتقال إرث إلی المفقود بالنسبة إلی أصالة عدم موته، بل هو أمر عدمیّ منتزع عن نفس عدم الکرّیة و الکثرة قطعا، کالحیاة المنتزع من أصالة عدم الموت، و کلّیة الأقلّ المنتزع من أصالة عدم جزئیّة الأکثر، فلا مانع من ترتّبه علی مجری الأصل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فإنّ الجواب عن مثبتیة الأصل بانتزاع الواسطة لا یجری فی الاستطاعة بالنسبة إلی عدم الدّین، بل الجواب فیه بالخصوص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بالاستطاعة إن کان معناه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أمر متحقّق الوجود للواجد مقدارا من المال الوافی للحجّ من غیر توقّف علی أصالة عدم الدّین، لأنّ الدّین علی هذا التقدیر مانع شرعیّ خارجی عن الاستطاعة، فلا یترتّب علی </w:t>
      </w:r>
    </w:p>
    <w:p>
      <w:pPr>
        <w:pStyle w:val="BookText"/>
        <w:rPr/>
      </w:pPr>
      <w:r>
        <w:rPr>
          <w:rFonts w:ascii="IRNazanin" w:hAnsi="IRNazanin" w:eastAsia="IRNazanin"/>
          <w:color w:val="111111"/>
          <w:sz w:val="28"/>
          <w:sz w:val="28"/>
          <w:szCs w:val="28"/>
          <w:rtl w:val="true"/>
          <w:lang w:bidi="fa-IR"/>
        </w:rPr>
        <w:t>إعمال أصالة عدمه الاستطاعة الموجودة المتحقّقة بالفرض، و إن کان المراد به معناه الشرعی بناء علی ثبوت الحقیقة الشرعیّة فیه، فلا مناص من ترتّب إثباته علی أصالة عدم الدّین ترتّب ثبوت المرکّب علی ثبوت أحد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مبنی مثبتیّة الأصل، و هو ثبوت الحقیقة الشرعیّة فی لفظ الاستطاعة علی هذا التقدیر منع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یعرف وجه الفرق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أصالة الطهارة لو عارض أصالة عدم الکرّیّة لعارضت أصالة البراءة عن الحجّ لأصالة عدم الدّین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أصالة الطهارة استصحاب حکمیّ، لا یقاوم الاستصحاب الموضوعیّ، و هو أصالة عدم الکرّیّة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تأمّل،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وجه عدم إحراز عدم المانع بأصالة عدمه، أعنی عدم الکرّیّة حین الملاقاة، هو معارضته بأصالة عدم الملاقاة حین 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أصالة عدم الکرّیّة لا یترتّب علیه نجاسة الماء إلّا بواسطة إثبات قلّته، بخلاف أصالة عدم الملاقاة یترتّب علیه طهارة الماء من دون واسطة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فاندفع إشکال المصنّف علی إیراد الفاضلان</w:t>
      </w:r>
      <w:r>
        <w:rPr>
          <w:rStyle w:val="FootnoteAnchor"/>
          <w:rtl w:val="true"/>
        </w:rPr>
        <w:footnoteReference w:id="634"/>
      </w:r>
      <w:r>
        <w:rPr>
          <w:rFonts w:ascii="IRNazanin" w:hAnsi="IRNazanin" w:eastAsia="IRNazanin"/>
          <w:color w:val="111111"/>
          <w:sz w:val="28"/>
          <w:sz w:val="28"/>
          <w:szCs w:val="28"/>
          <w:rtl w:val="true"/>
          <w:lang w:bidi="fa-IR"/>
        </w:rPr>
        <w:t>بالفرق المذکور، علی استدلال السیّد</w:t>
      </w:r>
      <w:r>
        <w:rPr>
          <w:rStyle w:val="FootnoteAnchor"/>
          <w:rtl w:val="true"/>
        </w:rPr>
        <w:footnoteReference w:id="635"/>
      </w:r>
      <w:r>
        <w:rPr>
          <w:rFonts w:ascii="IRNazanin" w:hAnsi="IRNazanin" w:eastAsia="IRNazanin"/>
          <w:color w:val="111111"/>
          <w:sz w:val="28"/>
          <w:sz w:val="28"/>
          <w:szCs w:val="28"/>
          <w:rtl w:val="true"/>
          <w:lang w:bidi="fa-IR"/>
        </w:rPr>
        <w:t xml:space="preserve">بعدم الفرق بین تتمیم النجس الکرّیّة و بین احتمال تتمیمه فی الحکم بالطهارة و حاصل الفرق هو استناد طهارة الکرّ المحتمل تتمیمه بالنجس، إلی أصالة عدم تتمیمه به، الّتی لا مسرح لأن یستند إلیها طهارة الکرّ المعلوم تتمیمه بالنجس، و تشکیک معارضة الأصل المذکور بمثله، قد عرفت دفعه بأنّ </w:t>
      </w:r>
      <w:bookmarkStart w:id="1553" w:name="pg12856_162969"/>
    </w:p>
    <w:p>
      <w:pPr>
        <w:pStyle w:val="BookText"/>
        <w:rPr/>
      </w:pPr>
      <w:bookmarkEnd w:id="1553"/>
      <w:r>
        <w:rPr>
          <w:rFonts w:ascii="IRNazanin" w:hAnsi="IRNazanin" w:eastAsia="IRNazanin"/>
          <w:color w:val="111111"/>
          <w:sz w:val="28"/>
          <w:sz w:val="28"/>
          <w:szCs w:val="28"/>
          <w:rtl w:val="true"/>
          <w:lang w:bidi="fa-IR"/>
        </w:rPr>
        <w:t>الأصل المثبت لا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یتضرّر بإعمالها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554" w:name="__RefHeading___Toc2647464_3224264995"/>
      <w:bookmarkStart w:id="1555" w:name="_Toc603"/>
      <w:bookmarkEnd w:id="1554"/>
      <w:r>
        <w:rPr>
          <w:rtl w:val="true"/>
        </w:rPr>
        <w:t>[</w:t>
      </w:r>
      <w:r>
        <w:rPr>
          <w:rtl w:val="true"/>
        </w:rPr>
        <w:t>هل یعتبر عدم تضرّر مسلم فی إعمال الأصل أم لا؟</w:t>
      </w:r>
      <w:r>
        <w:rPr>
          <w:rtl w:val="true"/>
        </w:rPr>
        <w:t>]</w:t>
      </w:r>
      <w:bookmarkEnd w:id="1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یوجّه بأنّ جمیع أدلّة البراءة من النقل مسوقة و واردة مورد الامتنان علی العباد، و لا یحسن الامتنان علی أحد بما یتضرّر به الغیر، أو یحتمل إضراره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ذلک لم تجر البراءة فی مطلق ما یتعلّق بحقوق الناس، و اختصّ مجراها بالأحکام التکلیفیّة دون الوضعیّة المالیّة و الضمانات، فلا تجری البراءة عن الأکثر فی المال المشغول به الذمّة إذا تردّد بینه و بین الأقلّ، لاحتمال تضرّر الغیر به فی الواقع</w:t>
      </w:r>
      <w:r>
        <w:rPr>
          <w:rFonts w:eastAsia="IRNazanin" w:cs="IRNazanin"/>
          <w:color w:val="111111"/>
          <w:sz w:val="28"/>
          <w:szCs w:val="28"/>
          <w:rtl w:val="true"/>
          <w:lang w:bidi="fa-IR"/>
        </w:rPr>
        <w:t>.</w:t>
      </w:r>
    </w:p>
    <w:p>
      <w:pPr>
        <w:pStyle w:val="Heading4"/>
        <w:numPr>
          <w:ilvl w:val="3"/>
          <w:numId w:val="1"/>
        </w:numPr>
        <w:rPr/>
      </w:pPr>
      <w:bookmarkStart w:id="1556" w:name="__RefHeading___Toc2647466_3224264995"/>
      <w:bookmarkStart w:id="1557" w:name="_Toc604"/>
      <w:bookmarkEnd w:id="1556"/>
      <w:r>
        <w:rPr>
          <w:rtl w:val="true"/>
        </w:rPr>
        <w:t>[</w:t>
      </w:r>
      <w:r>
        <w:rPr>
          <w:rtl w:val="true"/>
        </w:rPr>
        <w:t>قاعدة لا ضرر</w:t>
      </w:r>
      <w:r>
        <w:rPr>
          <w:rtl w:val="true"/>
        </w:rPr>
        <w:t>]</w:t>
      </w:r>
      <w:bookmarkEnd w:id="1557"/>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الامتنان علی أحد برفع الضرر عنه مع احتمال إضرار الغیر و رفع حقّه إنّما ینافی الامتنان إذا لم یکن للمنّان ولایة علی الغیر المتضرّر، و لا قدرة له علی إرضائه، و لا مصلحة متدارکة تجبر إضراره، کامتنان بعضنا علی بعض؛ و أمّا إذا کان له ولایة عامّة و سلطنة کلّیة علی الغیر المتضرّر، أو قدرة کاملة علی إرضائه، أو مصلحة نوعیّة متدارکة تجبر إضرار الجزئی بالغیر، کالمنّان تعالی و أحکامه و مننه التابعة للمصالح النوعیّة فلا ینافی الامتنان، بل هو من أکمل مراتبه و أقصی حکمه، أ لا تری مصالح المطر لا ینافی جزئیّ الضرر، و مصالح السفر لا ینافی بعض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 ضرر البحر و البرّ عند العقلاء، و مصالح القصاص و التقاصّ تعمّ جمیع الناس و تعود إلی جمیع الأناس، بل مصالحه العائدة إلی المقتصّ منه أکثر ممّا یعود إلی المقتصّ بأضعاف مضاعفة بحیث لا یعدّ الضرر الموهوم له ضررا أصلا و رأسا</w:t>
      </w:r>
      <w:r>
        <w:rPr>
          <w:rFonts w:eastAsia="IRNazanin" w:cs="IRNazanin"/>
          <w:color w:val="111111"/>
          <w:sz w:val="28"/>
          <w:szCs w:val="28"/>
          <w:rtl w:val="true"/>
          <w:lang w:bidi="fa-IR"/>
        </w:rPr>
        <w:t>.</w:t>
      </w:r>
    </w:p>
    <w:p>
      <w:pPr>
        <w:pStyle w:val="Heading4"/>
        <w:numPr>
          <w:ilvl w:val="3"/>
          <w:numId w:val="1"/>
        </w:numPr>
        <w:rPr/>
      </w:pPr>
      <w:bookmarkStart w:id="1558" w:name="__RefHeading___Toc2647468_3224264995"/>
      <w:bookmarkStart w:id="1559" w:name="_Toc605"/>
      <w:bookmarkEnd w:id="1558"/>
      <w:r>
        <w:rPr>
          <w:rtl w:val="true"/>
        </w:rPr>
        <w:t>[</w:t>
      </w:r>
      <w:r>
        <w:rPr>
          <w:rtl w:val="true"/>
        </w:rPr>
        <w:t>دفع الایراد عن القاعدة</w:t>
      </w:r>
      <w:r>
        <w:rPr>
          <w:rtl w:val="true"/>
        </w:rPr>
        <w:t>]</w:t>
      </w:r>
      <w:bookmarkEnd w:id="1559"/>
    </w:p>
    <w:p>
      <w:pPr>
        <w:pStyle w:val="BookText"/>
        <w:rPr/>
      </w:pPr>
      <w:r>
        <w:rPr>
          <w:rFonts w:ascii="IRNazanin" w:hAnsi="IRNazanin" w:eastAsia="IRNazanin"/>
          <w:color w:val="111111"/>
          <w:sz w:val="28"/>
          <w:sz w:val="28"/>
          <w:szCs w:val="28"/>
          <w:rtl w:val="true"/>
          <w:lang w:bidi="fa-IR"/>
        </w:rPr>
        <w:t>و ممّا ذکرنا یندفع سائر الإشکالات الأخر الواردة علی القاعدة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بضمان الضرر و إغرام الضارّ قد ینافی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bookmarkStart w:id="1560" w:name="pg12856_162970"/>
    </w:p>
    <w:p>
      <w:pPr>
        <w:pStyle w:val="BookText"/>
        <w:rPr/>
      </w:pPr>
      <w:bookmarkEnd w:id="1560"/>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معنی الضرار، المجازاة علی الضرر</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الاندفاع أنّ المنفیّ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ضرار، المجازاة علی وجه الاقتراح الغیر المتناهی إلّا إلی القتل و الجراح، و مزید العلّة و الافتضاح، بخلاف الثابت علی وجه التقاصّ، فإنّه صلاح و إصلاح، و حسم مادّة الفساد و السفاح، و قاطع اللجاج و النیاح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من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کالنراقی</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التعارض بین العمومات المثبتة للتکلیف و هذه القاعدة، ثمّ ترجیح هذه إمّا بعمل الأصحاب و إمّا بالاصول</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توهّم هذا التعارض المقتضی للترجیح الخارجی إنّما هو التعارض التباینی، و هو مبنیّ علی توهّم ضرریّة أصل الأحکام المثبتة للتکلیف بأسرها، و أمّا علی ما حقّقناه من منع ضرریّتها عقلا و لا نقلا، أو انجبار ضررها بمصالحها النوعیّة الکلّیّة العائدة إلی المکلّف فلا تعارض بینهما و بین القاعدة إلّا من باب تعارض العامّ و الخاصّ، المقتضی لتقدیم الخاصّ، و حکومة القاعدة علیها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المراد من الحکومة أن یکون أحد الدلیلین بمدلوله اللفظی متعرّضا لحال دلیل آخر</w:t>
      </w:r>
      <w:r>
        <w:rPr>
          <w:rFonts w:eastAsia="IRNazanin" w:cs="IRNazanin"/>
          <w:color w:val="111111"/>
          <w:sz w:val="28"/>
          <w:szCs w:val="28"/>
          <w:rtl w:val="true"/>
          <w:lang w:bidi="fa-IR"/>
        </w:rPr>
        <w:t>».</w:t>
      </w:r>
    </w:p>
    <w:p>
      <w:pPr>
        <w:pStyle w:val="Heading4"/>
        <w:numPr>
          <w:ilvl w:val="3"/>
          <w:numId w:val="1"/>
        </w:numPr>
        <w:rPr/>
      </w:pPr>
      <w:bookmarkStart w:id="1561" w:name="__RefHeading___Toc2647470_3224264995"/>
      <w:bookmarkStart w:id="1562" w:name="_Toc606"/>
      <w:bookmarkEnd w:id="1561"/>
      <w:r>
        <w:rPr>
          <w:rtl w:val="true"/>
        </w:rPr>
        <w:t>[</w:t>
      </w:r>
      <w:r>
        <w:rPr>
          <w:rtl w:val="true"/>
        </w:rPr>
        <w:t>الحکومة و الورود</w:t>
      </w:r>
      <w:r>
        <w:rPr>
          <w:rtl w:val="true"/>
        </w:rPr>
        <w:t>]</w:t>
      </w:r>
      <w:bookmarkEnd w:id="156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المراد من الورود و المزیل أن یکون أحد الدلیلین بمدلوله اللفظی رافعا لموضوع دلیل آخر، کما هو الحال فی الأدلّة الاجتهادیة بالنسبة إلی الأدلّة الفقاهیّة</w:t>
      </w:r>
      <w:r>
        <w:rPr>
          <w:rFonts w:eastAsia="IRNazanin" w:cs="IRNazanin"/>
          <w:color w:val="111111"/>
          <w:sz w:val="28"/>
          <w:szCs w:val="28"/>
          <w:rtl w:val="true"/>
          <w:lang w:bidi="fa-IR"/>
        </w:rPr>
        <w:t xml:space="preserve">. </w:t>
      </w:r>
      <w:bookmarkStart w:id="1563" w:name="pg12856_162971"/>
    </w:p>
    <w:p>
      <w:pPr>
        <w:pStyle w:val="BookText"/>
        <w:rPr/>
      </w:pPr>
      <w:bookmarkEnd w:id="1563"/>
      <w:r>
        <w:rPr>
          <w:rFonts w:ascii="IRNazanin" w:hAnsi="IRNazanin" w:eastAsia="IRNazanin"/>
          <w:color w:val="111111"/>
          <w:sz w:val="28"/>
          <w:sz w:val="28"/>
          <w:szCs w:val="28"/>
          <w:rtl w:val="true"/>
          <w:lang w:bidi="fa-IR"/>
        </w:rPr>
        <w:t>و أمّا حال الخاصّ بالنسبة إلی العامّ، و المقیّد بالنسبة إلی المطلق، فراجع إلی الورود، إن قلنا بتقیید حجّیّة العامّ بعدم طروّ التخصیص، و إلی الحکومة إن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تقدیم أصالة الحقیقة فی لفظ علی أصالة الحقیقة فی لفظ آخر من الحکومة أو الورود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فمستنده فهم العرف المتّبع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الّذی یوهن فیها هی کثرة التخصیصات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اندفاع هذا التوهّم أیضا ما عرفت من أنّ کلّ ما توهّم کونه ضررا مخصّصا للقاعدة کضرر الخمس، و الزکاة، و الصوم، و الحجّ، و الجهاد، فإنّما هو کضرر القصاص و التقاصّ خارج بالتخصّص لا التخصیص، و الخروج الموضوعی لا الحکمی، و من باب ضرر الدواء لنفع الصحّة و الشفاء، و شرب التریاق، و السموم، و آلام الکیّ و الفصد و الحجامة و السمومات لرفع الأمراض المهلکة و المزمنة الّتی یتحمّله العقلاء و لا یعدّونه ضررا أصلا و رأسا، فلا تخصیص فی قاعدة نفی الضرر و الضرار أصلا و رأسا فضلا عن التخصیص بالأکثر، بل قبح التخصیص فیه کقبح الظلم حکم عقلیّ من مستقلّات العقل الآبی عن التخصیص عقلا و نقلا، کما لا یخفی علی من تتبّع و تدبّر فی أسرار الأحکام و حکمها و مصالحها و عللها الّتی تاهت العقول عن الإحاطة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فقه جدید</w:t>
      </w:r>
      <w:r>
        <w:rPr>
          <w:rFonts w:eastAsia="IRNazanin" w:cs="IRNazanin"/>
          <w:color w:val="111111"/>
          <w:sz w:val="28"/>
          <w:szCs w:val="28"/>
          <w:rtl w:val="true"/>
          <w:lang w:bidi="fa-IR"/>
        </w:rPr>
        <w:t>».</w:t>
      </w:r>
    </w:p>
    <w:p>
      <w:pPr>
        <w:pStyle w:val="Heading4"/>
        <w:numPr>
          <w:ilvl w:val="3"/>
          <w:numId w:val="1"/>
        </w:numPr>
        <w:rPr/>
      </w:pPr>
      <w:bookmarkStart w:id="1564" w:name="__RefHeading___Toc2647472_3224264995"/>
      <w:bookmarkStart w:id="1565" w:name="_Toc607"/>
      <w:bookmarkEnd w:id="1564"/>
      <w:r>
        <w:rPr>
          <w:rtl w:val="true"/>
        </w:rPr>
        <w:t>[</w:t>
      </w:r>
      <w:r>
        <w:rPr>
          <w:rtl w:val="true"/>
        </w:rPr>
        <w:t>استلزام حصول فقه جدید بل دین بدیع بالعمل بعموم هذه القاعدة</w:t>
      </w:r>
      <w:r>
        <w:rPr>
          <w:rtl w:val="true"/>
        </w:rPr>
        <w:t>]</w:t>
      </w:r>
      <w:bookmarkEnd w:id="156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لزم منه دین بدیع، و قانون شنیع، ناسخ لجمیع الملل و الشرائع، خاصّة هدم شریعة الإسلام کما أبدعه الکفرة و الظلّام المستحلّین للحرام، و هدم شریعة خیر الأنام من أحکام الطهارة إلی الدیات و السیاسات بالتمام، کتحلیل الملاهی، و النواهی، و أسئار الکفّار، و استحلال الخمور، و الفجور، و المنکرات، </w:t>
      </w:r>
    </w:p>
    <w:p>
      <w:pPr>
        <w:pStyle w:val="BookText"/>
        <w:rPr/>
      </w:pPr>
      <w:r>
        <w:rPr>
          <w:rFonts w:ascii="IRNazanin" w:hAnsi="IRNazanin" w:eastAsia="IRNazanin"/>
          <w:color w:val="111111"/>
          <w:sz w:val="28"/>
          <w:sz w:val="28"/>
          <w:szCs w:val="28"/>
          <w:rtl w:val="true"/>
          <w:lang w:bidi="fa-IR"/>
        </w:rPr>
        <w:t>و الرشوة و الرشاء، و الرباء، و المسکرات، و الشبهات، و المحرّمات، خصوصا لذوی العادات و المداواة، و ترک الصوم، و الصلاة، و الخمس، و الزکاة، و الحجّ، و الجهاد، و الکفّارات، و القصاص و التقاصّ، و الدیات، و تدوین دین الجاهلیّة و المشرکین، و استخدام ملوک و ممالیک المسلمین بالقیاس، و الاستحسان، و الظلم، و العدوان، و تسویلات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الأمر أشکل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الأشکلیّة وروده علی الضرر المنفیّ سواء ارید منه الضرر النوعی أو الشخصی، بخلاف الإشکال الأوّل فإنّه وارد علی إرادة الضرر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فیرجع إلی عموم السلطنة، و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عموم السلطنة و نفی الحرج، و إن اعتضد للأصل البراءة و عدم ضمان المالک، لکن لیس بأولی من العکس، بل العکس أولی، و هو الرجوع إلی عموم لا ضرر و لا ضرار، لما عرفت من أنّ قبح الإضرار بالغیر کقبح الظلم حکم عقلیّ آب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موهمات تخصیصه تخصّص لا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عموم السلطنة و نفی الحرج، فإنّ عموم السلطنة مخصّص بحرمة الإسراف و التبذیر، و الملاهی و المناهی، و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تجاوز عن السنة ردّ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عموم نفی الحرج مخصّص بالجهات، و عروض النفس علی الحدود و القصاص، و الخروج عن دین الآباء و الاجداد، خصوصا أحکام السلف المبنیّة علی الإصر و العسر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إلی السیرة المستمرّة من الأنبیاء و الأوصیاء و الصلحاء بتحمّل الضرر لدفع الضرر عن الغیر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w:t>
      </w:r>
      <w:bookmarkStart w:id="1566" w:name="pg12856_162973"/>
    </w:p>
    <w:p>
      <w:pPr>
        <w:pStyle w:val="BookText"/>
        <w:rPr/>
      </w:pPr>
      <w:bookmarkEnd w:id="1566"/>
      <w:r>
        <w:rPr>
          <w:rFonts w:ascii="Amiri" w:hAnsi="Amiri" w:eastAsia="Amiri" w:cs="Amiri"/>
          <w:color w:val="111111"/>
          <w:sz w:val="28"/>
          <w:sz w:val="28"/>
          <w:szCs w:val="28"/>
          <w:rtl w:val="true"/>
          <w:lang w:bidi="ar-SA"/>
        </w:rPr>
        <w:t>خَصاصَةٌ</w:t>
      </w:r>
      <w:r>
        <w:rPr>
          <w:rStyle w:val="FootnoteAnchor"/>
          <w:rtl w:val="true"/>
        </w:rPr>
        <w:footnoteReference w:id="63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w:t>
      </w:r>
      <w:r>
        <w:rPr>
          <w:rStyle w:val="FootnoteAnchor"/>
          <w:rtl w:val="true"/>
        </w:rPr>
        <w:footnoteReference w:id="640"/>
      </w:r>
      <w:r>
        <w:rPr>
          <w:rFonts w:ascii="Amiri" w:hAnsi="Amiri" w:eastAsia="Amiri" w:cs="Amiri"/>
          <w:color w:val="111111"/>
          <w:sz w:val="28"/>
          <w:sz w:val="28"/>
          <w:szCs w:val="28"/>
          <w:rtl w:val="true"/>
          <w:lang w:bidi="ar-SA"/>
        </w:rPr>
        <w:t>مِنْ أَنْفُسِکُمْ عَزِیزٌ عَلَیْهِ ما عَنِتُّمْ</w:t>
      </w:r>
      <w:r>
        <w:rPr>
          <w:rStyle w:val="FootnoteAnchor"/>
          <w:rtl w:val="true"/>
        </w:rPr>
        <w:footnoteReference w:id="641"/>
      </w:r>
      <w:r>
        <w:rPr>
          <w:rFonts w:ascii="IRNazanin" w:hAnsi="IRNazanin" w:eastAsia="IRNazanin"/>
          <w:color w:val="111111"/>
          <w:sz w:val="28"/>
          <w:sz w:val="28"/>
          <w:szCs w:val="28"/>
          <w:rtl w:val="true"/>
          <w:lang w:bidi="fa-IR"/>
        </w:rPr>
        <w:t>و قوله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أعطیت السّبع الأقالیم أن أظلم</w:t>
      </w:r>
      <w:r>
        <w:rPr>
          <w:rStyle w:val="FootnoteAnchor"/>
          <w:rtl w:val="true"/>
        </w:rPr>
        <w:footnoteReference w:id="642"/>
      </w:r>
      <w:r>
        <w:rPr>
          <w:rFonts w:ascii="IRNazanin" w:hAnsi="IRNazanin" w:eastAsia="IRNazanin"/>
          <w:color w:val="111111"/>
          <w:sz w:val="28"/>
          <w:sz w:val="28"/>
          <w:szCs w:val="28"/>
          <w:rtl w:val="true"/>
          <w:lang w:bidi="fa-IR"/>
        </w:rPr>
        <w:t>نملة فی قشر شعیرة ما فعلت</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الصادق علیه السّلام یودع أموال الجزیلة عند أصحابه لإصلاح ذات البین عند تنازعهم و لعدم رجوعهم إلی قضاة الجوار</w:t>
      </w:r>
      <w:r>
        <w:rPr>
          <w:rStyle w:val="FootnoteAnchor"/>
          <w:rtl w:val="true"/>
        </w:rPr>
        <w:footnoteReference w:id="644"/>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ما حقّقه صاحب العناوین</w:t>
      </w:r>
      <w:r>
        <w:rPr>
          <w:rStyle w:val="FootnoteAnchor"/>
          <w:rtl w:val="true"/>
        </w:rPr>
        <w:footnoteReference w:id="645"/>
      </w:r>
      <w:r>
        <w:rPr>
          <w:rFonts w:ascii="IRNazanin" w:hAnsi="IRNazanin" w:eastAsia="IRNazanin"/>
          <w:color w:val="111111"/>
          <w:sz w:val="28"/>
          <w:sz w:val="28"/>
          <w:szCs w:val="28"/>
          <w:rtl w:val="true"/>
          <w:lang w:bidi="fa-IR"/>
        </w:rPr>
        <w:t>ردّا علی صاحب العوائد و القوانین، بأنّ قاعدة نفی العسر کقاعدة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عسر فیه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التخصیص و لا المعارضة لاستناده إلی قاعدة اللطف و العدل و الحکمة، و الحکم العقلی، فهما من واد واحد، و مع ذلک لو تعارض ضرر منع المالک من التصرّف فی ملکه بضرر الجارّ، أو تعارض تحمّل ضرر إکراه الجائر بإضرار الغیر، منع من إضرار الغیر و الجار لأنّه ظلم قبیح ممنوع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تحمّل الضرر لدفع الضرر عن الغیر</w:t>
      </w:r>
      <w:r>
        <w:rPr>
          <w:rFonts w:eastAsia="IRNazanin" w:cs="IRNazanin"/>
          <w:color w:val="111111"/>
          <w:sz w:val="28"/>
          <w:szCs w:val="28"/>
          <w:rtl w:val="true"/>
          <w:lang w:bidi="fa-IR"/>
        </w:rPr>
        <w:t>».</w:t>
      </w:r>
    </w:p>
    <w:p>
      <w:pPr>
        <w:pStyle w:val="Heading4"/>
        <w:numPr>
          <w:ilvl w:val="3"/>
          <w:numId w:val="1"/>
        </w:numPr>
        <w:rPr/>
      </w:pPr>
      <w:bookmarkStart w:id="1567" w:name="__RefHeading___Toc2647474_3224264995"/>
      <w:bookmarkStart w:id="1568" w:name="_Toc608"/>
      <w:bookmarkEnd w:id="1567"/>
      <w:r>
        <w:rPr>
          <w:rtl w:val="true"/>
        </w:rPr>
        <w:t>[</w:t>
      </w:r>
      <w:r>
        <w:rPr>
          <w:rtl w:val="true"/>
        </w:rPr>
        <w:t>تحمّل الضرر لدفع الضرر عن الغیر</w:t>
      </w:r>
      <w:r>
        <w:rPr>
          <w:rtl w:val="true"/>
        </w:rPr>
        <w:t>]</w:t>
      </w:r>
      <w:bookmarkEnd w:id="1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تحمّل الضرر لدفع الضرر عن الغیر إذا کان المضرّ هو غیرک دون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إضرار الغیر منفیّ کذلک الإضرار بالنفس، لعموم لا ضرر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 لو کان الإضرار من سوء الاختیار، و أمّا لو کان من إکراه و اضطرار، فلیس فی تحمّله وزر و إنّما وزره 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ضرر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إلی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إضراره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بالسببین و المستندین، بالقوّة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فیه الخیار،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إمکان استفادة نفی الضرر النوعی من انضمام إطلاق أدلّة الخیار، و الشفعة، و عدم تقییدها بصورة الضرر إلی قاعدة نفی الضرر و الضرار، کما استفید نفی العسر النوعی أیضا من انضمام إطلاق أدلّة طهارة الحدید و القصر فی السفر إلی قاعدة نفی العسر و الحرج المقتضی لإلحاق النادر من الأفراد أو الحالات بالغالب منها بواسطة انضمام الدلیل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نفی الضرر النوعی لا ینافی تقدیم نفی الضرر الشخصی علیه عند تعارضهما فی محلّ واحد، بل حمل الروایة علی نفی الضرر النوعی من غیر تعارض، یقتضی تقدیم نفی الضرر الشخصی علیه عند التعارض من باب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فی غیر ذلک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یکون تعارض الضررین فیه بالنسبة إلی شخص واحد لا شخصین، کما لو خیّر الجانی بین القصاص و دفع الدیة إلی المجنیّ علیه، أو بین تحمّل ضرر مالی، أو نفسی، أو عرضی، أو بین تحمّل ضرر المغصوب و المنهوب و بین ضرر المخاصمة و المدافعة للغاصب، أو دفع الرشوة إلیه، أو ذلّ التماس الحقّ منه، أو من الجائر، أو بین تحمّل ضرر دفع ماله إلی المدّعی له باطلا و بین تحمّل ضرر ذلّ الاستحلاف له، أو بین تحمّل ضرر دفع مال أو حقّ إلی غیر مستحقّه و بین ضرر انتهاکه إذا لم یدفع، إلی غیر ذلک من أمثلة دوران الأمر بین أحد الضررین المتعارضین بالنسبة إلی شخص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حکم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حیث الترتیب الطبیعی، فکان ینبغی تقدیمه علی بیان حکم تعارض الضررین بالنسبة إلی شخصین، لا تأخیره عنه،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التکلیف الشرعی، فإمّا أن یکون الضرران متساویین کمّا و کیفا، أو مختلفین کذلک فی الکمّ و الکیف معا، أو فی الکمّ دون الکیف، أو بالعکس، کما لو کان أحد الضررین أقلّ و الآخر أکثر، أو أحدهما مالیّا و الآخر نفسیّا أو عرضیّا أمّا المتساویان کمّا و کیفا فحکمه التخییر عند العقل و العقلاء لکون المفروض عدم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المختلفان کمّا، فالظاهر اتّفاق العقل و العقلاء فیه علی جواز، بل وجوب ارتکاب أقلّ الضررین و القبیحین، أی بترجیح، بل تعیین أقلّ الضررین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المختلفان فی الکیف کأهونیّة أحد الضررین من الآخر، فکالمختلفین فی الکمّ، أی فی ترجیح بل تعیین الأقلّ علی الأکثر، فیرجّح بل یعیّن عقلا بأهونیّة الضرر المالیّ و لو کان بأکثر ما یکون علی الضرر النفسی، و لو کان قطع سنّ أو أنملة، کما یرجّح الضرر النفسی و لو کان موتا، بل یعیّن، علی الضرر العرضی و لو بأقلّ مراتب الذلّ و الأسر، کما یصدقه، مضافا إلی العقل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مَنْ تُدْخِلِ النَّارَ فَقَدْ أَخْزَیْتَهُ</w:t>
      </w:r>
      <w:r>
        <w:rPr>
          <w:rStyle w:val="FootnoteAnchor"/>
          <w:rtl w:val="true"/>
        </w:rPr>
        <w:footnoteReference w:id="646"/>
      </w:r>
      <w:r>
        <w:rPr>
          <w:rFonts w:ascii="IRNazanin" w:hAnsi="IRNazanin" w:eastAsia="IRNazanin"/>
          <w:color w:val="111111"/>
          <w:sz w:val="28"/>
          <w:sz w:val="28"/>
          <w:szCs w:val="28"/>
          <w:rtl w:val="true"/>
          <w:lang w:bidi="fa-IR"/>
        </w:rPr>
        <w:t>حیث دلّ علی أنّ الخزی أشدّ من دخول النار،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أولی من رکوب العار، و العار أولی من دخول النار</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یمکن أن ینزّل علیه ما عن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یمکن أن ینزّل ما عن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علی موضوع تعارض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الضررین بالنسبة إلی شخص واحد، أو علی حکمه، و هو الترجیح بأقلّ الضررین، ما عن المشهور من أنّه لو دار الأمر بین تحمّل ضرر دابّته الداخلة فی قدر الغیر و بین تحمّل ضرر ضمان کسر القدر، کسر القدر و ضمن صاحب الدابّة قیمته، لأنّ الکسر لمصلحته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هذا الإمکان إمکان تنزیله علی تعارض الضررین بالنسبة إلی شخصین اسما و حکما لو قلنا بدوران الأمر بین تحمّل کلّ من المالکین أحد ضرری ملکه من موت الدابّة أو کسر القدر من غیر أن یضمن أحدهما ضرر الآخر</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9" w:name="pg12856_162980"/>
      <w:bookmarkStart w:id="1570" w:name="pg12856_162980"/>
      <w:bookmarkEnd w:id="1570"/>
    </w:p>
    <w:p>
      <w:pPr>
        <w:pStyle w:val="Heading2"/>
        <w:numPr>
          <w:ilvl w:val="1"/>
          <w:numId w:val="1"/>
        </w:numPr>
        <w:rPr/>
      </w:pPr>
      <w:bookmarkStart w:id="1571" w:name="pg12856_162980"/>
      <w:bookmarkStart w:id="1572" w:name="__RefHeading___Toc2647476_3224264995"/>
      <w:bookmarkStart w:id="1573" w:name="_Toc609"/>
      <w:bookmarkEnd w:id="1571"/>
      <w:bookmarkEnd w:id="1572"/>
      <w:r>
        <w:rPr>
          <w:rtl w:val="true"/>
        </w:rPr>
        <w:t>فهرس الموضوعات</w:t>
      </w:r>
      <w:bookmarkEnd w:id="1573"/>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النظر فی ما نقله عن الضوابط فی قاعدة دفع الضرر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النظر فی ما نقله عن نتائج الأفکار فی قاعدة الضرر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اشارة إلی سبب الانصراف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الوجه الثالث من الوجوه العقلیة علی حجّیة الظن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بحث حول قاعدة قبح ترجیح المرجوح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تقویة الوجه الثالث من الوجوه العقلیة علی حجّیة الظن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ایراد علی الماتن فی ایراده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بحث فی مقدّمات دلیل الانسداد علی حجّیة الظن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تسدید دلیل الانسداد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مورد الحاجة إلی دلیل الانسداد علی حجّیة مطلق الظن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رجوع جلّ مقدّمات الاجتهاد إلی مطلق الظن غالبا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المتیقن من حجّیة الظن فی تشخیص الظواهر و دفع الموانع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اشارة إلی حجّیة ظن الخبیر من باب الظن الخاص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عدم اعتبار اجتهاد أهل الخبرة لمثله ممّن یخالفه فی الرأی فی محلّ الخلاف </w:t>
      </w:r>
      <w:r>
        <w:rPr>
          <w:rFonts w:eastAsia="IRNazanin" w:cs="IRNazanin"/>
          <w:color w:val="111111"/>
          <w:sz w:val="28"/>
          <w:szCs w:val="28"/>
          <w:lang w:bidi="fa-IR"/>
        </w:rPr>
        <w:t>21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المیت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المراد من استلزام اجراء البراءة للخروج من الدین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النظر فی کلام الماتن حیث استشهد بکلام العلّامة و الفاضل المقداد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لا یستحیل اجتماع الظن بالبراءة مع العلم الإجمالی علی مذهب صاحب القوانین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ما لو أدّی الاجتهاد إلی ما یوافق البراءة فی جمیع الوقائع المشتبهة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حکم العقل بقبح العقاب بلا احتمال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قبح العقاب بلا بیان حکم شرعی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ادلّة الاحتیاط لا ترفع موضوع قاعدة قبح العقاب بلا بیان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عقلیة قاعدة قبح العقاب بلا بیان تستلزم عدم وجوب النظر إلی المعجزة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دفاع عن الماتن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عدم کفایة أصل عدم ترتّب الأثر فی جمیع الفقه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دفع وهم عن الاجماع علی عدم وجوب الاحتیاط فی جمیع الشبهات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عدم الحاجة إلی تقدیم الاجماع علی عدم وجوب الاحتیاط مقدمة لدلیل الانسداد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نفی العسر و الحرج بالأدلّة الأربعة و دفع الایراد عنه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معنی العسر المنفی عن الدین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أدلّة نفی العسر و الحرج تتعرّض لحال سائر القواعد و العمومات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المرفوع بحدیث رفع العسر و الحرج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جمیع مراتب التکلیف لا یخلو عن نوع من العسر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تعریض باستظهار النراقی کلام صاحب القوانین </w:t>
      </w:r>
      <w:r>
        <w:rPr>
          <w:rFonts w:eastAsia="IRNazanin" w:cs="IRNazanin"/>
          <w:color w:val="111111"/>
          <w:sz w:val="28"/>
          <w:szCs w:val="28"/>
          <w:lang w:bidi="fa-IR"/>
        </w:rPr>
        <w:t>40</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المدار علی العسر الشخصی أو النوعی منه؟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أحکام الشرع و سیاساته مبنیّة علی طبق أحکام العقلاء و سیاساتهم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توجیه امکان اجتماع الظن التفصیلی علی خلاف العلم الإجمالی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ایراد علی کلام الماتن فی ردّ الاشکال بالمعارضة بین أدلّة نفی العسر و الحرج و أدلّة حرمة العمل بالظن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تعمیم المنفی للدفع و الرفع و لما جاء من قبل المکلّف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الأقوال فی وجوب الاحتیاط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دراسة النظر فی الأقوال فی المسألة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دلیل المشهور علی وجوب الاحتیاط بمجرّد العلم الإجمالی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الأحکام الواقعیة امور متأصّلة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تنجز الأحکام الواقعیة عقلا و شرعا بالبیان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العقاب منفی مع عدم البیان سواء کان البیان من شأن الشارع أم لا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نفی بیانیة العلم الإجمالی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الألفاظ موضوعة للمعانی الواقعیة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العلم بالحکم طریق لتنجّز الحکم لا موضوع 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ثمرة الخلاف فی انّ الألفاظ موضوعة للمعانی الواقعیة أو المعلومة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ثمرة الخلاف فی تنجّز التکلیف بالعلم الإجمالی و عدمه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کفایة إطلاق ألفاظ الأحکام فی تنجّزها بالعلم الإجمالی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النقض علی انکار اطلاقات الأحکام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العلم الإجمالی ببقاء الأحکام دلیل علی استحقاق الجاهل المقصّر للعقاب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المطلق عند المشهور </w:t>
      </w:r>
      <w:r>
        <w:rPr>
          <w:rFonts w:eastAsia="IRNazanin" w:cs="IRNazanin"/>
          <w:color w:val="111111"/>
          <w:sz w:val="28"/>
          <w:szCs w:val="28"/>
          <w:lang w:bidi="fa-IR"/>
        </w:rPr>
        <w:t>53</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الأحکام عند العدلیّة تابعة للمصالح و المفاسد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أدلّة الاشتراک توجب اشتراکنا فی ما علم تکلیفهم به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جواز التمسّک بالاطلاق لغیر المشافهین بالمطلق بشرط وحدة الصنف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عدم جواز مقایسة الأوامر الشرعیة بالأوامر العرفیة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عدم صحّة مقایسة المرکّبات الشرعیة بالمرکّبات العرفیة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الاحتیاط فی الدماء و الفروج و أموال الناس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حرمة المخالفة القطعیة للعمل الإجمالی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وجه الاحتیاط فی الدماء و الفروج و بعض موارد أخر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ظاهر أخبار الاحتیاط هو الاستحباب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قول بعض العدلیة بتبعیّة الأحکام للمصالح و المفاسد فی نفس الأمر و التکلیف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احتمال مدخلیة العلم التفصیلی فی المصالح و المفاسد الکامنة فی المأمور به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لا دخل لقصد الوجه فی تحقّق الامتثال لا عقلا و لا شرعا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اعتبار تعین الموجب إذا تعدّد ما فی الذمّة من العبادات فی تحقّق الامتثال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الأقوال فی قصد التعیین عند الامتثال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الأصل عدم اعتبار التعیین و عدم اعتبار نیّة الوجه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المعتبر فی صحّة العبادة و قبولها قصد القربة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عدم اعتبار نیّة الرفع و لا الاباحة فی الطهارة و لا غیرهما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عدم اعتبار تعیین القصر و الاتمام أو الاداء و القضاء فی الصلاة، و </w:t>
      </w:r>
      <w:r>
        <w:rPr>
          <w:rFonts w:eastAsia="IRNazanin" w:cs="IRNazanin"/>
          <w:color w:val="111111"/>
          <w:sz w:val="28"/>
          <w:szCs w:val="28"/>
          <w:lang w:bidi="fa-IR"/>
        </w:rPr>
        <w:t>62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الأخذ بالإطلاق لعدم اعتبار التعیینی فی صحة احتساب المأتی به من التعبدیات عن خصوص المتعیّن المتعدّد علیه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التردید فی النیّة یفترق عن التردید فی المنوی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الفرق بین الظن بالواقع و بین الظن بالطریق إلی الواقع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خروج المجتهد عن أدلّة الواقع حجّیة فتوی المجتهد فی حقّه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مراتب الامتثال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بعض ما یجب فیه العمل بالظن ممّا یعلم عدم رضا الشارع بإهمال أحکامه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احتمال موضوعیة الظن فی بعض الأحکام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عدم مصادفة القطع الواقع أحیانا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 نتیجة دلیل الانسداد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الظنّ الطریقی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اعتبار الشهرة منوط بالکشف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احتمال تقید الأحکام بالطرق المنصوبة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احتمال تقید الأحکام بالطرق المنصوبة فی غیر صورة العلم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احتمال مطلوبیة الواقع من الطرق المنصوبة علی وجه ضمان المتخلّف منها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نسبة أدلّة الطرق و أدلّة الواقع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إشارة إلی إجزاء الأمر الظاهری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إفادة أدلّة الطرق جعل مؤداها عین الواقع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تعریض بما فی هدایة المسترشدین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دراسة کلام الماتن فی احتیاج کل مکلّف إلی معرفة الطرق المنصوبة شرعا </w:t>
      </w:r>
      <w:r>
        <w:rPr>
          <w:rFonts w:eastAsia="IRNazanin" w:cs="IRNazanin"/>
          <w:color w:val="111111"/>
          <w:sz w:val="28"/>
          <w:szCs w:val="28"/>
          <w:lang w:bidi="fa-IR"/>
        </w:rPr>
        <w:t>74</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دراسة الأمر بالتأمل فی کلام الماتن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معارضة الاحتیاط فی المسألة الفرعیة للاحتیاط فی المسألة الاصولیة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إیراد النقض علی القول باعتبار الظنّ بالطریق دون الظنّ بالواقع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افتراق المجتهد عن المقلد و القاضی فی العمل بالظنّ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حصر طریق المقلّد و القاضی فی تقلید المجتهد و العمل بالبینة و الیمین حصر إضافی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فرق الوجه الأول عن الوجه الثانی فی إثبات حجیّة الظنّ بالطریق الشرعی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المدار عند صاحب القوانین علی الانسداد الشخصی دون النوعی فی حجیة مطلق الظنّ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اعتبار الظنّ بمفاد البراءة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الخلاف فی نتیجة دلیل الانسداد بین الکشف و الحکومة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المفارقات بین القائلین بحجیة مطلق الظنّ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الإهمال فی نتیجة دلیل الانسداد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إیراد علی المصنّف فی حکمه بإمکان الانفکاک بین حکم الشرع و حکم العقل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إشارة إلی ما یؤثر فی نتیجة دلیل الانسداد و فی لازمها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إشارة إلی انّ الاستکشاف بالاجماع یجعل دلیل الانسداد شرعیا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الفرق بین المعیّن و المرجح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الفرق بین الدلیل و المؤید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ترجیح بعض الظنون علی بعض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المراد من تیقن اعتبار بعض الظنون و مظنونیته </w:t>
      </w:r>
      <w:r>
        <w:rPr>
          <w:rFonts w:eastAsia="IRNazanin" w:cs="IRNazanin"/>
          <w:color w:val="111111"/>
          <w:sz w:val="28"/>
          <w:szCs w:val="28"/>
          <w:lang w:bidi="fa-IR"/>
        </w:rPr>
        <w:t>82</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استواء نسبة دلیل الانسداد إلی افراد الظنّ و اختلاف نسبة </w:t>
      </w:r>
    </w:p>
    <w:p>
      <w:pPr>
        <w:pStyle w:val="BookText"/>
        <w:rPr/>
      </w:pPr>
      <w:r>
        <w:rPr>
          <w:rFonts w:ascii="IRNazanin" w:hAnsi="IRNazanin" w:eastAsia="IRNazanin"/>
          <w:color w:val="111111"/>
          <w:sz w:val="28"/>
          <w:sz w:val="28"/>
          <w:szCs w:val="28"/>
          <w:rtl w:val="true"/>
          <w:lang w:bidi="fa-IR"/>
        </w:rPr>
        <w:t xml:space="preserve">آیة النبأ و نحوها إلیها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مزیة احتمال المرجّحیة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عدم کفایة ما تیقّن اعتباره من الظنّ بدلیل الانسداد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المراد من اعتبار مطلق الظنّ فی إثبات حجیة مظنون الحجّیة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القول بحجیّة الظنّ الطریقی و افتراقه عن توهّم اعتبار مطلق الظنّ فی إثبات حجّیة مظنون الحجّیة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توجیه توهّم اعتبار مطلق الظنّ فی إثبات حجّیة المظنون حجّیته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الردّ علی توجیه المتوهّم المذکور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المجمل العقلی الخاصّ بزمان الانسداد لا یلائم التعیین بمعیّن لفظی خاصّ بزمان الانفتاح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تلویح إلی انّ الترجیح بلا مرجّح فی التکوین محال، و فی الالزام و التکلیف قبیح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تعیین الظنّ المظنون حجّیته بالأولویة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تعیین الظنّ المظنون حجّیته بالمعیّن المتّحد و استبعاد ذلک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المسائل العقلیة لیس من وظیفة الشرع بیانها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توجیه منع تعمیم نتیجة الانسداد بقاعدة الاشتغال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الدوران بین الأقلّ و الأکثر مجری البراءة و بین المحذورین مجری قاعدة التخییر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تقدیم الاحتیاط فی الفروع علیه فی الاصول فی بعض صور تعارض الاشتغال فیها، و العکس فی بعض آخر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عدم تقدیم أحد الاحتیاطین علی الآخر فی بعض الصور </w:t>
      </w:r>
      <w:r>
        <w:rPr>
          <w:rFonts w:eastAsia="IRNazanin" w:cs="IRNazanin"/>
          <w:color w:val="111111"/>
          <w:sz w:val="28"/>
          <w:szCs w:val="28"/>
          <w:lang w:bidi="fa-IR"/>
        </w:rPr>
        <w:t>91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إیراد المصنّف علی تعمیم نتیجة الانسداد بقاعدة الاشتغال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الاحتیاط فی المسألة الاصولیة یزیل الشکّ فی المسألة الفرعیة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تقدیم الأصل الجاری فی الموضوع علی الأصل فی حکمه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الأصل فی السبب مقدم علی الأصل فی المسبب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مناقشة تمثیل الماتن لتقدیم قاعدة الاحتیاط فی المسألة الاصولیة علیه فی المسألة الفرعیة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العلم الواقعی التفصیلی مناف للاحتیاط لا العلم الظاهری الشرعی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تثبیت التعارض بین الاحتیاطین فی موردی العلم الإجمالی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تأتّی التعارض و نحوه فی الأحکام العقلیة الظنّیة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تفسیر أمری الماتن بالفهم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بیان الحکم العقلی کمیة أو کیفیة فی لسان الشرع تقریر و تأکید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الردّ علی الماتن فی العمل بالاحتیاط فی ما لم ترد امارة ظنیة توجب الاطمینان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الاطمینان لیس له ضابطة کلّیة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رفع العسر لا یستلزم بطلان العمل المعسور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الاختلاف فی نفی العسر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الظواهر المظنون ظهورها بالاجتهاد و إعمال الظنون المطلقة فی ترجیحها بحکم الظنون المطلقة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ردّ العمل بالاحتیاط عند الانسداد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الردّ علی الماتن فی إمکان الاحتیاط و کثرة حصول الاطمینان فی الامارات و غیر ذلک </w:t>
      </w:r>
      <w:r>
        <w:rPr>
          <w:rFonts w:eastAsia="IRNazanin" w:cs="IRNazanin"/>
          <w:color w:val="111111"/>
          <w:sz w:val="28"/>
          <w:szCs w:val="28"/>
          <w:lang w:bidi="fa-IR"/>
        </w:rPr>
        <w:t>96</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انحصار القول فی الشبهة المحصورة فی الاحتیاط المطلق و البراءة المطلقة أو فی ما عدا مقدار الحرام و القرعة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الجاهل بالموضوع معذور فی ما لا یعذر فیه الجاهل بالحکم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وجوه عدم التسامح فی الروایات بما یتسامح فی غیرها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احتمال استناد العلم الإجمالی بالتکلیف إلی العلم الإجمالی فی حجّیة الأمارات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الجواب عن دعوی اختصاص المعلوم إجمالا من مخالفة الظواهر بمورد الأمارات، و مناقشة جواب الماتن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تقریر الکشف لا یقضی بحجّیة الظنّ فی الاصول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اشکال خروج القیاس علی تقریر الحکومة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بطلان القیاس فی قبال الخبر الصحیح لا مطلقا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توجیه من القوانین لخروج القیاس من نتیجة دلیل الانسداد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دفاع عن القوانین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الوجوه المحتملة فی استثناء القیاس عن الأدلّة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افتراق الظنّ بعد الانسداد عن العلم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صورة إمکان تکلیف العالم بخلاف علمه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احتمال جواز ترجیح أحد المتعارضین بالقیاس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فی الظنّین أحدهما علی حرمة العمل بالآخر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محلّ النزاع فی المسألة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محطّ نظر الباحثین فی کلّ مسألة نزاعیة إنّما هی مع الاغماض عن سائر القرائن و العوارض الخارجیة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توجیه کلام الماتن فی الردّ علی ترجیح الظنّ المانع </w:t>
      </w:r>
      <w:r>
        <w:rPr>
          <w:rFonts w:eastAsia="IRNazanin" w:cs="IRNazanin"/>
          <w:color w:val="111111"/>
          <w:sz w:val="28"/>
          <w:szCs w:val="28"/>
          <w:lang w:bidi="fa-IR"/>
        </w:rPr>
        <w:t>105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علی الماتن و انّ تقدّم الظنّ المانع یرجع إلی معنی تقدّم التخصّص علی التخصیص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الممنوع و المانع فی العقلیّات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دعوی استواء الأزمنة المتأخرة مع المتقدّمة فی الانسداد و الانفتاح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حجّیة الظنّ فی الاصول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الشهرة علی حجّیة الظنون الخاصّة فی اصول الفقه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عدم الفرق بین الفروع و الاصول فی کون کل منهما حکما شرعیا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حجّة المانع من اعتبار الظنون الخاصّة فی الاصول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الاحتجاج بالظنون الخاصّة فی اصول الدین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مطلوبیة الجزم فی اصول الدین لیست مطلقة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الکلام فی حجّیة الظنون المطلقة فی اصول الفقه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لا نزاع فی حجّیة الظنّ المطلق فی اصول الفقه إذا تولّد منه الظنّ بالحکم الفرعی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اعتبار قول اللغوی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اعتبار الظنون الرجالیة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إشارة إلی وجوه اعتبار الأمارات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دلیل الانسداد بالنسبة إلی الموضوعات الصرفة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البحث عن حجّیة الظنّ فی الموضوعات الصرفة لیس مسألة اصولیة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تعریف الموضوعات المستنبطة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تعریف الموضوعات الصرفة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الفرق بین نوعی الموضوعات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وجها التسمیتین </w:t>
      </w:r>
      <w:r>
        <w:rPr>
          <w:rFonts w:eastAsia="IRNazanin" w:cs="IRNazanin"/>
          <w:color w:val="111111"/>
          <w:sz w:val="28"/>
          <w:szCs w:val="28"/>
          <w:lang w:bidi="fa-IR"/>
        </w:rPr>
        <w:t>115</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السرّ فی اتّفاقهم علی حجّیة مطلق الظنّ فی الموضوعات المستنبطة دون الموضوعات الصرفة و لو مع الانسداد فی الأحکام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وجه عدم اقتضاء الانسداد فی الأحکام لحجّیة مطلق الظنّ فی الموضوعات الصرفة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موهمات حجّیة الظنّ فی الموضوعات الصرفة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العمل بالأمارات الشرعیة طول العمر یؤدی إلی حصول العلم الإجمالی بالخلاف عادة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اعتبار فعلیة العلم الإجمالی فی وقائع محصورة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عدم تأثیر المتأخر فی المتقدّم وجودا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اعتبار الظنّ فی اصول الدین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شقوق البحث و موارده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الاجماع علی وجوب الجزم فی المعارف الخمس إجمالا دون تفاصیلها و دون غیرها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الدین وضع إلهی یتناول الاصول و الفروع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وجوب الاعتقاد لو حصل العلم بتفاصیل الدین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عدم اعتبار مطلق الظنّ فی تفاصیل الدین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اعتبار الظنّ الخاصّ فی المعارف الدینیة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ما یعتبر فی التدیّن بالاسلام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ما یعتبر فی الایمان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الأخبار الواردة فی المسألة مختلفة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 مفاد أخبار الباب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وجوب التصدیق بما یعتبر فی الاسلام او فی الایمان علی کلّ مکلّف إلّا البله </w:t>
      </w:r>
      <w:r>
        <w:rPr>
          <w:rFonts w:eastAsia="IRNazanin" w:cs="IRNazanin"/>
          <w:color w:val="111111"/>
          <w:sz w:val="28"/>
          <w:szCs w:val="28"/>
          <w:lang w:bidi="fa-IR"/>
        </w:rPr>
        <w:t>124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فی الاختیار لا ینافی الاختیار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المقدور بالواسطة مقدور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تکلیف الکفار بالفروع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سنخ الوجوب فی اصول الدین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المواد من العلم عند معتبریه هنا و النظر و الاستدلال و التقلید فی الباب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کشف حکم عوام المخالفین القاصرین عن فهم الحقّ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تحقیق المسألة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الدلیل علی وجوب المعرفة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الدلیل علی وجوب المعرفة لیس من النقل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فطرة الانسان بل کل حیوان علی أی النعم من قبل غیره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شکر المنعم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رأی الأشاعرة فی وجوب المعرفة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ما ینحصر دلیل وجوبه من المعارف فی دلیل العقل إنّما هو معرفة اللّه و نبوّة نبیّه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اختصاص مجری البراءة الشرعیة بما بعد ورود الشرع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الاصول مجری لأصالة الحظر قبل ورود الشریعة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وجوب دفع الضرر المحتمل بیان فی مورد قبح العقاب بلا بیان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منع الأشاعرة من لزوم شکر المنعم عقلا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المقدور من طرق المعرفة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التصفیة فی حکم غیر المقدور </w:t>
      </w:r>
      <w:r>
        <w:rPr>
          <w:rFonts w:eastAsia="IRNazanin" w:cs="IRNazanin"/>
          <w:color w:val="111111"/>
          <w:sz w:val="28"/>
          <w:szCs w:val="28"/>
          <w:lang w:bidi="fa-IR"/>
        </w:rPr>
        <w:t>133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ما یتوقّف علیه الواجب تبعا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إظهار الأشاعرة بتقاعدنا عن شکر نعماء اللّه و لزوم الکفّ عن حمد آلائه عزّ و جلّ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ردّ الشیخ البهائی علیهم فی تلک المقالة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عدم کفایة الظنّ فی المعارف النظریّة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مفاد الآیات الناهیة عن الظنّ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ردود علی القوانین فی إیراده علی أدلّة القول باعتبار القطع فی اصول الدین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عدم قدح وجوب المخالف فی الاجماع المحصل و لا المنقول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وجوه احتجاج القوانین علی کفایة الظنّ فی اصول الدین و الردّ علیها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وجه رابع إضافة إلی ما ذکره صاحب القوانین من الوجوه لکفایة مطلق الظنّ فی اصول الدین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ردّ الوجه الرابع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حجج النافین لوجوب النظر و تضعیفها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فسق المکتفی بالظنّ فی المعارف الخمس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اعتبار الجحد فی الکفر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إنکار الضروری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المراد بالضروری الموجب إنکاره الکفر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الاستخفاف باللّه أو أحد خلفائه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قطع القطّاع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مناقشة کلام الماتن فی کفایة المعرفة عن التقلید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عدم معذوریة المجتهد المخطئ </w:t>
      </w:r>
      <w:r>
        <w:rPr>
          <w:rFonts w:eastAsia="IRNazanin" w:cs="IRNazanin"/>
          <w:color w:val="111111"/>
          <w:sz w:val="28"/>
          <w:szCs w:val="28"/>
          <w:lang w:bidi="fa-IR"/>
        </w:rPr>
        <w:t>143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کلام الماتن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معرفة الصانع بالعقل الفطری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معرفة الصانع و سائر اصول الدین بالعقل البدیهی و بالالهامات و نحوها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عدم خلوّ الزمان عن وجود نبیّ أو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الخاص و اللطف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علم النبیّ و الامام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وجوب تحصیل الظنّ لغیر المتمکّن من العلم بالمعارف الخمس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احتمال کون الواجب نفس الاعتقاد بالحقّ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احتمال وجوب الاعتقاد مستقلّا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التقلید فی باطل جازما به أو ظانّا به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نصوص من یقام علیه الحجّة یوم القیامة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المراد من جواز التقلید فی اصول الدین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مناقشة کلام الماتن فی عدم وجوب النظر علی المقلّد الجازم فی اصول الدین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فی الآثار المترتّبة علی الظنّ علی القول بعدم اعتباره خصوصا أو مطلقا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أثر الجبر و الترجیح بالظنّ غیر المعتبر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الفرق بین المرجّح و المؤید و الجابر و الموهن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شقوق محلّ النزاع فی المسألة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ابتناء مرجّحیة الظنّ أو جابریّته علی القول باعتبار الأخبار من باب الظنّ الفعلی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الأقوال فی اعتبار خبر الواحد </w:t>
      </w:r>
      <w:r>
        <w:rPr>
          <w:rFonts w:eastAsia="IRNazanin" w:cs="IRNazanin"/>
          <w:color w:val="111111"/>
          <w:sz w:val="28"/>
          <w:szCs w:val="28"/>
          <w:lang w:bidi="fa-IR"/>
        </w:rPr>
        <w:t>148</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مطلق مظنون الصدور من الاخبار، و انّ العبرة بصفة </w:t>
      </w:r>
    </w:p>
    <w:p>
      <w:pPr>
        <w:pStyle w:val="BookText"/>
        <w:rPr/>
      </w:pPr>
      <w:r>
        <w:rPr>
          <w:rFonts w:ascii="IRNazanin" w:hAnsi="IRNazanin" w:eastAsia="IRNazanin"/>
          <w:color w:val="111111"/>
          <w:sz w:val="28"/>
          <w:sz w:val="28"/>
          <w:szCs w:val="28"/>
          <w:rtl w:val="true"/>
          <w:lang w:bidi="fa-IR"/>
        </w:rPr>
        <w:t xml:space="preserve">الروایة لا الراوی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مناقشة مع الماتن فی هذا المجال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عدم الملازمة بین موافقة المظنون للواقع و صدور اللفظ عن الواقع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قبول خبر الفاسق إن أفاد الظنّ المستقر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تحقیق الکلام فی خبر سند الروایة بالظنّ غیر المعتبر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جبر السند بالشهرة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جبر السند بالظنّ المنهیّ عن العمل به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الفرق بین القیاس و سائر الظنون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فی جبر ضعف الدلالة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منع استناد فهم اللغویّ إلی الحسّ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عدم الفرق بین الظنّ الحاصل من الحدس و الحاصل من الحسّ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فی انّ الظنّ غیر المعتبر موهن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اعتبار سند الأخبار و دلالتها من باب الظنّ الفعلی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احتمال اعتبار الامارة فی الموضوعات من باب الظنّ النوعی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المانع الداخلی علی خلاف ما اعتبر من باب الظنّ النوعی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عدم حجّیة القیاس فی مقابل النصّ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ترجیح أحد المتعارضین سندا و دلالة بالظنّ غیر المعتبر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الترجیح بمطلق المزیّة فی أحد المتعارضین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الجبر و الوهن و الترجیح و التأیید بالظنّ غیر المعتبر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المنع عن القیاس لیس لمفسدة ذاتیة </w:t>
      </w:r>
      <w:r>
        <w:rPr>
          <w:rFonts w:eastAsia="IRNazanin" w:cs="IRNazanin"/>
          <w:color w:val="111111"/>
          <w:sz w:val="28"/>
          <w:szCs w:val="28"/>
          <w:lang w:bidi="fa-IR"/>
        </w:rPr>
        <w:t>160</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جماعة من الأصحاب بالقیاس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بناء العام علی الخاص فی المتعارضین بالعموم و الخصوص المطلق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حکم تعارض العامّین من وجه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حکم تعارض المتباینین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المتباینان من الکتاب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اختصاص اعمال المرجّحات بمظنون الصدور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 یشبه العامّین من وجه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منع البعد عن القول بحجّیة الظواهر مشروطا بحصول الظنّ منها أو من غیرها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انحصار دلیل حجیّة الظواهر فی الأدلّة اللبیّة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مناقشة فی کلام الماتن فی خرء طیر غیر مأکول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المرجّحات السندیة لا تأثیر لها بالنسبة إلی إجمال الدلالة بسبب تعارض العامّین من وجه و نحوه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ردّ علی الماتن فی استدلاله للترجیح بمطلق الظنّ بقاعدة الاشتغال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الردّ علی الترجیح بمطلق الأقربیة من أیّ سبب حصلت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تفسیر أمر الماتن بالتدبّر بعد إلحاقه کثیر من المرجّحات بما دلّ علی الترجیح بمطلق الظنّ بالأقربیة و المزیّة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منع الفرق بین أبعدیة المخالف للعامة عن التقیة و أقربیة المخالف للعامة إلی الواقع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الکلام فی الأدلّة العقلیة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دلیل العقل و أقسامه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النظر فی تعریف حکم العقل و تقسیمه و أقسامه </w:t>
      </w:r>
      <w:r>
        <w:rPr>
          <w:rFonts w:eastAsia="IRNazanin" w:cs="IRNazanin"/>
          <w:color w:val="111111"/>
          <w:sz w:val="28"/>
          <w:szCs w:val="28"/>
          <w:lang w:bidi="fa-IR"/>
        </w:rPr>
        <w:t>173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فی اصطلاح الاصولیین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إطلاق العقلی علی کلا قسمی دلیل العقل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المراد من العقل هنا و فی اشتراط التکلیف به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مراتب الاتّصاف بصفة العقل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وجه عدم تسمیة أصالة البراءة المستندة إلی قبح العقاب بلا بیان حکما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أصل الإباحة دلیل عقلی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افتراق أصل الإباحة عن أصل البراءة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مستند أصل الإباحة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انقسام دلیل العقل إلی قطعی و ظنّی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أعمّیة مورد أصل الإباحة الشرعیة بالنسبة للعقلیة منها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القول باعتبار الاستصحاب و الید و السوق بحکم العقل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حجّیة إدراک العقل غیر المستقل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أقسام إدراک العقل المستقل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عدم الخلاف فی بعض إدراکات العقل المستقل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الخلاف فی إدراک العقل للحسن و القبح بمعنی الثواب و العقاب علی الفعل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بیان دعوی الأشاعرة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موارد نزاع الأشاعرة فی إدراک العقل للحسن و القبح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مذهب الاخباریة فی إدراک العقل للحسن و القبح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الرأی المنسوب إلی السیّد الصدر فی الوافیة فی هذا الباب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القول بعدم ملازمة حکم العقل لحکم الشرع لإمکان المعارضة بین الملاکات فی الواقع </w:t>
      </w:r>
      <w:r>
        <w:rPr>
          <w:rFonts w:eastAsia="IRNazanin" w:cs="IRNazanin"/>
          <w:color w:val="111111"/>
          <w:sz w:val="28"/>
          <w:szCs w:val="28"/>
          <w:lang w:bidi="fa-IR"/>
        </w:rPr>
        <w:t>185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الوجوه للقول بعدم الملازمة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محلّ النزاع من الوجوه المذکورة فی منع الملازمة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حجّة الأقوال فی المسألة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حجّة القول بعدم الملازمة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عدم حجّیة ما یحتمل الخطأ من الطرق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عدم احتمال الخطأ فی العقل الفطری إلّا فرضا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حجیّة ما کان احتمال الخلاف فیه غیر عقلائی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حجّیة ما کان الاعتناء باحتمال المخالفة فیه مستلزما للعسر و الحرج و ما نحوه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دعوی عدم الأمن من الخلاف فی القطع الحاصل من المقدّمات العقلیّة النظریّة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احتمال الخلاف فی ما یحصل من أخبار الکتب الأربعة أو الاصول الأربعمائة غیر عقلائی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دعوی ضمان درک ما یترتّب علی الخلاف المترتّب من سلوک الأخبار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تسلیم کبری المانعین من الملازمة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قول العامة بالتصویب و تبعیة الأحکام الظنّیات العقل و مستحسنات أوهامهم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المنع من الفرق بین قطعیات العقل النظری و بین قطعیات النقل الوصوی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منع مدخلیة توسّط تبلیغ الحجّة فی وجوب إطاعة حکم اللّه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اللّه لا یصاب بالعقول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إمکان الکشف عن الحکم الشرعی بواسطة الحکم العقلی </w:t>
      </w:r>
      <w:r>
        <w:rPr>
          <w:rFonts w:eastAsia="IRNazanin" w:cs="IRNazanin"/>
          <w:color w:val="111111"/>
          <w:sz w:val="28"/>
          <w:szCs w:val="28"/>
          <w:lang w:bidi="fa-IR"/>
        </w:rPr>
        <w:t>190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دراسة دعوی إناطة الأحکام الشرعیة بخصوص النقل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إشارة إلی ندرة إدراک العقل البدیهی لحکم شرعی نظری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وجوه تصویر معنی الملازمة بین حکم العقل و الشرع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امور توهّم منع الملازمة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دلالة الألفاظ وضعیّة و رجحان وضع بعض الألفاظ لبعض المعانی بإرادة الواضع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احتمال کون إرادة الجاعل هی المرجّحة لجعل الأحکام دون المصالح و المفاسد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دعوی استلزام الملازمة بین الحکمین سوق الأوامر الشرعیة لمجرّد النصح و الإرشاد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ردّ الوجوه الموهمة لمنع الملازمة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إرادة الحکیم لا تکون إلّا عن مصلحة و مفسدة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کشف الحکم الشرعی عن الملاک لا یستلزم إرشادیته و عدم استحقاق الثواب و العقاب علیه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صدور الثواب و العقاب عن المصلحة و المفسدة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إرشادیة الأوامر الشرعیة إلی المصالح و المفاسد لا تنافی مولویتها من جهة أخری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أفعال اللّه معلّلة بالأغراض غیر العائدة إلی نفسه تعالی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العلل الأربع فی أفعال المخلوقین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الکلام فی أصل البراءة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معانی الأصل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المراد من أصالة البراءة </w:t>
      </w:r>
      <w:r>
        <w:rPr>
          <w:rFonts w:eastAsia="Amiri" w:cs="Amiri" w:ascii="Amiri" w:hAnsi="Amiri"/>
          <w:color w:val="111111"/>
          <w:sz w:val="28"/>
          <w:szCs w:val="28"/>
          <w:lang w:bidi="ar-SA"/>
        </w:rPr>
        <w:t>196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الفقه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الاجتهاد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الدلیل الفقاهتی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الدلیل الاجتهادی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الاصول أدلّة فقاهیّة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أدلّة الأحکام فقاهیة أم اجتهادیة؟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العلم الدالّ علی حجّیة الأدلّة و الامارات فقاهیة أم اجتهادیة؟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النسبة بین الأدلّة و الاصول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الورود و الحکومة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مفاد أدلّة حجّیة الأدلّة الظنّیة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مختاره فی النسبة بین الأدلّة و الاصول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أقسام الاصول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الفرق بین الاصول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الفرق بین أصل البراءة و استصحابها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الفرق بین أصالة البراءة و أصالة العدم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للتکلیف ملاحظتان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التقرّر فی الخارج، و التعلّق بالمکلّف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کفایة الشکّ فی أصل التکلیف لعدم تعلّقه بالمکلّف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مورد أصالة العدم و مورد أصالة البراءة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المراد من استصحاب العدم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الفرق بین أصالة البراءة و دلیلیة عدم الدلیل علی العدم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المراد من انّ عدم الدلیل دلیل العدم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إشارة إلی ظاهر کلام صاحب القوانین فی أوّل البراءة </w:t>
      </w:r>
      <w:r>
        <w:rPr>
          <w:rFonts w:eastAsia="IRNazanin" w:cs="IRNazanin"/>
          <w:color w:val="111111"/>
          <w:sz w:val="28"/>
          <w:szCs w:val="28"/>
          <w:lang w:bidi="fa-IR"/>
        </w:rPr>
        <w:t>206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النسبة بین أصل البراءة و بین عدم الدلیل دلیل العدم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إفادة العلم العادی بعدم الدلیل فی المسائل العامّة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أصالة عدم الأکثر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الفرق بین البراءة العقلیة و الإباحة العقلیة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الاختلاف فی حکم الأشیاء قبل ورود الشرع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تحریر محلّ النزاع فی المسألة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انقسام أفعال لا یدرک العقل حسنها و قبحها إلی ضروری العیش و غیره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ضروریات العیش مرخّص فیها بحکم العقل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وجوب دفع الضرر المحتمل فضلا عن المقطوع بحکم العقل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لا حکم للعقل فی فعل ما لا منفعة فیه أصلا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تعیین محلّ النزاع فی المسألة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المسألة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ثمرة النزاع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تأسیس الأصل فی المسألة عند الشکّ فی حکمها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امتناع خلاء الواقعة عن حکم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تأسیس الأصل فی المسألة عند الشکّ فی موضوعها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تحقیق الحقّ فی المسألة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کفایة فتوی الفقیه الواحد فی احتمال المضرّة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عدم الفرق بین هذا الزمان و قبل البعثة من حیث حکم العقل بالاباحة فی المسألة </w:t>
      </w:r>
      <w:r>
        <w:rPr>
          <w:rFonts w:eastAsia="IRNazanin" w:cs="IRNazanin"/>
          <w:color w:val="111111"/>
          <w:sz w:val="28"/>
          <w:szCs w:val="28"/>
          <w:lang w:bidi="fa-IR"/>
        </w:rPr>
        <w:t>216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الفوارق بین أصل الاباحة و أصل البراءة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 النزاع فی جریان البراءة و عدمه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الموضوعات المستنبطة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الموضوعات الصرفة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فی شمول البراءة أو الاشتغال للندب و الکراهة و عدمه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الشکّ فی الوجوب و الحرمة بعد العلم الإجمالی بأحدهما من الشکّ فی التکلیف أم فی المکلّف به؟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أقسام الشکّ فی التکلیف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أقسام الشکّ فی المکلّف به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الضابط للشکّ فی التکلیف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الضابط للشکّ فی المکلّف به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عدم الملازمة بین الشکّ فی التکلیف و الحکم بالبراءة فیه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حصر الاصول العملیة فی الأربعة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عدم حسن الاحتیاط فی المعلوم بالعلم الوجدانی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صور اشتباه الحکم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اختلاف الاخباریة فی الشبهة الحکمیة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دراسة الاستدلال بآیة نفی التعذیب قبل بعث الرسل علی عدم التلازم بین حکمی العقل و الشرع و البراءة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توجیه الاستدلال بآیة عدم تکلیف نفس إلّا بما آتاه اللّه، علی البراءة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دراسة فی آیة وَ ما کانَ اللَّهُ لِیُضِلَّ قَوْماً بَعْدَ إِذْ هَداهُمْ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دراسة فی آیة لِیَهْلِکَ مَنْ هَلَکَ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بآیة قُلْ لا أَجِدُ فِی ما أُوحِیَ إِلَیَ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کفایة الفحص عن المخصّص و المعارض فی ما بأیدینا لجواز العمل بالعمومات و الأدلّة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آیات دالّة علی عدم تحریم ما لا نصّ فیه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الجواب علی إیراد الماتن علی الآیات و الأخبار المستدلّ بها علی البراءة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دراسة فی قول الاخباریة بالاحتیاط فی الشبهة التحریمیة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جواب آخر عن إیراد الماتن علی الآیات و الأخبار المستدلّ بها علی البراءة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رفع الایراد عن حدیث الرفع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مفاد حدیث الرفع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من آثار رفع جمیع الآثار بحدیث الرفع تقیید جمیع الأجزاء و الشروط بالاختبار و العلم شرعا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الاجزاء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عدم العلم فی نفی الجزء أو الشرط المشکوک جزئیته أو شرطیته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دراسة ما یقرّب دلالة حدیث الرفع علی رفع خصوص المؤاخذة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دراسة أمر الماتن بالتأمل بعد تضعیفه الأخذ بالمتیقّن فی حمل حدیث الرفع علی خصوص المؤاخذة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ما یقرّب حمل الحدیث علی رفع جمیع الآثار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الخطأ و النسیان الصادران عن ترک التحفّظ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التکلیف الشاقّ الناشئ عن اختیار المکلّف </w:t>
      </w:r>
      <w:r>
        <w:rPr>
          <w:rFonts w:eastAsia="IRNazanin" w:cs="IRNazanin"/>
          <w:color w:val="111111"/>
          <w:sz w:val="28"/>
          <w:szCs w:val="28"/>
          <w:lang w:bidi="fa-IR"/>
        </w:rPr>
        <w:t>247</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التکلیف بما لا یطاق الناشئ عن سوء اختیار المکلّف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معذوریّة الجاهل المقصّر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الاجزاء و الشرائط واقعیة فی العبادات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عدم اندراج الاصول المثبتة فی أخبار الاستصحاب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استواء أسباب الضمان من حیث الجهل و العلم بها و العمد و الخطأ و النسیان فیها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حدّ شمول حدیث الرفع لأقسام الآثار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الحلف بالطلاق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تبعیة الرفع لإرادة المکره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الاضرار بالغیر مکرها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التفکّر و الطیرة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مناقشة إیراد الماتن علی دلالة حدیث الحجب علی البراءة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ردّ کلام الماتن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فسکت عن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الکلام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محاکمة بین القوانین و الفصول فی معنی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مناقشات فی دلالة الحدیث علی البراءة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منع عدم حجّیة الظنّ فی اصول الفقه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وجوه کون البراءة بحثا اصولیا أو فقهیا أو کلامیا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الردّ علی صاحب الوسائل فی إیراده علی دلالة الحدیث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کلام فی الأخذ بمخالف العامّة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أقوائیة دلالة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البراءة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توضیح إیراد الماتن علی الاستدلال بصحیحة عبد الرحمن بن حجاج </w:t>
      </w:r>
      <w:r>
        <w:rPr>
          <w:rFonts w:eastAsia="IRNazanin" w:cs="IRNazanin"/>
          <w:color w:val="111111"/>
          <w:sz w:val="28"/>
          <w:szCs w:val="28"/>
          <w:lang w:bidi="fa-IR"/>
        </w:rPr>
        <w:t>261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إشکال فی دلالة أخری للصحیحة و دفعه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مفاد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إشارة إلی الخلاف فی وجوه الکلّی الطبیعی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ردّ إیراد الماتن علی المحکیّ عن المحقّق من الاستدلال بإجماع أهل الشرائع عملا علی البراءة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کلام فی النسبة بین قاعدتی قبح العقاب بلا بیان و دفع مناقشات مع الماتن فی النسبة بین قاعدة قبح العقاب و قاعدة دفع الضرر المحتمل، و تثبیت لزوم دفع الضرر المحتمل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اتحاد أدلّة الاحتیاط مع قاعدة دفع الضرر المحتمل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مناقشة کلام الماتن فی انّ امتثال غیر المعلوم من التکلیف الضرر المحتمل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وجه معاقبة الکفار علی الفروع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عدم تمامیة قبح العقاب بلا بیان عقلا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ممّا لا یطاق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مناقشة کلام الماتن علی استصحاب البراءة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إشارة إلی اعتبار بقاء موضوع الاستصحاب بالمسامحة العرفیة لا الدقّة العقلیة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ردّ الاستدلال بتعذّر الاحتیاط فی بعض الصور علی البراءة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ردّ دلالة الآیات الناهیة عن القول بغیر العلم و غیرها علی وجوب الاحتیاط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دراسة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وَ جاهِدُوا فِی اللَّهِ حَقَّ جِهادِهِ </w:t>
      </w:r>
      <w:r>
        <w:rPr>
          <w:rFonts w:eastAsia="Amiri" w:cs="Amiri" w:ascii="Amiri" w:hAnsi="Amiri"/>
          <w:color w:val="111111"/>
          <w:sz w:val="28"/>
          <w:szCs w:val="28"/>
          <w:lang w:bidi="ar-SA"/>
        </w:rPr>
        <w:t>275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أخبار التوقّف عند الشبهة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و دراسة ما یستفاد من المتن فی إبطال الردّ علی أخبار التوقّف بأنّ أخبار البراءة أخصّ منها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بیان وجه التأمل المأمور به فی کلام الماتن فی هذا الموضع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دراسة الأخبار الآمرة بالاحتیاط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دراسة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دراسة أخبار التثلیث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ارتکازیة حرمة مقدمة الحرام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الظن الحاصل من الأدلة الظنیة لا ینافی العلم الإجمالی بوجود الأحکام فی مواردها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الاحتمالات فی وجه اعتبار الأدلة الظنیة شرعا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رفع اشتغال الذمة للعلم الإجمالی بوجود محرمات کثیرة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اجزاء الأوامر الظاهریة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التفصیل المحکیّ عن المحقق فی حجّیة البراءة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مقتضی الأدلّة بالنسبة إلی مفاد البراءة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هل اعتبار البراءة من باب الظنّ أو التعبّد؟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البراءة أصل فی موارد و دلیل فی أخری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انّ أوامر الاحتیاط إرشادیة أم استحبابیة؟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الاحتیاط فی محتمل الندب و الحرمة و ثمرات ذلک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دراسة الحرمة الظاهریة و الحرمة الواقعیة المنسوبتین إلی الاخباریة فی الشبهة التحریمیة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اعتبار عدم أصل حاکم فی جریان أصل الاباحة </w:t>
      </w:r>
      <w:r>
        <w:rPr>
          <w:rFonts w:eastAsia="IRNazanin" w:cs="IRNazanin"/>
          <w:color w:val="111111"/>
          <w:sz w:val="28"/>
          <w:szCs w:val="28"/>
          <w:lang w:bidi="fa-IR"/>
        </w:rPr>
        <w:t>299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مشکوک التذکیة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الحیوان المتولّد من طاهر و نجس لا یتبعهما فی الاسم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حکومة الأصل السببی علی الأصل المسبّبی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أکل الحیوان الحیّ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الأصل فی کلّ حیوان جواز تذکیته و قابلیته لها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مجری أصالة الحلیة فی اللحوم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الردّ علی الماتن فی مقایسته بین مفاسد الاحتیاط و مفاسد ارتکاب المشتبه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التعریض بما تعارف فی الأزمنة الأخیرة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التردید بین الحرمة و غیر الوجوب لإجمال دلیل الحرمة فی متعلّقها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التردید بین الحرمة و غیر الوجوب لتعارض النصّین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إمکان التعادل بین نصّین متعارضین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الناقل و المقرّر و المبیح و الحاظر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التردید بین الحرمة و غیر الوجوب لأجل الشبهة فی الامور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عدم استقلال العقل بالبراءة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امتناع احتمال المصلحة فی عدم بیان الضرر الأخروی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أقسام الضرر و أحکامها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اعتبار عدم أصل موضوعی فی جریان أصل الاباحة فی الشبهة الموضوعیة التحریمیة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ندرة الحلال الخارجی المعلوم الحلّیة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إمکان التوصّل إلی ظهور مطمئن مع اختلاف الأخبار فی أیّ باب </w:t>
      </w:r>
      <w:r>
        <w:rPr>
          <w:rFonts w:eastAsia="IRNazanin" w:cs="IRNazanin"/>
          <w:color w:val="111111"/>
          <w:sz w:val="28"/>
          <w:szCs w:val="28"/>
          <w:lang w:bidi="fa-IR"/>
        </w:rPr>
        <w:t>317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کلام الماتن فی مسألة علم الأنبیاء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توجیه کلام المحدّث الاسترابادی فی البراءة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الکلام فی معنی الاحتیاط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موارد الاحتیاط و حکمه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 تشخیص المثاب علیه عند الاحتیاط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حسن الاحتیاط یوجب حسن الفعل المحتاط به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اخبار من بلغه ثواب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عدم حمل المطلق علی المقید فی المستحبات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اختصاص البراءة بالشک فی الوجوب التعیینی أصلا أو عرضا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أصالة العدم و افتراقها عن أصالة البراءة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التخییر العقلی و التخییر الشرعی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استصحاب کلّیّ الوجوب لا یثبت قسما منه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الشبهة الوجوبیة لإجمال النصّ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ما یدخل فی نزاع هذا الباب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مناقشة ردّ الماتن علی الاخباریة فی مورد الشبهة الوجوبیة لإجمال النصّ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عدم ذاتیة المصالح و المفاسد و الحکم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فی شمول اخبار من بلغ للشبهة الوجوبیة و عدمه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الشبهة الوجوبیة من جهة تعارض النصّین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إشارة إلی المراد من النصّین المتعادلین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التحقیق فی الجواب علی التوقیع المرویّ فی الاحتجاج </w:t>
      </w:r>
      <w:r>
        <w:rPr>
          <w:rFonts w:eastAsia="IRNazanin" w:cs="IRNazanin"/>
          <w:color w:val="111111"/>
          <w:sz w:val="28"/>
          <w:szCs w:val="28"/>
          <w:lang w:bidi="fa-IR"/>
        </w:rPr>
        <w:t>337</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المنافاة عمّا یتراءی من التنافی بین مسألتین نقلهما الماتن عن الأصحاب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الشبهة الموضوعیة فی الوجوب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حکم المشهور بحجّیة الظن فی قضاء الفوائت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حکم المشهور بالاحتیاط عند تردد الفائتة بین الأقلّ و الأکثر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مناقشات فی کلمات الماتن حول الأداء و القضاء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عدم استلزام الاحتیاط فی قضاء النوافل للاحتیاط فی قضاء الفرائض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دوران الأمر بین الوجوب و الحرمة من جهة عدم الدلیل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أمثلة دوران الأمر بین الوجوب و الحرمة لعدم الدلیل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إشارة إلی الفرق بین هذه المسألة و بین صورة تعارض النصّین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هل انّ منعهم من الرجوع إلی قول ثالث من حیث العمل أم مطلق؟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مناقشة دعوی الماتن من انصراف أدلة الاباحة إلی محتمل الحرمة و غیر الوجوب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مناقشة کلام الماتن من حصر إفادة أدلة نفی التکلیف عمّا لم یعلم نوعه فی عدم المؤاخذة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مناقشة فی مفاد الحدیث من انّ اجتناب السیئات أولی من اکتساب الحسنات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الاستشهاد للقول بالحرمة فی دوران الأمر بین الوجوب و الحرمة لعدم الدلیل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دوران الأمر بین الوجوب و الحرمة لإجمال الدلیل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دوران الأمر بین الوجوب و الحرمة لتعارض الأدلّة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دوران الأمر بین الوجوب و الحرمة للاشتباه فی الموضوع </w:t>
      </w:r>
      <w:r>
        <w:rPr>
          <w:rFonts w:eastAsia="IRNazanin" w:cs="IRNazanin"/>
          <w:color w:val="111111"/>
          <w:sz w:val="28"/>
          <w:szCs w:val="28"/>
          <w:lang w:bidi="fa-IR"/>
        </w:rPr>
        <w:t>355</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الحکمی فی الشبهات مقید بعدم أصل موضوعی فیها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دراسة التمثیل المذکور للمسألة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التمثیل الصحیح للمسألة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الشکّ فی المکلّف به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صور الشکّ فی المکلّف به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وجوه المسألة و أقوالها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محلّ النزاع فی المسألة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الکلام فی المخالفة القطعیة فی الشبهة المحصورة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التصویب فی الموضوعات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عدم بدلیة الترک المقارن لفعل الضدّ عن ذلک الفعل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تعریض للوجوه فی التخییر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وظیفة الحاکم العمل بالأسباب الظاهریة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وجه القول بجواز المخالفة القطعیة فی الشبهة المحصورة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الأخذ بالاطلاق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الأخذ بالعموم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دعوی ورود إطلاقات الکتاب فی بیان أصل التشریع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ثبوت المقتضی للاجتناب عن الشبهة المحصورة و غیر المحصورة و البدویة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قبح العقاب بلا بیان شرعی و لا عقلی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لزوم دفع الضرر المحتمل عقلی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الکلام فی المانع عن تأثیر العلم الإجمالی فی وجوب الاجتناب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 الموافقة القطعیة </w:t>
      </w:r>
      <w:r>
        <w:rPr>
          <w:rFonts w:eastAsia="IRNazanin" w:cs="IRNazanin"/>
          <w:color w:val="111111"/>
          <w:sz w:val="28"/>
          <w:szCs w:val="28"/>
          <w:lang w:bidi="fa-IR"/>
        </w:rPr>
        <w:t>371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تجویز ارتکاب ما عدا مقدار الحرمة من أطراف </w:t>
      </w:r>
    </w:p>
    <w:p>
      <w:pPr>
        <w:pStyle w:val="BookText"/>
        <w:rPr/>
      </w:pPr>
      <w:r>
        <w:rPr>
          <w:rFonts w:ascii="Amiri" w:hAnsi="Amiri" w:eastAsia="Amiri" w:cs="Amiri"/>
          <w:color w:val="111111"/>
          <w:sz w:val="28"/>
          <w:sz w:val="28"/>
          <w:szCs w:val="28"/>
          <w:rtl w:val="true"/>
          <w:lang w:bidi="ar-SA"/>
        </w:rPr>
        <w:t xml:space="preserve">الشبهة المحصورة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فی انّ وجوب الاجتناب فی الشبهات المحصورة تعمّ المندرجین تحت حقیقة واحدة و غیر ذلک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فی انّ الاجتناب عن أطراف الشبهة واجب نفسی أو إرشادی؟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فی مقرّبات الحرمة الذاتیة فی ارتکاب أطراف الشبهة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التنظر فی مقرّباتها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مناقشات فی کلمات المصنف فی هذا الباب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اعتبار الابتلاء بالأطراف فی وجوب الاجتناب عنها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الأصل الجاری فی مورد الشک فی الابتلاء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الخدشة فی اعتبار الابتلاء فی المسألة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حکم ملاقاة أحد أطراف الشبهة المحصورة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مبنی القولین فی المسألة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الاستدلال لعدم وجوب الاجتناب عن ملاقی أحد أطراف الشبهة المحصورة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دفع الموانع عن حکم المسألة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عدول عن القول بعدم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حکم الاضطرار إلی بعض أطراف الشبهة المحصورة أو تلف بعضها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تدریجیة المشتبهات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الواجب المعلّق و الواجب المشروط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الواجب المنجّز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صورة العلم بوجود موضوع أحد الخطابین بین المشتبهین </w:t>
      </w:r>
      <w:r>
        <w:rPr>
          <w:rFonts w:eastAsia="IRNazanin" w:cs="IRNazanin"/>
          <w:color w:val="111111"/>
          <w:sz w:val="28"/>
          <w:szCs w:val="28"/>
          <w:lang w:bidi="fa-IR"/>
        </w:rPr>
        <w:t>398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یوجب الانصراف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تسویة الأصحاب فی الشبهة المحصورة بین کون الأصل الجاری فی کل واحد من المشتبهین هو الحلّ أو الحرمة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فی الشبهة غیر المحصورة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هل المدار فی نفی الحکم العسر و الحرجی علی العسر الشخصی أو العسر النوعی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مناقشة کلام الماتن فی ما ورد من دوران الأحکام مدار السهولة علی الغالب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مناقشة کلام الماتن من عدم شمول أدلّة العسر للشبهة الغیر المحصورة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مناقشة کلام المصنف فی اخبار الحلّ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الأخبار الدالّة علی أنّ العلم بوجود الحرام بین المشتبهات لا یوجب الاجتناب عن جمیع المحتملات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احتمال عدم الفرق بین المحصور و غیره فی حکم العقل بدفع الضرر المحتمل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جواز ارتکاب جمیع أطراف الشبهة غیر المحصورة مع عدم العزم علی ذلک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ضابط المحصور و غیر المحصور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صورة کون المشتبه فی غیر المحصور افرادا کثیرة إلّا انّ نسبتها إلی الکل نسبة الشی‌ء إلی الامور المحصورة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التمثیل بالغناء للشبهة التحریمیة لاشتباه الحکم من جهة إجمال النصّ </w:t>
      </w:r>
      <w:r>
        <w:rPr>
          <w:rFonts w:eastAsia="IRNazanin" w:cs="IRNazanin"/>
          <w:color w:val="111111"/>
          <w:sz w:val="28"/>
          <w:szCs w:val="28"/>
          <w:lang w:bidi="fa-IR"/>
        </w:rPr>
        <w:t>410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الواجب المردّد بین متنافیین من جهة عدم النصّ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کیفیة نیة الوجوب و القربة عند الاحتیاط بالجمع بین المحتملین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فی الواجب المردّد بین متنافیین من جهة إجمال النصّ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تعریض بنیة الوجه فی العبادة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صورة النیّة فی کلّ من العبادات المتعدّدة عند الاحتیاط بإتیانها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تعریض بالأصل المثبت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مناقشة کلام الماتن فی ترتیبه وحدة عقاب تارک جمیع محتملات الواجب علی عدم مطلوبیّته شرعا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عدم سقوط الواجب المردّد شرطه بین غیر المحصور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هل یعتبر إتیان جمیع محتملات التکلیف الأول قبل الاتیان بمحتملات التکلیف الثانی المترتّب علیه؟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دوران الواجب بین الأقلّ و الأکثر الارتباطی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إشارة إلی الحیثیتین فی أوامر الموالی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مناقشة جواب الماتن علی إشکال لزوم إتیان کل ما شکّ فی مدخلیّته هنا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عدم معذوریة الجاهل المقصّر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مناقشة تنظیر الماتن لما نحن فیه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مناقشة کلام الماتن فی وجه عدم جریان أصل العدم فی الأقل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ما یحقّق قصد القربة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الاستدلال بالأخبار علی البراءة من الأقلّ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نسبة أخبار الاحتیاط و أخبار البراءة </w:t>
      </w:r>
      <w:r>
        <w:rPr>
          <w:rFonts w:eastAsia="IRNazanin" w:cs="IRNazanin"/>
          <w:color w:val="111111"/>
          <w:sz w:val="28"/>
          <w:szCs w:val="28"/>
          <w:lang w:bidi="fa-IR"/>
        </w:rPr>
        <w:t>427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کلام الماتن فی حکومة اخبار البراءة علی استصحاب </w:t>
      </w:r>
    </w:p>
    <w:p>
      <w:pPr>
        <w:pStyle w:val="BookText"/>
        <w:rPr/>
      </w:pPr>
      <w:r>
        <w:rPr>
          <w:rFonts w:ascii="IRNazanin" w:hAnsi="IRNazanin" w:eastAsia="IRNazanin"/>
          <w:color w:val="111111"/>
          <w:sz w:val="28"/>
          <w:sz w:val="28"/>
          <w:szCs w:val="28"/>
          <w:rtl w:val="true"/>
          <w:lang w:bidi="fa-IR"/>
        </w:rPr>
        <w:t xml:space="preserve">الاشتغال فی ما نحن فیه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تعرض بمسألة کون الجزئیّة مجعولة شرعا أم لا؟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فی دوران الواجب بین الأقلّ و الأکثر الارتباطی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لإجمال النصّ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دراسة وجوه المنع عن الأخذ بإطلاقات العبادات فی هذا الباب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هل یشترط عدم مطلق فی البین للتخییر بین المتعارضین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الفرق بین المرجّح و المرجع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الشک فی الجزئیة للشبهة فی الموضوع الخارجی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مناقشة تمثیلی الماتن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الشک فی القیدیة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النسبة بین المطلق و المقید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الحکم فی موارد الشک فی التقیید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الشک فی القاطعیة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تصویر الشک فی الجزئیة لمنشا الشک فی الحکم التکلیفی النفسی للمشکوک جزئیته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فی الشک فی رکنیة الجزء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مناقشة تنظیر الماتن للغفلة عن الجزء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فی توجیه الخطاب إلی الناسی و عدمه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معنی حجیة الاستصحاب أو البراءة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مناقشة فی فرق الماتن بین رفع الشارع السهو و النسیان و بین تصریح الشارع برفع حکم نسیان الجزء و السهو عنه </w:t>
      </w:r>
      <w:r>
        <w:rPr>
          <w:rFonts w:eastAsia="IRNazanin" w:cs="IRNazanin"/>
          <w:color w:val="111111"/>
          <w:sz w:val="28"/>
          <w:szCs w:val="28"/>
          <w:lang w:bidi="fa-IR"/>
        </w:rPr>
        <w:t>443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زیادة الجزء عمدا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یتحقق به زیادة الجزء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الاحباط و التکفیر و الموازنة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نظرة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أَعْمالَکُمْ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مناقشة کلام الماتن فی ضعف استصحاب وجوب إتمام العمل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فی الزیادة سهوا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تصویر زیادة الجزء سهوا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هل الأصل الاطلاق فی الجزئیة و الشرطیة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حقیقة المطلق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اشتهار التمسک بأخبار عدم سقوط المیسور بالمعسور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دراسة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فی أیّ اعتبار الخلیط فی ماء غسل المیت من قبیل التقیید أم من قبیل تعدّد المطلوب؟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دوران الأمر بین ترک الجزء و ترک الشرط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دوران الأمر بین کون الشی‌ء شرطا أو مانعا أو بین کونه جزءا أو زیادة مبطلة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مناقشة کلام الماتن فی الفرق بین الاحتیاط فی ما نحن فیه، و الاحتیاط فی مسألة الشک فی الشرطیة و الجزئیة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عمل تارک الاجتهاد و التقلید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مناقشة کلام الماتن فی دعواه بأن تکرار العبادة لإحراز الواقع مع التمکّن من العلم التفصیلی به اجنبی عن سیرة المتشرعة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فی لزوم الفحص عن الأدلة الشرعیة قبل العمل بالأصل </w:t>
      </w:r>
      <w:r>
        <w:rPr>
          <w:rFonts w:eastAsia="IRNazanin" w:cs="IRNazanin"/>
          <w:color w:val="111111"/>
          <w:sz w:val="28"/>
          <w:szCs w:val="28"/>
          <w:lang w:bidi="fa-IR"/>
        </w:rPr>
        <w:t>457</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قبح العقاب علی غیر المقدور و لو بسوء الاختیار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صحة المعاملة الصادرة من الجاهل التارک للفحص العامل بما یطابق البراءة و فسادها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فی صحة العبادة الصادرة من الجاهل بحکمها التارک للفحص العامل بما یطابق البراءة و فسادها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مناقشة ما ادّعاه الماتن من عدم تحقّق قصد القربة للجاهل المفروض مخالفة الطریق الشرعیّ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إشارة إلی فرق الطریق الجعلی عن الطریق المنجعل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فی مستثنیات قاعدة عدم معذوریة الجاهل المقصّر فی الفحص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إشارة إلی مسألة الترتّب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مناقشة دعوی الماتن الفرق عن الشک فی الاستطاعة بین عدم العلم بمقدار ما یملکه و بین جهله بتحقق الاستطاعة بماله المعلوم عنده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فی الشروط المذکورة لأصل البراءة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هل یعتبر عدم تضرّر مسلم فی إعمال الأصل أم لا؟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دفع الایراد عن القاعدة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الحکومة و الورود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استلزام حصول فقه جدید بل دین بدیع بالعمل بعموم هذه القاعدة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مرجعیة لا ضرر عند تعارض انتفاع الضرر الحاصل من ترک انتفاع المالک و ضرر الغیر </w:t>
      </w:r>
      <w:r>
        <w:rPr>
          <w:rFonts w:eastAsia="IRNazanin" w:cs="IRNazanin"/>
          <w:color w:val="111111"/>
          <w:sz w:val="28"/>
          <w:szCs w:val="28"/>
          <w:lang w:bidi="fa-IR"/>
        </w:rPr>
        <w:t>468</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الضرر لدفع الضرر عن الغیر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هو کما تری من کتابه نتائج الافکار المطبوع مع ضوابطه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بتلخیص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الأفکار المطبوع علی هامش 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أیضا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احیاء الموات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و النهی و ما یناسبهما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فی الصفحة السابقة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الدلیل العقلی المسمّی بالدلیل الرابع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الرسائل الاصولیة له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المسترشدین فی اصول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الباب الحادی عشر للفاضل المقداد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اللّه عمّا یقول الظالمون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یغلب علی الظنّ عدم التزامه فی مثل هذه الاستشهادات نقل قوله تعالی بلفظ الکتاب الکریم، بل مراده مقول قوله تعالی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نصّ بهذا اللفظ و الظاهر أنه تعبیر عن حکم عام ضروریّ بین المسلمین من عدم حلّیة مباشرة المرأة إلّا بنکاح أو ملک یمین بالالتفات إلی أن النّکاح أیضا نوع ملک کما هو مفاد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أَزْواجِهِمْ أَوْ ما مَلَکَتْ أَیْمانُهُمْ فَإِنَّهُمْ غَیْرُ مَلُومِینَ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أولی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فی 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قاعدة نفی العسر و الحرج و المشقّة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تلفیق بین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 و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 العهد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و لاحظ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و النهی و ما یناسبهما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ما یناسبهما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الفقرة فی هذا الموضع و حوالیه من متن فرائد الاصول المطبوع المتوفر لدینا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الظاهر أن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علینا بالظاهر و اللّه ولیّ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تبیین من المعلّق رحمه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الانتصار للسید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سلسلة الأحادیث الصحیحة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و لاحظ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أصله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بمقدار یسع لکلمة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بمقدار یسع لکلمة و الأنسب 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بمقدار یسع لکلمة و الأنسب 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 اوّل الکلمة و أثبتنا حرف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للمناسبة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 بمقدار یسع لکلمة واحدة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للاستزادة لاحظ سلسلة الأحادیث الصحیحة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إحیاء علوم 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کالذی سیشیر إلیه فی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 عن أبیه عن آبائه عن رسول اللّه صلی اللّه علیه و آله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ما یخرج به الرّجل من الایمان أن یقول للحصاة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نواة ثم یدین بذلک و یبرئ 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نقل بالمعنی لاحظ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مفاتیح الأصول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التوقّف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قول و ضعّفه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قاعدة فقهیة لاحظ رسالة قاعدة من ملک شیئا ملک الاقرار به للشیخ الانصاری المطبوعة مع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یناسبه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یناسبه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عَلَیْهِمُ الْخَبائِثَ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ورد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شرّ علیکم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المقدمة فی تعریف العلم 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الجهة الخامسة من الأمر الأوّل من مقدمة أصل البراءة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فی سعة حتی یعلموا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هنا قابل لثلاثة منها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الأوانی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المقصد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المقصد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المقصد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الرابع فی بیان الفرق بین أصل البراءة و أصل الاباحة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العضدی المطبوع مع حاشیتی التفتازانی و الشریف الجرجانی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شرح الأسنوی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شرح اللمع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میزان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 الحاظر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القنوت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الظاهر فیها زیادة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 فی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 الحدیث و اختلاف لفظه عما نقله هنا فی</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صفاة القاضی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صفاة القاضی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صفاة القاضی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صفاة القاضی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إحیاء علوم 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أیضا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 ما یناسبهما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التعلیقة فی الأصل مرّة هنا محلّها المناسب مع سایر التعالیق، باختصار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یکره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ثانیة بعد ثلاث صفحات تقریبا فیه بزیادة کما أوردناها إلی آخر التعلیقة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المکرّرة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وصایا النبی صلی اللّه علیه و آله لعلی علیه السّلام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السنن الکبری للبیهقی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عدّة من الأحادیث الشریفة نحو ما ورد فی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حدّ حدودا فلا تعتدوها و فرض فرائض فلا تنقصوها و سکت عن أشیاء لم یسکت عنها نسیانا لها فلا تکلّفوها رحمة من اللّه لکم فاقبلوها راجع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سهو هنا فإن الحدیث لم یرد فی أمالی الصدوق کما أن تصریحه المشار إلیه جاء فی دیباجة کتابه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أمالیه خالیة عن ذلک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ذیل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ذیل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الأحقاف و 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مفاد جملة من الروایات الواردة فی باب الخمر، کما فی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بذلک فرقا بین القاعدة و الاحتیاط و إنما یستفاد من ضمّ ما ذکره عن القاعدة، إلی ما ذکره عن أدلّة الاحتیاط، راجع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لکنها زائدة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بیان للحدیث، 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و راجع الدرر المنتثرة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اللفظ فی أحادیثنا، 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هذا اللفظ فی إحیاء علوم الدین للغزالی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بیّن انحصار المدارک فی أحادیثهم علیهم السّلام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صحّح الکتب الأربعة و راجع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الأحقاف و 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تقطیع لحدیث الرفع راجع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فی سعة حتی یعلموا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فی سعة ما لم یعلموا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مطلق الشبهة التحریمیّة، 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ذیل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سابعها،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لعلّ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بلعه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الشهید الثانی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التعادل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عن مسعدة کما هو المشهور الواضح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فی حکم الشبهة فی الموضوع عند نقل کلام الشیخ الحرّ العاملی فی الفرق بین الشبهة فی الموضوع و الشبهة فی الحکم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حکم النبی صلی اللّه علیه و آله راجع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تلفیق بین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 و مثل آیتی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المضمون فی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الخط یشبه بما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نقل بالمعنی راجع 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ما ورد فی صوم یوم عرفة، 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ما ورد فی صلاة الغفیلة، راجع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المندوبة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تمثیل عمّا ورد فی تسریح اللحیة أو حفّ الشوارب،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یقرّبکم من الجنة و یباعدکم من النار إلّا و قد أمرتکم به و ما من شی‌ء یقرّبکم من النار إلا و قد نهیتکم عنه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قد صرّح بالتبادر الاطلاقی فی أصل الوجوب و الوجوب المطلق و لم نظفر علی دعواه ذلک فی التعیینیة و النفسیة و العینیة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معنی ما ذهبوا الیه من نفی أصل البراءة فی الشبهات التحریمیة مع ایجاب الاحتیاط فی الشبهات الحکمیة علی التفصیل المذکور فی کتبهم، 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اللفظ فی المصادر الحدیثیة و الظاهر أنه تعبیر آخر عمّا ورد فی هذا الباب، لاحظ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أبواب قضاء الصلوات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فی أربع منها رخصة و لم یجعل فی الولایة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العسر ففی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اللَّهُ بِکُمُ الْیُسْرَ وَ لا یُرِیدُ بِکُمُ الْعُسْرَ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الحرج ففی المائدة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المباحة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شهر رمضان 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اشتبه الحلال و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اللفظ فی أحادیث المعصومین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هو انتزاع من أدلّة أحکام النجاسة من الأمر بغسل ما اصابته أعیان النجاسة و إهراق ما اصابته النجاسة و الحکم ببطلان الصلاة معها و غیر ذلک کما یظهر بالمراجعة إلی أبواب النجاسات و احکام لباس المصلّی و بدنه و غیرها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أورد الاحتمالات فی المسألة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فالأظهر فی النظر هو الاحتمال الأخیر و ما سواه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من الاحتمال الأخیر ما بیّنه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 وجوب الاجتناب عن الجمیع من باب المقدمة الشرعیة الخ</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هذا المعنی من کلامه فی نهایة البحث الأول من الفصل الرابع فی الأدلّة العقلیّة عند التعرّض للشبهة المحصورة،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أحکامها العامة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حدیث بهذا اللفظ و الوارد یختصّ بالمسکر من دون تعرّض للدماء 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تکرار للتعلیقة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بعینه تأکید للضمیر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استدرکت فی النسخة بعد تسع صفحات تقریبا اثناء ما فصّله فی التعلیقة علی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الحاکم فوظیفته اخذ ما یستحقه المحکوم له الخ و بالتحدید بین قوله فی تلک التعلیقة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علی الشبهة البدویة او الغیر المحصورة الخارج أحد أطرافه عن تحت ابتلاء المکلف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بین 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 الملازمة بمنع ثبوت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الواقعیة، الخ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اقتباس من قوله تعالی فی سورة الحج،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فَاجْتَنِبُوا الرِّجْسَ مِنَ الْأَوْثانِ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یناسبه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یناسبه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الوزر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 قواعد الأصحاب أنّه لو تعلّق الشک بوقوع النجاسة فی الماء و خارجه لم ینجس الماء بذلک و لم یمنع من استعماله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جاء هذا اللفظ فی سنن الدار 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استقربنا فی قراءتهما و الکتابة فی النسخة غیر محکّمة، و کیف کان فالمراد معلوم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 دینه فاقتلوه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العبارة، نسبة عدم وجوب الاجتناب عن نفس الملاقی للنجاسة مطلقا، لکن ظاهر المحدّث الکاشانی تقیید الحکم بالأجسام الصقیلة بعد المسح و ازالة النجاسة به راجع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جواهر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لاحظ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الحاصرتین تکرار للتعلیقة علی قول الماتن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یجب علی الزوج الاجتناب عنها تمام الشهر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أوردناه هنا و قد ورد فی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بعد التعلیقة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الفرق بین الأصول اللفظیة و العملیة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 التعلیقة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لانصرافها إلی غیرها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فی غیر هذا الباب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المباحة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بتصریح لهم بذلک و ربما استفید من ظواهر کلماتهم، راجع 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للاستزادة راجع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بتصریح لهم بذلک و ربما استفید من ظواهر کلماتهم، راجع 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للاستزادة راجع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بتصریح لهم بذلک و ربما استفید من ظواهر کلماتهم، راجع 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للاستزادة راجع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اثبتناه کما فی المتن ایضا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للاستزادة راجع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أحکامها العامة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السؤل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التعلیقة فی نسخة الأصل بعد التعلیق علی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الاشتغال الیقینی انّما هو بالأقل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أنا أوردناها هنا المحلّ المناسب لها طبق المتن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إرشادی محض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السؤل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بین الحاصرتین من المتن، و کأن المعلّق أو المستنسخ غفل عن درجه بدایة التعلیق علیه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للفقاهیة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القطعة ابتداء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انتهاء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عدم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علی ما أثبتناه قبلها من المتن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العکنة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راجع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المختلف للعلامة الحلّی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المقصد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لم یرد فی المتن المطبوع المتوفر لدینا راجع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تکرّر التعلیق علی هذه الفقرة حسب ما فی النسخة الأصل عند نهایة الأولی بلا فصل بینهما و قد أدمجناهما لعدم الاختلاف بینهما إلّا فی بعض الألفاظ یسیرا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أشرنا إلی الفوارق فی محلّها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المکرّرة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عدا المشکوک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نظیر الغافل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مفاد ما ورد فی من کثر سهوه راجع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السلطان علی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الصادقة عن 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اثبتناه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البقرة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نقله هنا بعنوان قوله، إنّما هو نقل بالمعنی و المضمون تفسیرا لما ورد فی المتن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قد ینافی هذا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معنی الضرار المجازاة علی الضرر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کلام المعلّق و لیس من المتن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فیکم رسولا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اظلم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فی العنوان العاشر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34848</Words>
  <Characters>153125</Characters>
  <CharactersWithSpaces>186461</CharactersWithSpaces>
  <Paragraphs>1674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2026-08-23T21:06:21Z</dcterms:created>
  <dc:creator>ghaemiyeh.com</dc:creator>
  <dc:description/>
  <dc:language>en-US</dc:language>
  <cp:lastModifiedBy/>
  <dcterms:modified xsi:type="dcterms:W3CDTF">2026-08-24T00:36:36Z</dcterms:modified>
  <cp:revision>1</cp:revision>
  <dc:subject/>
  <dc:title>التعلیقه علی فرائد الاصول جلد 2</dc:title>
</cp:coreProperties>
</file>

<file path=docProps/custom.xml><?xml version="1.0" encoding="utf-8"?>
<Properties xmlns="http://schemas.openxmlformats.org/officeDocument/2006/custom-properties" xmlns:vt="http://schemas.openxmlformats.org/officeDocument/2006/docPropsVTypes"/>
</file>